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76722">
      <w:pPr>
        <w:rPr>
          <w:color w:val="auto"/>
          <w:u w:val="none" w:color="auto"/>
        </w:rPr>
      </w:pPr>
    </w:p>
    <w:p w14:paraId="7BFAD83F">
      <w:pPr>
        <w:rPr>
          <w:color w:val="auto"/>
          <w:sz w:val="44"/>
          <w:szCs w:val="52"/>
          <w:u w:val="none" w:color="auto"/>
        </w:rPr>
      </w:pPr>
    </w:p>
    <w:p w14:paraId="02F591A1">
      <w:pPr>
        <w:jc w:val="center"/>
        <w:rPr>
          <w:rFonts w:hint="default" w:eastAsia="楷体_GB2312"/>
          <w:color w:val="auto"/>
          <w:sz w:val="44"/>
          <w:szCs w:val="44"/>
          <w:u w:val="none" w:color="auto"/>
          <w:lang w:val="en-US" w:eastAsia="zh-CN"/>
        </w:rPr>
      </w:pPr>
      <w:r>
        <w:rPr>
          <w:rFonts w:hint="eastAsia" w:ascii="宋体" w:hAnsi="宋体" w:eastAsia="宋体" w:cs="宋体"/>
          <w:color w:val="auto"/>
          <w:sz w:val="52"/>
          <w:szCs w:val="52"/>
          <w:u w:val="none" w:color="auto"/>
          <w:lang w:val="en-US" w:eastAsia="zh-CN"/>
        </w:rPr>
        <w:t>湖南宏翰新能源科技有限公司年产20万套锂电池石墨匣钵建设项目</w:t>
      </w:r>
    </w:p>
    <w:p w14:paraId="74FE4C9C">
      <w:pPr>
        <w:keepNext w:val="0"/>
        <w:keepLines w:val="0"/>
        <w:pageBreakBefore w:val="0"/>
        <w:widowControl w:val="0"/>
        <w:kinsoku/>
        <w:wordWrap/>
        <w:overflowPunct/>
        <w:topLinePunct w:val="0"/>
        <w:autoSpaceDE/>
        <w:autoSpaceDN/>
        <w:bidi/>
        <w:adjustRightInd/>
        <w:snapToGrid/>
        <w:jc w:val="center"/>
        <w:textAlignment w:val="auto"/>
        <w:rPr>
          <w:rFonts w:hint="eastAsia" w:ascii="华文行楷" w:hAnsi="华文行楷" w:eastAsia="华文行楷" w:cs="华文行楷"/>
          <w:color w:val="auto"/>
          <w:spacing w:val="2"/>
          <w:w w:val="130"/>
          <w:sz w:val="72"/>
          <w:szCs w:val="72"/>
          <w:u w:val="none" w:color="auto"/>
        </w:rPr>
      </w:pPr>
      <w:r>
        <w:rPr>
          <w:rFonts w:hint="eastAsia" w:ascii="华文行楷" w:hAnsi="华文行楷" w:eastAsia="华文行楷" w:cs="华文行楷"/>
          <w:color w:val="auto"/>
          <w:sz w:val="84"/>
          <w:szCs w:val="84"/>
          <w:u w:val="none" w:color="auto"/>
        </w:rPr>
        <w:t>环境影响报告书</w:t>
      </w:r>
    </w:p>
    <w:p w14:paraId="2A3864BE">
      <w:pPr>
        <w:keepNext w:val="0"/>
        <w:keepLines w:val="0"/>
        <w:pageBreakBefore w:val="0"/>
        <w:widowControl w:val="0"/>
        <w:kinsoku/>
        <w:wordWrap/>
        <w:overflowPunct/>
        <w:topLinePunct w:val="0"/>
        <w:autoSpaceDE/>
        <w:autoSpaceDN/>
        <w:bidi/>
        <w:adjustRightInd/>
        <w:snapToGrid/>
        <w:jc w:val="center"/>
        <w:textAlignment w:val="auto"/>
        <w:rPr>
          <w:bCs/>
          <w:color w:val="auto"/>
          <w:sz w:val="36"/>
          <w:u w:val="none" w:color="auto"/>
        </w:rPr>
      </w:pPr>
      <w:r>
        <w:rPr>
          <w:bCs/>
          <w:color w:val="auto"/>
          <w:sz w:val="36"/>
          <w:u w:val="none" w:color="auto"/>
        </w:rPr>
        <w:t>（</w:t>
      </w:r>
      <w:r>
        <w:rPr>
          <w:rFonts w:hint="eastAsia"/>
          <w:bCs/>
          <w:color w:val="auto"/>
          <w:sz w:val="36"/>
          <w:u w:val="none" w:color="auto"/>
          <w:lang w:val="en-US" w:eastAsia="zh-CN"/>
        </w:rPr>
        <w:t>送审稿</w:t>
      </w:r>
      <w:r>
        <w:rPr>
          <w:bCs/>
          <w:color w:val="auto"/>
          <w:sz w:val="36"/>
          <w:u w:val="none" w:color="auto"/>
        </w:rPr>
        <w:t>）</w:t>
      </w:r>
    </w:p>
    <w:p w14:paraId="1714A6D9">
      <w:pPr>
        <w:pStyle w:val="2"/>
        <w:rPr>
          <w:bCs/>
          <w:color w:val="auto"/>
          <w:sz w:val="36"/>
          <w:u w:val="none" w:color="auto"/>
        </w:rPr>
      </w:pPr>
    </w:p>
    <w:p w14:paraId="1EF0C7A1">
      <w:pPr>
        <w:pStyle w:val="19"/>
        <w:bidi w:val="0"/>
      </w:pPr>
    </w:p>
    <w:p w14:paraId="24A9688D">
      <w:pPr>
        <w:jc w:val="center"/>
        <w:rPr>
          <w:color w:val="auto"/>
          <w:sz w:val="96"/>
          <w:szCs w:val="160"/>
          <w:u w:val="none" w:color="auto"/>
        </w:rPr>
      </w:pPr>
    </w:p>
    <w:p w14:paraId="2F6BD864">
      <w:pPr>
        <w:jc w:val="center"/>
        <w:rPr>
          <w:color w:val="auto"/>
          <w:sz w:val="96"/>
          <w:szCs w:val="160"/>
          <w:u w:val="none" w:color="auto"/>
        </w:rPr>
      </w:pPr>
    </w:p>
    <w:p w14:paraId="642BD9B5">
      <w:pPr>
        <w:jc w:val="center"/>
        <w:rPr>
          <w:color w:val="auto"/>
          <w:sz w:val="96"/>
          <w:szCs w:val="160"/>
          <w:u w:val="none" w:color="auto"/>
        </w:rPr>
      </w:pPr>
    </w:p>
    <w:p w14:paraId="533C07C5">
      <w:pPr>
        <w:jc w:val="center"/>
        <w:rPr>
          <w:color w:val="auto"/>
          <w:sz w:val="96"/>
          <w:szCs w:val="160"/>
          <w:u w:val="none" w:color="auto"/>
        </w:rPr>
      </w:pPr>
    </w:p>
    <w:p w14:paraId="319BF365">
      <w:pPr>
        <w:adjustRightInd w:val="0"/>
        <w:spacing w:line="360" w:lineRule="auto"/>
        <w:jc w:val="center"/>
        <w:rPr>
          <w:rFonts w:hint="eastAsia" w:eastAsia="宋体"/>
          <w:color w:val="auto"/>
          <w:sz w:val="28"/>
          <w:szCs w:val="28"/>
          <w:u w:val="none" w:color="auto"/>
          <w:lang w:eastAsia="zh-CN"/>
        </w:rPr>
      </w:pPr>
      <w:r>
        <w:rPr>
          <w:color w:val="auto"/>
          <w:sz w:val="28"/>
          <w:szCs w:val="28"/>
          <w:u w:val="none" w:color="auto"/>
        </w:rPr>
        <w:t>建设单位：</w:t>
      </w:r>
      <w:r>
        <w:rPr>
          <w:rFonts w:hint="eastAsia"/>
          <w:color w:val="auto"/>
          <w:sz w:val="28"/>
          <w:szCs w:val="28"/>
          <w:u w:val="none" w:color="auto"/>
          <w:lang w:eastAsia="zh-CN"/>
        </w:rPr>
        <w:t>湖南宏翰新能源科技有限公司</w:t>
      </w:r>
    </w:p>
    <w:p w14:paraId="37F7F775">
      <w:pPr>
        <w:adjustRightInd w:val="0"/>
        <w:spacing w:line="360" w:lineRule="auto"/>
        <w:jc w:val="center"/>
        <w:rPr>
          <w:color w:val="auto"/>
          <w:sz w:val="28"/>
          <w:szCs w:val="28"/>
          <w:u w:val="none" w:color="auto"/>
        </w:rPr>
      </w:pPr>
      <w:r>
        <w:rPr>
          <w:color w:val="auto"/>
          <w:sz w:val="28"/>
          <w:szCs w:val="28"/>
          <w:u w:val="none" w:color="auto"/>
        </w:rPr>
        <w:t>编制单位：</w:t>
      </w:r>
      <w:r>
        <w:rPr>
          <w:rFonts w:hint="eastAsia"/>
          <w:color w:val="auto"/>
          <w:sz w:val="28"/>
          <w:szCs w:val="28"/>
          <w:u w:val="none" w:color="auto"/>
        </w:rPr>
        <w:t>湖南</w:t>
      </w:r>
      <w:r>
        <w:rPr>
          <w:rFonts w:hint="eastAsia"/>
          <w:color w:val="auto"/>
          <w:sz w:val="28"/>
          <w:szCs w:val="28"/>
          <w:u w:val="none" w:color="auto"/>
          <w:lang w:val="en-US" w:eastAsia="zh-CN"/>
        </w:rPr>
        <w:t>顺洄环保科技</w:t>
      </w:r>
      <w:r>
        <w:rPr>
          <w:rFonts w:hint="eastAsia"/>
          <w:color w:val="auto"/>
          <w:sz w:val="28"/>
          <w:szCs w:val="28"/>
          <w:u w:val="none" w:color="auto"/>
        </w:rPr>
        <w:t>有限公司</w:t>
      </w:r>
    </w:p>
    <w:p w14:paraId="7C86E863">
      <w:pPr>
        <w:adjustRightInd w:val="0"/>
        <w:spacing w:line="360" w:lineRule="auto"/>
        <w:jc w:val="center"/>
        <w:rPr>
          <w:color w:val="auto"/>
          <w:u w:val="none" w:color="auto"/>
        </w:rPr>
      </w:pPr>
      <w:r>
        <w:rPr>
          <w:color w:val="auto"/>
          <w:sz w:val="28"/>
          <w:szCs w:val="28"/>
          <w:u w:val="none" w:color="auto"/>
        </w:rPr>
        <w:t>二〇二</w:t>
      </w:r>
      <w:r>
        <w:rPr>
          <w:rFonts w:hint="eastAsia"/>
          <w:color w:val="auto"/>
          <w:sz w:val="28"/>
          <w:szCs w:val="28"/>
          <w:u w:val="none" w:color="auto"/>
          <w:lang w:val="en-US" w:eastAsia="zh-CN"/>
        </w:rPr>
        <w:t>五</w:t>
      </w:r>
      <w:r>
        <w:rPr>
          <w:color w:val="auto"/>
          <w:sz w:val="28"/>
          <w:szCs w:val="28"/>
          <w:u w:val="none" w:color="auto"/>
        </w:rPr>
        <w:t>年</w:t>
      </w:r>
      <w:r>
        <w:rPr>
          <w:rFonts w:hint="eastAsia"/>
          <w:color w:val="auto"/>
          <w:sz w:val="28"/>
          <w:szCs w:val="28"/>
          <w:u w:val="none" w:color="auto"/>
          <w:lang w:val="en-US" w:eastAsia="zh-CN"/>
        </w:rPr>
        <w:t>七</w:t>
      </w:r>
      <w:r>
        <w:rPr>
          <w:color w:val="auto"/>
          <w:sz w:val="28"/>
          <w:szCs w:val="28"/>
          <w:u w:val="none" w:color="auto"/>
        </w:rPr>
        <w:t>月</w:t>
      </w:r>
    </w:p>
    <w:p w14:paraId="1624A4A1">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eastAsia" w:ascii="Times New Roman" w:hAnsi="Times New Roman" w:eastAsia="宋体" w:cs="Times New Roman"/>
          <w:color w:val="auto"/>
          <w:sz w:val="36"/>
          <w:szCs w:val="36"/>
          <w:u w:val="none" w:color="auto"/>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37556DB">
      <w:pPr>
        <w:pStyle w:val="20"/>
        <w:adjustRightInd w:val="0"/>
        <w:snapToGrid w:val="0"/>
        <w:spacing w:before="0" w:beforeAutospacing="0" w:after="0" w:afterAutospacing="0"/>
        <w:jc w:val="center"/>
        <w:rPr>
          <w:rFonts w:ascii="方正小标宋_GBK" w:hAnsi="黑体" w:eastAsia="方正小标宋_GBK"/>
          <w:b/>
          <w:bCs/>
          <w:snapToGrid w:val="0"/>
          <w:sz w:val="38"/>
          <w:szCs w:val="38"/>
        </w:rPr>
      </w:pPr>
      <w:r>
        <w:rPr>
          <w:rFonts w:hint="eastAsia" w:ascii="方正小标宋_GBK" w:hAnsi="黑体" w:eastAsia="方正小标宋_GBK"/>
          <w:b/>
          <w:bCs/>
          <w:snapToGrid w:val="0"/>
          <w:sz w:val="38"/>
          <w:szCs w:val="38"/>
        </w:rPr>
        <w:t>编制单位和编制人员情况表</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57"/>
        <w:gridCol w:w="1433"/>
        <w:gridCol w:w="1903"/>
        <w:gridCol w:w="1890"/>
      </w:tblGrid>
      <w:tr w14:paraId="400D2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4DD1F124">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项目编号</w:t>
            </w:r>
          </w:p>
        </w:tc>
        <w:tc>
          <w:tcPr>
            <w:tcW w:w="5558" w:type="dxa"/>
            <w:gridSpan w:val="3"/>
            <w:tcBorders>
              <w:tl2br w:val="nil"/>
              <w:tr2bl w:val="nil"/>
            </w:tcBorders>
            <w:noWrap w:val="0"/>
            <w:vAlign w:val="center"/>
          </w:tcPr>
          <w:p w14:paraId="719A4F60">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p>
        </w:tc>
      </w:tr>
      <w:tr w14:paraId="70DA1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32E45A6B">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建设项目名称</w:t>
            </w:r>
          </w:p>
        </w:tc>
        <w:tc>
          <w:tcPr>
            <w:tcW w:w="5558" w:type="dxa"/>
            <w:gridSpan w:val="3"/>
            <w:tcBorders>
              <w:tl2br w:val="nil"/>
              <w:tr2bl w:val="nil"/>
            </w:tcBorders>
            <w:noWrap w:val="0"/>
            <w:vAlign w:val="center"/>
          </w:tcPr>
          <w:p w14:paraId="1C8AA523">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rPr>
            </w:pPr>
            <w:r>
              <w:rPr>
                <w:rFonts w:hint="eastAsia" w:ascii="Times New Roman" w:hAnsi="Times New Roman" w:cs="Times New Roman"/>
                <w:color w:val="auto"/>
                <w:sz w:val="21"/>
                <w:szCs w:val="21"/>
                <w:u w:val="none"/>
                <w:lang w:val="en-US" w:eastAsia="zh-CN"/>
              </w:rPr>
              <w:t>湖南宏翰新能源科技有限公司年产20万套锂电池石墨匣钵建设项目</w:t>
            </w:r>
          </w:p>
        </w:tc>
      </w:tr>
      <w:tr w14:paraId="3DF10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60DA6C24">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建设项目类别</w:t>
            </w:r>
          </w:p>
        </w:tc>
        <w:tc>
          <w:tcPr>
            <w:tcW w:w="5558" w:type="dxa"/>
            <w:gridSpan w:val="3"/>
            <w:tcBorders>
              <w:tl2br w:val="nil"/>
              <w:tr2bl w:val="nil"/>
            </w:tcBorders>
            <w:noWrap w:val="0"/>
            <w:vAlign w:val="center"/>
          </w:tcPr>
          <w:p w14:paraId="2581896E">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27-060耐火材料制品制造；石墨及其他非金属矿物制品制造</w:t>
            </w:r>
          </w:p>
        </w:tc>
      </w:tr>
      <w:tr w14:paraId="754A5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23A8193D">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环境影响评价文件类型</w:t>
            </w:r>
          </w:p>
        </w:tc>
        <w:tc>
          <w:tcPr>
            <w:tcW w:w="5558" w:type="dxa"/>
            <w:gridSpan w:val="3"/>
            <w:tcBorders>
              <w:tl2br w:val="nil"/>
              <w:tr2bl w:val="nil"/>
            </w:tcBorders>
            <w:noWrap w:val="0"/>
            <w:vAlign w:val="center"/>
          </w:tcPr>
          <w:p w14:paraId="73E232F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报告书</w:t>
            </w:r>
          </w:p>
        </w:tc>
      </w:tr>
      <w:tr w14:paraId="74617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5"/>
            <w:tcBorders>
              <w:tl2br w:val="nil"/>
              <w:tr2bl w:val="nil"/>
            </w:tcBorders>
            <w:noWrap w:val="0"/>
            <w:vAlign w:val="center"/>
          </w:tcPr>
          <w:p w14:paraId="34D94BE3">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一、建设单位情况</w:t>
            </w:r>
          </w:p>
        </w:tc>
      </w:tr>
      <w:tr w14:paraId="7522C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05EEA78F">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r>
              <w:rPr>
                <w:rFonts w:hint="default" w:ascii="Times New Roman" w:hAnsi="Times New Roman" w:eastAsia="宋体" w:cs="Times New Roman"/>
                <w:sz w:val="21"/>
                <w:szCs w:val="21"/>
                <w:lang w:eastAsia="zh-CN"/>
              </w:rPr>
              <w:t>名称</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盖</w:t>
            </w:r>
            <w:r>
              <w:rPr>
                <w:rFonts w:hint="default" w:ascii="Times New Roman" w:hAnsi="Times New Roman" w:eastAsia="宋体" w:cs="Times New Roman"/>
                <w:sz w:val="21"/>
                <w:szCs w:val="21"/>
              </w:rPr>
              <w:t>章）</w:t>
            </w:r>
          </w:p>
        </w:tc>
        <w:tc>
          <w:tcPr>
            <w:tcW w:w="5558" w:type="dxa"/>
            <w:gridSpan w:val="3"/>
            <w:tcBorders>
              <w:tl2br w:val="nil"/>
              <w:tr2bl w:val="nil"/>
            </w:tcBorders>
            <w:noWrap w:val="0"/>
            <w:vAlign w:val="center"/>
          </w:tcPr>
          <w:p w14:paraId="0575092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u w:val="none"/>
                <w:lang w:val="en-US" w:eastAsia="zh-CN"/>
              </w:rPr>
              <w:t>湖南宏翰新能源科技有限公司</w:t>
            </w:r>
          </w:p>
        </w:tc>
      </w:tr>
      <w:tr w14:paraId="698EC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6FF26F2A">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统一</w:t>
            </w:r>
            <w:r>
              <w:rPr>
                <w:rFonts w:hint="default" w:ascii="Times New Roman" w:hAnsi="Times New Roman" w:eastAsia="宋体" w:cs="Times New Roman"/>
                <w:sz w:val="21"/>
                <w:szCs w:val="21"/>
              </w:rPr>
              <w:t>社会信用代码</w:t>
            </w:r>
          </w:p>
        </w:tc>
        <w:tc>
          <w:tcPr>
            <w:tcW w:w="5558" w:type="dxa"/>
            <w:gridSpan w:val="3"/>
            <w:tcBorders>
              <w:tl2br w:val="nil"/>
              <w:tr2bl w:val="nil"/>
            </w:tcBorders>
            <w:noWrap w:val="0"/>
            <w:vAlign w:val="center"/>
          </w:tcPr>
          <w:p w14:paraId="71D5512E">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91430681MABUFGE84W</w:t>
            </w:r>
          </w:p>
        </w:tc>
      </w:tr>
      <w:tr w14:paraId="40526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62ECC15B">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法定代表人（签章）</w:t>
            </w:r>
          </w:p>
        </w:tc>
        <w:tc>
          <w:tcPr>
            <w:tcW w:w="5558" w:type="dxa"/>
            <w:gridSpan w:val="3"/>
            <w:tcBorders>
              <w:tl2br w:val="nil"/>
              <w:tr2bl w:val="nil"/>
            </w:tcBorders>
            <w:noWrap w:val="0"/>
            <w:vAlign w:val="center"/>
          </w:tcPr>
          <w:p w14:paraId="39A4D751">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高泽兵</w:t>
            </w:r>
          </w:p>
        </w:tc>
      </w:tr>
      <w:tr w14:paraId="1BD1A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0AD33CEA">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主要负责人（签字）</w:t>
            </w:r>
          </w:p>
        </w:tc>
        <w:tc>
          <w:tcPr>
            <w:tcW w:w="5558" w:type="dxa"/>
            <w:gridSpan w:val="3"/>
            <w:tcBorders>
              <w:tl2br w:val="nil"/>
              <w:tr2bl w:val="nil"/>
            </w:tcBorders>
            <w:noWrap w:val="0"/>
            <w:vAlign w:val="center"/>
          </w:tcPr>
          <w:p w14:paraId="6A3296D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高泽兵</w:t>
            </w:r>
          </w:p>
        </w:tc>
      </w:tr>
      <w:tr w14:paraId="0A362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518BB695">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直接负责的主管人员（签字）</w:t>
            </w:r>
          </w:p>
        </w:tc>
        <w:tc>
          <w:tcPr>
            <w:tcW w:w="5558" w:type="dxa"/>
            <w:gridSpan w:val="3"/>
            <w:tcBorders>
              <w:tl2br w:val="nil"/>
              <w:tr2bl w:val="nil"/>
            </w:tcBorders>
            <w:noWrap w:val="0"/>
            <w:vAlign w:val="center"/>
          </w:tcPr>
          <w:p w14:paraId="191E01AB">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高泽兵</w:t>
            </w:r>
          </w:p>
        </w:tc>
      </w:tr>
      <w:tr w14:paraId="556CA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5"/>
            <w:tcBorders>
              <w:tl2br w:val="nil"/>
              <w:tr2bl w:val="nil"/>
            </w:tcBorders>
            <w:noWrap w:val="0"/>
            <w:vAlign w:val="center"/>
          </w:tcPr>
          <w:p w14:paraId="444FB601">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二、编制单位情况</w:t>
            </w:r>
          </w:p>
        </w:tc>
      </w:tr>
      <w:tr w14:paraId="46B56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5567479D">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单位</w:t>
            </w:r>
            <w:r>
              <w:rPr>
                <w:rFonts w:hint="default" w:ascii="Times New Roman" w:hAnsi="Times New Roman" w:eastAsia="宋体" w:cs="Times New Roman"/>
                <w:sz w:val="21"/>
                <w:szCs w:val="21"/>
                <w:lang w:eastAsia="zh-CN"/>
              </w:rPr>
              <w:t>名称</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盖</w:t>
            </w:r>
            <w:r>
              <w:rPr>
                <w:rFonts w:hint="default" w:ascii="Times New Roman" w:hAnsi="Times New Roman" w:eastAsia="宋体" w:cs="Times New Roman"/>
                <w:sz w:val="21"/>
                <w:szCs w:val="21"/>
              </w:rPr>
              <w:t>章）</w:t>
            </w:r>
          </w:p>
        </w:tc>
        <w:tc>
          <w:tcPr>
            <w:tcW w:w="5558" w:type="dxa"/>
            <w:gridSpan w:val="3"/>
            <w:tcBorders>
              <w:tl2br w:val="nil"/>
              <w:tr2bl w:val="nil"/>
            </w:tcBorders>
            <w:noWrap w:val="0"/>
            <w:vAlign w:val="center"/>
          </w:tcPr>
          <w:p w14:paraId="0FE9083E">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湖南</w:t>
            </w:r>
            <w:r>
              <w:rPr>
                <w:rFonts w:hint="eastAsia" w:ascii="Times New Roman" w:hAnsi="Times New Roman" w:eastAsia="宋体" w:cs="Times New Roman"/>
                <w:sz w:val="21"/>
                <w:szCs w:val="21"/>
                <w:lang w:val="en-US" w:eastAsia="zh-CN"/>
              </w:rPr>
              <w:t>顺洄环保科技有限公司</w:t>
            </w:r>
          </w:p>
        </w:tc>
      </w:tr>
      <w:tr w14:paraId="7D7E5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02" w:type="dxa"/>
            <w:gridSpan w:val="2"/>
            <w:tcBorders>
              <w:tl2br w:val="nil"/>
              <w:tr2bl w:val="nil"/>
            </w:tcBorders>
            <w:noWrap w:val="0"/>
            <w:vAlign w:val="center"/>
          </w:tcPr>
          <w:p w14:paraId="1D56C2A4">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统一</w:t>
            </w:r>
            <w:r>
              <w:rPr>
                <w:rFonts w:hint="default" w:ascii="Times New Roman" w:hAnsi="Times New Roman" w:eastAsia="宋体" w:cs="Times New Roman"/>
                <w:sz w:val="21"/>
                <w:szCs w:val="21"/>
              </w:rPr>
              <w:t>社会信用代码</w:t>
            </w:r>
          </w:p>
        </w:tc>
        <w:tc>
          <w:tcPr>
            <w:tcW w:w="5558" w:type="dxa"/>
            <w:gridSpan w:val="3"/>
            <w:tcBorders>
              <w:tl2br w:val="nil"/>
              <w:tr2bl w:val="nil"/>
            </w:tcBorders>
            <w:noWrap w:val="0"/>
            <w:vAlign w:val="center"/>
          </w:tcPr>
          <w:p w14:paraId="3D9B9BCD">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91430681MAD0TBRP5M</w:t>
            </w:r>
          </w:p>
        </w:tc>
      </w:tr>
      <w:tr w14:paraId="2912F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5"/>
            <w:tcBorders>
              <w:tl2br w:val="nil"/>
              <w:tr2bl w:val="nil"/>
            </w:tcBorders>
            <w:noWrap w:val="0"/>
            <w:vAlign w:val="center"/>
          </w:tcPr>
          <w:p w14:paraId="32C477B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三、编制人员情况</w:t>
            </w:r>
          </w:p>
        </w:tc>
      </w:tr>
      <w:tr w14:paraId="4267C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5"/>
            <w:tcBorders>
              <w:tl2br w:val="nil"/>
              <w:tr2bl w:val="nil"/>
            </w:tcBorders>
            <w:noWrap w:val="0"/>
            <w:vAlign w:val="center"/>
          </w:tcPr>
          <w:p w14:paraId="2F72797B">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1.编制主持人</w:t>
            </w:r>
          </w:p>
        </w:tc>
      </w:tr>
      <w:tr w14:paraId="6E551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5" w:type="dxa"/>
            <w:tcBorders>
              <w:tl2br w:val="nil"/>
              <w:tr2bl w:val="nil"/>
            </w:tcBorders>
            <w:noWrap w:val="0"/>
            <w:vAlign w:val="center"/>
          </w:tcPr>
          <w:p w14:paraId="6007401E">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姓名</w:t>
            </w:r>
          </w:p>
        </w:tc>
        <w:tc>
          <w:tcPr>
            <w:tcW w:w="3506" w:type="dxa"/>
            <w:gridSpan w:val="2"/>
            <w:tcBorders>
              <w:tl2br w:val="nil"/>
              <w:tr2bl w:val="nil"/>
            </w:tcBorders>
            <w:noWrap w:val="0"/>
            <w:vAlign w:val="center"/>
          </w:tcPr>
          <w:p w14:paraId="40ACD8EC">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职业资格证书编号</w:t>
            </w:r>
          </w:p>
        </w:tc>
        <w:tc>
          <w:tcPr>
            <w:tcW w:w="2021" w:type="dxa"/>
            <w:tcBorders>
              <w:tl2br w:val="nil"/>
              <w:tr2bl w:val="nil"/>
            </w:tcBorders>
            <w:noWrap w:val="0"/>
            <w:vAlign w:val="center"/>
          </w:tcPr>
          <w:p w14:paraId="7E72637A">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信用编号</w:t>
            </w:r>
          </w:p>
        </w:tc>
        <w:tc>
          <w:tcPr>
            <w:tcW w:w="2008" w:type="dxa"/>
            <w:tcBorders>
              <w:tl2br w:val="nil"/>
              <w:tr2bl w:val="nil"/>
            </w:tcBorders>
            <w:noWrap w:val="0"/>
            <w:vAlign w:val="center"/>
          </w:tcPr>
          <w:p w14:paraId="05BBACE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签字</w:t>
            </w:r>
          </w:p>
        </w:tc>
      </w:tr>
      <w:tr w14:paraId="48A92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5" w:type="dxa"/>
            <w:tcBorders>
              <w:tl2br w:val="nil"/>
              <w:tr2bl w:val="nil"/>
            </w:tcBorders>
            <w:noWrap w:val="0"/>
            <w:vAlign w:val="center"/>
          </w:tcPr>
          <w:p w14:paraId="34ECFD2A">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张泽军</w:t>
            </w:r>
          </w:p>
        </w:tc>
        <w:tc>
          <w:tcPr>
            <w:tcW w:w="3506" w:type="dxa"/>
            <w:gridSpan w:val="2"/>
            <w:tcBorders>
              <w:tl2br w:val="nil"/>
              <w:tr2bl w:val="nil"/>
            </w:tcBorders>
            <w:noWrap w:val="0"/>
            <w:vAlign w:val="center"/>
          </w:tcPr>
          <w:p w14:paraId="5BC68F4F">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20210503543000000006</w:t>
            </w:r>
          </w:p>
        </w:tc>
        <w:tc>
          <w:tcPr>
            <w:tcW w:w="2021" w:type="dxa"/>
            <w:tcBorders>
              <w:tl2br w:val="nil"/>
              <w:tr2bl w:val="nil"/>
            </w:tcBorders>
            <w:noWrap w:val="0"/>
            <w:vAlign w:val="center"/>
          </w:tcPr>
          <w:p w14:paraId="6A5DF3B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BH0</w:t>
            </w:r>
            <w:r>
              <w:rPr>
                <w:rFonts w:hint="eastAsia" w:ascii="Times New Roman" w:hAnsi="Times New Roman" w:cs="Times New Roman"/>
                <w:sz w:val="21"/>
                <w:szCs w:val="21"/>
                <w:lang w:val="en-US" w:eastAsia="zh-CN"/>
              </w:rPr>
              <w:t>14349</w:t>
            </w:r>
          </w:p>
        </w:tc>
        <w:tc>
          <w:tcPr>
            <w:tcW w:w="2008" w:type="dxa"/>
            <w:tcBorders>
              <w:tl2br w:val="nil"/>
              <w:tr2bl w:val="nil"/>
            </w:tcBorders>
            <w:noWrap w:val="0"/>
            <w:vAlign w:val="center"/>
          </w:tcPr>
          <w:p w14:paraId="3ECF346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eastAsia="zh-CN"/>
              </w:rPr>
            </w:pPr>
          </w:p>
        </w:tc>
      </w:tr>
      <w:tr w14:paraId="551FF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0" w:type="dxa"/>
            <w:gridSpan w:val="5"/>
            <w:tcBorders>
              <w:tl2br w:val="nil"/>
              <w:tr2bl w:val="nil"/>
            </w:tcBorders>
            <w:noWrap w:val="0"/>
            <w:vAlign w:val="center"/>
          </w:tcPr>
          <w:p w14:paraId="58D35B65">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2.主要编制人员</w:t>
            </w:r>
          </w:p>
        </w:tc>
      </w:tr>
      <w:tr w14:paraId="663C0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5" w:type="dxa"/>
            <w:tcBorders>
              <w:tl2br w:val="nil"/>
              <w:tr2bl w:val="nil"/>
            </w:tcBorders>
            <w:noWrap w:val="0"/>
            <w:vAlign w:val="center"/>
          </w:tcPr>
          <w:p w14:paraId="5ACA6775">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姓名</w:t>
            </w:r>
          </w:p>
        </w:tc>
        <w:tc>
          <w:tcPr>
            <w:tcW w:w="3506" w:type="dxa"/>
            <w:gridSpan w:val="2"/>
            <w:tcBorders>
              <w:tl2br w:val="nil"/>
              <w:tr2bl w:val="nil"/>
            </w:tcBorders>
            <w:noWrap w:val="0"/>
            <w:vAlign w:val="center"/>
          </w:tcPr>
          <w:p w14:paraId="21C4C5C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主要编写内容</w:t>
            </w:r>
          </w:p>
        </w:tc>
        <w:tc>
          <w:tcPr>
            <w:tcW w:w="2021" w:type="dxa"/>
            <w:tcBorders>
              <w:tl2br w:val="nil"/>
              <w:tr2bl w:val="nil"/>
            </w:tcBorders>
            <w:noWrap w:val="0"/>
            <w:vAlign w:val="center"/>
          </w:tcPr>
          <w:p w14:paraId="0A55ABFF">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信用编号</w:t>
            </w:r>
          </w:p>
        </w:tc>
        <w:tc>
          <w:tcPr>
            <w:tcW w:w="2008" w:type="dxa"/>
            <w:tcBorders>
              <w:tl2br w:val="nil"/>
              <w:tr2bl w:val="nil"/>
            </w:tcBorders>
            <w:noWrap w:val="0"/>
            <w:vAlign w:val="center"/>
          </w:tcPr>
          <w:p w14:paraId="7E5793B2">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签字</w:t>
            </w:r>
          </w:p>
        </w:tc>
      </w:tr>
      <w:tr w14:paraId="279B3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5" w:type="dxa"/>
            <w:tcBorders>
              <w:tl2br w:val="nil"/>
              <w:tr2bl w:val="nil"/>
            </w:tcBorders>
            <w:noWrap w:val="0"/>
            <w:vAlign w:val="center"/>
          </w:tcPr>
          <w:p w14:paraId="0C13E3D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张泽军</w:t>
            </w:r>
          </w:p>
        </w:tc>
        <w:tc>
          <w:tcPr>
            <w:tcW w:w="3506" w:type="dxa"/>
            <w:gridSpan w:val="2"/>
            <w:tcBorders>
              <w:tl2br w:val="nil"/>
              <w:tr2bl w:val="nil"/>
            </w:tcBorders>
            <w:noWrap w:val="0"/>
            <w:vAlign w:val="center"/>
          </w:tcPr>
          <w:p w14:paraId="2AC885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default" w:ascii="Times New Roman" w:hAnsi="Times New Roman" w:eastAsia="宋体" w:cs="Times New Roman"/>
                <w:kern w:val="2"/>
                <w:sz w:val="21"/>
                <w:szCs w:val="21"/>
                <w:lang w:val="en-US" w:eastAsia="zh-CN" w:bidi="ar-SA"/>
              </w:rPr>
            </w:pPr>
            <w:bookmarkStart w:id="0" w:name="_Toc21043"/>
            <w:bookmarkStart w:id="1" w:name="_Toc4207"/>
            <w:bookmarkStart w:id="2" w:name="_Toc25058"/>
            <w:bookmarkStart w:id="3" w:name="_Toc16016"/>
            <w:r>
              <w:rPr>
                <w:rFonts w:hint="eastAsia" w:ascii="Times New Roman" w:hAnsi="Times New Roman" w:eastAsia="宋体" w:cs="Times New Roman"/>
                <w:kern w:val="2"/>
                <w:sz w:val="21"/>
                <w:szCs w:val="21"/>
                <w:lang w:val="en-US" w:eastAsia="zh-CN" w:bidi="ar-SA"/>
              </w:rPr>
              <w:t>概述、总则、建设项目区域环境概况</w:t>
            </w:r>
            <w:r>
              <w:rPr>
                <w:rFonts w:hint="eastAsia" w:cs="Times New Roman"/>
                <w:kern w:val="2"/>
                <w:sz w:val="21"/>
                <w:szCs w:val="21"/>
                <w:lang w:val="en-US" w:eastAsia="zh-CN" w:bidi="ar-SA"/>
              </w:rPr>
              <w:t>、环境效益分析、环境管理与监测计划</w:t>
            </w:r>
            <w:bookmarkEnd w:id="0"/>
            <w:bookmarkEnd w:id="1"/>
            <w:bookmarkEnd w:id="2"/>
            <w:bookmarkEnd w:id="3"/>
          </w:p>
        </w:tc>
        <w:tc>
          <w:tcPr>
            <w:tcW w:w="2021" w:type="dxa"/>
            <w:tcBorders>
              <w:tl2br w:val="nil"/>
              <w:tr2bl w:val="nil"/>
            </w:tcBorders>
            <w:noWrap w:val="0"/>
            <w:vAlign w:val="center"/>
          </w:tcPr>
          <w:p w14:paraId="1F9CD22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BH0</w:t>
            </w:r>
            <w:r>
              <w:rPr>
                <w:rFonts w:hint="eastAsia" w:ascii="Times New Roman" w:hAnsi="Times New Roman" w:cs="Times New Roman"/>
                <w:sz w:val="21"/>
                <w:szCs w:val="21"/>
                <w:lang w:val="en-US" w:eastAsia="zh-CN"/>
              </w:rPr>
              <w:t>14349</w:t>
            </w:r>
          </w:p>
        </w:tc>
        <w:tc>
          <w:tcPr>
            <w:tcW w:w="2008" w:type="dxa"/>
            <w:tcBorders>
              <w:tl2br w:val="nil"/>
              <w:tr2bl w:val="nil"/>
            </w:tcBorders>
            <w:noWrap w:val="0"/>
            <w:vAlign w:val="center"/>
          </w:tcPr>
          <w:p w14:paraId="7935594D">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p>
        </w:tc>
      </w:tr>
      <w:tr w14:paraId="41328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5" w:type="dxa"/>
            <w:tcBorders>
              <w:tl2br w:val="nil"/>
              <w:tr2bl w:val="nil"/>
            </w:tcBorders>
            <w:noWrap w:val="0"/>
            <w:vAlign w:val="center"/>
          </w:tcPr>
          <w:p w14:paraId="38ABEBFD">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吴胜归</w:t>
            </w:r>
          </w:p>
        </w:tc>
        <w:tc>
          <w:tcPr>
            <w:tcW w:w="3506" w:type="dxa"/>
            <w:gridSpan w:val="2"/>
            <w:tcBorders>
              <w:tl2br w:val="nil"/>
              <w:tr2bl w:val="nil"/>
            </w:tcBorders>
            <w:noWrap w:val="0"/>
            <w:vAlign w:val="center"/>
          </w:tcPr>
          <w:p w14:paraId="1E773C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default" w:ascii="Times New Roman" w:hAnsi="Times New Roman" w:eastAsia="宋体" w:cs="Times New Roman"/>
                <w:kern w:val="2"/>
                <w:sz w:val="21"/>
                <w:szCs w:val="21"/>
                <w:lang w:val="en-US" w:eastAsia="zh-CN" w:bidi="ar-SA"/>
              </w:rPr>
            </w:pPr>
            <w:bookmarkStart w:id="4" w:name="_Toc28270"/>
            <w:bookmarkStart w:id="5" w:name="_Toc17090"/>
            <w:bookmarkStart w:id="6" w:name="_Toc29593"/>
            <w:bookmarkStart w:id="7" w:name="_Toc6799"/>
            <w:r>
              <w:rPr>
                <w:rFonts w:hint="eastAsia" w:ascii="Times New Roman" w:hAnsi="Times New Roman" w:eastAsia="宋体" w:cs="Times New Roman"/>
                <w:kern w:val="2"/>
                <w:sz w:val="21"/>
                <w:szCs w:val="21"/>
                <w:lang w:val="en-US" w:eastAsia="zh-CN" w:bidi="ar-SA"/>
              </w:rPr>
              <w:t>建设工程、</w:t>
            </w:r>
            <w:r>
              <w:rPr>
                <w:rFonts w:hint="eastAsia" w:ascii="Times New Roman" w:hAnsi="Times New Roman" w:eastAsia="宋体" w:cs="Times New Roman"/>
                <w:color w:val="auto"/>
                <w:spacing w:val="0"/>
                <w:w w:val="100"/>
                <w:position w:val="-2"/>
                <w:sz w:val="21"/>
                <w:szCs w:val="21"/>
                <w:lang w:val="en-US" w:eastAsia="zh-CN"/>
              </w:rPr>
              <w:t>环境影响预测与评价、环境保护措施及其可行性论证、结论及建议</w:t>
            </w:r>
            <w:bookmarkEnd w:id="4"/>
            <w:bookmarkEnd w:id="5"/>
            <w:bookmarkEnd w:id="6"/>
            <w:bookmarkEnd w:id="7"/>
          </w:p>
        </w:tc>
        <w:tc>
          <w:tcPr>
            <w:tcW w:w="2021" w:type="dxa"/>
            <w:tcBorders>
              <w:tl2br w:val="nil"/>
              <w:tr2bl w:val="nil"/>
            </w:tcBorders>
            <w:noWrap w:val="0"/>
            <w:vAlign w:val="center"/>
          </w:tcPr>
          <w:p w14:paraId="0D98C635">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BH0</w:t>
            </w:r>
            <w:r>
              <w:rPr>
                <w:rFonts w:hint="eastAsia" w:ascii="Times New Roman" w:hAnsi="Times New Roman" w:eastAsia="宋体" w:cs="Times New Roman"/>
                <w:sz w:val="21"/>
                <w:szCs w:val="21"/>
                <w:lang w:val="en-US" w:eastAsia="zh-CN"/>
              </w:rPr>
              <w:t>38752</w:t>
            </w:r>
          </w:p>
        </w:tc>
        <w:tc>
          <w:tcPr>
            <w:tcW w:w="2008" w:type="dxa"/>
            <w:tcBorders>
              <w:tl2br w:val="nil"/>
              <w:tr2bl w:val="nil"/>
            </w:tcBorders>
            <w:noWrap w:val="0"/>
            <w:vAlign w:val="center"/>
          </w:tcPr>
          <w:p w14:paraId="0C493790">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rPr>
            </w:pPr>
          </w:p>
        </w:tc>
      </w:tr>
    </w:tbl>
    <w:p w14:paraId="0011B161">
      <w:pPr>
        <w:pStyle w:val="2"/>
        <w:jc w:val="center"/>
        <w:rPr>
          <w:rFonts w:hint="eastAsia" w:eastAsia="宋体"/>
          <w:lang w:eastAsia="zh-CN"/>
        </w:rPr>
      </w:pPr>
      <w:r>
        <w:rPr>
          <w:rFonts w:hint="eastAsia" w:eastAsia="宋体"/>
          <w:lang w:eastAsia="zh-CN"/>
        </w:rPr>
        <w:drawing>
          <wp:inline distT="0" distB="0" distL="114300" distR="114300">
            <wp:extent cx="5266690" cy="7320280"/>
            <wp:effectExtent l="0" t="0" r="10160" b="13970"/>
            <wp:docPr id="7" name="图片 1" descr="1e1918fb9a852755d3fcbfd13df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e1918fb9a852755d3fcbfd13df7f00"/>
                    <pic:cNvPicPr>
                      <a:picLocks noChangeAspect="1"/>
                    </pic:cNvPicPr>
                  </pic:nvPicPr>
                  <pic:blipFill>
                    <a:blip r:embed="rId15"/>
                    <a:stretch>
                      <a:fillRect/>
                    </a:stretch>
                  </pic:blipFill>
                  <pic:spPr>
                    <a:xfrm>
                      <a:off x="0" y="0"/>
                      <a:ext cx="5266690" cy="7320280"/>
                    </a:xfrm>
                    <a:prstGeom prst="rect">
                      <a:avLst/>
                    </a:prstGeom>
                    <a:noFill/>
                    <a:ln>
                      <a:noFill/>
                    </a:ln>
                  </pic:spPr>
                </pic:pic>
              </a:graphicData>
            </a:graphic>
          </wp:inline>
        </w:drawing>
      </w:r>
    </w:p>
    <w:p w14:paraId="4AC9A574">
      <w:pPr>
        <w:pStyle w:val="2"/>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9B66DE1">
      <w:pPr>
        <w:pStyle w:val="2"/>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drawing>
          <wp:inline distT="0" distB="0" distL="114300" distR="114300">
            <wp:extent cx="6948170" cy="5187950"/>
            <wp:effectExtent l="0" t="0" r="508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6948170" cy="5187950"/>
                    </a:xfrm>
                    <a:prstGeom prst="rect">
                      <a:avLst/>
                    </a:prstGeom>
                    <a:noFill/>
                    <a:ln>
                      <a:noFill/>
                    </a:ln>
                  </pic:spPr>
                </pic:pic>
              </a:graphicData>
            </a:graphic>
          </wp:inline>
        </w:drawing>
      </w:r>
      <w:r>
        <w:rPr>
          <w:rFonts w:hint="eastAsia" w:eastAsia="宋体"/>
          <w:lang w:eastAsia="zh-CN"/>
        </w:rPr>
        <w:drawing>
          <wp:inline distT="0" distB="0" distL="114300" distR="114300">
            <wp:extent cx="8850630" cy="4018280"/>
            <wp:effectExtent l="0" t="0" r="7620" b="1270"/>
            <wp:docPr id="2" name="图片 3" descr="d296709324a41f2ee066ed34aa61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296709324a41f2ee066ed34aa616ba"/>
                    <pic:cNvPicPr>
                      <a:picLocks noChangeAspect="1"/>
                    </pic:cNvPicPr>
                  </pic:nvPicPr>
                  <pic:blipFill>
                    <a:blip r:embed="rId17"/>
                    <a:stretch>
                      <a:fillRect/>
                    </a:stretch>
                  </pic:blipFill>
                  <pic:spPr>
                    <a:xfrm>
                      <a:off x="0" y="0"/>
                      <a:ext cx="8850630" cy="4018280"/>
                    </a:xfrm>
                    <a:prstGeom prst="rect">
                      <a:avLst/>
                    </a:prstGeom>
                    <a:noFill/>
                    <a:ln>
                      <a:noFill/>
                    </a:ln>
                  </pic:spPr>
                </pic:pic>
              </a:graphicData>
            </a:graphic>
          </wp:inline>
        </w:drawing>
      </w:r>
      <w:r>
        <w:rPr>
          <w:rFonts w:hint="eastAsia" w:eastAsia="宋体"/>
          <w:lang w:eastAsia="zh-CN"/>
        </w:rPr>
        <w:drawing>
          <wp:inline distT="0" distB="0" distL="114300" distR="114300">
            <wp:extent cx="8855710" cy="3914775"/>
            <wp:effectExtent l="0" t="0" r="2540" b="9525"/>
            <wp:docPr id="8" name="图片 4" descr="9f0ee4311830af315cd3810b5c9b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9f0ee4311830af315cd3810b5c9bd57"/>
                    <pic:cNvPicPr>
                      <a:picLocks noChangeAspect="1"/>
                    </pic:cNvPicPr>
                  </pic:nvPicPr>
                  <pic:blipFill>
                    <a:blip r:embed="rId18"/>
                    <a:stretch>
                      <a:fillRect/>
                    </a:stretch>
                  </pic:blipFill>
                  <pic:spPr>
                    <a:xfrm>
                      <a:off x="0" y="0"/>
                      <a:ext cx="8855710" cy="3914775"/>
                    </a:xfrm>
                    <a:prstGeom prst="rect">
                      <a:avLst/>
                    </a:prstGeom>
                    <a:noFill/>
                    <a:ln>
                      <a:noFill/>
                    </a:ln>
                  </pic:spPr>
                </pic:pic>
              </a:graphicData>
            </a:graphic>
          </wp:inline>
        </w:drawing>
      </w:r>
    </w:p>
    <w:p w14:paraId="306B6E14">
      <w:pPr>
        <w:bidi w:val="0"/>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lang w:eastAsia="zh-CN"/>
        </w:rPr>
        <w:drawing>
          <wp:inline distT="0" distB="0" distL="114300" distR="114300">
            <wp:extent cx="5269230" cy="7453630"/>
            <wp:effectExtent l="0" t="0" r="7620" b="13970"/>
            <wp:docPr id="10" name="图片 5" descr="537c4c21ab4082135323dbb6c141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537c4c21ab4082135323dbb6c141bbc"/>
                    <pic:cNvPicPr>
                      <a:picLocks noChangeAspect="1"/>
                    </pic:cNvPicPr>
                  </pic:nvPicPr>
                  <pic:blipFill>
                    <a:blip r:embed="rId19"/>
                    <a:stretch>
                      <a:fillRect/>
                    </a:stretch>
                  </pic:blipFill>
                  <pic:spPr>
                    <a:xfrm>
                      <a:off x="0" y="0"/>
                      <a:ext cx="5269230" cy="7453630"/>
                    </a:xfrm>
                    <a:prstGeom prst="rect">
                      <a:avLst/>
                    </a:prstGeom>
                    <a:noFill/>
                    <a:ln>
                      <a:noFill/>
                    </a:ln>
                  </pic:spPr>
                </pic:pic>
              </a:graphicData>
            </a:graphic>
          </wp:inline>
        </w:drawing>
      </w:r>
    </w:p>
    <w:p w14:paraId="68A58124">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lang w:eastAsia="zh-CN"/>
        </w:rPr>
        <w:drawing>
          <wp:inline distT="0" distB="0" distL="114300" distR="114300">
            <wp:extent cx="5269865" cy="7444105"/>
            <wp:effectExtent l="0" t="0" r="6985" b="4445"/>
            <wp:docPr id="1" name="图片 6" descr="b0c4139b6105f2f7e60fe42dffb5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b0c4139b6105f2f7e60fe42dffb573e"/>
                    <pic:cNvPicPr>
                      <a:picLocks noChangeAspect="1"/>
                    </pic:cNvPicPr>
                  </pic:nvPicPr>
                  <pic:blipFill>
                    <a:blip r:embed="rId20"/>
                    <a:stretch>
                      <a:fillRect/>
                    </a:stretch>
                  </pic:blipFill>
                  <pic:spPr>
                    <a:xfrm>
                      <a:off x="0" y="0"/>
                      <a:ext cx="5269865" cy="7444105"/>
                    </a:xfrm>
                    <a:prstGeom prst="rect">
                      <a:avLst/>
                    </a:prstGeom>
                    <a:noFill/>
                    <a:ln>
                      <a:noFill/>
                    </a:ln>
                  </pic:spPr>
                </pic:pic>
              </a:graphicData>
            </a:graphic>
          </wp:inline>
        </w:drawing>
      </w:r>
      <w:r>
        <w:rPr>
          <w:rFonts w:hint="eastAsia"/>
          <w:lang w:eastAsia="zh-CN"/>
        </w:rPr>
        <w:drawing>
          <wp:inline distT="0" distB="0" distL="114300" distR="114300">
            <wp:extent cx="5271135" cy="7468235"/>
            <wp:effectExtent l="0" t="0" r="5715" b="18415"/>
            <wp:docPr id="3" name="图片 7" descr="a2f3ed35e45104f76099b02694d7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a2f3ed35e45104f76099b02694d786e"/>
                    <pic:cNvPicPr>
                      <a:picLocks noChangeAspect="1"/>
                    </pic:cNvPicPr>
                  </pic:nvPicPr>
                  <pic:blipFill>
                    <a:blip r:embed="rId21"/>
                    <a:stretch>
                      <a:fillRect/>
                    </a:stretch>
                  </pic:blipFill>
                  <pic:spPr>
                    <a:xfrm>
                      <a:off x="0" y="0"/>
                      <a:ext cx="5271135" cy="7468235"/>
                    </a:xfrm>
                    <a:prstGeom prst="rect">
                      <a:avLst/>
                    </a:prstGeom>
                    <a:noFill/>
                    <a:ln>
                      <a:noFill/>
                    </a:ln>
                  </pic:spPr>
                </pic:pic>
              </a:graphicData>
            </a:graphic>
          </wp:inline>
        </w:drawing>
      </w:r>
    </w:p>
    <w:p w14:paraId="75A62C7F">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color w:val="auto"/>
          <w:sz w:val="36"/>
          <w:szCs w:val="36"/>
          <w:u w:val="none" w:color="auto"/>
        </w:rPr>
      </w:pPr>
      <w:r>
        <w:rPr>
          <w:rFonts w:hint="default" w:ascii="Times New Roman" w:hAnsi="Times New Roman" w:cs="Times New Roman"/>
          <w:color w:val="auto"/>
          <w:sz w:val="36"/>
          <w:szCs w:val="36"/>
          <w:u w:val="none" w:color="auto"/>
        </w:rPr>
        <w:t>目   录</w:t>
      </w:r>
    </w:p>
    <w:p w14:paraId="216793D9">
      <w:pPr>
        <w:pStyle w:val="13"/>
        <w:tabs>
          <w:tab w:val="right" w:leader="dot" w:pos="8306"/>
        </w:tabs>
      </w:pPr>
      <w:r>
        <w:rPr>
          <w:rFonts w:hint="default" w:ascii="Times New Roman" w:hAnsi="Times New Roman" w:cs="Times New Roman"/>
          <w:color w:val="auto"/>
          <w:sz w:val="24"/>
          <w:szCs w:val="24"/>
          <w:u w:val="none" w:color="auto"/>
        </w:rPr>
        <w:fldChar w:fldCharType="begin"/>
      </w:r>
      <w:r>
        <w:rPr>
          <w:rFonts w:hint="default" w:ascii="Times New Roman" w:hAnsi="Times New Roman" w:cs="Times New Roman"/>
          <w:color w:val="auto"/>
          <w:sz w:val="24"/>
          <w:szCs w:val="24"/>
          <w:u w:val="none" w:color="auto"/>
        </w:rPr>
        <w:instrText xml:space="preserve">TOC \o "1-3" \h \u </w:instrText>
      </w:r>
      <w:r>
        <w:rPr>
          <w:rFonts w:hint="default" w:ascii="Times New Roman" w:hAnsi="Times New Roman" w:cs="Times New Roman"/>
          <w:color w:val="auto"/>
          <w:sz w:val="24"/>
          <w:szCs w:val="24"/>
          <w:u w:val="none" w:color="auto"/>
        </w:rPr>
        <w:fldChar w:fldCharType="separate"/>
      </w:r>
      <w:bookmarkStart w:id="1696" w:name="_GoBack"/>
      <w:bookmarkEnd w:id="1696"/>
    </w:p>
    <w:p w14:paraId="2836160D">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_Toc30876 </w:instrText>
      </w:r>
      <w:r>
        <w:rPr>
          <w:rFonts w:hint="default" w:ascii="Times New Roman" w:hAnsi="Times New Roman" w:cs="Times New Roman"/>
          <w:szCs w:val="24"/>
        </w:rPr>
        <w:fldChar w:fldCharType="separate"/>
      </w:r>
      <w:r>
        <w:rPr>
          <w:rFonts w:hint="default"/>
        </w:rPr>
        <w:t>1、概述</w:t>
      </w:r>
      <w:r>
        <w:tab/>
      </w:r>
      <w:r>
        <w:fldChar w:fldCharType="begin"/>
      </w:r>
      <w:r>
        <w:instrText xml:space="preserve"> PAGEREF _Toc30876 \h </w:instrText>
      </w:r>
      <w:r>
        <w:fldChar w:fldCharType="separate"/>
      </w:r>
      <w:r>
        <w:t>1</w:t>
      </w:r>
      <w:r>
        <w:fldChar w:fldCharType="end"/>
      </w:r>
      <w:r>
        <w:rPr>
          <w:rFonts w:hint="default" w:ascii="Times New Roman" w:hAnsi="Times New Roman" w:cs="Times New Roman"/>
          <w:color w:val="auto"/>
          <w:szCs w:val="24"/>
          <w:u w:val="none" w:color="auto"/>
        </w:rPr>
        <w:fldChar w:fldCharType="end"/>
      </w:r>
    </w:p>
    <w:p w14:paraId="23407F9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_Toc17033 </w:instrText>
      </w:r>
      <w:r>
        <w:rPr>
          <w:rFonts w:hint="default" w:ascii="Times New Roman" w:hAnsi="Times New Roman" w:cs="Times New Roman"/>
          <w:szCs w:val="24"/>
        </w:rPr>
        <w:fldChar w:fldCharType="separate"/>
      </w:r>
      <w:r>
        <w:rPr>
          <w:rFonts w:hint="default" w:ascii="Times New Roman" w:hAnsi="Times New Roman" w:cs="Times New Roman"/>
          <w:szCs w:val="28"/>
        </w:rPr>
        <w:t>1.1项目由来</w:t>
      </w:r>
      <w:r>
        <w:tab/>
      </w:r>
      <w:r>
        <w:fldChar w:fldCharType="begin"/>
      </w:r>
      <w:r>
        <w:instrText xml:space="preserve"> PAGEREF _Toc17033 \h </w:instrText>
      </w:r>
      <w:r>
        <w:fldChar w:fldCharType="separate"/>
      </w:r>
      <w:r>
        <w:t>1</w:t>
      </w:r>
      <w:r>
        <w:fldChar w:fldCharType="end"/>
      </w:r>
      <w:r>
        <w:rPr>
          <w:rFonts w:hint="default" w:ascii="Times New Roman" w:hAnsi="Times New Roman" w:cs="Times New Roman"/>
          <w:color w:val="auto"/>
          <w:szCs w:val="24"/>
          <w:u w:val="none" w:color="auto"/>
        </w:rPr>
        <w:fldChar w:fldCharType="end"/>
      </w:r>
    </w:p>
    <w:p w14:paraId="4BB7FC7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_Toc18929 </w:instrText>
      </w:r>
      <w:r>
        <w:rPr>
          <w:rFonts w:hint="default" w:ascii="Times New Roman" w:hAnsi="Times New Roman" w:cs="Times New Roman"/>
          <w:szCs w:val="24"/>
        </w:rPr>
        <w:fldChar w:fldCharType="separate"/>
      </w:r>
      <w:r>
        <w:rPr>
          <w:rFonts w:hint="default" w:ascii="Times New Roman" w:hAnsi="Times New Roman" w:cs="Times New Roman"/>
          <w:szCs w:val="28"/>
        </w:rPr>
        <w:t>1.</w:t>
      </w:r>
      <w:r>
        <w:rPr>
          <w:rFonts w:hint="eastAsia" w:ascii="Times New Roman" w:hAnsi="Times New Roman" w:cs="Times New Roman"/>
          <w:szCs w:val="28"/>
          <w:lang w:val="en-US" w:eastAsia="zh-CN"/>
        </w:rPr>
        <w:t>2</w:t>
      </w:r>
      <w:r>
        <w:rPr>
          <w:rFonts w:hint="default" w:ascii="Times New Roman" w:hAnsi="Times New Roman" w:cs="Times New Roman"/>
          <w:szCs w:val="28"/>
        </w:rPr>
        <w:t>环境影响评价的工作过程</w:t>
      </w:r>
      <w:r>
        <w:tab/>
      </w:r>
      <w:r>
        <w:fldChar w:fldCharType="begin"/>
      </w:r>
      <w:r>
        <w:instrText xml:space="preserve"> PAGEREF _Toc18929 \h </w:instrText>
      </w:r>
      <w:r>
        <w:fldChar w:fldCharType="separate"/>
      </w:r>
      <w:r>
        <w:t>2</w:t>
      </w:r>
      <w:r>
        <w:fldChar w:fldCharType="end"/>
      </w:r>
      <w:r>
        <w:rPr>
          <w:rFonts w:hint="default" w:ascii="Times New Roman" w:hAnsi="Times New Roman" w:cs="Times New Roman"/>
          <w:color w:val="auto"/>
          <w:szCs w:val="24"/>
          <w:u w:val="none" w:color="auto"/>
        </w:rPr>
        <w:fldChar w:fldCharType="end"/>
      </w:r>
    </w:p>
    <w:p w14:paraId="409EBCC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_Toc4061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ascii="Times New Roman" w:hAnsi="Times New Roman" w:cs="Times New Roman"/>
          <w:lang w:val="en-US" w:eastAsia="zh-CN"/>
        </w:rPr>
        <w:t>3</w:t>
      </w:r>
      <w:r>
        <w:rPr>
          <w:rFonts w:hint="default" w:ascii="Times New Roman" w:hAnsi="Times New Roman" w:cs="Times New Roman"/>
        </w:rPr>
        <w:t>分析判定相关环保政策</w:t>
      </w:r>
      <w:r>
        <w:tab/>
      </w:r>
      <w:r>
        <w:fldChar w:fldCharType="begin"/>
      </w:r>
      <w:r>
        <w:instrText xml:space="preserve"> PAGEREF _Toc4061 \h </w:instrText>
      </w:r>
      <w:r>
        <w:fldChar w:fldCharType="separate"/>
      </w:r>
      <w:r>
        <w:t>3</w:t>
      </w:r>
      <w:r>
        <w:fldChar w:fldCharType="end"/>
      </w:r>
      <w:r>
        <w:rPr>
          <w:rFonts w:hint="default" w:ascii="Times New Roman" w:hAnsi="Times New Roman" w:cs="Times New Roman"/>
          <w:color w:val="auto"/>
          <w:szCs w:val="24"/>
          <w:u w:val="none" w:color="auto"/>
        </w:rPr>
        <w:fldChar w:fldCharType="end"/>
      </w:r>
    </w:p>
    <w:p w14:paraId="44EA8DE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_Toc18080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.1产业政策相符性分析</w:t>
      </w:r>
      <w:r>
        <w:tab/>
      </w:r>
      <w:r>
        <w:fldChar w:fldCharType="begin"/>
      </w:r>
      <w:r>
        <w:instrText xml:space="preserve"> PAGEREF _Toc18080 \h </w:instrText>
      </w:r>
      <w:r>
        <w:fldChar w:fldCharType="separate"/>
      </w:r>
      <w:r>
        <w:t>3</w:t>
      </w:r>
      <w:r>
        <w:fldChar w:fldCharType="end"/>
      </w:r>
      <w:r>
        <w:rPr>
          <w:rFonts w:hint="default" w:ascii="Times New Roman" w:hAnsi="Times New Roman" w:cs="Times New Roman"/>
          <w:color w:val="auto"/>
          <w:szCs w:val="24"/>
          <w:u w:val="none" w:color="auto"/>
        </w:rPr>
        <w:fldChar w:fldCharType="end"/>
      </w:r>
    </w:p>
    <w:p w14:paraId="3F5E82D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_Toc29166 </w:instrText>
      </w:r>
      <w:r>
        <w:rPr>
          <w:rFonts w:hint="default" w:ascii="Times New Roman" w:hAnsi="Times New Roman" w:cs="Times New Roman"/>
          <w:szCs w:val="24"/>
        </w:rPr>
        <w:fldChar w:fldCharType="separate"/>
      </w:r>
      <w:r>
        <w:t>1.</w:t>
      </w:r>
      <w:r>
        <w:rPr>
          <w:rFonts w:hint="eastAsia"/>
        </w:rPr>
        <w:t>3</w:t>
      </w:r>
      <w:r>
        <w:t>.</w:t>
      </w:r>
      <w:r>
        <w:rPr>
          <w:rFonts w:hint="eastAsia"/>
        </w:rPr>
        <w:t>2相关</w:t>
      </w:r>
      <w:r>
        <w:t>政策相符性分析</w:t>
      </w:r>
      <w:r>
        <w:tab/>
      </w:r>
      <w:r>
        <w:fldChar w:fldCharType="begin"/>
      </w:r>
      <w:r>
        <w:instrText xml:space="preserve"> PAGEREF _Toc29166 \h </w:instrText>
      </w:r>
      <w:r>
        <w:fldChar w:fldCharType="separate"/>
      </w:r>
      <w:r>
        <w:t>4</w:t>
      </w:r>
      <w:r>
        <w:fldChar w:fldCharType="end"/>
      </w:r>
      <w:r>
        <w:rPr>
          <w:rFonts w:hint="default" w:ascii="Times New Roman" w:hAnsi="Times New Roman" w:cs="Times New Roman"/>
          <w:color w:val="auto"/>
          <w:szCs w:val="24"/>
          <w:u w:val="none" w:color="auto"/>
        </w:rPr>
        <w:fldChar w:fldCharType="end"/>
      </w:r>
    </w:p>
    <w:p w14:paraId="404D0AF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_Toc1458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与</w:t>
      </w:r>
      <w:r>
        <w:rPr>
          <w:rFonts w:hint="eastAsia" w:ascii="Times New Roman" w:hAnsi="Times New Roman" w:cs="Times New Roman"/>
          <w:lang w:val="en-US" w:eastAsia="zh-CN"/>
        </w:rPr>
        <w:t>园区</w:t>
      </w:r>
      <w:r>
        <w:rPr>
          <w:rFonts w:hint="default" w:ascii="Times New Roman" w:hAnsi="Times New Roman" w:cs="Times New Roman"/>
        </w:rPr>
        <w:t>规划及规划环境影响评价符合性分析</w:t>
      </w:r>
      <w:r>
        <w:tab/>
      </w:r>
      <w:r>
        <w:fldChar w:fldCharType="begin"/>
      </w:r>
      <w:r>
        <w:instrText xml:space="preserve"> PAGEREF _Toc1458 \h </w:instrText>
      </w:r>
      <w:r>
        <w:fldChar w:fldCharType="separate"/>
      </w:r>
      <w:r>
        <w:t>8</w:t>
      </w:r>
      <w:r>
        <w:fldChar w:fldCharType="end"/>
      </w:r>
      <w:r>
        <w:rPr>
          <w:rFonts w:hint="default" w:ascii="Times New Roman" w:hAnsi="Times New Roman" w:cs="Times New Roman"/>
          <w:color w:val="auto"/>
          <w:szCs w:val="24"/>
          <w:u w:val="none" w:color="auto"/>
        </w:rPr>
        <w:fldChar w:fldCharType="end"/>
      </w:r>
    </w:p>
    <w:p w14:paraId="710D7C6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_Toc15376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4</w:t>
      </w:r>
      <w:r>
        <w:rPr>
          <w:rFonts w:hint="eastAsia"/>
          <w:bCs/>
          <w:lang w:val="en-US" w:eastAsia="zh-CN"/>
        </w:rPr>
        <w:t>与《湖南省长江经济带发展负面清单实施细则（试行，2022版）》相符性分析</w:t>
      </w:r>
      <w:r>
        <w:tab/>
      </w:r>
      <w:r>
        <w:fldChar w:fldCharType="begin"/>
      </w:r>
      <w:r>
        <w:instrText xml:space="preserve"> PAGEREF _Toc15376 \h </w:instrText>
      </w:r>
      <w:r>
        <w:fldChar w:fldCharType="separate"/>
      </w:r>
      <w:r>
        <w:t>11</w:t>
      </w:r>
      <w:r>
        <w:fldChar w:fldCharType="end"/>
      </w:r>
      <w:r>
        <w:rPr>
          <w:rFonts w:hint="default" w:ascii="Times New Roman" w:hAnsi="Times New Roman" w:cs="Times New Roman"/>
          <w:color w:val="auto"/>
          <w:szCs w:val="24"/>
          <w:u w:val="none" w:color="auto"/>
        </w:rPr>
        <w:fldChar w:fldCharType="end"/>
      </w:r>
    </w:p>
    <w:p w14:paraId="3C8FA1E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_Toc27624 </w:instrText>
      </w:r>
      <w:r>
        <w:rPr>
          <w:rFonts w:hint="default" w:ascii="Times New Roman" w:hAnsi="Times New Roman" w:cs="Times New Roman"/>
          <w:szCs w:val="24"/>
        </w:rPr>
        <w:fldChar w:fldCharType="separate"/>
      </w:r>
      <w:r>
        <w:rPr>
          <w:rFonts w:hint="eastAsia"/>
          <w:lang w:val="en-US" w:eastAsia="zh-CN"/>
        </w:rPr>
        <w:t>1.3.5与湖南省生态环境厅《关于公布湖南省生态环境分区管控更新成果（2023版）的公告》中汨罗高新技术产业开发区生态环境准入建议清单相符性分析</w:t>
      </w:r>
      <w:r>
        <w:tab/>
      </w:r>
      <w:r>
        <w:fldChar w:fldCharType="begin"/>
      </w:r>
      <w:r>
        <w:instrText xml:space="preserve"> PAGEREF _Toc27624 \h </w:instrText>
      </w:r>
      <w:r>
        <w:fldChar w:fldCharType="separate"/>
      </w:r>
      <w:r>
        <w:t>14</w:t>
      </w:r>
      <w:r>
        <w:fldChar w:fldCharType="end"/>
      </w:r>
      <w:r>
        <w:rPr>
          <w:rFonts w:hint="default" w:ascii="Times New Roman" w:hAnsi="Times New Roman" w:cs="Times New Roman"/>
          <w:color w:val="auto"/>
          <w:szCs w:val="24"/>
          <w:u w:val="none" w:color="auto"/>
        </w:rPr>
        <w:fldChar w:fldCharType="end"/>
      </w:r>
    </w:p>
    <w:p w14:paraId="0A54C95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_Toc11187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6</w:t>
      </w:r>
      <w:r>
        <w:rPr>
          <w:rFonts w:hint="default" w:ascii="Times New Roman" w:hAnsi="Times New Roman" w:cs="Times New Roman"/>
        </w:rPr>
        <w:t>环境功能区划适应性分析</w:t>
      </w:r>
      <w:r>
        <w:tab/>
      </w:r>
      <w:r>
        <w:fldChar w:fldCharType="begin"/>
      </w:r>
      <w:r>
        <w:instrText xml:space="preserve"> PAGEREF _Toc11187 \h </w:instrText>
      </w:r>
      <w:r>
        <w:fldChar w:fldCharType="separate"/>
      </w:r>
      <w:r>
        <w:t>17</w:t>
      </w:r>
      <w:r>
        <w:fldChar w:fldCharType="end"/>
      </w:r>
      <w:r>
        <w:rPr>
          <w:rFonts w:hint="default" w:ascii="Times New Roman" w:hAnsi="Times New Roman" w:cs="Times New Roman"/>
          <w:color w:val="auto"/>
          <w:szCs w:val="24"/>
          <w:u w:val="none" w:color="auto"/>
        </w:rPr>
        <w:fldChar w:fldCharType="end"/>
      </w:r>
    </w:p>
    <w:p w14:paraId="19B23B8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_Toc26058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7</w:t>
      </w:r>
      <w:r>
        <w:rPr>
          <w:rFonts w:hint="default" w:ascii="Times New Roman" w:hAnsi="Times New Roman" w:cs="Times New Roman"/>
        </w:rPr>
        <w:t>项目选址合理性分析</w:t>
      </w:r>
      <w:r>
        <w:tab/>
      </w:r>
      <w:r>
        <w:fldChar w:fldCharType="begin"/>
      </w:r>
      <w:r>
        <w:instrText xml:space="preserve"> PAGEREF _Toc26058 \h </w:instrText>
      </w:r>
      <w:r>
        <w:fldChar w:fldCharType="separate"/>
      </w:r>
      <w:r>
        <w:t>18</w:t>
      </w:r>
      <w:r>
        <w:fldChar w:fldCharType="end"/>
      </w:r>
      <w:r>
        <w:rPr>
          <w:rFonts w:hint="default" w:ascii="Times New Roman" w:hAnsi="Times New Roman" w:cs="Times New Roman"/>
          <w:color w:val="auto"/>
          <w:szCs w:val="24"/>
          <w:u w:val="none" w:color="auto"/>
        </w:rPr>
        <w:fldChar w:fldCharType="end"/>
      </w:r>
    </w:p>
    <w:p w14:paraId="7797D2D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_Toc21714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8</w:t>
      </w:r>
      <w:r>
        <w:rPr>
          <w:rFonts w:hint="default" w:ascii="Times New Roman" w:hAnsi="Times New Roman" w:cs="Times New Roman"/>
        </w:rPr>
        <w:t>平面布局合理性分析</w:t>
      </w:r>
      <w:r>
        <w:tab/>
      </w:r>
      <w:r>
        <w:fldChar w:fldCharType="begin"/>
      </w:r>
      <w:r>
        <w:instrText xml:space="preserve"> PAGEREF _Toc21714 \h </w:instrText>
      </w:r>
      <w:r>
        <w:fldChar w:fldCharType="separate"/>
      </w:r>
      <w:r>
        <w:t>19</w:t>
      </w:r>
      <w:r>
        <w:fldChar w:fldCharType="end"/>
      </w:r>
      <w:r>
        <w:rPr>
          <w:rFonts w:hint="default" w:ascii="Times New Roman" w:hAnsi="Times New Roman" w:cs="Times New Roman"/>
          <w:color w:val="auto"/>
          <w:szCs w:val="24"/>
          <w:u w:val="none" w:color="auto"/>
        </w:rPr>
        <w:fldChar w:fldCharType="end"/>
      </w:r>
    </w:p>
    <w:p w14:paraId="03C92CF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_Toc21189 </w:instrText>
      </w:r>
      <w:r>
        <w:rPr>
          <w:rFonts w:hint="default" w:ascii="Times New Roman" w:hAnsi="Times New Roman" w:cs="Times New Roman"/>
          <w:szCs w:val="24"/>
        </w:rPr>
        <w:fldChar w:fldCharType="separate"/>
      </w:r>
      <w:r>
        <w:rPr>
          <w:rFonts w:hint="default"/>
        </w:rPr>
        <w:t>1.</w:t>
      </w:r>
      <w:r>
        <w:rPr>
          <w:rFonts w:hint="eastAsia"/>
          <w:lang w:val="en-US" w:eastAsia="zh-CN"/>
        </w:rPr>
        <w:t>4</w:t>
      </w:r>
      <w:r>
        <w:rPr>
          <w:rFonts w:hint="default"/>
        </w:rPr>
        <w:t>项目特点</w:t>
      </w:r>
      <w:r>
        <w:tab/>
      </w:r>
      <w:r>
        <w:fldChar w:fldCharType="begin"/>
      </w:r>
      <w:r>
        <w:instrText xml:space="preserve"> PAGEREF _Toc21189 \h </w:instrText>
      </w:r>
      <w:r>
        <w:fldChar w:fldCharType="separate"/>
      </w:r>
      <w:r>
        <w:t>20</w:t>
      </w:r>
      <w:r>
        <w:fldChar w:fldCharType="end"/>
      </w:r>
      <w:r>
        <w:rPr>
          <w:rFonts w:hint="default" w:ascii="Times New Roman" w:hAnsi="Times New Roman" w:cs="Times New Roman"/>
          <w:color w:val="auto"/>
          <w:szCs w:val="24"/>
          <w:u w:val="none" w:color="auto"/>
        </w:rPr>
        <w:fldChar w:fldCharType="end"/>
      </w:r>
    </w:p>
    <w:p w14:paraId="51EC441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_Toc20216 </w:instrText>
      </w:r>
      <w:r>
        <w:rPr>
          <w:rFonts w:hint="default" w:ascii="Times New Roman" w:hAnsi="Times New Roman" w:cs="Times New Roman"/>
          <w:szCs w:val="24"/>
        </w:rPr>
        <w:fldChar w:fldCharType="separate"/>
      </w:r>
      <w:r>
        <w:rPr>
          <w:rFonts w:hint="default"/>
        </w:rPr>
        <w:t>1.</w:t>
      </w:r>
      <w:r>
        <w:rPr>
          <w:rFonts w:hint="eastAsia"/>
          <w:lang w:val="en-US" w:eastAsia="zh-CN"/>
        </w:rPr>
        <w:t>5</w:t>
      </w:r>
      <w:r>
        <w:rPr>
          <w:rFonts w:hint="default"/>
        </w:rPr>
        <w:t>主要环境问题及环境影响</w:t>
      </w:r>
      <w:r>
        <w:tab/>
      </w:r>
      <w:r>
        <w:fldChar w:fldCharType="begin"/>
      </w:r>
      <w:r>
        <w:instrText xml:space="preserve"> PAGEREF _Toc20216 \h </w:instrText>
      </w:r>
      <w:r>
        <w:fldChar w:fldCharType="separate"/>
      </w:r>
      <w:r>
        <w:t>20</w:t>
      </w:r>
      <w:r>
        <w:fldChar w:fldCharType="end"/>
      </w:r>
      <w:r>
        <w:rPr>
          <w:rFonts w:hint="default" w:ascii="Times New Roman" w:hAnsi="Times New Roman" w:cs="Times New Roman"/>
          <w:color w:val="auto"/>
          <w:szCs w:val="24"/>
          <w:u w:val="none" w:color="auto"/>
        </w:rPr>
        <w:fldChar w:fldCharType="end"/>
      </w:r>
    </w:p>
    <w:p w14:paraId="012FB6C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_Toc12971 </w:instrText>
      </w:r>
      <w:r>
        <w:rPr>
          <w:rFonts w:hint="default" w:ascii="Times New Roman" w:hAnsi="Times New Roman" w:cs="Times New Roman"/>
          <w:szCs w:val="24"/>
        </w:rPr>
        <w:fldChar w:fldCharType="separate"/>
      </w:r>
      <w:r>
        <w:rPr>
          <w:rFonts w:hint="default"/>
        </w:rPr>
        <w:t>1.</w:t>
      </w:r>
      <w:r>
        <w:rPr>
          <w:rFonts w:hint="eastAsia"/>
          <w:lang w:val="en-US" w:eastAsia="zh-CN"/>
        </w:rPr>
        <w:t>6</w:t>
      </w:r>
      <w:r>
        <w:rPr>
          <w:rFonts w:hint="default"/>
        </w:rPr>
        <w:t>环境影响评价主要结论</w:t>
      </w:r>
      <w:r>
        <w:tab/>
      </w:r>
      <w:r>
        <w:fldChar w:fldCharType="begin"/>
      </w:r>
      <w:r>
        <w:instrText xml:space="preserve"> PAGEREF _Toc12971 \h </w:instrText>
      </w:r>
      <w:r>
        <w:fldChar w:fldCharType="separate"/>
      </w:r>
      <w:r>
        <w:t>20</w:t>
      </w:r>
      <w:r>
        <w:fldChar w:fldCharType="end"/>
      </w:r>
      <w:r>
        <w:rPr>
          <w:rFonts w:hint="default" w:ascii="Times New Roman" w:hAnsi="Times New Roman" w:cs="Times New Roman"/>
          <w:color w:val="auto"/>
          <w:szCs w:val="24"/>
          <w:u w:val="none" w:color="auto"/>
        </w:rPr>
        <w:fldChar w:fldCharType="end"/>
      </w:r>
    </w:p>
    <w:p w14:paraId="651001A4">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_Toc3931 </w:instrText>
      </w:r>
      <w:r>
        <w:rPr>
          <w:rFonts w:hint="default" w:ascii="Times New Roman" w:hAnsi="Times New Roman" w:cs="Times New Roman"/>
          <w:szCs w:val="24"/>
        </w:rPr>
        <w:fldChar w:fldCharType="separate"/>
      </w:r>
      <w:r>
        <w:rPr>
          <w:rFonts w:hint="default" w:ascii="Times New Roman" w:hAnsi="Times New Roman" w:eastAsia="宋体" w:cs="Times New Roman"/>
        </w:rPr>
        <w:t>2、总则</w:t>
      </w:r>
      <w:r>
        <w:tab/>
      </w:r>
      <w:r>
        <w:fldChar w:fldCharType="begin"/>
      </w:r>
      <w:r>
        <w:instrText xml:space="preserve"> PAGEREF _Toc3931 \h </w:instrText>
      </w:r>
      <w:r>
        <w:fldChar w:fldCharType="separate"/>
      </w:r>
      <w:r>
        <w:t>21</w:t>
      </w:r>
      <w:r>
        <w:fldChar w:fldCharType="end"/>
      </w:r>
      <w:r>
        <w:rPr>
          <w:rFonts w:hint="default" w:ascii="Times New Roman" w:hAnsi="Times New Roman" w:cs="Times New Roman"/>
          <w:color w:val="auto"/>
          <w:szCs w:val="24"/>
          <w:u w:val="none" w:color="auto"/>
        </w:rPr>
        <w:fldChar w:fldCharType="end"/>
      </w:r>
    </w:p>
    <w:p w14:paraId="54C0FCA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_Toc28635 </w:instrText>
      </w:r>
      <w:r>
        <w:rPr>
          <w:rFonts w:hint="default" w:ascii="Times New Roman" w:hAnsi="Times New Roman" w:cs="Times New Roman"/>
          <w:szCs w:val="24"/>
        </w:rPr>
        <w:fldChar w:fldCharType="separate"/>
      </w:r>
      <w:r>
        <w:rPr>
          <w:rFonts w:hint="default"/>
        </w:rPr>
        <w:t>2.1编制依据</w:t>
      </w:r>
      <w:r>
        <w:tab/>
      </w:r>
      <w:r>
        <w:fldChar w:fldCharType="begin"/>
      </w:r>
      <w:r>
        <w:instrText xml:space="preserve"> PAGEREF _Toc28635 \h </w:instrText>
      </w:r>
      <w:r>
        <w:fldChar w:fldCharType="separate"/>
      </w:r>
      <w:r>
        <w:t>21</w:t>
      </w:r>
      <w:r>
        <w:fldChar w:fldCharType="end"/>
      </w:r>
      <w:r>
        <w:rPr>
          <w:rFonts w:hint="default" w:ascii="Times New Roman" w:hAnsi="Times New Roman" w:cs="Times New Roman"/>
          <w:color w:val="auto"/>
          <w:szCs w:val="24"/>
          <w:u w:val="none" w:color="auto"/>
        </w:rPr>
        <w:fldChar w:fldCharType="end"/>
      </w:r>
    </w:p>
    <w:p w14:paraId="7D8A226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_Toc220 </w:instrText>
      </w:r>
      <w:r>
        <w:rPr>
          <w:rFonts w:hint="default" w:ascii="Times New Roman" w:hAnsi="Times New Roman" w:cs="Times New Roman"/>
          <w:szCs w:val="24"/>
        </w:rPr>
        <w:fldChar w:fldCharType="separate"/>
      </w:r>
      <w:r>
        <w:rPr>
          <w:rFonts w:hint="default" w:ascii="Times New Roman" w:hAnsi="Times New Roman" w:cs="Times New Roman"/>
        </w:rPr>
        <w:t>2.1.1国家法律、法规和政策</w:t>
      </w:r>
      <w:r>
        <w:tab/>
      </w:r>
      <w:r>
        <w:fldChar w:fldCharType="begin"/>
      </w:r>
      <w:r>
        <w:instrText xml:space="preserve"> PAGEREF _Toc220 \h </w:instrText>
      </w:r>
      <w:r>
        <w:fldChar w:fldCharType="separate"/>
      </w:r>
      <w:r>
        <w:t>21</w:t>
      </w:r>
      <w:r>
        <w:fldChar w:fldCharType="end"/>
      </w:r>
      <w:r>
        <w:rPr>
          <w:rFonts w:hint="default" w:ascii="Times New Roman" w:hAnsi="Times New Roman" w:cs="Times New Roman"/>
          <w:color w:val="auto"/>
          <w:szCs w:val="24"/>
          <w:u w:val="none" w:color="auto"/>
        </w:rPr>
        <w:fldChar w:fldCharType="end"/>
      </w:r>
    </w:p>
    <w:p w14:paraId="030A5A4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_Toc13257 </w:instrText>
      </w:r>
      <w:r>
        <w:rPr>
          <w:rFonts w:hint="default" w:ascii="Times New Roman" w:hAnsi="Times New Roman" w:cs="Times New Roman"/>
          <w:szCs w:val="24"/>
        </w:rPr>
        <w:fldChar w:fldCharType="separate"/>
      </w:r>
      <w:r>
        <w:rPr>
          <w:rFonts w:hint="default" w:ascii="Times New Roman" w:hAnsi="Times New Roman" w:cs="Times New Roman"/>
        </w:rPr>
        <w:t>2.1.2地方法规、规划</w:t>
      </w:r>
      <w:r>
        <w:tab/>
      </w:r>
      <w:r>
        <w:fldChar w:fldCharType="begin"/>
      </w:r>
      <w:r>
        <w:instrText xml:space="preserve"> PAGEREF _Toc13257 \h </w:instrText>
      </w:r>
      <w:r>
        <w:fldChar w:fldCharType="separate"/>
      </w:r>
      <w:r>
        <w:t>22</w:t>
      </w:r>
      <w:r>
        <w:fldChar w:fldCharType="end"/>
      </w:r>
      <w:r>
        <w:rPr>
          <w:rFonts w:hint="default" w:ascii="Times New Roman" w:hAnsi="Times New Roman" w:cs="Times New Roman"/>
          <w:color w:val="auto"/>
          <w:szCs w:val="24"/>
          <w:u w:val="none" w:color="auto"/>
        </w:rPr>
        <w:fldChar w:fldCharType="end"/>
      </w:r>
    </w:p>
    <w:p w14:paraId="5AA049B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_Toc12520 </w:instrText>
      </w:r>
      <w:r>
        <w:rPr>
          <w:rFonts w:hint="default" w:ascii="Times New Roman" w:hAnsi="Times New Roman" w:cs="Times New Roman"/>
          <w:szCs w:val="24"/>
        </w:rPr>
        <w:fldChar w:fldCharType="separate"/>
      </w:r>
      <w:r>
        <w:rPr>
          <w:rFonts w:hint="default" w:ascii="Times New Roman" w:hAnsi="Times New Roman" w:cs="Times New Roman"/>
        </w:rPr>
        <w:t>2.1.3相关的技术规范</w:t>
      </w:r>
      <w:r>
        <w:tab/>
      </w:r>
      <w:r>
        <w:fldChar w:fldCharType="begin"/>
      </w:r>
      <w:r>
        <w:instrText xml:space="preserve"> PAGEREF _Toc12520 \h </w:instrText>
      </w:r>
      <w:r>
        <w:fldChar w:fldCharType="separate"/>
      </w:r>
      <w:r>
        <w:t>23</w:t>
      </w:r>
      <w:r>
        <w:fldChar w:fldCharType="end"/>
      </w:r>
      <w:r>
        <w:rPr>
          <w:rFonts w:hint="default" w:ascii="Times New Roman" w:hAnsi="Times New Roman" w:cs="Times New Roman"/>
          <w:color w:val="auto"/>
          <w:szCs w:val="24"/>
          <w:u w:val="none" w:color="auto"/>
        </w:rPr>
        <w:fldChar w:fldCharType="end"/>
      </w:r>
    </w:p>
    <w:p w14:paraId="3ED5F77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_Toc24779 </w:instrText>
      </w:r>
      <w:r>
        <w:rPr>
          <w:rFonts w:hint="default" w:ascii="Times New Roman" w:hAnsi="Times New Roman" w:cs="Times New Roman"/>
          <w:szCs w:val="24"/>
        </w:rPr>
        <w:fldChar w:fldCharType="separate"/>
      </w:r>
      <w:r>
        <w:rPr>
          <w:rFonts w:hint="default" w:ascii="Times New Roman" w:hAnsi="Times New Roman" w:cs="Times New Roman"/>
        </w:rPr>
        <w:t>2.1.</w:t>
      </w:r>
      <w:r>
        <w:rPr>
          <w:rFonts w:hint="eastAsia" w:cs="Times New Roman"/>
          <w:lang w:val="en-US" w:eastAsia="zh-CN"/>
        </w:rPr>
        <w:t>4</w:t>
      </w:r>
      <w:r>
        <w:rPr>
          <w:rFonts w:hint="default" w:ascii="Times New Roman" w:hAnsi="Times New Roman" w:cs="Times New Roman"/>
        </w:rPr>
        <w:t>其他编制依据及工程资料</w:t>
      </w:r>
      <w:r>
        <w:tab/>
      </w:r>
      <w:r>
        <w:fldChar w:fldCharType="begin"/>
      </w:r>
      <w:r>
        <w:instrText xml:space="preserve"> PAGEREF _Toc24779 \h </w:instrText>
      </w:r>
      <w:r>
        <w:fldChar w:fldCharType="separate"/>
      </w:r>
      <w:r>
        <w:t>23</w:t>
      </w:r>
      <w:r>
        <w:fldChar w:fldCharType="end"/>
      </w:r>
      <w:r>
        <w:rPr>
          <w:rFonts w:hint="default" w:ascii="Times New Roman" w:hAnsi="Times New Roman" w:cs="Times New Roman"/>
          <w:color w:val="auto"/>
          <w:szCs w:val="24"/>
          <w:u w:val="none" w:color="auto"/>
        </w:rPr>
        <w:fldChar w:fldCharType="end"/>
      </w:r>
    </w:p>
    <w:p w14:paraId="13B1CB9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_Toc24723 </w:instrText>
      </w:r>
      <w:r>
        <w:rPr>
          <w:rFonts w:hint="default" w:ascii="Times New Roman" w:hAnsi="Times New Roman" w:cs="Times New Roman"/>
          <w:szCs w:val="24"/>
        </w:rPr>
        <w:fldChar w:fldCharType="separate"/>
      </w:r>
      <w:r>
        <w:rPr>
          <w:rFonts w:hint="default"/>
        </w:rPr>
        <w:t>2.2评价因子</w:t>
      </w:r>
      <w:r>
        <w:tab/>
      </w:r>
      <w:r>
        <w:fldChar w:fldCharType="begin"/>
      </w:r>
      <w:r>
        <w:instrText xml:space="preserve"> PAGEREF _Toc24723 \h </w:instrText>
      </w:r>
      <w:r>
        <w:fldChar w:fldCharType="separate"/>
      </w:r>
      <w:r>
        <w:t>24</w:t>
      </w:r>
      <w:r>
        <w:fldChar w:fldCharType="end"/>
      </w:r>
      <w:r>
        <w:rPr>
          <w:rFonts w:hint="default" w:ascii="Times New Roman" w:hAnsi="Times New Roman" w:cs="Times New Roman"/>
          <w:color w:val="auto"/>
          <w:szCs w:val="24"/>
          <w:u w:val="none" w:color="auto"/>
        </w:rPr>
        <w:fldChar w:fldCharType="end"/>
      </w:r>
    </w:p>
    <w:p w14:paraId="736ED2F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_Toc25430 </w:instrText>
      </w:r>
      <w:r>
        <w:rPr>
          <w:rFonts w:hint="default" w:ascii="Times New Roman" w:hAnsi="Times New Roman" w:cs="Times New Roman"/>
          <w:szCs w:val="24"/>
        </w:rPr>
        <w:fldChar w:fldCharType="separate"/>
      </w:r>
      <w:r>
        <w:rPr>
          <w:rFonts w:hint="default" w:ascii="Times New Roman" w:hAnsi="Times New Roman" w:cs="Times New Roman"/>
        </w:rPr>
        <w:t>2.2.1评价因子</w:t>
      </w:r>
      <w:r>
        <w:tab/>
      </w:r>
      <w:r>
        <w:fldChar w:fldCharType="begin"/>
      </w:r>
      <w:r>
        <w:instrText xml:space="preserve"> PAGEREF _Toc25430 \h </w:instrText>
      </w:r>
      <w:r>
        <w:fldChar w:fldCharType="separate"/>
      </w:r>
      <w:r>
        <w:t>24</w:t>
      </w:r>
      <w:r>
        <w:fldChar w:fldCharType="end"/>
      </w:r>
      <w:r>
        <w:rPr>
          <w:rFonts w:hint="default" w:ascii="Times New Roman" w:hAnsi="Times New Roman" w:cs="Times New Roman"/>
          <w:color w:val="auto"/>
          <w:szCs w:val="24"/>
          <w:u w:val="none" w:color="auto"/>
        </w:rPr>
        <w:fldChar w:fldCharType="end"/>
      </w:r>
    </w:p>
    <w:p w14:paraId="2961F72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_Toc872 </w:instrText>
      </w:r>
      <w:r>
        <w:rPr>
          <w:rFonts w:hint="default" w:ascii="Times New Roman" w:hAnsi="Times New Roman" w:cs="Times New Roman"/>
          <w:szCs w:val="24"/>
        </w:rPr>
        <w:fldChar w:fldCharType="separate"/>
      </w:r>
      <w:r>
        <w:rPr>
          <w:rFonts w:hint="default" w:ascii="Times New Roman" w:hAnsi="Times New Roman" w:cs="Times New Roman"/>
        </w:rPr>
        <w:t>2.2.2环境功能区划</w:t>
      </w:r>
      <w:r>
        <w:tab/>
      </w:r>
      <w:r>
        <w:fldChar w:fldCharType="begin"/>
      </w:r>
      <w:r>
        <w:instrText xml:space="preserve"> PAGEREF _Toc872 \h </w:instrText>
      </w:r>
      <w:r>
        <w:fldChar w:fldCharType="separate"/>
      </w:r>
      <w:r>
        <w:t>25</w:t>
      </w:r>
      <w:r>
        <w:fldChar w:fldCharType="end"/>
      </w:r>
      <w:r>
        <w:rPr>
          <w:rFonts w:hint="default" w:ascii="Times New Roman" w:hAnsi="Times New Roman" w:cs="Times New Roman"/>
          <w:color w:val="auto"/>
          <w:szCs w:val="24"/>
          <w:u w:val="none" w:color="auto"/>
        </w:rPr>
        <w:fldChar w:fldCharType="end"/>
      </w:r>
    </w:p>
    <w:p w14:paraId="0BA485F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_Toc24079 </w:instrText>
      </w:r>
      <w:r>
        <w:rPr>
          <w:rFonts w:hint="default" w:ascii="Times New Roman" w:hAnsi="Times New Roman" w:cs="Times New Roman"/>
          <w:szCs w:val="24"/>
        </w:rPr>
        <w:fldChar w:fldCharType="separate"/>
      </w:r>
      <w:r>
        <w:rPr>
          <w:rFonts w:hint="default" w:ascii="Times New Roman" w:hAnsi="Times New Roman" w:cs="Times New Roman"/>
        </w:rPr>
        <w:t>2.2.3评价标准</w:t>
      </w:r>
      <w:r>
        <w:tab/>
      </w:r>
      <w:r>
        <w:fldChar w:fldCharType="begin"/>
      </w:r>
      <w:r>
        <w:instrText xml:space="preserve"> PAGEREF _Toc24079 \h </w:instrText>
      </w:r>
      <w:r>
        <w:fldChar w:fldCharType="separate"/>
      </w:r>
      <w:r>
        <w:t>26</w:t>
      </w:r>
      <w:r>
        <w:fldChar w:fldCharType="end"/>
      </w:r>
      <w:r>
        <w:rPr>
          <w:rFonts w:hint="default" w:ascii="Times New Roman" w:hAnsi="Times New Roman" w:cs="Times New Roman"/>
          <w:color w:val="auto"/>
          <w:szCs w:val="24"/>
          <w:u w:val="none" w:color="auto"/>
        </w:rPr>
        <w:fldChar w:fldCharType="end"/>
      </w:r>
    </w:p>
    <w:p w14:paraId="1C2A2FA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_Toc16825 </w:instrText>
      </w:r>
      <w:r>
        <w:rPr>
          <w:rFonts w:hint="default" w:ascii="Times New Roman" w:hAnsi="Times New Roman" w:cs="Times New Roman"/>
          <w:szCs w:val="24"/>
        </w:rPr>
        <w:fldChar w:fldCharType="separate"/>
      </w:r>
      <w:r>
        <w:rPr>
          <w:rFonts w:hint="default"/>
        </w:rPr>
        <w:t>2.3评价工作等级</w:t>
      </w:r>
      <w:r>
        <w:rPr>
          <w:rFonts w:hint="default"/>
          <w:lang w:eastAsia="zh-CN"/>
        </w:rPr>
        <w:t>及评价范围</w:t>
      </w:r>
      <w:r>
        <w:tab/>
      </w:r>
      <w:r>
        <w:fldChar w:fldCharType="begin"/>
      </w:r>
      <w:r>
        <w:instrText xml:space="preserve"> PAGEREF _Toc16825 \h </w:instrText>
      </w:r>
      <w:r>
        <w:fldChar w:fldCharType="separate"/>
      </w:r>
      <w:r>
        <w:t>31</w:t>
      </w:r>
      <w:r>
        <w:fldChar w:fldCharType="end"/>
      </w:r>
      <w:r>
        <w:rPr>
          <w:rFonts w:hint="default" w:ascii="Times New Roman" w:hAnsi="Times New Roman" w:cs="Times New Roman"/>
          <w:color w:val="auto"/>
          <w:szCs w:val="24"/>
          <w:u w:val="none" w:color="auto"/>
        </w:rPr>
        <w:fldChar w:fldCharType="end"/>
      </w:r>
    </w:p>
    <w:p w14:paraId="4E90FB4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_Toc3920 </w:instrText>
      </w:r>
      <w:r>
        <w:rPr>
          <w:rFonts w:hint="default" w:ascii="Times New Roman" w:hAnsi="Times New Roman" w:cs="Times New Roman"/>
          <w:szCs w:val="24"/>
        </w:rPr>
        <w:fldChar w:fldCharType="separate"/>
      </w:r>
      <w:r>
        <w:rPr>
          <w:rFonts w:hint="default" w:ascii="Times New Roman" w:hAnsi="Times New Roman" w:cs="Times New Roman"/>
        </w:rPr>
        <w:t>2.3.1大气环境影响评价工作等级</w:t>
      </w:r>
      <w:r>
        <w:rPr>
          <w:rFonts w:hint="default" w:ascii="Times New Roman" w:hAnsi="Times New Roman" w:cs="Times New Roman"/>
          <w:lang w:eastAsia="zh-CN"/>
        </w:rPr>
        <w:t>及评价范围</w:t>
      </w:r>
      <w:r>
        <w:tab/>
      </w:r>
      <w:r>
        <w:fldChar w:fldCharType="begin"/>
      </w:r>
      <w:r>
        <w:instrText xml:space="preserve"> PAGEREF _Toc3920 \h </w:instrText>
      </w:r>
      <w:r>
        <w:fldChar w:fldCharType="separate"/>
      </w:r>
      <w:r>
        <w:t>31</w:t>
      </w:r>
      <w:r>
        <w:fldChar w:fldCharType="end"/>
      </w:r>
      <w:r>
        <w:rPr>
          <w:rFonts w:hint="default" w:ascii="Times New Roman" w:hAnsi="Times New Roman" w:cs="Times New Roman"/>
          <w:color w:val="auto"/>
          <w:szCs w:val="24"/>
          <w:u w:val="none" w:color="auto"/>
        </w:rPr>
        <w:fldChar w:fldCharType="end"/>
      </w:r>
    </w:p>
    <w:p w14:paraId="326BB36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_Toc632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2</w:t>
      </w:r>
      <w:r>
        <w:rPr>
          <w:rFonts w:hint="default" w:ascii="Times New Roman" w:hAnsi="Times New Roman" w:cs="Times New Roman"/>
          <w:lang w:eastAsia="zh-CN"/>
        </w:rPr>
        <w:t>地表水</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_Toc632 \h </w:instrText>
      </w:r>
      <w:r>
        <w:fldChar w:fldCharType="separate"/>
      </w:r>
      <w:r>
        <w:t>33</w:t>
      </w:r>
      <w:r>
        <w:fldChar w:fldCharType="end"/>
      </w:r>
      <w:r>
        <w:rPr>
          <w:rFonts w:hint="default" w:ascii="Times New Roman" w:hAnsi="Times New Roman" w:cs="Times New Roman"/>
          <w:color w:val="auto"/>
          <w:szCs w:val="24"/>
          <w:u w:val="none" w:color="auto"/>
        </w:rPr>
        <w:fldChar w:fldCharType="end"/>
      </w:r>
    </w:p>
    <w:p w14:paraId="1F9FDA1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_Toc1061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3</w:t>
      </w:r>
      <w:r>
        <w:rPr>
          <w:rFonts w:hint="default" w:ascii="Times New Roman" w:hAnsi="Times New Roman" w:cs="Times New Roman"/>
          <w:lang w:eastAsia="zh-CN"/>
        </w:rPr>
        <w:t>地下水</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_Toc1061 \h </w:instrText>
      </w:r>
      <w:r>
        <w:fldChar w:fldCharType="separate"/>
      </w:r>
      <w:r>
        <w:t>34</w:t>
      </w:r>
      <w:r>
        <w:fldChar w:fldCharType="end"/>
      </w:r>
      <w:r>
        <w:rPr>
          <w:rFonts w:hint="default" w:ascii="Times New Roman" w:hAnsi="Times New Roman" w:cs="Times New Roman"/>
          <w:color w:val="auto"/>
          <w:szCs w:val="24"/>
          <w:u w:val="none" w:color="auto"/>
        </w:rPr>
        <w:fldChar w:fldCharType="end"/>
      </w:r>
    </w:p>
    <w:p w14:paraId="3AAB25D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_Toc24805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4</w:t>
      </w:r>
      <w:r>
        <w:rPr>
          <w:rFonts w:hint="default" w:ascii="Times New Roman" w:hAnsi="Times New Roman" w:cs="Times New Roman"/>
          <w:lang w:eastAsia="zh-CN"/>
        </w:rPr>
        <w:t>声</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_Toc24805 \h </w:instrText>
      </w:r>
      <w:r>
        <w:fldChar w:fldCharType="separate"/>
      </w:r>
      <w:r>
        <w:t>35</w:t>
      </w:r>
      <w:r>
        <w:fldChar w:fldCharType="end"/>
      </w:r>
      <w:r>
        <w:rPr>
          <w:rFonts w:hint="default" w:ascii="Times New Roman" w:hAnsi="Times New Roman" w:cs="Times New Roman"/>
          <w:color w:val="auto"/>
          <w:szCs w:val="24"/>
          <w:u w:val="none" w:color="auto"/>
        </w:rPr>
        <w:fldChar w:fldCharType="end"/>
      </w:r>
    </w:p>
    <w:p w14:paraId="54B8F5F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_Toc3006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5</w:t>
      </w:r>
      <w:r>
        <w:rPr>
          <w:rFonts w:hint="default" w:ascii="Times New Roman" w:hAnsi="Times New Roman" w:cs="Times New Roman"/>
          <w:lang w:eastAsia="zh-CN"/>
        </w:rPr>
        <w:t>土壤</w:t>
      </w:r>
      <w:r>
        <w:rPr>
          <w:rFonts w:hint="default" w:ascii="Times New Roman" w:hAnsi="Times New Roman" w:cs="Times New Roman"/>
        </w:rPr>
        <w:t>环境影响评价工作等级</w:t>
      </w:r>
      <w:r>
        <w:tab/>
      </w:r>
      <w:r>
        <w:fldChar w:fldCharType="begin"/>
      </w:r>
      <w:r>
        <w:instrText xml:space="preserve"> PAGEREF _Toc3006 \h </w:instrText>
      </w:r>
      <w:r>
        <w:fldChar w:fldCharType="separate"/>
      </w:r>
      <w:r>
        <w:t>35</w:t>
      </w:r>
      <w:r>
        <w:fldChar w:fldCharType="end"/>
      </w:r>
      <w:r>
        <w:rPr>
          <w:rFonts w:hint="default" w:ascii="Times New Roman" w:hAnsi="Times New Roman" w:cs="Times New Roman"/>
          <w:color w:val="auto"/>
          <w:szCs w:val="24"/>
          <w:u w:val="none" w:color="auto"/>
        </w:rPr>
        <w:fldChar w:fldCharType="end"/>
      </w:r>
    </w:p>
    <w:p w14:paraId="6EEEEDD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_Toc21649 </w:instrText>
      </w:r>
      <w:r>
        <w:rPr>
          <w:rFonts w:hint="default" w:ascii="Times New Roman" w:hAnsi="Times New Roman" w:cs="Times New Roman"/>
          <w:szCs w:val="24"/>
        </w:rPr>
        <w:fldChar w:fldCharType="separate"/>
      </w:r>
      <w:r>
        <w:rPr>
          <w:rFonts w:hint="default"/>
        </w:rPr>
        <w:t>2.3.</w:t>
      </w:r>
      <w:r>
        <w:rPr>
          <w:rFonts w:hint="default"/>
          <w:lang w:val="en-US" w:eastAsia="zh-CN"/>
        </w:rPr>
        <w:t>6</w:t>
      </w:r>
      <w:r>
        <w:rPr>
          <w:rFonts w:hint="default"/>
          <w:lang w:eastAsia="zh-CN"/>
        </w:rPr>
        <w:t>生态</w:t>
      </w:r>
      <w:r>
        <w:rPr>
          <w:rFonts w:hint="default"/>
        </w:rPr>
        <w:t>环境影响评价工作等级</w:t>
      </w:r>
      <w:r>
        <w:tab/>
      </w:r>
      <w:r>
        <w:fldChar w:fldCharType="begin"/>
      </w:r>
      <w:r>
        <w:instrText xml:space="preserve"> PAGEREF _Toc21649 \h </w:instrText>
      </w:r>
      <w:r>
        <w:fldChar w:fldCharType="separate"/>
      </w:r>
      <w:r>
        <w:t>36</w:t>
      </w:r>
      <w:r>
        <w:fldChar w:fldCharType="end"/>
      </w:r>
      <w:r>
        <w:rPr>
          <w:rFonts w:hint="default" w:ascii="Times New Roman" w:hAnsi="Times New Roman" w:cs="Times New Roman"/>
          <w:color w:val="auto"/>
          <w:szCs w:val="24"/>
          <w:u w:val="none" w:color="auto"/>
        </w:rPr>
        <w:fldChar w:fldCharType="end"/>
      </w:r>
    </w:p>
    <w:p w14:paraId="238EE97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_Toc14319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7</w:t>
      </w:r>
      <w:r>
        <w:rPr>
          <w:rFonts w:hint="default" w:ascii="Times New Roman" w:hAnsi="Times New Roman" w:cs="Times New Roman"/>
          <w:lang w:eastAsia="zh-CN"/>
        </w:rPr>
        <w:t>环境风险</w:t>
      </w:r>
      <w:r>
        <w:rPr>
          <w:rFonts w:hint="default" w:ascii="Times New Roman" w:hAnsi="Times New Roman" w:cs="Times New Roman"/>
        </w:rPr>
        <w:t>影响评价工作等级</w:t>
      </w:r>
      <w:r>
        <w:tab/>
      </w:r>
      <w:r>
        <w:fldChar w:fldCharType="begin"/>
      </w:r>
      <w:r>
        <w:instrText xml:space="preserve"> PAGEREF _Toc14319 \h </w:instrText>
      </w:r>
      <w:r>
        <w:fldChar w:fldCharType="separate"/>
      </w:r>
      <w:r>
        <w:t>36</w:t>
      </w:r>
      <w:r>
        <w:fldChar w:fldCharType="end"/>
      </w:r>
      <w:r>
        <w:rPr>
          <w:rFonts w:hint="default" w:ascii="Times New Roman" w:hAnsi="Times New Roman" w:cs="Times New Roman"/>
          <w:color w:val="auto"/>
          <w:szCs w:val="24"/>
          <w:u w:val="none" w:color="auto"/>
        </w:rPr>
        <w:fldChar w:fldCharType="end"/>
      </w:r>
    </w:p>
    <w:p w14:paraId="081F30F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_Toc18050 </w:instrText>
      </w:r>
      <w:r>
        <w:rPr>
          <w:rFonts w:hint="default" w:ascii="Times New Roman" w:hAnsi="Times New Roman" w:cs="Times New Roman"/>
          <w:szCs w:val="24"/>
        </w:rPr>
        <w:fldChar w:fldCharType="separate"/>
      </w:r>
      <w:r>
        <w:rPr>
          <w:rFonts w:hint="default"/>
          <w:lang w:eastAsia="zh-CN"/>
        </w:rPr>
        <w:t>2.</w:t>
      </w:r>
      <w:r>
        <w:rPr>
          <w:rFonts w:hint="default"/>
          <w:lang w:val="en-US" w:eastAsia="zh-CN"/>
        </w:rPr>
        <w:t>4</w:t>
      </w:r>
      <w:r>
        <w:rPr>
          <w:rFonts w:hint="default"/>
        </w:rPr>
        <w:t>评价范围及环境敏感目标</w:t>
      </w:r>
      <w:r>
        <w:tab/>
      </w:r>
      <w:r>
        <w:fldChar w:fldCharType="begin"/>
      </w:r>
      <w:r>
        <w:instrText xml:space="preserve"> PAGEREF _Toc18050 \h </w:instrText>
      </w:r>
      <w:r>
        <w:fldChar w:fldCharType="separate"/>
      </w:r>
      <w:r>
        <w:t>37</w:t>
      </w:r>
      <w:r>
        <w:fldChar w:fldCharType="end"/>
      </w:r>
      <w:r>
        <w:rPr>
          <w:rFonts w:hint="default" w:ascii="Times New Roman" w:hAnsi="Times New Roman" w:cs="Times New Roman"/>
          <w:color w:val="auto"/>
          <w:szCs w:val="24"/>
          <w:u w:val="none" w:color="auto"/>
        </w:rPr>
        <w:fldChar w:fldCharType="end"/>
      </w:r>
    </w:p>
    <w:p w14:paraId="1D740F5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_Toc23095 </w:instrText>
      </w:r>
      <w:r>
        <w:rPr>
          <w:rFonts w:hint="default" w:ascii="Times New Roman" w:hAnsi="Times New Roman" w:cs="Times New Roman"/>
          <w:szCs w:val="24"/>
        </w:rPr>
        <w:fldChar w:fldCharType="separate"/>
      </w:r>
      <w:r>
        <w:rPr>
          <w:rFonts w:hint="default" w:ascii="Times New Roman" w:hAnsi="Times New Roman" w:cs="Times New Roman"/>
          <w:lang w:eastAsia="zh-CN"/>
        </w:rPr>
        <w:t>2.</w:t>
      </w:r>
      <w:r>
        <w:rPr>
          <w:rFonts w:hint="default" w:ascii="Times New Roman" w:hAnsi="Times New Roman" w:cs="Times New Roman"/>
          <w:lang w:val="en-US" w:eastAsia="zh-CN"/>
        </w:rPr>
        <w:t>4</w:t>
      </w:r>
      <w:r>
        <w:rPr>
          <w:rFonts w:hint="default" w:ascii="Times New Roman" w:hAnsi="Times New Roman" w:cs="Times New Roman"/>
        </w:rPr>
        <w:t>.1评价范围</w:t>
      </w:r>
      <w:r>
        <w:tab/>
      </w:r>
      <w:r>
        <w:fldChar w:fldCharType="begin"/>
      </w:r>
      <w:r>
        <w:instrText xml:space="preserve"> PAGEREF _Toc23095 \h </w:instrText>
      </w:r>
      <w:r>
        <w:fldChar w:fldCharType="separate"/>
      </w:r>
      <w:r>
        <w:t>37</w:t>
      </w:r>
      <w:r>
        <w:fldChar w:fldCharType="end"/>
      </w:r>
      <w:r>
        <w:rPr>
          <w:rFonts w:hint="default" w:ascii="Times New Roman" w:hAnsi="Times New Roman" w:cs="Times New Roman"/>
          <w:color w:val="auto"/>
          <w:szCs w:val="24"/>
          <w:u w:val="none" w:color="auto"/>
        </w:rPr>
        <w:fldChar w:fldCharType="end"/>
      </w:r>
    </w:p>
    <w:p w14:paraId="7971E29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_Toc25728 </w:instrText>
      </w:r>
      <w:r>
        <w:rPr>
          <w:rFonts w:hint="default" w:ascii="Times New Roman" w:hAnsi="Times New Roman" w:cs="Times New Roman"/>
          <w:szCs w:val="24"/>
        </w:rPr>
        <w:fldChar w:fldCharType="separate"/>
      </w:r>
      <w:r>
        <w:rPr>
          <w:rFonts w:hint="default" w:ascii="Times New Roman" w:hAnsi="Times New Roman" w:cs="Times New Roman"/>
          <w:lang w:eastAsia="zh-CN"/>
        </w:rPr>
        <w:t>2.</w:t>
      </w:r>
      <w:r>
        <w:rPr>
          <w:rFonts w:hint="default" w:ascii="Times New Roman" w:hAnsi="Times New Roman" w:cs="Times New Roman"/>
          <w:lang w:val="en-US" w:eastAsia="zh-CN"/>
        </w:rPr>
        <w:t>4</w:t>
      </w:r>
      <w:r>
        <w:rPr>
          <w:rFonts w:hint="default" w:ascii="Times New Roman" w:hAnsi="Times New Roman" w:cs="Times New Roman"/>
        </w:rPr>
        <w:t>.2环境敏感目标</w:t>
      </w:r>
      <w:r>
        <w:tab/>
      </w:r>
      <w:r>
        <w:fldChar w:fldCharType="begin"/>
      </w:r>
      <w:r>
        <w:instrText xml:space="preserve"> PAGEREF _Toc25728 \h </w:instrText>
      </w:r>
      <w:r>
        <w:fldChar w:fldCharType="separate"/>
      </w:r>
      <w:r>
        <w:t>37</w:t>
      </w:r>
      <w:r>
        <w:fldChar w:fldCharType="end"/>
      </w:r>
      <w:r>
        <w:rPr>
          <w:rFonts w:hint="default" w:ascii="Times New Roman" w:hAnsi="Times New Roman" w:cs="Times New Roman"/>
          <w:color w:val="auto"/>
          <w:szCs w:val="24"/>
          <w:u w:val="none" w:color="auto"/>
        </w:rPr>
        <w:fldChar w:fldCharType="end"/>
      </w:r>
    </w:p>
    <w:p w14:paraId="15278BF2">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_Toc10842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3</w:t>
      </w:r>
      <w:r>
        <w:rPr>
          <w:rFonts w:hint="eastAsia"/>
          <w:lang w:val="en-US" w:eastAsia="zh-CN"/>
        </w:rPr>
        <w:t>、工程概况</w:t>
      </w:r>
      <w:r>
        <w:tab/>
      </w:r>
      <w:r>
        <w:fldChar w:fldCharType="begin"/>
      </w:r>
      <w:r>
        <w:instrText xml:space="preserve"> PAGEREF _Toc10842 \h </w:instrText>
      </w:r>
      <w:r>
        <w:fldChar w:fldCharType="separate"/>
      </w:r>
      <w:r>
        <w:t>41</w:t>
      </w:r>
      <w:r>
        <w:fldChar w:fldCharType="end"/>
      </w:r>
      <w:r>
        <w:rPr>
          <w:rFonts w:hint="default" w:ascii="Times New Roman" w:hAnsi="Times New Roman" w:cs="Times New Roman"/>
          <w:color w:val="auto"/>
          <w:szCs w:val="24"/>
          <w:u w:val="none" w:color="auto"/>
        </w:rPr>
        <w:fldChar w:fldCharType="end"/>
      </w:r>
    </w:p>
    <w:p w14:paraId="7A9325A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_Toc19418 </w:instrText>
      </w:r>
      <w:r>
        <w:rPr>
          <w:rFonts w:hint="default" w:ascii="Times New Roman" w:hAnsi="Times New Roman" w:cs="Times New Roman"/>
          <w:szCs w:val="24"/>
        </w:rPr>
        <w:fldChar w:fldCharType="separate"/>
      </w:r>
      <w:r>
        <w:rPr>
          <w:rFonts w:hint="eastAsia"/>
          <w:lang w:val="en-US" w:eastAsia="zh-CN"/>
        </w:rPr>
        <w:t>3.1项目概况</w:t>
      </w:r>
      <w:r>
        <w:tab/>
      </w:r>
      <w:r>
        <w:fldChar w:fldCharType="begin"/>
      </w:r>
      <w:r>
        <w:instrText xml:space="preserve"> PAGEREF _Toc19418 \h </w:instrText>
      </w:r>
      <w:r>
        <w:fldChar w:fldCharType="separate"/>
      </w:r>
      <w:r>
        <w:t>41</w:t>
      </w:r>
      <w:r>
        <w:fldChar w:fldCharType="end"/>
      </w:r>
      <w:r>
        <w:rPr>
          <w:rFonts w:hint="default" w:ascii="Times New Roman" w:hAnsi="Times New Roman" w:cs="Times New Roman"/>
          <w:color w:val="auto"/>
          <w:szCs w:val="24"/>
          <w:u w:val="none" w:color="auto"/>
        </w:rPr>
        <w:fldChar w:fldCharType="end"/>
      </w:r>
    </w:p>
    <w:p w14:paraId="135F416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_Toc27299 </w:instrText>
      </w:r>
      <w:r>
        <w:rPr>
          <w:rFonts w:hint="default" w:ascii="Times New Roman" w:hAnsi="Times New Roman" w:cs="Times New Roman"/>
          <w:szCs w:val="24"/>
        </w:rPr>
        <w:fldChar w:fldCharType="separate"/>
      </w:r>
      <w:r>
        <w:rPr>
          <w:rFonts w:hint="eastAsia"/>
          <w:lang w:val="en-US" w:eastAsia="zh-CN"/>
        </w:rPr>
        <w:t>3.1.1项目基本情况</w:t>
      </w:r>
      <w:r>
        <w:tab/>
      </w:r>
      <w:r>
        <w:fldChar w:fldCharType="begin"/>
      </w:r>
      <w:r>
        <w:instrText xml:space="preserve"> PAGEREF _Toc27299 \h </w:instrText>
      </w:r>
      <w:r>
        <w:fldChar w:fldCharType="separate"/>
      </w:r>
      <w:r>
        <w:t>41</w:t>
      </w:r>
      <w:r>
        <w:fldChar w:fldCharType="end"/>
      </w:r>
      <w:r>
        <w:rPr>
          <w:rFonts w:hint="default" w:ascii="Times New Roman" w:hAnsi="Times New Roman" w:cs="Times New Roman"/>
          <w:color w:val="auto"/>
          <w:szCs w:val="24"/>
          <w:u w:val="none" w:color="auto"/>
        </w:rPr>
        <w:fldChar w:fldCharType="end"/>
      </w:r>
    </w:p>
    <w:p w14:paraId="50D1A9D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_Toc12055 </w:instrText>
      </w:r>
      <w:r>
        <w:rPr>
          <w:rFonts w:hint="default" w:ascii="Times New Roman" w:hAnsi="Times New Roman" w:cs="Times New Roman"/>
          <w:szCs w:val="24"/>
        </w:rPr>
        <w:fldChar w:fldCharType="separate"/>
      </w:r>
      <w:r>
        <w:rPr>
          <w:rFonts w:hint="eastAsia"/>
          <w:lang w:val="en-US" w:eastAsia="zh-CN"/>
        </w:rPr>
        <w:t>3.1.2项目组成</w:t>
      </w:r>
      <w:r>
        <w:tab/>
      </w:r>
      <w:r>
        <w:fldChar w:fldCharType="begin"/>
      </w:r>
      <w:r>
        <w:instrText xml:space="preserve"> PAGEREF _Toc12055 \h </w:instrText>
      </w:r>
      <w:r>
        <w:fldChar w:fldCharType="separate"/>
      </w:r>
      <w:r>
        <w:t>41</w:t>
      </w:r>
      <w:r>
        <w:fldChar w:fldCharType="end"/>
      </w:r>
      <w:r>
        <w:rPr>
          <w:rFonts w:hint="default" w:ascii="Times New Roman" w:hAnsi="Times New Roman" w:cs="Times New Roman"/>
          <w:color w:val="auto"/>
          <w:szCs w:val="24"/>
          <w:u w:val="none" w:color="auto"/>
        </w:rPr>
        <w:fldChar w:fldCharType="end"/>
      </w:r>
    </w:p>
    <w:p w14:paraId="3035C74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_Toc16190 </w:instrText>
      </w:r>
      <w:r>
        <w:rPr>
          <w:rFonts w:hint="default" w:ascii="Times New Roman" w:hAnsi="Times New Roman" w:cs="Times New Roman"/>
          <w:szCs w:val="24"/>
        </w:rPr>
        <w:fldChar w:fldCharType="separate"/>
      </w:r>
      <w:r>
        <w:rPr>
          <w:rFonts w:hint="eastAsia"/>
          <w:lang w:val="en-US" w:eastAsia="zh-CN"/>
        </w:rPr>
        <w:t>3.1.3项目产品方案</w:t>
      </w:r>
      <w:r>
        <w:tab/>
      </w:r>
      <w:r>
        <w:fldChar w:fldCharType="begin"/>
      </w:r>
      <w:r>
        <w:instrText xml:space="preserve"> PAGEREF _Toc16190 \h </w:instrText>
      </w:r>
      <w:r>
        <w:fldChar w:fldCharType="separate"/>
      </w:r>
      <w:r>
        <w:t>43</w:t>
      </w:r>
      <w:r>
        <w:fldChar w:fldCharType="end"/>
      </w:r>
      <w:r>
        <w:rPr>
          <w:rFonts w:hint="default" w:ascii="Times New Roman" w:hAnsi="Times New Roman" w:cs="Times New Roman"/>
          <w:color w:val="auto"/>
          <w:szCs w:val="24"/>
          <w:u w:val="none" w:color="auto"/>
        </w:rPr>
        <w:fldChar w:fldCharType="end"/>
      </w:r>
    </w:p>
    <w:p w14:paraId="6276D7A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_Toc30324 </w:instrText>
      </w:r>
      <w:r>
        <w:rPr>
          <w:rFonts w:hint="default" w:ascii="Times New Roman" w:hAnsi="Times New Roman" w:cs="Times New Roman"/>
          <w:szCs w:val="24"/>
        </w:rPr>
        <w:fldChar w:fldCharType="separate"/>
      </w:r>
      <w:r>
        <w:rPr>
          <w:rFonts w:hint="eastAsia"/>
          <w:lang w:val="en-US" w:eastAsia="zh-CN"/>
        </w:rPr>
        <w:t>3.1.4项目主要原辅材料及能源消耗</w:t>
      </w:r>
      <w:r>
        <w:tab/>
      </w:r>
      <w:r>
        <w:fldChar w:fldCharType="begin"/>
      </w:r>
      <w:r>
        <w:instrText xml:space="preserve"> PAGEREF _Toc30324 \h </w:instrText>
      </w:r>
      <w:r>
        <w:fldChar w:fldCharType="separate"/>
      </w:r>
      <w:r>
        <w:t>43</w:t>
      </w:r>
      <w:r>
        <w:fldChar w:fldCharType="end"/>
      </w:r>
      <w:r>
        <w:rPr>
          <w:rFonts w:hint="default" w:ascii="Times New Roman" w:hAnsi="Times New Roman" w:cs="Times New Roman"/>
          <w:color w:val="auto"/>
          <w:szCs w:val="24"/>
          <w:u w:val="none" w:color="auto"/>
        </w:rPr>
        <w:fldChar w:fldCharType="end"/>
      </w:r>
    </w:p>
    <w:p w14:paraId="4F06FD3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_Toc22854 </w:instrText>
      </w:r>
      <w:r>
        <w:rPr>
          <w:rFonts w:hint="default" w:ascii="Times New Roman" w:hAnsi="Times New Roman" w:cs="Times New Roman"/>
          <w:szCs w:val="24"/>
        </w:rPr>
        <w:fldChar w:fldCharType="separate"/>
      </w:r>
      <w:r>
        <w:rPr>
          <w:rFonts w:hint="eastAsia"/>
          <w:lang w:val="en-US" w:eastAsia="zh-CN"/>
        </w:rPr>
        <w:t>3.1.5项目主要生产设备</w:t>
      </w:r>
      <w:r>
        <w:tab/>
      </w:r>
      <w:r>
        <w:fldChar w:fldCharType="begin"/>
      </w:r>
      <w:r>
        <w:instrText xml:space="preserve"> PAGEREF _Toc22854 \h </w:instrText>
      </w:r>
      <w:r>
        <w:fldChar w:fldCharType="separate"/>
      </w:r>
      <w:r>
        <w:t>44</w:t>
      </w:r>
      <w:r>
        <w:fldChar w:fldCharType="end"/>
      </w:r>
      <w:r>
        <w:rPr>
          <w:rFonts w:hint="default" w:ascii="Times New Roman" w:hAnsi="Times New Roman" w:cs="Times New Roman"/>
          <w:color w:val="auto"/>
          <w:szCs w:val="24"/>
          <w:u w:val="none" w:color="auto"/>
        </w:rPr>
        <w:fldChar w:fldCharType="end"/>
      </w:r>
    </w:p>
    <w:p w14:paraId="575C694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_Toc6435 </w:instrText>
      </w:r>
      <w:r>
        <w:rPr>
          <w:rFonts w:hint="default" w:ascii="Times New Roman" w:hAnsi="Times New Roman" w:cs="Times New Roman"/>
          <w:szCs w:val="24"/>
        </w:rPr>
        <w:fldChar w:fldCharType="separate"/>
      </w:r>
      <w:r>
        <w:rPr>
          <w:rFonts w:hint="eastAsia"/>
          <w:lang w:val="en-US" w:eastAsia="zh-CN"/>
        </w:rPr>
        <w:t>3.1.6公用工程</w:t>
      </w:r>
      <w:r>
        <w:tab/>
      </w:r>
      <w:r>
        <w:fldChar w:fldCharType="begin"/>
      </w:r>
      <w:r>
        <w:instrText xml:space="preserve"> PAGEREF _Toc6435 \h </w:instrText>
      </w:r>
      <w:r>
        <w:fldChar w:fldCharType="separate"/>
      </w:r>
      <w:r>
        <w:t>45</w:t>
      </w:r>
      <w:r>
        <w:fldChar w:fldCharType="end"/>
      </w:r>
      <w:r>
        <w:rPr>
          <w:rFonts w:hint="default" w:ascii="Times New Roman" w:hAnsi="Times New Roman" w:cs="Times New Roman"/>
          <w:color w:val="auto"/>
          <w:szCs w:val="24"/>
          <w:u w:val="none" w:color="auto"/>
        </w:rPr>
        <w:fldChar w:fldCharType="end"/>
      </w:r>
    </w:p>
    <w:p w14:paraId="10BE2C1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_Toc23429 </w:instrText>
      </w:r>
      <w:r>
        <w:rPr>
          <w:rFonts w:hint="default" w:ascii="Times New Roman" w:hAnsi="Times New Roman" w:cs="Times New Roman"/>
          <w:szCs w:val="24"/>
        </w:rPr>
        <w:fldChar w:fldCharType="separate"/>
      </w:r>
      <w:r>
        <w:rPr>
          <w:rFonts w:hint="eastAsia"/>
          <w:lang w:val="en-US" w:eastAsia="zh-CN"/>
        </w:rPr>
        <w:t>3.2工艺流程</w:t>
      </w:r>
      <w:r>
        <w:tab/>
      </w:r>
      <w:r>
        <w:fldChar w:fldCharType="begin"/>
      </w:r>
      <w:r>
        <w:instrText xml:space="preserve"> PAGEREF _Toc23429 \h </w:instrText>
      </w:r>
      <w:r>
        <w:fldChar w:fldCharType="separate"/>
      </w:r>
      <w:r>
        <w:t>46</w:t>
      </w:r>
      <w:r>
        <w:fldChar w:fldCharType="end"/>
      </w:r>
      <w:r>
        <w:rPr>
          <w:rFonts w:hint="default" w:ascii="Times New Roman" w:hAnsi="Times New Roman" w:cs="Times New Roman"/>
          <w:color w:val="auto"/>
          <w:szCs w:val="24"/>
          <w:u w:val="none" w:color="auto"/>
        </w:rPr>
        <w:fldChar w:fldCharType="end"/>
      </w:r>
    </w:p>
    <w:p w14:paraId="49BA2D4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_Toc7584 </w:instrText>
      </w:r>
      <w:r>
        <w:rPr>
          <w:rFonts w:hint="default" w:ascii="Times New Roman" w:hAnsi="Times New Roman" w:cs="Times New Roman"/>
          <w:szCs w:val="24"/>
        </w:rPr>
        <w:fldChar w:fldCharType="separate"/>
      </w:r>
      <w:r>
        <w:rPr>
          <w:rFonts w:hint="eastAsia"/>
          <w:lang w:val="en-US" w:eastAsia="zh-CN"/>
        </w:rPr>
        <w:t>3.3相关工程平衡</w:t>
      </w:r>
      <w:r>
        <w:tab/>
      </w:r>
      <w:r>
        <w:fldChar w:fldCharType="begin"/>
      </w:r>
      <w:r>
        <w:instrText xml:space="preserve"> PAGEREF _Toc7584 \h </w:instrText>
      </w:r>
      <w:r>
        <w:fldChar w:fldCharType="separate"/>
      </w:r>
      <w:r>
        <w:t>48</w:t>
      </w:r>
      <w:r>
        <w:fldChar w:fldCharType="end"/>
      </w:r>
      <w:r>
        <w:rPr>
          <w:rFonts w:hint="default" w:ascii="Times New Roman" w:hAnsi="Times New Roman" w:cs="Times New Roman"/>
          <w:color w:val="auto"/>
          <w:szCs w:val="24"/>
          <w:u w:val="none" w:color="auto"/>
        </w:rPr>
        <w:fldChar w:fldCharType="end"/>
      </w:r>
    </w:p>
    <w:p w14:paraId="7D26404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_Toc19962 </w:instrText>
      </w:r>
      <w:r>
        <w:rPr>
          <w:rFonts w:hint="default" w:ascii="Times New Roman" w:hAnsi="Times New Roman" w:cs="Times New Roman"/>
          <w:szCs w:val="24"/>
        </w:rPr>
        <w:fldChar w:fldCharType="separate"/>
      </w:r>
      <w:r>
        <w:rPr>
          <w:rFonts w:hint="eastAsia"/>
          <w:lang w:val="en-US" w:eastAsia="zh-CN"/>
        </w:rPr>
        <w:t>3.3.1水平衡</w:t>
      </w:r>
      <w:r>
        <w:tab/>
      </w:r>
      <w:r>
        <w:fldChar w:fldCharType="begin"/>
      </w:r>
      <w:r>
        <w:instrText xml:space="preserve"> PAGEREF _Toc19962 \h </w:instrText>
      </w:r>
      <w:r>
        <w:fldChar w:fldCharType="separate"/>
      </w:r>
      <w:r>
        <w:t>48</w:t>
      </w:r>
      <w:r>
        <w:fldChar w:fldCharType="end"/>
      </w:r>
      <w:r>
        <w:rPr>
          <w:rFonts w:hint="default" w:ascii="Times New Roman" w:hAnsi="Times New Roman" w:cs="Times New Roman"/>
          <w:color w:val="auto"/>
          <w:szCs w:val="24"/>
          <w:u w:val="none" w:color="auto"/>
        </w:rPr>
        <w:fldChar w:fldCharType="end"/>
      </w:r>
    </w:p>
    <w:p w14:paraId="096B41F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_Toc24990 </w:instrText>
      </w:r>
      <w:r>
        <w:rPr>
          <w:rFonts w:hint="default" w:ascii="Times New Roman" w:hAnsi="Times New Roman" w:cs="Times New Roman"/>
          <w:szCs w:val="24"/>
        </w:rPr>
        <w:fldChar w:fldCharType="separate"/>
      </w:r>
      <w:r>
        <w:rPr>
          <w:rFonts w:hint="eastAsia"/>
          <w:lang w:val="en-US" w:eastAsia="zh-CN"/>
        </w:rPr>
        <w:t>3.3.2物料平衡</w:t>
      </w:r>
      <w:r>
        <w:tab/>
      </w:r>
      <w:r>
        <w:fldChar w:fldCharType="begin"/>
      </w:r>
      <w:r>
        <w:instrText xml:space="preserve"> PAGEREF _Toc24990 \h </w:instrText>
      </w:r>
      <w:r>
        <w:fldChar w:fldCharType="separate"/>
      </w:r>
      <w:r>
        <w:t>49</w:t>
      </w:r>
      <w:r>
        <w:fldChar w:fldCharType="end"/>
      </w:r>
      <w:r>
        <w:rPr>
          <w:rFonts w:hint="default" w:ascii="Times New Roman" w:hAnsi="Times New Roman" w:cs="Times New Roman"/>
          <w:color w:val="auto"/>
          <w:szCs w:val="24"/>
          <w:u w:val="none" w:color="auto"/>
        </w:rPr>
        <w:fldChar w:fldCharType="end"/>
      </w:r>
    </w:p>
    <w:p w14:paraId="71D88DF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_Toc24208 </w:instrText>
      </w:r>
      <w:r>
        <w:rPr>
          <w:rFonts w:hint="default" w:ascii="Times New Roman" w:hAnsi="Times New Roman" w:cs="Times New Roman"/>
          <w:szCs w:val="24"/>
        </w:rPr>
        <w:fldChar w:fldCharType="separate"/>
      </w:r>
      <w:r>
        <w:rPr>
          <w:rFonts w:hint="eastAsia"/>
          <w:lang w:val="en-US" w:eastAsia="zh-CN"/>
        </w:rPr>
        <w:t>3.4工程污染源分析</w:t>
      </w:r>
      <w:r>
        <w:tab/>
      </w:r>
      <w:r>
        <w:fldChar w:fldCharType="begin"/>
      </w:r>
      <w:r>
        <w:instrText xml:space="preserve"> PAGEREF _Toc24208 \h </w:instrText>
      </w:r>
      <w:r>
        <w:fldChar w:fldCharType="separate"/>
      </w:r>
      <w:r>
        <w:t>50</w:t>
      </w:r>
      <w:r>
        <w:fldChar w:fldCharType="end"/>
      </w:r>
      <w:r>
        <w:rPr>
          <w:rFonts w:hint="default" w:ascii="Times New Roman" w:hAnsi="Times New Roman" w:cs="Times New Roman"/>
          <w:color w:val="auto"/>
          <w:szCs w:val="24"/>
          <w:u w:val="none" w:color="auto"/>
        </w:rPr>
        <w:fldChar w:fldCharType="end"/>
      </w:r>
    </w:p>
    <w:p w14:paraId="3267CCC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_Toc3664 </w:instrText>
      </w:r>
      <w:r>
        <w:rPr>
          <w:rFonts w:hint="default" w:ascii="Times New Roman" w:hAnsi="Times New Roman" w:cs="Times New Roman"/>
          <w:szCs w:val="24"/>
        </w:rPr>
        <w:fldChar w:fldCharType="separate"/>
      </w:r>
      <w:r>
        <w:rPr>
          <w:rFonts w:hint="eastAsia"/>
          <w:lang w:val="en-US" w:eastAsia="zh-CN"/>
        </w:rPr>
        <w:t>3.4.1施工期污染源分析</w:t>
      </w:r>
      <w:r>
        <w:tab/>
      </w:r>
      <w:r>
        <w:fldChar w:fldCharType="begin"/>
      </w:r>
      <w:r>
        <w:instrText xml:space="preserve"> PAGEREF _Toc3664 \h </w:instrText>
      </w:r>
      <w:r>
        <w:fldChar w:fldCharType="separate"/>
      </w:r>
      <w:r>
        <w:t>50</w:t>
      </w:r>
      <w:r>
        <w:fldChar w:fldCharType="end"/>
      </w:r>
      <w:r>
        <w:rPr>
          <w:rFonts w:hint="default" w:ascii="Times New Roman" w:hAnsi="Times New Roman" w:cs="Times New Roman"/>
          <w:color w:val="auto"/>
          <w:szCs w:val="24"/>
          <w:u w:val="none" w:color="auto"/>
        </w:rPr>
        <w:fldChar w:fldCharType="end"/>
      </w:r>
    </w:p>
    <w:p w14:paraId="792F36D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_Toc24763 </w:instrText>
      </w:r>
      <w:r>
        <w:rPr>
          <w:rFonts w:hint="default" w:ascii="Times New Roman" w:hAnsi="Times New Roman" w:cs="Times New Roman"/>
          <w:szCs w:val="24"/>
        </w:rPr>
        <w:fldChar w:fldCharType="separate"/>
      </w:r>
      <w:r>
        <w:rPr>
          <w:rFonts w:hint="eastAsia"/>
          <w:lang w:val="en-US" w:eastAsia="zh-CN"/>
        </w:rPr>
        <w:t>3.4.2营运期污染源分析</w:t>
      </w:r>
      <w:r>
        <w:tab/>
      </w:r>
      <w:r>
        <w:fldChar w:fldCharType="begin"/>
      </w:r>
      <w:r>
        <w:instrText xml:space="preserve"> PAGEREF _Toc24763 \h </w:instrText>
      </w:r>
      <w:r>
        <w:fldChar w:fldCharType="separate"/>
      </w:r>
      <w:r>
        <w:t>51</w:t>
      </w:r>
      <w:r>
        <w:fldChar w:fldCharType="end"/>
      </w:r>
      <w:r>
        <w:rPr>
          <w:rFonts w:hint="default" w:ascii="Times New Roman" w:hAnsi="Times New Roman" w:cs="Times New Roman"/>
          <w:color w:val="auto"/>
          <w:szCs w:val="24"/>
          <w:u w:val="none" w:color="auto"/>
        </w:rPr>
        <w:fldChar w:fldCharType="end"/>
      </w:r>
    </w:p>
    <w:p w14:paraId="1268012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_Toc19158 </w:instrText>
      </w:r>
      <w:r>
        <w:rPr>
          <w:rFonts w:hint="default" w:ascii="Times New Roman" w:hAnsi="Times New Roman" w:cs="Times New Roman"/>
          <w:szCs w:val="24"/>
        </w:rPr>
        <w:fldChar w:fldCharType="separate"/>
      </w:r>
      <w:r>
        <w:rPr>
          <w:rFonts w:hint="eastAsia"/>
          <w:lang w:val="en-US" w:eastAsia="zh-CN"/>
        </w:rPr>
        <w:t>3.5</w:t>
      </w:r>
      <w:r>
        <w:rPr>
          <w:rFonts w:hint="default"/>
        </w:rPr>
        <w:t>污染物排放量汇总</w:t>
      </w:r>
      <w:r>
        <w:tab/>
      </w:r>
      <w:r>
        <w:fldChar w:fldCharType="begin"/>
      </w:r>
      <w:r>
        <w:instrText xml:space="preserve"> PAGEREF _Toc19158 \h </w:instrText>
      </w:r>
      <w:r>
        <w:fldChar w:fldCharType="separate"/>
      </w:r>
      <w:r>
        <w:t>61</w:t>
      </w:r>
      <w:r>
        <w:fldChar w:fldCharType="end"/>
      </w:r>
      <w:r>
        <w:rPr>
          <w:rFonts w:hint="default" w:ascii="Times New Roman" w:hAnsi="Times New Roman" w:cs="Times New Roman"/>
          <w:color w:val="auto"/>
          <w:szCs w:val="24"/>
          <w:u w:val="none" w:color="auto"/>
        </w:rPr>
        <w:fldChar w:fldCharType="end"/>
      </w:r>
    </w:p>
    <w:p w14:paraId="50BDE184">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_Toc8489 </w:instrText>
      </w:r>
      <w:r>
        <w:rPr>
          <w:rFonts w:hint="default" w:ascii="Times New Roman" w:hAnsi="Times New Roman" w:cs="Times New Roman"/>
          <w:szCs w:val="24"/>
        </w:rPr>
        <w:fldChar w:fldCharType="separate"/>
      </w:r>
      <w:r>
        <w:rPr>
          <w:rFonts w:hint="eastAsia"/>
          <w:lang w:val="en-US" w:eastAsia="zh-CN"/>
        </w:rPr>
        <w:t>4</w:t>
      </w:r>
      <w:r>
        <w:rPr>
          <w:rFonts w:hint="default"/>
        </w:rPr>
        <w:t>、建设项目区域环境概况</w:t>
      </w:r>
      <w:r>
        <w:tab/>
      </w:r>
      <w:r>
        <w:fldChar w:fldCharType="begin"/>
      </w:r>
      <w:r>
        <w:instrText xml:space="preserve"> PAGEREF _Toc8489 \h </w:instrText>
      </w:r>
      <w:r>
        <w:fldChar w:fldCharType="separate"/>
      </w:r>
      <w:r>
        <w:t>64</w:t>
      </w:r>
      <w:r>
        <w:fldChar w:fldCharType="end"/>
      </w:r>
      <w:r>
        <w:rPr>
          <w:rFonts w:hint="default" w:ascii="Times New Roman" w:hAnsi="Times New Roman" w:cs="Times New Roman"/>
          <w:color w:val="auto"/>
          <w:szCs w:val="24"/>
          <w:u w:val="none" w:color="auto"/>
        </w:rPr>
        <w:fldChar w:fldCharType="end"/>
      </w:r>
    </w:p>
    <w:p w14:paraId="2F4AA87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_Toc10089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.1</w:t>
      </w:r>
      <w:r>
        <w:rPr>
          <w:rFonts w:hint="default"/>
        </w:rPr>
        <w:t>自然环境概况</w:t>
      </w:r>
      <w:r>
        <w:tab/>
      </w:r>
      <w:r>
        <w:fldChar w:fldCharType="begin"/>
      </w:r>
      <w:r>
        <w:instrText xml:space="preserve"> PAGEREF _Toc10089 \h </w:instrText>
      </w:r>
      <w:r>
        <w:fldChar w:fldCharType="separate"/>
      </w:r>
      <w:r>
        <w:t>64</w:t>
      </w:r>
      <w:r>
        <w:fldChar w:fldCharType="end"/>
      </w:r>
      <w:r>
        <w:rPr>
          <w:rFonts w:hint="default" w:ascii="Times New Roman" w:hAnsi="Times New Roman" w:cs="Times New Roman"/>
          <w:color w:val="auto"/>
          <w:szCs w:val="24"/>
          <w:u w:val="none" w:color="auto"/>
        </w:rPr>
        <w:fldChar w:fldCharType="end"/>
      </w:r>
    </w:p>
    <w:p w14:paraId="51E8807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_Toc8108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.1</w:t>
      </w:r>
      <w:r>
        <w:rPr>
          <w:rFonts w:hint="default"/>
        </w:rPr>
        <w:t>.1地理位置</w:t>
      </w:r>
      <w:r>
        <w:tab/>
      </w:r>
      <w:r>
        <w:fldChar w:fldCharType="begin"/>
      </w:r>
      <w:r>
        <w:instrText xml:space="preserve"> PAGEREF _Toc8108 \h </w:instrText>
      </w:r>
      <w:r>
        <w:fldChar w:fldCharType="separate"/>
      </w:r>
      <w:r>
        <w:t>64</w:t>
      </w:r>
      <w:r>
        <w:fldChar w:fldCharType="end"/>
      </w:r>
      <w:r>
        <w:rPr>
          <w:rFonts w:hint="default" w:ascii="Times New Roman" w:hAnsi="Times New Roman" w:cs="Times New Roman"/>
          <w:color w:val="auto"/>
          <w:szCs w:val="24"/>
          <w:u w:val="none" w:color="auto"/>
        </w:rPr>
        <w:fldChar w:fldCharType="end"/>
      </w:r>
    </w:p>
    <w:p w14:paraId="64CBBE3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_Toc25038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.1</w:t>
      </w:r>
      <w:r>
        <w:rPr>
          <w:rFonts w:hint="default"/>
        </w:rPr>
        <w:t>.2地形、地质地貌</w:t>
      </w:r>
      <w:r>
        <w:tab/>
      </w:r>
      <w:r>
        <w:fldChar w:fldCharType="begin"/>
      </w:r>
      <w:r>
        <w:instrText xml:space="preserve"> PAGEREF _Toc25038 \h </w:instrText>
      </w:r>
      <w:r>
        <w:fldChar w:fldCharType="separate"/>
      </w:r>
      <w:r>
        <w:t>64</w:t>
      </w:r>
      <w:r>
        <w:fldChar w:fldCharType="end"/>
      </w:r>
      <w:r>
        <w:rPr>
          <w:rFonts w:hint="default" w:ascii="Times New Roman" w:hAnsi="Times New Roman" w:cs="Times New Roman"/>
          <w:color w:val="auto"/>
          <w:szCs w:val="24"/>
          <w:u w:val="none" w:color="auto"/>
        </w:rPr>
        <w:fldChar w:fldCharType="end"/>
      </w:r>
    </w:p>
    <w:p w14:paraId="58C5E1F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_Toc30426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4</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.3气候、气象</w:t>
      </w:r>
      <w:r>
        <w:tab/>
      </w:r>
      <w:r>
        <w:fldChar w:fldCharType="begin"/>
      </w:r>
      <w:r>
        <w:instrText xml:space="preserve"> PAGEREF _Toc30426 \h </w:instrText>
      </w:r>
      <w:r>
        <w:fldChar w:fldCharType="separate"/>
      </w:r>
      <w:r>
        <w:t>65</w:t>
      </w:r>
      <w:r>
        <w:fldChar w:fldCharType="end"/>
      </w:r>
      <w:r>
        <w:rPr>
          <w:rFonts w:hint="default" w:ascii="Times New Roman" w:hAnsi="Times New Roman" w:cs="Times New Roman"/>
          <w:color w:val="auto"/>
          <w:szCs w:val="24"/>
          <w:u w:val="none" w:color="auto"/>
        </w:rPr>
        <w:fldChar w:fldCharType="end"/>
      </w:r>
    </w:p>
    <w:p w14:paraId="19B8702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_Toc20682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.1</w:t>
      </w:r>
      <w:r>
        <w:rPr>
          <w:rFonts w:hint="default"/>
        </w:rPr>
        <w:t>.4水文条件</w:t>
      </w:r>
      <w:r>
        <w:tab/>
      </w:r>
      <w:r>
        <w:fldChar w:fldCharType="begin"/>
      </w:r>
      <w:r>
        <w:instrText xml:space="preserve"> PAGEREF _Toc20682 \h </w:instrText>
      </w:r>
      <w:r>
        <w:fldChar w:fldCharType="separate"/>
      </w:r>
      <w:r>
        <w:t>65</w:t>
      </w:r>
      <w:r>
        <w:fldChar w:fldCharType="end"/>
      </w:r>
      <w:r>
        <w:rPr>
          <w:rFonts w:hint="default" w:ascii="Times New Roman" w:hAnsi="Times New Roman" w:cs="Times New Roman"/>
          <w:color w:val="auto"/>
          <w:szCs w:val="24"/>
          <w:u w:val="none" w:color="auto"/>
        </w:rPr>
        <w:fldChar w:fldCharType="end"/>
      </w:r>
    </w:p>
    <w:p w14:paraId="6CDB226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_Toc13680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4</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.5生物资源</w:t>
      </w:r>
      <w:r>
        <w:tab/>
      </w:r>
      <w:r>
        <w:fldChar w:fldCharType="begin"/>
      </w:r>
      <w:r>
        <w:instrText xml:space="preserve"> PAGEREF _Toc13680 \h </w:instrText>
      </w:r>
      <w:r>
        <w:fldChar w:fldCharType="separate"/>
      </w:r>
      <w:r>
        <w:t>66</w:t>
      </w:r>
      <w:r>
        <w:fldChar w:fldCharType="end"/>
      </w:r>
      <w:r>
        <w:rPr>
          <w:rFonts w:hint="default" w:ascii="Times New Roman" w:hAnsi="Times New Roman" w:cs="Times New Roman"/>
          <w:color w:val="auto"/>
          <w:szCs w:val="24"/>
          <w:u w:val="none" w:color="auto"/>
        </w:rPr>
        <w:fldChar w:fldCharType="end"/>
      </w:r>
    </w:p>
    <w:p w14:paraId="64678F2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_Toc14096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4</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.6土地资源</w:t>
      </w:r>
      <w:r>
        <w:tab/>
      </w:r>
      <w:r>
        <w:fldChar w:fldCharType="begin"/>
      </w:r>
      <w:r>
        <w:instrText xml:space="preserve"> PAGEREF _Toc14096 \h </w:instrText>
      </w:r>
      <w:r>
        <w:fldChar w:fldCharType="separate"/>
      </w:r>
      <w:r>
        <w:t>66</w:t>
      </w:r>
      <w:r>
        <w:fldChar w:fldCharType="end"/>
      </w:r>
      <w:r>
        <w:rPr>
          <w:rFonts w:hint="default" w:ascii="Times New Roman" w:hAnsi="Times New Roman" w:cs="Times New Roman"/>
          <w:color w:val="auto"/>
          <w:szCs w:val="24"/>
          <w:u w:val="none" w:color="auto"/>
        </w:rPr>
        <w:fldChar w:fldCharType="end"/>
      </w:r>
    </w:p>
    <w:p w14:paraId="004A0FF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_Toc20141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4</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.7矿产资源</w:t>
      </w:r>
      <w:r>
        <w:tab/>
      </w:r>
      <w:r>
        <w:fldChar w:fldCharType="begin"/>
      </w:r>
      <w:r>
        <w:instrText xml:space="preserve"> PAGEREF _Toc20141 \h </w:instrText>
      </w:r>
      <w:r>
        <w:fldChar w:fldCharType="separate"/>
      </w:r>
      <w:r>
        <w:t>67</w:t>
      </w:r>
      <w:r>
        <w:fldChar w:fldCharType="end"/>
      </w:r>
      <w:r>
        <w:rPr>
          <w:rFonts w:hint="default" w:ascii="Times New Roman" w:hAnsi="Times New Roman" w:cs="Times New Roman"/>
          <w:color w:val="auto"/>
          <w:szCs w:val="24"/>
          <w:u w:val="none" w:color="auto"/>
        </w:rPr>
        <w:fldChar w:fldCharType="end"/>
      </w:r>
    </w:p>
    <w:p w14:paraId="59C4148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_Toc28879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4</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.8植被生态</w:t>
      </w:r>
      <w:r>
        <w:tab/>
      </w:r>
      <w:r>
        <w:fldChar w:fldCharType="begin"/>
      </w:r>
      <w:r>
        <w:instrText xml:space="preserve"> PAGEREF _Toc28879 \h </w:instrText>
      </w:r>
      <w:r>
        <w:fldChar w:fldCharType="separate"/>
      </w:r>
      <w:r>
        <w:t>67</w:t>
      </w:r>
      <w:r>
        <w:fldChar w:fldCharType="end"/>
      </w:r>
      <w:r>
        <w:rPr>
          <w:rFonts w:hint="default" w:ascii="Times New Roman" w:hAnsi="Times New Roman" w:cs="Times New Roman"/>
          <w:color w:val="auto"/>
          <w:szCs w:val="24"/>
          <w:u w:val="none" w:color="auto"/>
        </w:rPr>
        <w:fldChar w:fldCharType="end"/>
      </w:r>
    </w:p>
    <w:p w14:paraId="2A74492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_Toc21549 </w:instrText>
      </w:r>
      <w:r>
        <w:rPr>
          <w:rFonts w:hint="default" w:ascii="Times New Roman" w:hAnsi="Times New Roman" w:cs="Times New Roman"/>
          <w:szCs w:val="24"/>
        </w:rPr>
        <w:fldChar w:fldCharType="separate"/>
      </w:r>
      <w:r>
        <w:rPr>
          <w:rFonts w:hint="eastAsia"/>
          <w:lang w:val="en-US" w:eastAsia="zh-CN"/>
        </w:rPr>
        <w:t>4.2汨罗高新技术产业开发区概况</w:t>
      </w:r>
      <w:r>
        <w:tab/>
      </w:r>
      <w:r>
        <w:fldChar w:fldCharType="begin"/>
      </w:r>
      <w:r>
        <w:instrText xml:space="preserve"> PAGEREF _Toc21549 \h </w:instrText>
      </w:r>
      <w:r>
        <w:fldChar w:fldCharType="separate"/>
      </w:r>
      <w:r>
        <w:t>68</w:t>
      </w:r>
      <w:r>
        <w:fldChar w:fldCharType="end"/>
      </w:r>
      <w:r>
        <w:rPr>
          <w:rFonts w:hint="default" w:ascii="Times New Roman" w:hAnsi="Times New Roman" w:cs="Times New Roman"/>
          <w:color w:val="auto"/>
          <w:szCs w:val="24"/>
          <w:u w:val="none" w:color="auto"/>
        </w:rPr>
        <w:fldChar w:fldCharType="end"/>
      </w:r>
    </w:p>
    <w:p w14:paraId="7E36054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_Toc32439 </w:instrText>
      </w:r>
      <w:r>
        <w:rPr>
          <w:rFonts w:hint="default" w:ascii="Times New Roman" w:hAnsi="Times New Roman" w:cs="Times New Roman"/>
          <w:szCs w:val="24"/>
        </w:rPr>
        <w:fldChar w:fldCharType="separate"/>
      </w:r>
      <w:r>
        <w:rPr>
          <w:rFonts w:hint="eastAsia"/>
          <w:lang w:val="en-US" w:eastAsia="zh-CN"/>
        </w:rPr>
        <w:t>4.2.1园区发展背景</w:t>
      </w:r>
      <w:r>
        <w:tab/>
      </w:r>
      <w:r>
        <w:fldChar w:fldCharType="begin"/>
      </w:r>
      <w:r>
        <w:instrText xml:space="preserve"> PAGEREF _Toc32439 \h </w:instrText>
      </w:r>
      <w:r>
        <w:fldChar w:fldCharType="separate"/>
      </w:r>
      <w:r>
        <w:t>68</w:t>
      </w:r>
      <w:r>
        <w:fldChar w:fldCharType="end"/>
      </w:r>
      <w:r>
        <w:rPr>
          <w:rFonts w:hint="default" w:ascii="Times New Roman" w:hAnsi="Times New Roman" w:cs="Times New Roman"/>
          <w:color w:val="auto"/>
          <w:szCs w:val="24"/>
          <w:u w:val="none" w:color="auto"/>
        </w:rPr>
        <w:fldChar w:fldCharType="end"/>
      </w:r>
    </w:p>
    <w:p w14:paraId="3BC2450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_Toc11099 </w:instrText>
      </w:r>
      <w:r>
        <w:rPr>
          <w:rFonts w:hint="default" w:ascii="Times New Roman" w:hAnsi="Times New Roman" w:cs="Times New Roman"/>
          <w:szCs w:val="24"/>
        </w:rPr>
        <w:fldChar w:fldCharType="separate"/>
      </w:r>
      <w:r>
        <w:rPr>
          <w:rFonts w:hint="eastAsia"/>
          <w:lang w:val="en-US" w:eastAsia="zh-CN"/>
        </w:rPr>
        <w:t>4.2.2园区规划概况</w:t>
      </w:r>
      <w:r>
        <w:tab/>
      </w:r>
      <w:r>
        <w:fldChar w:fldCharType="begin"/>
      </w:r>
      <w:r>
        <w:instrText xml:space="preserve"> PAGEREF _Toc11099 \h </w:instrText>
      </w:r>
      <w:r>
        <w:fldChar w:fldCharType="separate"/>
      </w:r>
      <w:r>
        <w:t>70</w:t>
      </w:r>
      <w:r>
        <w:fldChar w:fldCharType="end"/>
      </w:r>
      <w:r>
        <w:rPr>
          <w:rFonts w:hint="default" w:ascii="Times New Roman" w:hAnsi="Times New Roman" w:cs="Times New Roman"/>
          <w:color w:val="auto"/>
          <w:szCs w:val="24"/>
          <w:u w:val="none" w:color="auto"/>
        </w:rPr>
        <w:fldChar w:fldCharType="end"/>
      </w:r>
    </w:p>
    <w:p w14:paraId="1F4721D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_Toc913 </w:instrText>
      </w:r>
      <w:r>
        <w:rPr>
          <w:rFonts w:hint="default" w:ascii="Times New Roman" w:hAnsi="Times New Roman" w:cs="Times New Roman"/>
          <w:szCs w:val="24"/>
        </w:rPr>
        <w:fldChar w:fldCharType="separate"/>
      </w:r>
      <w:r>
        <w:rPr>
          <w:rFonts w:hint="eastAsia"/>
          <w:lang w:val="en-US" w:eastAsia="zh-CN"/>
        </w:rPr>
        <w:t>4.2.3园区总体规划</w:t>
      </w:r>
      <w:r>
        <w:tab/>
      </w:r>
      <w:r>
        <w:fldChar w:fldCharType="begin"/>
      </w:r>
      <w:r>
        <w:instrText xml:space="preserve"> PAGEREF _Toc913 \h </w:instrText>
      </w:r>
      <w:r>
        <w:fldChar w:fldCharType="separate"/>
      </w:r>
      <w:r>
        <w:t>71</w:t>
      </w:r>
      <w:r>
        <w:fldChar w:fldCharType="end"/>
      </w:r>
      <w:r>
        <w:rPr>
          <w:rFonts w:hint="default" w:ascii="Times New Roman" w:hAnsi="Times New Roman" w:cs="Times New Roman"/>
          <w:color w:val="auto"/>
          <w:szCs w:val="24"/>
          <w:u w:val="none" w:color="auto"/>
        </w:rPr>
        <w:fldChar w:fldCharType="end"/>
      </w:r>
    </w:p>
    <w:p w14:paraId="48F5B5C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_Toc6921 </w:instrText>
      </w:r>
      <w:r>
        <w:rPr>
          <w:rFonts w:hint="default" w:ascii="Times New Roman" w:hAnsi="Times New Roman" w:cs="Times New Roman"/>
          <w:szCs w:val="24"/>
        </w:rPr>
        <w:fldChar w:fldCharType="separate"/>
      </w:r>
      <w:r>
        <w:rPr>
          <w:rFonts w:hint="eastAsia"/>
          <w:lang w:val="en-US" w:eastAsia="zh-CN"/>
        </w:rPr>
        <w:t>4.2.4基础设施规划</w:t>
      </w:r>
      <w:r>
        <w:tab/>
      </w:r>
      <w:r>
        <w:fldChar w:fldCharType="begin"/>
      </w:r>
      <w:r>
        <w:instrText xml:space="preserve"> PAGEREF _Toc6921 \h </w:instrText>
      </w:r>
      <w:r>
        <w:fldChar w:fldCharType="separate"/>
      </w:r>
      <w:r>
        <w:t>72</w:t>
      </w:r>
      <w:r>
        <w:fldChar w:fldCharType="end"/>
      </w:r>
      <w:r>
        <w:rPr>
          <w:rFonts w:hint="default" w:ascii="Times New Roman" w:hAnsi="Times New Roman" w:cs="Times New Roman"/>
          <w:color w:val="auto"/>
          <w:szCs w:val="24"/>
          <w:u w:val="none" w:color="auto"/>
        </w:rPr>
        <w:fldChar w:fldCharType="end"/>
      </w:r>
    </w:p>
    <w:p w14:paraId="3539C3B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_Toc24761 </w:instrText>
      </w:r>
      <w:r>
        <w:rPr>
          <w:rFonts w:hint="default" w:ascii="Times New Roman" w:hAnsi="Times New Roman" w:cs="Times New Roman"/>
          <w:szCs w:val="24"/>
        </w:rPr>
        <w:fldChar w:fldCharType="separate"/>
      </w:r>
      <w:r>
        <w:rPr>
          <w:rFonts w:hint="eastAsia"/>
          <w:lang w:val="en-US" w:eastAsia="zh-CN"/>
        </w:rPr>
        <w:t>4.2.5 园区环境影响评价情况及批复</w:t>
      </w:r>
      <w:r>
        <w:tab/>
      </w:r>
      <w:r>
        <w:fldChar w:fldCharType="begin"/>
      </w:r>
      <w:r>
        <w:instrText xml:space="preserve"> PAGEREF _Toc24761 \h </w:instrText>
      </w:r>
      <w:r>
        <w:fldChar w:fldCharType="separate"/>
      </w:r>
      <w:r>
        <w:t>73</w:t>
      </w:r>
      <w:r>
        <w:fldChar w:fldCharType="end"/>
      </w:r>
      <w:r>
        <w:rPr>
          <w:rFonts w:hint="default" w:ascii="Times New Roman" w:hAnsi="Times New Roman" w:cs="Times New Roman"/>
          <w:color w:val="auto"/>
          <w:szCs w:val="24"/>
          <w:u w:val="none" w:color="auto"/>
        </w:rPr>
        <w:fldChar w:fldCharType="end"/>
      </w:r>
    </w:p>
    <w:p w14:paraId="63561C1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_Toc1009 </w:instrText>
      </w:r>
      <w:r>
        <w:rPr>
          <w:rFonts w:hint="default" w:ascii="Times New Roman" w:hAnsi="Times New Roman" w:cs="Times New Roman"/>
          <w:szCs w:val="24"/>
        </w:rPr>
        <w:fldChar w:fldCharType="separate"/>
      </w:r>
      <w:r>
        <w:rPr>
          <w:rFonts w:hint="eastAsia"/>
          <w:lang w:val="en-US" w:eastAsia="zh-CN"/>
        </w:rPr>
        <w:t>4.2.6 项目与园区的依托关系</w:t>
      </w:r>
      <w:r>
        <w:tab/>
      </w:r>
      <w:r>
        <w:fldChar w:fldCharType="begin"/>
      </w:r>
      <w:r>
        <w:instrText xml:space="preserve"> PAGEREF _Toc1009 \h </w:instrText>
      </w:r>
      <w:r>
        <w:fldChar w:fldCharType="separate"/>
      </w:r>
      <w:r>
        <w:t>74</w:t>
      </w:r>
      <w:r>
        <w:fldChar w:fldCharType="end"/>
      </w:r>
      <w:r>
        <w:rPr>
          <w:rFonts w:hint="default" w:ascii="Times New Roman" w:hAnsi="Times New Roman" w:cs="Times New Roman"/>
          <w:color w:val="auto"/>
          <w:szCs w:val="24"/>
          <w:u w:val="none" w:color="auto"/>
        </w:rPr>
        <w:fldChar w:fldCharType="end"/>
      </w:r>
    </w:p>
    <w:p w14:paraId="28D1E13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_Toc11610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w:t>
      </w:r>
      <w:r>
        <w:rPr>
          <w:rFonts w:hint="eastAsia"/>
          <w:lang w:val="en-US" w:eastAsia="zh-CN"/>
        </w:rPr>
        <w:t>3</w:t>
      </w:r>
      <w:r>
        <w:rPr>
          <w:rFonts w:hint="default"/>
        </w:rPr>
        <w:t>区域环境质量现状评价</w:t>
      </w:r>
      <w:r>
        <w:tab/>
      </w:r>
      <w:r>
        <w:fldChar w:fldCharType="begin"/>
      </w:r>
      <w:r>
        <w:instrText xml:space="preserve"> PAGEREF _Toc11610 \h </w:instrText>
      </w:r>
      <w:r>
        <w:fldChar w:fldCharType="separate"/>
      </w:r>
      <w:r>
        <w:t>74</w:t>
      </w:r>
      <w:r>
        <w:fldChar w:fldCharType="end"/>
      </w:r>
      <w:r>
        <w:rPr>
          <w:rFonts w:hint="default" w:ascii="Times New Roman" w:hAnsi="Times New Roman" w:cs="Times New Roman"/>
          <w:color w:val="auto"/>
          <w:szCs w:val="24"/>
          <w:u w:val="none" w:color="auto"/>
        </w:rPr>
        <w:fldChar w:fldCharType="end"/>
      </w:r>
    </w:p>
    <w:p w14:paraId="31DC27B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_Toc12320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.1环境空气现状调查与评价</w:t>
      </w:r>
      <w:r>
        <w:tab/>
      </w:r>
      <w:r>
        <w:fldChar w:fldCharType="begin"/>
      </w:r>
      <w:r>
        <w:instrText xml:space="preserve"> PAGEREF _Toc12320 \h </w:instrText>
      </w:r>
      <w:r>
        <w:fldChar w:fldCharType="separate"/>
      </w:r>
      <w:r>
        <w:t>74</w:t>
      </w:r>
      <w:r>
        <w:fldChar w:fldCharType="end"/>
      </w:r>
      <w:r>
        <w:rPr>
          <w:rFonts w:hint="default" w:ascii="Times New Roman" w:hAnsi="Times New Roman" w:cs="Times New Roman"/>
          <w:color w:val="auto"/>
          <w:szCs w:val="24"/>
          <w:u w:val="none" w:color="auto"/>
        </w:rPr>
        <w:fldChar w:fldCharType="end"/>
      </w:r>
    </w:p>
    <w:p w14:paraId="3DFA9CE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_Toc16959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.2地表水环境现状监测与评价</w:t>
      </w:r>
      <w:r>
        <w:tab/>
      </w:r>
      <w:r>
        <w:fldChar w:fldCharType="begin"/>
      </w:r>
      <w:r>
        <w:instrText xml:space="preserve"> PAGEREF _Toc16959 \h </w:instrText>
      </w:r>
      <w:r>
        <w:fldChar w:fldCharType="separate"/>
      </w:r>
      <w:r>
        <w:t>76</w:t>
      </w:r>
      <w:r>
        <w:fldChar w:fldCharType="end"/>
      </w:r>
      <w:r>
        <w:rPr>
          <w:rFonts w:hint="default" w:ascii="Times New Roman" w:hAnsi="Times New Roman" w:cs="Times New Roman"/>
          <w:color w:val="auto"/>
          <w:szCs w:val="24"/>
          <w:u w:val="none" w:color="auto"/>
        </w:rPr>
        <w:fldChar w:fldCharType="end"/>
      </w:r>
    </w:p>
    <w:p w14:paraId="38A8B23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_Toc13884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.3地下水环境现状监测与评价</w:t>
      </w:r>
      <w:r>
        <w:tab/>
      </w:r>
      <w:r>
        <w:fldChar w:fldCharType="begin"/>
      </w:r>
      <w:r>
        <w:instrText xml:space="preserve"> PAGEREF _Toc13884 \h </w:instrText>
      </w:r>
      <w:r>
        <w:fldChar w:fldCharType="separate"/>
      </w:r>
      <w:r>
        <w:t>78</w:t>
      </w:r>
      <w:r>
        <w:fldChar w:fldCharType="end"/>
      </w:r>
      <w:r>
        <w:rPr>
          <w:rFonts w:hint="default" w:ascii="Times New Roman" w:hAnsi="Times New Roman" w:cs="Times New Roman"/>
          <w:color w:val="auto"/>
          <w:szCs w:val="24"/>
          <w:u w:val="none" w:color="auto"/>
        </w:rPr>
        <w:fldChar w:fldCharType="end"/>
      </w:r>
    </w:p>
    <w:p w14:paraId="2271ACD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_Toc11821 </w:instrText>
      </w:r>
      <w:r>
        <w:rPr>
          <w:rFonts w:hint="default" w:ascii="Times New Roman" w:hAnsi="Times New Roman" w:cs="Times New Roman"/>
          <w:szCs w:val="24"/>
        </w:rPr>
        <w:fldChar w:fldCharType="separate"/>
      </w:r>
      <w:r>
        <w:rPr>
          <w:rFonts w:hint="eastAsia"/>
          <w:lang w:val="en-US" w:eastAsia="zh-CN"/>
        </w:rPr>
        <w:t>4</w:t>
      </w:r>
      <w:r>
        <w:rPr>
          <w:rFonts w:hint="default"/>
          <w:lang w:val="en-US" w:eastAsia="zh-CN"/>
        </w:rPr>
        <w:t>.</w:t>
      </w:r>
      <w:r>
        <w:rPr>
          <w:rFonts w:hint="eastAsia"/>
          <w:lang w:val="en-US" w:eastAsia="zh-CN"/>
        </w:rPr>
        <w:t>3</w:t>
      </w:r>
      <w:r>
        <w:rPr>
          <w:rFonts w:hint="default"/>
        </w:rPr>
        <w:t>.4声环境现状监测与评价</w:t>
      </w:r>
      <w:r>
        <w:tab/>
      </w:r>
      <w:r>
        <w:fldChar w:fldCharType="begin"/>
      </w:r>
      <w:r>
        <w:instrText xml:space="preserve"> PAGEREF _Toc11821 \h </w:instrText>
      </w:r>
      <w:r>
        <w:fldChar w:fldCharType="separate"/>
      </w:r>
      <w:r>
        <w:t>79</w:t>
      </w:r>
      <w:r>
        <w:fldChar w:fldCharType="end"/>
      </w:r>
      <w:r>
        <w:rPr>
          <w:rFonts w:hint="default" w:ascii="Times New Roman" w:hAnsi="Times New Roman" w:cs="Times New Roman"/>
          <w:color w:val="auto"/>
          <w:szCs w:val="24"/>
          <w:u w:val="none" w:color="auto"/>
        </w:rPr>
        <w:fldChar w:fldCharType="end"/>
      </w:r>
    </w:p>
    <w:p w14:paraId="5405735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_Toc4561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rPr>
        <w:t>.5土壤环境现状监测与评价</w:t>
      </w:r>
      <w:r>
        <w:tab/>
      </w:r>
      <w:r>
        <w:fldChar w:fldCharType="begin"/>
      </w:r>
      <w:r>
        <w:instrText xml:space="preserve"> PAGEREF _Toc4561 \h </w:instrText>
      </w:r>
      <w:r>
        <w:fldChar w:fldCharType="separate"/>
      </w:r>
      <w:r>
        <w:t>80</w:t>
      </w:r>
      <w:r>
        <w:fldChar w:fldCharType="end"/>
      </w:r>
      <w:r>
        <w:rPr>
          <w:rFonts w:hint="default" w:ascii="Times New Roman" w:hAnsi="Times New Roman" w:cs="Times New Roman"/>
          <w:color w:val="auto"/>
          <w:szCs w:val="24"/>
          <w:u w:val="none" w:color="auto"/>
        </w:rPr>
        <w:fldChar w:fldCharType="end"/>
      </w:r>
    </w:p>
    <w:p w14:paraId="574E6BD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_Toc28398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lang w:val="en-US" w:eastAsia="zh-CN"/>
        </w:rPr>
        <w:t>生态</w:t>
      </w:r>
      <w:r>
        <w:rPr>
          <w:rFonts w:hint="default" w:ascii="Times New Roman" w:hAnsi="Times New Roman" w:cs="Times New Roman"/>
        </w:rPr>
        <w:t>环境现状监测与评价</w:t>
      </w:r>
      <w:r>
        <w:tab/>
      </w:r>
      <w:r>
        <w:fldChar w:fldCharType="begin"/>
      </w:r>
      <w:r>
        <w:instrText xml:space="preserve"> PAGEREF _Toc28398 \h </w:instrText>
      </w:r>
      <w:r>
        <w:fldChar w:fldCharType="separate"/>
      </w:r>
      <w:r>
        <w:t>84</w:t>
      </w:r>
      <w:r>
        <w:fldChar w:fldCharType="end"/>
      </w:r>
      <w:r>
        <w:rPr>
          <w:rFonts w:hint="default" w:ascii="Times New Roman" w:hAnsi="Times New Roman" w:cs="Times New Roman"/>
          <w:color w:val="auto"/>
          <w:szCs w:val="24"/>
          <w:u w:val="none" w:color="auto"/>
        </w:rPr>
        <w:fldChar w:fldCharType="end"/>
      </w:r>
    </w:p>
    <w:p w14:paraId="0CF117F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_Toc16429 </w:instrText>
      </w:r>
      <w:r>
        <w:rPr>
          <w:rFonts w:hint="default" w:ascii="Times New Roman" w:hAnsi="Times New Roman" w:cs="Times New Roman"/>
          <w:szCs w:val="24"/>
        </w:rPr>
        <w:fldChar w:fldCharType="separate"/>
      </w:r>
      <w:r>
        <w:rPr>
          <w:rFonts w:hint="eastAsia"/>
          <w:lang w:val="en-US" w:eastAsia="zh-CN"/>
        </w:rPr>
        <w:t>4.4区域污染源调查</w:t>
      </w:r>
      <w:r>
        <w:tab/>
      </w:r>
      <w:r>
        <w:fldChar w:fldCharType="begin"/>
      </w:r>
      <w:r>
        <w:instrText xml:space="preserve"> PAGEREF _Toc16429 \h </w:instrText>
      </w:r>
      <w:r>
        <w:fldChar w:fldCharType="separate"/>
      </w:r>
      <w:r>
        <w:t>85</w:t>
      </w:r>
      <w:r>
        <w:fldChar w:fldCharType="end"/>
      </w:r>
      <w:r>
        <w:rPr>
          <w:rFonts w:hint="default" w:ascii="Times New Roman" w:hAnsi="Times New Roman" w:cs="Times New Roman"/>
          <w:color w:val="auto"/>
          <w:szCs w:val="24"/>
          <w:u w:val="none" w:color="auto"/>
        </w:rPr>
        <w:fldChar w:fldCharType="end"/>
      </w:r>
    </w:p>
    <w:p w14:paraId="2EE263DE">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_Toc20637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rPr>
        <w:t>、环境影响预测与评价</w:t>
      </w:r>
      <w:r>
        <w:tab/>
      </w:r>
      <w:r>
        <w:fldChar w:fldCharType="begin"/>
      </w:r>
      <w:r>
        <w:instrText xml:space="preserve"> PAGEREF _Toc20637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5625BC9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_Toc6393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.1</w:t>
      </w:r>
      <w:r>
        <w:rPr>
          <w:rFonts w:hint="default"/>
        </w:rPr>
        <w:t>施工期环境影响分析</w:t>
      </w:r>
      <w:r>
        <w:tab/>
      </w:r>
      <w:r>
        <w:fldChar w:fldCharType="begin"/>
      </w:r>
      <w:r>
        <w:instrText xml:space="preserve"> PAGEREF _Toc6393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64F0E33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_Toc77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.2</w:t>
      </w:r>
      <w:r>
        <w:rPr>
          <w:rFonts w:hint="default"/>
        </w:rPr>
        <w:t>营运期环境影响预测与评价</w:t>
      </w:r>
      <w:r>
        <w:tab/>
      </w:r>
      <w:r>
        <w:fldChar w:fldCharType="begin"/>
      </w:r>
      <w:r>
        <w:instrText xml:space="preserve"> PAGEREF _Toc77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6B93D9F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_Toc16580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.1大气环境影响预测与评价</w:t>
      </w:r>
      <w:r>
        <w:tab/>
      </w:r>
      <w:r>
        <w:fldChar w:fldCharType="begin"/>
      </w:r>
      <w:r>
        <w:instrText xml:space="preserve"> PAGEREF _Toc16580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2B15029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_Toc13563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.2地表水环境影响分析</w:t>
      </w:r>
      <w:r>
        <w:tab/>
      </w:r>
      <w:r>
        <w:fldChar w:fldCharType="begin"/>
      </w:r>
      <w:r>
        <w:instrText xml:space="preserve"> PAGEREF _Toc13563 \h </w:instrText>
      </w:r>
      <w:r>
        <w:fldChar w:fldCharType="separate"/>
      </w:r>
      <w:r>
        <w:t>108</w:t>
      </w:r>
      <w:r>
        <w:fldChar w:fldCharType="end"/>
      </w:r>
      <w:r>
        <w:rPr>
          <w:rFonts w:hint="default" w:ascii="Times New Roman" w:hAnsi="Times New Roman" w:cs="Times New Roman"/>
          <w:color w:val="auto"/>
          <w:szCs w:val="24"/>
          <w:u w:val="none" w:color="auto"/>
        </w:rPr>
        <w:fldChar w:fldCharType="end"/>
      </w:r>
    </w:p>
    <w:p w14:paraId="51F1D41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_Toc11442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.3地下水环境影响</w:t>
      </w:r>
      <w:r>
        <w:rPr>
          <w:rFonts w:hint="eastAsia" w:cs="Times New Roman"/>
          <w:lang w:val="en-US" w:eastAsia="zh-CN"/>
        </w:rPr>
        <w:t>分析</w:t>
      </w:r>
      <w:r>
        <w:tab/>
      </w:r>
      <w:r>
        <w:fldChar w:fldCharType="begin"/>
      </w:r>
      <w:r>
        <w:instrText xml:space="preserve"> PAGEREF _Toc11442 \h </w:instrText>
      </w:r>
      <w:r>
        <w:fldChar w:fldCharType="separate"/>
      </w:r>
      <w:r>
        <w:t>111</w:t>
      </w:r>
      <w:r>
        <w:fldChar w:fldCharType="end"/>
      </w:r>
      <w:r>
        <w:rPr>
          <w:rFonts w:hint="default" w:ascii="Times New Roman" w:hAnsi="Times New Roman" w:cs="Times New Roman"/>
          <w:color w:val="auto"/>
          <w:szCs w:val="24"/>
          <w:u w:val="none" w:color="auto"/>
        </w:rPr>
        <w:fldChar w:fldCharType="end"/>
      </w:r>
    </w:p>
    <w:p w14:paraId="41786C3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_Toc10469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.4声环境影响预测与评价</w:t>
      </w:r>
      <w:r>
        <w:tab/>
      </w:r>
      <w:r>
        <w:fldChar w:fldCharType="begin"/>
      </w:r>
      <w:r>
        <w:instrText xml:space="preserve"> PAGEREF _Toc10469 \h </w:instrText>
      </w:r>
      <w:r>
        <w:fldChar w:fldCharType="separate"/>
      </w:r>
      <w:r>
        <w:t>113</w:t>
      </w:r>
      <w:r>
        <w:fldChar w:fldCharType="end"/>
      </w:r>
      <w:r>
        <w:rPr>
          <w:rFonts w:hint="default" w:ascii="Times New Roman" w:hAnsi="Times New Roman" w:cs="Times New Roman"/>
          <w:color w:val="auto"/>
          <w:szCs w:val="24"/>
          <w:u w:val="none" w:color="auto"/>
        </w:rPr>
        <w:fldChar w:fldCharType="end"/>
      </w:r>
    </w:p>
    <w:p w14:paraId="44FBC63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_Toc10486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.5固体废物环境影响评价</w:t>
      </w:r>
      <w:r>
        <w:tab/>
      </w:r>
      <w:r>
        <w:fldChar w:fldCharType="begin"/>
      </w:r>
      <w:r>
        <w:instrText xml:space="preserve"> PAGEREF _Toc10486 \h </w:instrText>
      </w:r>
      <w:r>
        <w:fldChar w:fldCharType="separate"/>
      </w:r>
      <w:r>
        <w:t>117</w:t>
      </w:r>
      <w:r>
        <w:fldChar w:fldCharType="end"/>
      </w:r>
      <w:r>
        <w:rPr>
          <w:rFonts w:hint="default" w:ascii="Times New Roman" w:hAnsi="Times New Roman" w:cs="Times New Roman"/>
          <w:color w:val="auto"/>
          <w:szCs w:val="24"/>
          <w:u w:val="none" w:color="auto"/>
        </w:rPr>
        <w:fldChar w:fldCharType="end"/>
      </w:r>
    </w:p>
    <w:p w14:paraId="3A4330A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_Toc11961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.6生态环境影响分析</w:t>
      </w:r>
      <w:r>
        <w:tab/>
      </w:r>
      <w:r>
        <w:fldChar w:fldCharType="begin"/>
      </w:r>
      <w:r>
        <w:instrText xml:space="preserve"> PAGEREF _Toc11961 \h </w:instrText>
      </w:r>
      <w:r>
        <w:fldChar w:fldCharType="separate"/>
      </w:r>
      <w:r>
        <w:t>119</w:t>
      </w:r>
      <w:r>
        <w:fldChar w:fldCharType="end"/>
      </w:r>
      <w:r>
        <w:rPr>
          <w:rFonts w:hint="default" w:ascii="Times New Roman" w:hAnsi="Times New Roman" w:cs="Times New Roman"/>
          <w:color w:val="auto"/>
          <w:szCs w:val="24"/>
          <w:u w:val="none" w:color="auto"/>
        </w:rPr>
        <w:fldChar w:fldCharType="end"/>
      </w:r>
    </w:p>
    <w:p w14:paraId="37F40F0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_Toc8123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.7土壤环境影响分析</w:t>
      </w:r>
      <w:r>
        <w:tab/>
      </w:r>
      <w:r>
        <w:fldChar w:fldCharType="begin"/>
      </w:r>
      <w:r>
        <w:instrText xml:space="preserve"> PAGEREF _Toc8123 \h </w:instrText>
      </w:r>
      <w:r>
        <w:fldChar w:fldCharType="separate"/>
      </w:r>
      <w:r>
        <w:t>119</w:t>
      </w:r>
      <w:r>
        <w:fldChar w:fldCharType="end"/>
      </w:r>
      <w:r>
        <w:rPr>
          <w:rFonts w:hint="default" w:ascii="Times New Roman" w:hAnsi="Times New Roman" w:cs="Times New Roman"/>
          <w:color w:val="auto"/>
          <w:szCs w:val="24"/>
          <w:u w:val="none" w:color="auto"/>
        </w:rPr>
        <w:fldChar w:fldCharType="end"/>
      </w:r>
    </w:p>
    <w:p w14:paraId="2AAD7F8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_Toc18757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.3</w:t>
      </w:r>
      <w:r>
        <w:rPr>
          <w:rFonts w:hint="default"/>
          <w:lang w:eastAsia="zh-CN"/>
        </w:rPr>
        <w:t>环境风险评价</w:t>
      </w:r>
      <w:r>
        <w:tab/>
      </w:r>
      <w:r>
        <w:fldChar w:fldCharType="begin"/>
      </w:r>
      <w:r>
        <w:instrText xml:space="preserve"> PAGEREF _Toc18757 \h </w:instrText>
      </w:r>
      <w:r>
        <w:fldChar w:fldCharType="separate"/>
      </w:r>
      <w:r>
        <w:t>128</w:t>
      </w:r>
      <w:r>
        <w:fldChar w:fldCharType="end"/>
      </w:r>
      <w:r>
        <w:rPr>
          <w:rFonts w:hint="default" w:ascii="Times New Roman" w:hAnsi="Times New Roman" w:cs="Times New Roman"/>
          <w:color w:val="auto"/>
          <w:szCs w:val="24"/>
          <w:u w:val="none" w:color="auto"/>
        </w:rPr>
        <w:fldChar w:fldCharType="end"/>
      </w:r>
    </w:p>
    <w:p w14:paraId="5FB8242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_Toc3236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eastAsia" w:ascii="Times New Roman" w:hAnsi="Times New Roman" w:cs="Times New Roman"/>
          <w:lang w:val="en-US" w:eastAsia="zh-CN"/>
        </w:rPr>
        <w:t>1风险调查</w:t>
      </w:r>
      <w:r>
        <w:tab/>
      </w:r>
      <w:r>
        <w:fldChar w:fldCharType="begin"/>
      </w:r>
      <w:r>
        <w:instrText xml:space="preserve"> PAGEREF _Toc3236 \h </w:instrText>
      </w:r>
      <w:r>
        <w:fldChar w:fldCharType="separate"/>
      </w:r>
      <w:r>
        <w:t>128</w:t>
      </w:r>
      <w:r>
        <w:fldChar w:fldCharType="end"/>
      </w:r>
      <w:r>
        <w:rPr>
          <w:rFonts w:hint="default" w:ascii="Times New Roman" w:hAnsi="Times New Roman" w:cs="Times New Roman"/>
          <w:color w:val="auto"/>
          <w:szCs w:val="24"/>
          <w:u w:val="none" w:color="auto"/>
        </w:rPr>
        <w:fldChar w:fldCharType="end"/>
      </w:r>
    </w:p>
    <w:p w14:paraId="0DEBA60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_Toc8582 </w:instrText>
      </w:r>
      <w:r>
        <w:rPr>
          <w:rFonts w:hint="default" w:ascii="Times New Roman" w:hAnsi="Times New Roman" w:cs="Times New Roman"/>
          <w:szCs w:val="24"/>
        </w:rPr>
        <w:fldChar w:fldCharType="separate"/>
      </w:r>
      <w:r>
        <w:rPr>
          <w:rFonts w:hint="eastAsia"/>
          <w:lang w:val="en-US" w:eastAsia="zh-CN"/>
        </w:rPr>
        <w:t>5.3.2环境风险潜势初判</w:t>
      </w:r>
      <w:r>
        <w:tab/>
      </w:r>
      <w:r>
        <w:fldChar w:fldCharType="begin"/>
      </w:r>
      <w:r>
        <w:instrText xml:space="preserve"> PAGEREF _Toc8582 \h </w:instrText>
      </w:r>
      <w:r>
        <w:fldChar w:fldCharType="separate"/>
      </w:r>
      <w:r>
        <w:t>132</w:t>
      </w:r>
      <w:r>
        <w:fldChar w:fldCharType="end"/>
      </w:r>
      <w:r>
        <w:rPr>
          <w:rFonts w:hint="default" w:ascii="Times New Roman" w:hAnsi="Times New Roman" w:cs="Times New Roman"/>
          <w:color w:val="auto"/>
          <w:szCs w:val="24"/>
          <w:u w:val="none" w:color="auto"/>
        </w:rPr>
        <w:fldChar w:fldCharType="end"/>
      </w:r>
    </w:p>
    <w:p w14:paraId="0ECF3A3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_Toc10513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.3.3</w:t>
      </w:r>
      <w:r>
        <w:rPr>
          <w:rFonts w:hint="eastAsia" w:ascii="Times New Roman" w:hAnsi="Times New Roman" w:cs="Times New Roman"/>
          <w:lang w:val="en-US" w:eastAsia="zh-CN"/>
        </w:rPr>
        <w:t>环境</w:t>
      </w:r>
      <w:r>
        <w:rPr>
          <w:rFonts w:hint="default" w:ascii="Times New Roman" w:hAnsi="Times New Roman" w:cs="Times New Roman"/>
          <w:lang w:val="en-US" w:eastAsia="zh-CN"/>
        </w:rPr>
        <w:t>风险识别</w:t>
      </w:r>
      <w:r>
        <w:tab/>
      </w:r>
      <w:r>
        <w:fldChar w:fldCharType="begin"/>
      </w:r>
      <w:r>
        <w:instrText xml:space="preserve"> PAGEREF _Toc10513 \h </w:instrText>
      </w:r>
      <w:r>
        <w:fldChar w:fldCharType="separate"/>
      </w:r>
      <w:r>
        <w:t>134</w:t>
      </w:r>
      <w:r>
        <w:fldChar w:fldCharType="end"/>
      </w:r>
      <w:r>
        <w:rPr>
          <w:rFonts w:hint="default" w:ascii="Times New Roman" w:hAnsi="Times New Roman" w:cs="Times New Roman"/>
          <w:color w:val="auto"/>
          <w:szCs w:val="24"/>
          <w:u w:val="none" w:color="auto"/>
        </w:rPr>
        <w:fldChar w:fldCharType="end"/>
      </w:r>
    </w:p>
    <w:p w14:paraId="611D715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_Toc22089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5.3.4风险事件影响分析</w:t>
      </w:r>
      <w:r>
        <w:tab/>
      </w:r>
      <w:r>
        <w:fldChar w:fldCharType="begin"/>
      </w:r>
      <w:r>
        <w:instrText xml:space="preserve"> PAGEREF _Toc22089 \h </w:instrText>
      </w:r>
      <w:r>
        <w:fldChar w:fldCharType="separate"/>
      </w:r>
      <w:r>
        <w:t>136</w:t>
      </w:r>
      <w:r>
        <w:fldChar w:fldCharType="end"/>
      </w:r>
      <w:r>
        <w:rPr>
          <w:rFonts w:hint="default" w:ascii="Times New Roman" w:hAnsi="Times New Roman" w:cs="Times New Roman"/>
          <w:color w:val="auto"/>
          <w:szCs w:val="24"/>
          <w:u w:val="none" w:color="auto"/>
        </w:rPr>
        <w:fldChar w:fldCharType="end"/>
      </w:r>
    </w:p>
    <w:p w14:paraId="514894B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_Toc32714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eastAsia" w:ascii="Times New Roman" w:hAnsi="Times New Roman" w:cs="Times New Roman"/>
          <w:lang w:val="en-US" w:eastAsia="zh-CN"/>
        </w:rPr>
        <w:t>5</w:t>
      </w:r>
      <w:r>
        <w:rPr>
          <w:rFonts w:hint="default" w:ascii="Times New Roman" w:hAnsi="Times New Roman" w:cs="Times New Roman"/>
          <w:lang w:val="en-US" w:eastAsia="zh-CN"/>
        </w:rPr>
        <w:t>事故风险防范措施</w:t>
      </w:r>
      <w:r>
        <w:tab/>
      </w:r>
      <w:r>
        <w:fldChar w:fldCharType="begin"/>
      </w:r>
      <w:r>
        <w:instrText xml:space="preserve"> PAGEREF _Toc32714 \h </w:instrText>
      </w:r>
      <w:r>
        <w:fldChar w:fldCharType="separate"/>
      </w:r>
      <w:r>
        <w:t>137</w:t>
      </w:r>
      <w:r>
        <w:fldChar w:fldCharType="end"/>
      </w:r>
      <w:r>
        <w:rPr>
          <w:rFonts w:hint="default" w:ascii="Times New Roman" w:hAnsi="Times New Roman" w:cs="Times New Roman"/>
          <w:color w:val="auto"/>
          <w:szCs w:val="24"/>
          <w:u w:val="none" w:color="auto"/>
        </w:rPr>
        <w:fldChar w:fldCharType="end"/>
      </w:r>
    </w:p>
    <w:p w14:paraId="6EAE876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_Toc14779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lang w:val="en-US" w:eastAsia="zh-CN"/>
        </w:rPr>
        <w:t>应急预案</w:t>
      </w:r>
      <w:r>
        <w:tab/>
      </w:r>
      <w:r>
        <w:fldChar w:fldCharType="begin"/>
      </w:r>
      <w:r>
        <w:instrText xml:space="preserve"> PAGEREF _Toc14779 \h </w:instrText>
      </w:r>
      <w:r>
        <w:fldChar w:fldCharType="separate"/>
      </w:r>
      <w:r>
        <w:t>141</w:t>
      </w:r>
      <w:r>
        <w:fldChar w:fldCharType="end"/>
      </w:r>
      <w:r>
        <w:rPr>
          <w:rFonts w:hint="default" w:ascii="Times New Roman" w:hAnsi="Times New Roman" w:cs="Times New Roman"/>
          <w:color w:val="auto"/>
          <w:szCs w:val="24"/>
          <w:u w:val="none" w:color="auto"/>
        </w:rPr>
        <w:fldChar w:fldCharType="end"/>
      </w:r>
    </w:p>
    <w:p w14:paraId="3E63B8E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_Toc19135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eastAsia" w:ascii="Times New Roman" w:hAnsi="Times New Roman" w:cs="Times New Roman"/>
          <w:lang w:val="en-US" w:eastAsia="zh-CN"/>
        </w:rPr>
        <w:t>7</w:t>
      </w:r>
      <w:r>
        <w:rPr>
          <w:rFonts w:hint="default" w:ascii="Times New Roman" w:hAnsi="Times New Roman" w:cs="Times New Roman"/>
          <w:lang w:val="en-US" w:eastAsia="zh-CN"/>
        </w:rPr>
        <w:t>环境风险评价结论</w:t>
      </w:r>
      <w:r>
        <w:tab/>
      </w:r>
      <w:r>
        <w:fldChar w:fldCharType="begin"/>
      </w:r>
      <w:r>
        <w:instrText xml:space="preserve"> PAGEREF _Toc19135 \h </w:instrText>
      </w:r>
      <w:r>
        <w:fldChar w:fldCharType="separate"/>
      </w:r>
      <w:r>
        <w:t>141</w:t>
      </w:r>
      <w:r>
        <w:fldChar w:fldCharType="end"/>
      </w:r>
      <w:r>
        <w:rPr>
          <w:rFonts w:hint="default" w:ascii="Times New Roman" w:hAnsi="Times New Roman" w:cs="Times New Roman"/>
          <w:color w:val="auto"/>
          <w:szCs w:val="24"/>
          <w:u w:val="none" w:color="auto"/>
        </w:rPr>
        <w:fldChar w:fldCharType="end"/>
      </w:r>
    </w:p>
    <w:p w14:paraId="5E74D2A3">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_Toc29852 </w:instrText>
      </w:r>
      <w:r>
        <w:rPr>
          <w:rFonts w:hint="default" w:ascii="Times New Roman" w:hAnsi="Times New Roman" w:cs="Times New Roman"/>
          <w:szCs w:val="24"/>
        </w:rPr>
        <w:fldChar w:fldCharType="separate"/>
      </w:r>
      <w:r>
        <w:rPr>
          <w:rFonts w:hint="eastAsia"/>
          <w:lang w:val="en-US" w:eastAsia="zh-CN"/>
        </w:rPr>
        <w:t>6</w:t>
      </w:r>
      <w:r>
        <w:rPr>
          <w:rFonts w:hint="default"/>
        </w:rPr>
        <w:t>、环境保护措施及其可行性论证</w:t>
      </w:r>
      <w:r>
        <w:tab/>
      </w:r>
      <w:r>
        <w:fldChar w:fldCharType="begin"/>
      </w:r>
      <w:r>
        <w:instrText xml:space="preserve"> PAGEREF _Toc29852 \h </w:instrText>
      </w:r>
      <w:r>
        <w:fldChar w:fldCharType="separate"/>
      </w:r>
      <w:r>
        <w:t>143</w:t>
      </w:r>
      <w:r>
        <w:fldChar w:fldCharType="end"/>
      </w:r>
      <w:r>
        <w:rPr>
          <w:rFonts w:hint="default" w:ascii="Times New Roman" w:hAnsi="Times New Roman" w:cs="Times New Roman"/>
          <w:color w:val="auto"/>
          <w:szCs w:val="24"/>
          <w:u w:val="none" w:color="auto"/>
        </w:rPr>
        <w:fldChar w:fldCharType="end"/>
      </w:r>
    </w:p>
    <w:p w14:paraId="366C352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_Toc21497 </w:instrText>
      </w:r>
      <w:r>
        <w:rPr>
          <w:rFonts w:hint="default" w:ascii="Times New Roman" w:hAnsi="Times New Roman" w:cs="Times New Roman"/>
          <w:szCs w:val="24"/>
        </w:rPr>
        <w:fldChar w:fldCharType="separate"/>
      </w:r>
      <w:r>
        <w:rPr>
          <w:rFonts w:hint="eastAsia"/>
          <w:lang w:val="en-US" w:eastAsia="zh-CN"/>
        </w:rPr>
        <w:t>6</w:t>
      </w:r>
      <w:r>
        <w:rPr>
          <w:rFonts w:hint="default"/>
          <w:lang w:val="en-US" w:eastAsia="zh-CN"/>
        </w:rPr>
        <w:t>.1</w:t>
      </w:r>
      <w:r>
        <w:rPr>
          <w:rFonts w:hint="default"/>
        </w:rPr>
        <w:t>施工期污染防治措施</w:t>
      </w:r>
      <w:r>
        <w:tab/>
      </w:r>
      <w:r>
        <w:fldChar w:fldCharType="begin"/>
      </w:r>
      <w:r>
        <w:instrText xml:space="preserve"> PAGEREF _Toc21497 \h </w:instrText>
      </w:r>
      <w:r>
        <w:fldChar w:fldCharType="separate"/>
      </w:r>
      <w:r>
        <w:t>143</w:t>
      </w:r>
      <w:r>
        <w:fldChar w:fldCharType="end"/>
      </w:r>
      <w:r>
        <w:rPr>
          <w:rFonts w:hint="default" w:ascii="Times New Roman" w:hAnsi="Times New Roman" w:cs="Times New Roman"/>
          <w:color w:val="auto"/>
          <w:szCs w:val="24"/>
          <w:u w:val="none" w:color="auto"/>
        </w:rPr>
        <w:fldChar w:fldCharType="end"/>
      </w:r>
    </w:p>
    <w:p w14:paraId="56B64DB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_Toc1014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.1.1废气防治措施</w:t>
      </w:r>
      <w:r>
        <w:tab/>
      </w:r>
      <w:r>
        <w:fldChar w:fldCharType="begin"/>
      </w:r>
      <w:r>
        <w:instrText xml:space="preserve"> PAGEREF _Toc1014 \h </w:instrText>
      </w:r>
      <w:r>
        <w:fldChar w:fldCharType="separate"/>
      </w:r>
      <w:r>
        <w:t>143</w:t>
      </w:r>
      <w:r>
        <w:fldChar w:fldCharType="end"/>
      </w:r>
      <w:r>
        <w:rPr>
          <w:rFonts w:hint="default" w:ascii="Times New Roman" w:hAnsi="Times New Roman" w:cs="Times New Roman"/>
          <w:color w:val="auto"/>
          <w:szCs w:val="24"/>
          <w:u w:val="none" w:color="auto"/>
        </w:rPr>
        <w:fldChar w:fldCharType="end"/>
      </w:r>
    </w:p>
    <w:p w14:paraId="11069B4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_Toc6902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.1.2废水防治措施</w:t>
      </w:r>
      <w:r>
        <w:tab/>
      </w:r>
      <w:r>
        <w:fldChar w:fldCharType="begin"/>
      </w:r>
      <w:r>
        <w:instrText xml:space="preserve"> PAGEREF _Toc6902 \h </w:instrText>
      </w:r>
      <w:r>
        <w:fldChar w:fldCharType="separate"/>
      </w:r>
      <w:r>
        <w:t>143</w:t>
      </w:r>
      <w:r>
        <w:fldChar w:fldCharType="end"/>
      </w:r>
      <w:r>
        <w:rPr>
          <w:rFonts w:hint="default" w:ascii="Times New Roman" w:hAnsi="Times New Roman" w:cs="Times New Roman"/>
          <w:color w:val="auto"/>
          <w:szCs w:val="24"/>
          <w:u w:val="none" w:color="auto"/>
        </w:rPr>
        <w:fldChar w:fldCharType="end"/>
      </w:r>
    </w:p>
    <w:p w14:paraId="632B4B5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_Toc28028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.1.3固体废物防治措施</w:t>
      </w:r>
      <w:r>
        <w:tab/>
      </w:r>
      <w:r>
        <w:fldChar w:fldCharType="begin"/>
      </w:r>
      <w:r>
        <w:instrText xml:space="preserve"> PAGEREF _Toc28028 \h </w:instrText>
      </w:r>
      <w:r>
        <w:fldChar w:fldCharType="separate"/>
      </w:r>
      <w:r>
        <w:t>144</w:t>
      </w:r>
      <w:r>
        <w:fldChar w:fldCharType="end"/>
      </w:r>
      <w:r>
        <w:rPr>
          <w:rFonts w:hint="default" w:ascii="Times New Roman" w:hAnsi="Times New Roman" w:cs="Times New Roman"/>
          <w:color w:val="auto"/>
          <w:szCs w:val="24"/>
          <w:u w:val="none" w:color="auto"/>
        </w:rPr>
        <w:fldChar w:fldCharType="end"/>
      </w:r>
    </w:p>
    <w:p w14:paraId="7559E37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_Toc18951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.1.4噪声污染防治措施</w:t>
      </w:r>
      <w:r>
        <w:tab/>
      </w:r>
      <w:r>
        <w:fldChar w:fldCharType="begin"/>
      </w:r>
      <w:r>
        <w:instrText xml:space="preserve"> PAGEREF _Toc18951 \h </w:instrText>
      </w:r>
      <w:r>
        <w:fldChar w:fldCharType="separate"/>
      </w:r>
      <w:r>
        <w:t>144</w:t>
      </w:r>
      <w:r>
        <w:fldChar w:fldCharType="end"/>
      </w:r>
      <w:r>
        <w:rPr>
          <w:rFonts w:hint="default" w:ascii="Times New Roman" w:hAnsi="Times New Roman" w:cs="Times New Roman"/>
          <w:color w:val="auto"/>
          <w:szCs w:val="24"/>
          <w:u w:val="none" w:color="auto"/>
        </w:rPr>
        <w:fldChar w:fldCharType="end"/>
      </w:r>
    </w:p>
    <w:p w14:paraId="0F0F4FD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_Toc10244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.1.5施工生态影响缓解措施</w:t>
      </w:r>
      <w:r>
        <w:tab/>
      </w:r>
      <w:r>
        <w:fldChar w:fldCharType="begin"/>
      </w:r>
      <w:r>
        <w:instrText xml:space="preserve"> PAGEREF _Toc10244 \h </w:instrText>
      </w:r>
      <w:r>
        <w:fldChar w:fldCharType="separate"/>
      </w:r>
      <w:r>
        <w:t>145</w:t>
      </w:r>
      <w:r>
        <w:fldChar w:fldCharType="end"/>
      </w:r>
      <w:r>
        <w:rPr>
          <w:rFonts w:hint="default" w:ascii="Times New Roman" w:hAnsi="Times New Roman" w:cs="Times New Roman"/>
          <w:color w:val="auto"/>
          <w:szCs w:val="24"/>
          <w:u w:val="none" w:color="auto"/>
        </w:rPr>
        <w:fldChar w:fldCharType="end"/>
      </w:r>
    </w:p>
    <w:p w14:paraId="2EECC79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_Toc9056 </w:instrText>
      </w:r>
      <w:r>
        <w:rPr>
          <w:rFonts w:hint="default" w:ascii="Times New Roman" w:hAnsi="Times New Roman" w:cs="Times New Roman"/>
          <w:szCs w:val="24"/>
        </w:rPr>
        <w:fldChar w:fldCharType="separate"/>
      </w:r>
      <w:r>
        <w:rPr>
          <w:rFonts w:hint="eastAsia"/>
          <w:lang w:val="en-US" w:eastAsia="zh-CN"/>
        </w:rPr>
        <w:t>6</w:t>
      </w:r>
      <w:r>
        <w:rPr>
          <w:rFonts w:hint="default"/>
          <w:lang w:val="en-US" w:eastAsia="zh-CN"/>
        </w:rPr>
        <w:t>.2</w:t>
      </w:r>
      <w:r>
        <w:rPr>
          <w:rFonts w:hint="default"/>
        </w:rPr>
        <w:t>运营期污染防治措施</w:t>
      </w:r>
      <w:r>
        <w:tab/>
      </w:r>
      <w:r>
        <w:fldChar w:fldCharType="begin"/>
      </w:r>
      <w:r>
        <w:instrText xml:space="preserve"> PAGEREF _Toc9056 \h </w:instrText>
      </w:r>
      <w:r>
        <w:fldChar w:fldCharType="separate"/>
      </w:r>
      <w:r>
        <w:t>145</w:t>
      </w:r>
      <w:r>
        <w:fldChar w:fldCharType="end"/>
      </w:r>
      <w:r>
        <w:rPr>
          <w:rFonts w:hint="default" w:ascii="Times New Roman" w:hAnsi="Times New Roman" w:cs="Times New Roman"/>
          <w:color w:val="auto"/>
          <w:szCs w:val="24"/>
          <w:u w:val="none" w:color="auto"/>
        </w:rPr>
        <w:fldChar w:fldCharType="end"/>
      </w:r>
    </w:p>
    <w:p w14:paraId="17ECADF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_Toc24765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.1废气治理措施及达标可行性分析</w:t>
      </w:r>
      <w:r>
        <w:tab/>
      </w:r>
      <w:r>
        <w:fldChar w:fldCharType="begin"/>
      </w:r>
      <w:r>
        <w:instrText xml:space="preserve"> PAGEREF _Toc24765 \h </w:instrText>
      </w:r>
      <w:r>
        <w:fldChar w:fldCharType="separate"/>
      </w:r>
      <w:r>
        <w:t>145</w:t>
      </w:r>
      <w:r>
        <w:fldChar w:fldCharType="end"/>
      </w:r>
      <w:r>
        <w:rPr>
          <w:rFonts w:hint="default" w:ascii="Times New Roman" w:hAnsi="Times New Roman" w:cs="Times New Roman"/>
          <w:color w:val="auto"/>
          <w:szCs w:val="24"/>
          <w:u w:val="none" w:color="auto"/>
        </w:rPr>
        <w:fldChar w:fldCharType="end"/>
      </w:r>
    </w:p>
    <w:p w14:paraId="53BB998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_Toc3077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.2废水治理措施及达标可行性分析</w:t>
      </w:r>
      <w:r>
        <w:tab/>
      </w:r>
      <w:r>
        <w:fldChar w:fldCharType="begin"/>
      </w:r>
      <w:r>
        <w:instrText xml:space="preserve"> PAGEREF _Toc3077 \h </w:instrText>
      </w:r>
      <w:r>
        <w:fldChar w:fldCharType="separate"/>
      </w:r>
      <w:r>
        <w:t>150</w:t>
      </w:r>
      <w:r>
        <w:fldChar w:fldCharType="end"/>
      </w:r>
      <w:r>
        <w:rPr>
          <w:rFonts w:hint="default" w:ascii="Times New Roman" w:hAnsi="Times New Roman" w:cs="Times New Roman"/>
          <w:color w:val="auto"/>
          <w:szCs w:val="24"/>
          <w:u w:val="none" w:color="auto"/>
        </w:rPr>
        <w:fldChar w:fldCharType="end"/>
      </w:r>
    </w:p>
    <w:p w14:paraId="6727041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_Toc19122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.3地下水的环境保护措施可行性分析</w:t>
      </w:r>
      <w:r>
        <w:tab/>
      </w:r>
      <w:r>
        <w:fldChar w:fldCharType="begin"/>
      </w:r>
      <w:r>
        <w:instrText xml:space="preserve"> PAGEREF _Toc19122 \h </w:instrText>
      </w:r>
      <w:r>
        <w:fldChar w:fldCharType="separate"/>
      </w:r>
      <w:r>
        <w:t>151</w:t>
      </w:r>
      <w:r>
        <w:fldChar w:fldCharType="end"/>
      </w:r>
      <w:r>
        <w:rPr>
          <w:rFonts w:hint="default" w:ascii="Times New Roman" w:hAnsi="Times New Roman" w:cs="Times New Roman"/>
          <w:color w:val="auto"/>
          <w:szCs w:val="24"/>
          <w:u w:val="none" w:color="auto"/>
        </w:rPr>
        <w:fldChar w:fldCharType="end"/>
      </w:r>
    </w:p>
    <w:p w14:paraId="7A2206A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_Toc22545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.4噪声治理措施及达标可行性分析</w:t>
      </w:r>
      <w:r>
        <w:tab/>
      </w:r>
      <w:r>
        <w:fldChar w:fldCharType="begin"/>
      </w:r>
      <w:r>
        <w:instrText xml:space="preserve"> PAGEREF _Toc22545 \h </w:instrText>
      </w:r>
      <w:r>
        <w:fldChar w:fldCharType="separate"/>
      </w:r>
      <w:r>
        <w:t>155</w:t>
      </w:r>
      <w:r>
        <w:fldChar w:fldCharType="end"/>
      </w:r>
      <w:r>
        <w:rPr>
          <w:rFonts w:hint="default" w:ascii="Times New Roman" w:hAnsi="Times New Roman" w:cs="Times New Roman"/>
          <w:color w:val="auto"/>
          <w:szCs w:val="24"/>
          <w:u w:val="none" w:color="auto"/>
        </w:rPr>
        <w:fldChar w:fldCharType="end"/>
      </w:r>
    </w:p>
    <w:p w14:paraId="71BE59E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_Toc881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.5固体废物治理措施及达标可行性分析</w:t>
      </w:r>
      <w:r>
        <w:tab/>
      </w:r>
      <w:r>
        <w:fldChar w:fldCharType="begin"/>
      </w:r>
      <w:r>
        <w:instrText xml:space="preserve"> PAGEREF _Toc881 \h </w:instrText>
      </w:r>
      <w:r>
        <w:fldChar w:fldCharType="separate"/>
      </w:r>
      <w:r>
        <w:t>156</w:t>
      </w:r>
      <w:r>
        <w:fldChar w:fldCharType="end"/>
      </w:r>
      <w:r>
        <w:rPr>
          <w:rFonts w:hint="default" w:ascii="Times New Roman" w:hAnsi="Times New Roman" w:cs="Times New Roman"/>
          <w:color w:val="auto"/>
          <w:szCs w:val="24"/>
          <w:u w:val="none" w:color="auto"/>
        </w:rPr>
        <w:fldChar w:fldCharType="end"/>
      </w:r>
    </w:p>
    <w:p w14:paraId="6BAEF52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_Toc23754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eastAsia="宋体" w:cs="Times New Roman"/>
          <w:lang w:val="en-US" w:eastAsia="zh-CN"/>
        </w:rPr>
        <w:t>.6土壤防治措施分析</w:t>
      </w:r>
      <w:r>
        <w:tab/>
      </w:r>
      <w:r>
        <w:fldChar w:fldCharType="begin"/>
      </w:r>
      <w:r>
        <w:instrText xml:space="preserve"> PAGEREF _Toc23754 \h </w:instrText>
      </w:r>
      <w:r>
        <w:fldChar w:fldCharType="separate"/>
      </w:r>
      <w:r>
        <w:t>158</w:t>
      </w:r>
      <w:r>
        <w:fldChar w:fldCharType="end"/>
      </w:r>
      <w:r>
        <w:rPr>
          <w:rFonts w:hint="default" w:ascii="Times New Roman" w:hAnsi="Times New Roman" w:cs="Times New Roman"/>
          <w:color w:val="auto"/>
          <w:szCs w:val="24"/>
          <w:u w:val="none" w:color="auto"/>
        </w:rPr>
        <w:fldChar w:fldCharType="end"/>
      </w:r>
    </w:p>
    <w:p w14:paraId="2D0FFBF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_Toc31873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.2.7</w:t>
      </w:r>
      <w:r>
        <w:rPr>
          <w:rFonts w:hint="default" w:ascii="Times New Roman" w:hAnsi="Times New Roman" w:cs="Times New Roman"/>
          <w:lang w:eastAsia="zh-CN"/>
        </w:rPr>
        <w:t>环保措施及投资估算</w:t>
      </w:r>
      <w:r>
        <w:tab/>
      </w:r>
      <w:r>
        <w:fldChar w:fldCharType="begin"/>
      </w:r>
      <w:r>
        <w:instrText xml:space="preserve"> PAGEREF _Toc31873 \h </w:instrText>
      </w:r>
      <w:r>
        <w:fldChar w:fldCharType="separate"/>
      </w:r>
      <w:r>
        <w:t>158</w:t>
      </w:r>
      <w:r>
        <w:fldChar w:fldCharType="end"/>
      </w:r>
      <w:r>
        <w:rPr>
          <w:rFonts w:hint="default" w:ascii="Times New Roman" w:hAnsi="Times New Roman" w:cs="Times New Roman"/>
          <w:color w:val="auto"/>
          <w:szCs w:val="24"/>
          <w:u w:val="none" w:color="auto"/>
        </w:rPr>
        <w:fldChar w:fldCharType="end"/>
      </w:r>
    </w:p>
    <w:p w14:paraId="2950F06D">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_Toc8070 </w:instrText>
      </w:r>
      <w:r>
        <w:rPr>
          <w:rFonts w:hint="default" w:ascii="Times New Roman" w:hAnsi="Times New Roman" w:cs="Times New Roman"/>
          <w:szCs w:val="24"/>
        </w:rPr>
        <w:fldChar w:fldCharType="separate"/>
      </w:r>
      <w:r>
        <w:rPr>
          <w:rFonts w:hint="eastAsia"/>
          <w:lang w:val="en-US" w:eastAsia="zh-CN"/>
        </w:rPr>
        <w:t>7</w:t>
      </w:r>
      <w:r>
        <w:rPr>
          <w:rFonts w:hint="default"/>
          <w:lang w:val="en-US" w:eastAsia="zh-CN"/>
        </w:rPr>
        <w:t>、</w:t>
      </w:r>
      <w:r>
        <w:rPr>
          <w:rFonts w:hint="default"/>
        </w:rPr>
        <w:t>环境效益分析</w:t>
      </w:r>
      <w:r>
        <w:tab/>
      </w:r>
      <w:r>
        <w:fldChar w:fldCharType="begin"/>
      </w:r>
      <w:r>
        <w:instrText xml:space="preserve"> PAGEREF _Toc8070 \h </w:instrText>
      </w:r>
      <w:r>
        <w:fldChar w:fldCharType="separate"/>
      </w:r>
      <w:r>
        <w:t>160</w:t>
      </w:r>
      <w:r>
        <w:fldChar w:fldCharType="end"/>
      </w:r>
      <w:r>
        <w:rPr>
          <w:rFonts w:hint="default" w:ascii="Times New Roman" w:hAnsi="Times New Roman" w:cs="Times New Roman"/>
          <w:color w:val="auto"/>
          <w:szCs w:val="24"/>
          <w:u w:val="none" w:color="auto"/>
        </w:rPr>
        <w:fldChar w:fldCharType="end"/>
      </w:r>
    </w:p>
    <w:p w14:paraId="1B2349D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_Toc24493 </w:instrText>
      </w:r>
      <w:r>
        <w:rPr>
          <w:rFonts w:hint="default" w:ascii="Times New Roman" w:hAnsi="Times New Roman" w:cs="Times New Roman"/>
          <w:szCs w:val="24"/>
        </w:rPr>
        <w:fldChar w:fldCharType="separate"/>
      </w:r>
      <w:r>
        <w:rPr>
          <w:rFonts w:hint="eastAsia"/>
          <w:lang w:val="en-US" w:eastAsia="zh-CN"/>
        </w:rPr>
        <w:t>7.1环境效益分析</w:t>
      </w:r>
      <w:r>
        <w:tab/>
      </w:r>
      <w:r>
        <w:fldChar w:fldCharType="begin"/>
      </w:r>
      <w:r>
        <w:instrText xml:space="preserve"> PAGEREF _Toc24493 \h </w:instrText>
      </w:r>
      <w:r>
        <w:fldChar w:fldCharType="separate"/>
      </w:r>
      <w:r>
        <w:t>160</w:t>
      </w:r>
      <w:r>
        <w:fldChar w:fldCharType="end"/>
      </w:r>
      <w:r>
        <w:rPr>
          <w:rFonts w:hint="default" w:ascii="Times New Roman" w:hAnsi="Times New Roman" w:cs="Times New Roman"/>
          <w:color w:val="auto"/>
          <w:szCs w:val="24"/>
          <w:u w:val="none" w:color="auto"/>
        </w:rPr>
        <w:fldChar w:fldCharType="end"/>
      </w:r>
    </w:p>
    <w:p w14:paraId="411CA11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_Toc21634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.1.1环境成本</w:t>
      </w:r>
      <w:r>
        <w:tab/>
      </w:r>
      <w:r>
        <w:fldChar w:fldCharType="begin"/>
      </w:r>
      <w:r>
        <w:instrText xml:space="preserve"> PAGEREF _Toc21634 \h </w:instrText>
      </w:r>
      <w:r>
        <w:fldChar w:fldCharType="separate"/>
      </w:r>
      <w:r>
        <w:t>160</w:t>
      </w:r>
      <w:r>
        <w:fldChar w:fldCharType="end"/>
      </w:r>
      <w:r>
        <w:rPr>
          <w:rFonts w:hint="default" w:ascii="Times New Roman" w:hAnsi="Times New Roman" w:cs="Times New Roman"/>
          <w:color w:val="auto"/>
          <w:szCs w:val="24"/>
          <w:u w:val="none" w:color="auto"/>
        </w:rPr>
        <w:fldChar w:fldCharType="end"/>
      </w:r>
    </w:p>
    <w:p w14:paraId="7CA68B6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_Toc854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.1.2环境收益</w:t>
      </w:r>
      <w:r>
        <w:tab/>
      </w:r>
      <w:r>
        <w:fldChar w:fldCharType="begin"/>
      </w:r>
      <w:r>
        <w:instrText xml:space="preserve"> PAGEREF _Toc854 \h </w:instrText>
      </w:r>
      <w:r>
        <w:fldChar w:fldCharType="separate"/>
      </w:r>
      <w:r>
        <w:t>160</w:t>
      </w:r>
      <w:r>
        <w:fldChar w:fldCharType="end"/>
      </w:r>
      <w:r>
        <w:rPr>
          <w:rFonts w:hint="default" w:ascii="Times New Roman" w:hAnsi="Times New Roman" w:cs="Times New Roman"/>
          <w:color w:val="auto"/>
          <w:szCs w:val="24"/>
          <w:u w:val="none" w:color="auto"/>
        </w:rPr>
        <w:fldChar w:fldCharType="end"/>
      </w:r>
    </w:p>
    <w:p w14:paraId="1790139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_Toc1872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.1.3经济损益分析</w:t>
      </w:r>
      <w:r>
        <w:tab/>
      </w:r>
      <w:r>
        <w:fldChar w:fldCharType="begin"/>
      </w:r>
      <w:r>
        <w:instrText xml:space="preserve"> PAGEREF _Toc1872 \h </w:instrText>
      </w:r>
      <w:r>
        <w:fldChar w:fldCharType="separate"/>
      </w:r>
      <w:r>
        <w:t>161</w:t>
      </w:r>
      <w:r>
        <w:fldChar w:fldCharType="end"/>
      </w:r>
      <w:r>
        <w:rPr>
          <w:rFonts w:hint="default" w:ascii="Times New Roman" w:hAnsi="Times New Roman" w:cs="Times New Roman"/>
          <w:color w:val="auto"/>
          <w:szCs w:val="24"/>
          <w:u w:val="none" w:color="auto"/>
        </w:rPr>
        <w:fldChar w:fldCharType="end"/>
      </w:r>
    </w:p>
    <w:p w14:paraId="52AF453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_Toc24752 </w:instrText>
      </w:r>
      <w:r>
        <w:rPr>
          <w:rFonts w:hint="default" w:ascii="Times New Roman" w:hAnsi="Times New Roman" w:cs="Times New Roman"/>
          <w:szCs w:val="24"/>
        </w:rPr>
        <w:fldChar w:fldCharType="separate"/>
      </w:r>
      <w:r>
        <w:rPr>
          <w:rFonts w:hint="eastAsia"/>
          <w:lang w:val="en-US" w:eastAsia="zh-CN"/>
        </w:rPr>
        <w:t>7</w:t>
      </w:r>
      <w:r>
        <w:rPr>
          <w:rFonts w:hint="default"/>
        </w:rPr>
        <w:t>.</w:t>
      </w:r>
      <w:r>
        <w:rPr>
          <w:rFonts w:hint="default"/>
          <w:lang w:val="en-US" w:eastAsia="zh-CN"/>
        </w:rPr>
        <w:t>2</w:t>
      </w:r>
      <w:r>
        <w:rPr>
          <w:rFonts w:hint="default"/>
        </w:rPr>
        <w:t>社会效益分析</w:t>
      </w:r>
      <w:r>
        <w:tab/>
      </w:r>
      <w:r>
        <w:fldChar w:fldCharType="begin"/>
      </w:r>
      <w:r>
        <w:instrText xml:space="preserve"> PAGEREF _Toc24752 \h </w:instrText>
      </w:r>
      <w:r>
        <w:fldChar w:fldCharType="separate"/>
      </w:r>
      <w:r>
        <w:t>162</w:t>
      </w:r>
      <w:r>
        <w:fldChar w:fldCharType="end"/>
      </w:r>
      <w:r>
        <w:rPr>
          <w:rFonts w:hint="default" w:ascii="Times New Roman" w:hAnsi="Times New Roman" w:cs="Times New Roman"/>
          <w:color w:val="auto"/>
          <w:szCs w:val="24"/>
          <w:u w:val="none" w:color="auto"/>
        </w:rPr>
        <w:fldChar w:fldCharType="end"/>
      </w:r>
    </w:p>
    <w:p w14:paraId="20FC433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_Toc8342 </w:instrText>
      </w:r>
      <w:r>
        <w:rPr>
          <w:rFonts w:hint="default" w:ascii="Times New Roman" w:hAnsi="Times New Roman" w:cs="Times New Roman"/>
          <w:szCs w:val="24"/>
        </w:rPr>
        <w:fldChar w:fldCharType="separate"/>
      </w:r>
      <w:r>
        <w:rPr>
          <w:rFonts w:hint="eastAsia"/>
          <w:lang w:val="en-US" w:eastAsia="zh-CN"/>
        </w:rPr>
        <w:t>7</w:t>
      </w:r>
      <w:r>
        <w:rPr>
          <w:rFonts w:hint="default"/>
        </w:rPr>
        <w:t>.</w:t>
      </w:r>
      <w:r>
        <w:rPr>
          <w:rFonts w:hint="default"/>
          <w:lang w:val="en-US" w:eastAsia="zh-CN"/>
        </w:rPr>
        <w:t>3</w:t>
      </w:r>
      <w:r>
        <w:rPr>
          <w:rFonts w:hint="default"/>
        </w:rPr>
        <w:t>综合分析</w:t>
      </w:r>
      <w:r>
        <w:tab/>
      </w:r>
      <w:r>
        <w:fldChar w:fldCharType="begin"/>
      </w:r>
      <w:r>
        <w:instrText xml:space="preserve"> PAGEREF _Toc8342 \h </w:instrText>
      </w:r>
      <w:r>
        <w:fldChar w:fldCharType="separate"/>
      </w:r>
      <w:r>
        <w:t>162</w:t>
      </w:r>
      <w:r>
        <w:fldChar w:fldCharType="end"/>
      </w:r>
      <w:r>
        <w:rPr>
          <w:rFonts w:hint="default" w:ascii="Times New Roman" w:hAnsi="Times New Roman" w:cs="Times New Roman"/>
          <w:color w:val="auto"/>
          <w:szCs w:val="24"/>
          <w:u w:val="none" w:color="auto"/>
        </w:rPr>
        <w:fldChar w:fldCharType="end"/>
      </w:r>
    </w:p>
    <w:p w14:paraId="7F80C62F">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_Toc18692 </w:instrText>
      </w:r>
      <w:r>
        <w:rPr>
          <w:rFonts w:hint="default" w:ascii="Times New Roman" w:hAnsi="Times New Roman" w:cs="Times New Roman"/>
          <w:szCs w:val="24"/>
        </w:rPr>
        <w:fldChar w:fldCharType="separate"/>
      </w:r>
      <w:r>
        <w:rPr>
          <w:rFonts w:hint="eastAsia" w:ascii="Times New Roman" w:hAnsi="Times New Roman" w:eastAsia="宋体" w:cs="Times New Roman"/>
          <w:szCs w:val="24"/>
          <w:lang w:val="en-US" w:eastAsia="zh-CN"/>
        </w:rPr>
        <w:t>8</w:t>
      </w:r>
      <w:r>
        <w:rPr>
          <w:rFonts w:hint="default"/>
        </w:rPr>
        <w:t>、环境管理与监测</w:t>
      </w:r>
      <w:r>
        <w:rPr>
          <w:rFonts w:hint="default"/>
          <w:lang w:eastAsia="zh-CN"/>
        </w:rPr>
        <w:t>计划</w:t>
      </w:r>
      <w:r>
        <w:tab/>
      </w:r>
      <w:r>
        <w:fldChar w:fldCharType="begin"/>
      </w:r>
      <w:r>
        <w:instrText xml:space="preserve"> PAGEREF _Toc18692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23ED48F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_Toc29385 </w:instrText>
      </w:r>
      <w:r>
        <w:rPr>
          <w:rFonts w:hint="default" w:ascii="Times New Roman" w:hAnsi="Times New Roman" w:cs="Times New Roman"/>
          <w:szCs w:val="24"/>
        </w:rPr>
        <w:fldChar w:fldCharType="separate"/>
      </w:r>
      <w:r>
        <w:rPr>
          <w:rFonts w:hint="eastAsia"/>
          <w:lang w:val="en-US" w:eastAsia="zh-CN"/>
        </w:rPr>
        <w:t>8</w:t>
      </w:r>
      <w:r>
        <w:rPr>
          <w:rFonts w:hint="default"/>
        </w:rPr>
        <w:t>.1环境管理</w:t>
      </w:r>
      <w:r>
        <w:tab/>
      </w:r>
      <w:r>
        <w:fldChar w:fldCharType="begin"/>
      </w:r>
      <w:r>
        <w:instrText xml:space="preserve"> PAGEREF _Toc29385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62BAF09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_Toc14844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.1.1环境保护管理目标</w:t>
      </w:r>
      <w:r>
        <w:tab/>
      </w:r>
      <w:r>
        <w:fldChar w:fldCharType="begin"/>
      </w:r>
      <w:r>
        <w:instrText xml:space="preserve"> PAGEREF _Toc14844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27164B7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_Toc19921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.1.2环境管理机构设置</w:t>
      </w:r>
      <w:r>
        <w:tab/>
      </w:r>
      <w:r>
        <w:fldChar w:fldCharType="begin"/>
      </w:r>
      <w:r>
        <w:instrText xml:space="preserve"> PAGEREF _Toc19921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7D0DE48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_Toc28985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.1.3环境管理机构的职责</w:t>
      </w:r>
      <w:r>
        <w:tab/>
      </w:r>
      <w:r>
        <w:fldChar w:fldCharType="begin"/>
      </w:r>
      <w:r>
        <w:instrText xml:space="preserve"> PAGEREF _Toc28985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7D3F922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_Toc22710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.1.4环境管理规章制度</w:t>
      </w:r>
      <w:r>
        <w:tab/>
      </w:r>
      <w:r>
        <w:fldChar w:fldCharType="begin"/>
      </w:r>
      <w:r>
        <w:instrText xml:space="preserve"> PAGEREF _Toc22710 \h </w:instrText>
      </w:r>
      <w:r>
        <w:fldChar w:fldCharType="separate"/>
      </w:r>
      <w:r>
        <w:t>164</w:t>
      </w:r>
      <w:r>
        <w:fldChar w:fldCharType="end"/>
      </w:r>
      <w:r>
        <w:rPr>
          <w:rFonts w:hint="default" w:ascii="Times New Roman" w:hAnsi="Times New Roman" w:cs="Times New Roman"/>
          <w:color w:val="auto"/>
          <w:szCs w:val="24"/>
          <w:u w:val="none" w:color="auto"/>
        </w:rPr>
        <w:fldChar w:fldCharType="end"/>
      </w:r>
    </w:p>
    <w:p w14:paraId="42B6691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_Toc8655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.1.5环境管理计划</w:t>
      </w:r>
      <w:r>
        <w:tab/>
      </w:r>
      <w:r>
        <w:fldChar w:fldCharType="begin"/>
      </w:r>
      <w:r>
        <w:instrText xml:space="preserve"> PAGEREF _Toc8655 \h </w:instrText>
      </w:r>
      <w:r>
        <w:fldChar w:fldCharType="separate"/>
      </w:r>
      <w:r>
        <w:t>165</w:t>
      </w:r>
      <w:r>
        <w:fldChar w:fldCharType="end"/>
      </w:r>
      <w:r>
        <w:rPr>
          <w:rFonts w:hint="default" w:ascii="Times New Roman" w:hAnsi="Times New Roman" w:cs="Times New Roman"/>
          <w:color w:val="auto"/>
          <w:szCs w:val="24"/>
          <w:u w:val="none" w:color="auto"/>
        </w:rPr>
        <w:fldChar w:fldCharType="end"/>
      </w:r>
    </w:p>
    <w:p w14:paraId="513DC00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_Toc10692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.1.6</w:t>
      </w:r>
      <w:r>
        <w:rPr>
          <w:rFonts w:hint="default" w:ascii="Times New Roman" w:hAnsi="Times New Roman" w:cs="Times New Roman"/>
        </w:rPr>
        <w:t>排污口管理</w:t>
      </w:r>
      <w:r>
        <w:tab/>
      </w:r>
      <w:r>
        <w:fldChar w:fldCharType="begin"/>
      </w:r>
      <w:r>
        <w:instrText xml:space="preserve"> PAGEREF _Toc10692 \h </w:instrText>
      </w:r>
      <w:r>
        <w:fldChar w:fldCharType="separate"/>
      </w:r>
      <w:r>
        <w:t>167</w:t>
      </w:r>
      <w:r>
        <w:fldChar w:fldCharType="end"/>
      </w:r>
      <w:r>
        <w:rPr>
          <w:rFonts w:hint="default" w:ascii="Times New Roman" w:hAnsi="Times New Roman" w:cs="Times New Roman"/>
          <w:color w:val="auto"/>
          <w:szCs w:val="24"/>
          <w:u w:val="none" w:color="auto"/>
        </w:rPr>
        <w:fldChar w:fldCharType="end"/>
      </w:r>
    </w:p>
    <w:p w14:paraId="4D9582D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_Toc596 </w:instrText>
      </w:r>
      <w:r>
        <w:rPr>
          <w:rFonts w:hint="default" w:ascii="Times New Roman" w:hAnsi="Times New Roman" w:cs="Times New Roman"/>
          <w:szCs w:val="24"/>
        </w:rPr>
        <w:fldChar w:fldCharType="separate"/>
      </w:r>
      <w:r>
        <w:rPr>
          <w:rFonts w:hint="eastAsia"/>
          <w:lang w:val="en-US" w:eastAsia="zh-CN"/>
        </w:rPr>
        <w:t>8</w:t>
      </w:r>
      <w:r>
        <w:rPr>
          <w:rFonts w:hint="default"/>
        </w:rPr>
        <w:t>.2环境监</w:t>
      </w:r>
      <w:r>
        <w:rPr>
          <w:rFonts w:hint="default"/>
          <w:lang w:eastAsia="zh-CN"/>
        </w:rPr>
        <w:t>测</w:t>
      </w:r>
      <w:r>
        <w:rPr>
          <w:rFonts w:hint="default"/>
        </w:rPr>
        <w:t>计划</w:t>
      </w:r>
      <w:r>
        <w:tab/>
      </w:r>
      <w:r>
        <w:fldChar w:fldCharType="begin"/>
      </w:r>
      <w:r>
        <w:instrText xml:space="preserve"> PAGEREF _Toc596 \h </w:instrText>
      </w:r>
      <w:r>
        <w:fldChar w:fldCharType="separate"/>
      </w:r>
      <w:r>
        <w:t>169</w:t>
      </w:r>
      <w:r>
        <w:fldChar w:fldCharType="end"/>
      </w:r>
      <w:r>
        <w:rPr>
          <w:rFonts w:hint="default" w:ascii="Times New Roman" w:hAnsi="Times New Roman" w:cs="Times New Roman"/>
          <w:color w:val="auto"/>
          <w:szCs w:val="24"/>
          <w:u w:val="none" w:color="auto"/>
        </w:rPr>
        <w:fldChar w:fldCharType="end"/>
      </w:r>
    </w:p>
    <w:p w14:paraId="5D95B25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_Toc6348 </w:instrText>
      </w:r>
      <w:r>
        <w:rPr>
          <w:rFonts w:hint="default" w:ascii="Times New Roman" w:hAnsi="Times New Roman" w:cs="Times New Roman"/>
          <w:szCs w:val="24"/>
        </w:rPr>
        <w:fldChar w:fldCharType="separate"/>
      </w:r>
      <w:r>
        <w:rPr>
          <w:rFonts w:hint="eastAsia"/>
          <w:lang w:val="en-US" w:eastAsia="zh-CN"/>
        </w:rPr>
        <w:t>8</w:t>
      </w:r>
      <w:r>
        <w:rPr>
          <w:rFonts w:hint="default"/>
        </w:rPr>
        <w:t>.</w:t>
      </w:r>
      <w:r>
        <w:rPr>
          <w:rFonts w:hint="default"/>
          <w:lang w:val="en-US" w:eastAsia="zh-CN"/>
        </w:rPr>
        <w:t>3</w:t>
      </w:r>
      <w:r>
        <w:rPr>
          <w:rFonts w:hint="default"/>
        </w:rPr>
        <w:t>环保设施竣工验收</w:t>
      </w:r>
      <w:r>
        <w:tab/>
      </w:r>
      <w:r>
        <w:fldChar w:fldCharType="begin"/>
      </w:r>
      <w:r>
        <w:instrText xml:space="preserve"> PAGEREF _Toc6348 \h </w:instrText>
      </w:r>
      <w:r>
        <w:fldChar w:fldCharType="separate"/>
      </w:r>
      <w:r>
        <w:t>170</w:t>
      </w:r>
      <w:r>
        <w:fldChar w:fldCharType="end"/>
      </w:r>
      <w:r>
        <w:rPr>
          <w:rFonts w:hint="default" w:ascii="Times New Roman" w:hAnsi="Times New Roman" w:cs="Times New Roman"/>
          <w:color w:val="auto"/>
          <w:szCs w:val="24"/>
          <w:u w:val="none" w:color="auto"/>
        </w:rPr>
        <w:fldChar w:fldCharType="end"/>
      </w:r>
    </w:p>
    <w:p w14:paraId="5F884F8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_Toc24734 </w:instrText>
      </w:r>
      <w:r>
        <w:rPr>
          <w:rFonts w:hint="default" w:ascii="Times New Roman" w:hAnsi="Times New Roman" w:cs="Times New Roman"/>
          <w:szCs w:val="24"/>
        </w:rPr>
        <w:fldChar w:fldCharType="separate"/>
      </w:r>
      <w:r>
        <w:rPr>
          <w:rFonts w:hint="eastAsia"/>
          <w:lang w:val="en-US" w:eastAsia="zh-CN"/>
        </w:rPr>
        <w:t>8</w:t>
      </w:r>
      <w:r>
        <w:rPr>
          <w:rFonts w:hint="default"/>
          <w:lang w:val="en-US" w:eastAsia="zh-CN"/>
        </w:rPr>
        <w:t>.4</w:t>
      </w:r>
      <w:r>
        <w:rPr>
          <w:rFonts w:hint="default"/>
        </w:rPr>
        <w:t>总量控制</w:t>
      </w:r>
      <w:r>
        <w:tab/>
      </w:r>
      <w:r>
        <w:fldChar w:fldCharType="begin"/>
      </w:r>
      <w:r>
        <w:instrText xml:space="preserve"> PAGEREF _Toc24734 \h </w:instrText>
      </w:r>
      <w:r>
        <w:fldChar w:fldCharType="separate"/>
      </w:r>
      <w:r>
        <w:t>171</w:t>
      </w:r>
      <w:r>
        <w:fldChar w:fldCharType="end"/>
      </w:r>
      <w:r>
        <w:rPr>
          <w:rFonts w:hint="default" w:ascii="Times New Roman" w:hAnsi="Times New Roman" w:cs="Times New Roman"/>
          <w:color w:val="auto"/>
          <w:szCs w:val="24"/>
          <w:u w:val="none" w:color="auto"/>
        </w:rPr>
        <w:fldChar w:fldCharType="end"/>
      </w:r>
    </w:p>
    <w:p w14:paraId="1C5726D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_Toc25705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.4.1</w:t>
      </w:r>
      <w:r>
        <w:rPr>
          <w:rFonts w:hint="default" w:ascii="Times New Roman" w:hAnsi="Times New Roman" w:cs="Times New Roman"/>
        </w:rPr>
        <w:t>总量控制指标的确定</w:t>
      </w:r>
      <w:r>
        <w:tab/>
      </w:r>
      <w:r>
        <w:fldChar w:fldCharType="begin"/>
      </w:r>
      <w:r>
        <w:instrText xml:space="preserve"> PAGEREF _Toc25705 \h </w:instrText>
      </w:r>
      <w:r>
        <w:fldChar w:fldCharType="separate"/>
      </w:r>
      <w:r>
        <w:t>171</w:t>
      </w:r>
      <w:r>
        <w:fldChar w:fldCharType="end"/>
      </w:r>
      <w:r>
        <w:rPr>
          <w:rFonts w:hint="default" w:ascii="Times New Roman" w:hAnsi="Times New Roman" w:cs="Times New Roman"/>
          <w:color w:val="auto"/>
          <w:szCs w:val="24"/>
          <w:u w:val="none" w:color="auto"/>
        </w:rPr>
        <w:fldChar w:fldCharType="end"/>
      </w:r>
    </w:p>
    <w:p w14:paraId="77BC216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_Toc4214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.4.2总量控制因子筛选</w:t>
      </w:r>
      <w:r>
        <w:tab/>
      </w:r>
      <w:r>
        <w:fldChar w:fldCharType="begin"/>
      </w:r>
      <w:r>
        <w:instrText xml:space="preserve"> PAGEREF _Toc4214 \h </w:instrText>
      </w:r>
      <w:r>
        <w:fldChar w:fldCharType="separate"/>
      </w:r>
      <w:r>
        <w:t>172</w:t>
      </w:r>
      <w:r>
        <w:fldChar w:fldCharType="end"/>
      </w:r>
      <w:r>
        <w:rPr>
          <w:rFonts w:hint="default" w:ascii="Times New Roman" w:hAnsi="Times New Roman" w:cs="Times New Roman"/>
          <w:color w:val="auto"/>
          <w:szCs w:val="24"/>
          <w:u w:val="none" w:color="auto"/>
        </w:rPr>
        <w:fldChar w:fldCharType="end"/>
      </w:r>
    </w:p>
    <w:p w14:paraId="26500EE1">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_Toc19059 </w:instrText>
      </w:r>
      <w:r>
        <w:rPr>
          <w:rFonts w:hint="default" w:ascii="Times New Roman" w:hAnsi="Times New Roman" w:cs="Times New Roman"/>
          <w:szCs w:val="24"/>
        </w:rPr>
        <w:fldChar w:fldCharType="separate"/>
      </w:r>
      <w:r>
        <w:rPr>
          <w:rFonts w:hint="eastAsia"/>
          <w:lang w:val="en-US" w:eastAsia="zh-CN"/>
        </w:rPr>
        <w:t>9</w:t>
      </w:r>
      <w:r>
        <w:rPr>
          <w:rFonts w:hint="default"/>
        </w:rPr>
        <w:t>、结论</w:t>
      </w:r>
      <w:r>
        <w:rPr>
          <w:rFonts w:hint="eastAsia"/>
          <w:lang w:val="en-US" w:eastAsia="zh-CN"/>
        </w:rPr>
        <w:t>及建议</w:t>
      </w:r>
      <w:r>
        <w:tab/>
      </w:r>
      <w:r>
        <w:fldChar w:fldCharType="begin"/>
      </w:r>
      <w:r>
        <w:instrText xml:space="preserve"> PAGEREF _Toc19059 \h </w:instrText>
      </w:r>
      <w:r>
        <w:fldChar w:fldCharType="separate"/>
      </w:r>
      <w:r>
        <w:t>173</w:t>
      </w:r>
      <w:r>
        <w:fldChar w:fldCharType="end"/>
      </w:r>
      <w:r>
        <w:rPr>
          <w:rFonts w:hint="default" w:ascii="Times New Roman" w:hAnsi="Times New Roman" w:cs="Times New Roman"/>
          <w:color w:val="auto"/>
          <w:szCs w:val="24"/>
          <w:u w:val="none" w:color="auto"/>
        </w:rPr>
        <w:fldChar w:fldCharType="end"/>
      </w:r>
    </w:p>
    <w:p w14:paraId="07946A7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_Toc29887 </w:instrText>
      </w:r>
      <w:r>
        <w:rPr>
          <w:rFonts w:hint="default" w:ascii="Times New Roman" w:hAnsi="Times New Roman" w:cs="Times New Roman"/>
          <w:szCs w:val="24"/>
        </w:rPr>
        <w:fldChar w:fldCharType="separate"/>
      </w:r>
      <w:r>
        <w:rPr>
          <w:rFonts w:hint="eastAsia"/>
          <w:lang w:val="en-US" w:eastAsia="zh-CN"/>
        </w:rPr>
        <w:t>9</w:t>
      </w:r>
      <w:r>
        <w:rPr>
          <w:rFonts w:hint="default"/>
        </w:rPr>
        <w:t>.1项目概况</w:t>
      </w:r>
      <w:r>
        <w:tab/>
      </w:r>
      <w:r>
        <w:fldChar w:fldCharType="begin"/>
      </w:r>
      <w:r>
        <w:instrText xml:space="preserve"> PAGEREF _Toc29887 \h </w:instrText>
      </w:r>
      <w:r>
        <w:fldChar w:fldCharType="separate"/>
      </w:r>
      <w:r>
        <w:t>173</w:t>
      </w:r>
      <w:r>
        <w:fldChar w:fldCharType="end"/>
      </w:r>
      <w:r>
        <w:rPr>
          <w:rFonts w:hint="default" w:ascii="Times New Roman" w:hAnsi="Times New Roman" w:cs="Times New Roman"/>
          <w:color w:val="auto"/>
          <w:szCs w:val="24"/>
          <w:u w:val="none" w:color="auto"/>
        </w:rPr>
        <w:fldChar w:fldCharType="end"/>
      </w:r>
    </w:p>
    <w:p w14:paraId="2F22BDD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_Toc29958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2</w:t>
      </w:r>
      <w:r>
        <w:rPr>
          <w:rFonts w:hint="default"/>
        </w:rPr>
        <w:t>环境质量现状</w:t>
      </w:r>
      <w:r>
        <w:tab/>
      </w:r>
      <w:r>
        <w:fldChar w:fldCharType="begin"/>
      </w:r>
      <w:r>
        <w:instrText xml:space="preserve"> PAGEREF _Toc29958 \h </w:instrText>
      </w:r>
      <w:r>
        <w:fldChar w:fldCharType="separate"/>
      </w:r>
      <w:r>
        <w:t>173</w:t>
      </w:r>
      <w:r>
        <w:fldChar w:fldCharType="end"/>
      </w:r>
      <w:r>
        <w:rPr>
          <w:rFonts w:hint="default" w:ascii="Times New Roman" w:hAnsi="Times New Roman" w:cs="Times New Roman"/>
          <w:color w:val="auto"/>
          <w:szCs w:val="24"/>
          <w:u w:val="none" w:color="auto"/>
        </w:rPr>
        <w:fldChar w:fldCharType="end"/>
      </w:r>
    </w:p>
    <w:p w14:paraId="08FEFB3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_Toc7900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3</w:t>
      </w:r>
      <w:r>
        <w:rPr>
          <w:rFonts w:hint="default"/>
        </w:rPr>
        <w:t>环境影响结论</w:t>
      </w:r>
      <w:r>
        <w:tab/>
      </w:r>
      <w:r>
        <w:fldChar w:fldCharType="begin"/>
      </w:r>
      <w:r>
        <w:instrText xml:space="preserve"> PAGEREF _Toc7900 \h </w:instrText>
      </w:r>
      <w:r>
        <w:fldChar w:fldCharType="separate"/>
      </w:r>
      <w:r>
        <w:t>174</w:t>
      </w:r>
      <w:r>
        <w:fldChar w:fldCharType="end"/>
      </w:r>
      <w:r>
        <w:rPr>
          <w:rFonts w:hint="default" w:ascii="Times New Roman" w:hAnsi="Times New Roman" w:cs="Times New Roman"/>
          <w:color w:val="auto"/>
          <w:szCs w:val="24"/>
          <w:u w:val="none" w:color="auto"/>
        </w:rPr>
        <w:fldChar w:fldCharType="end"/>
      </w:r>
    </w:p>
    <w:p w14:paraId="2535EECC">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_Toc26825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4</w:t>
      </w:r>
      <w:r>
        <w:rPr>
          <w:rFonts w:hint="default"/>
        </w:rPr>
        <w:t>项目环境可行性</w:t>
      </w:r>
      <w:r>
        <w:tab/>
      </w:r>
      <w:r>
        <w:fldChar w:fldCharType="begin"/>
      </w:r>
      <w:r>
        <w:instrText xml:space="preserve"> PAGEREF _Toc26825 \h </w:instrText>
      </w:r>
      <w:r>
        <w:fldChar w:fldCharType="separate"/>
      </w:r>
      <w:r>
        <w:t>176</w:t>
      </w:r>
      <w:r>
        <w:fldChar w:fldCharType="end"/>
      </w:r>
      <w:r>
        <w:rPr>
          <w:rFonts w:hint="default" w:ascii="Times New Roman" w:hAnsi="Times New Roman" w:cs="Times New Roman"/>
          <w:color w:val="auto"/>
          <w:szCs w:val="24"/>
          <w:u w:val="none" w:color="auto"/>
        </w:rPr>
        <w:fldChar w:fldCharType="end"/>
      </w:r>
    </w:p>
    <w:p w14:paraId="0E91937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_Toc7782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5</w:t>
      </w:r>
      <w:r>
        <w:rPr>
          <w:rFonts w:hint="default"/>
        </w:rPr>
        <w:t>总结论</w:t>
      </w:r>
      <w:r>
        <w:tab/>
      </w:r>
      <w:r>
        <w:fldChar w:fldCharType="begin"/>
      </w:r>
      <w:r>
        <w:instrText xml:space="preserve"> PAGEREF _Toc7782 \h </w:instrText>
      </w:r>
      <w:r>
        <w:fldChar w:fldCharType="separate"/>
      </w:r>
      <w:r>
        <w:t>178</w:t>
      </w:r>
      <w:r>
        <w:fldChar w:fldCharType="end"/>
      </w:r>
      <w:r>
        <w:rPr>
          <w:rFonts w:hint="default" w:ascii="Times New Roman" w:hAnsi="Times New Roman" w:cs="Times New Roman"/>
          <w:color w:val="auto"/>
          <w:szCs w:val="24"/>
          <w:u w:val="none" w:color="auto"/>
        </w:rPr>
        <w:fldChar w:fldCharType="end"/>
      </w:r>
    </w:p>
    <w:p w14:paraId="610A6AB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_Toc18004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6</w:t>
      </w:r>
      <w:r>
        <w:rPr>
          <w:rFonts w:hint="default"/>
        </w:rPr>
        <w:t>建议</w:t>
      </w:r>
      <w:r>
        <w:tab/>
      </w:r>
      <w:r>
        <w:fldChar w:fldCharType="begin"/>
      </w:r>
      <w:r>
        <w:instrText xml:space="preserve"> PAGEREF _Toc18004 \h </w:instrText>
      </w:r>
      <w:r>
        <w:fldChar w:fldCharType="separate"/>
      </w:r>
      <w:r>
        <w:t>179</w:t>
      </w:r>
      <w:r>
        <w:fldChar w:fldCharType="end"/>
      </w:r>
      <w:r>
        <w:rPr>
          <w:rFonts w:hint="default" w:ascii="Times New Roman" w:hAnsi="Times New Roman" w:cs="Times New Roman"/>
          <w:color w:val="auto"/>
          <w:szCs w:val="24"/>
          <w:u w:val="none" w:color="auto"/>
        </w:rPr>
        <w:fldChar w:fldCharType="end"/>
      </w:r>
    </w:p>
    <w:p w14:paraId="4B438440">
      <w:pPr>
        <w:keepNext w:val="0"/>
        <w:keepLines w:val="0"/>
        <w:pageBreakBefore w:val="0"/>
        <w:widowControl w:val="0"/>
        <w:kinsoku/>
        <w:wordWrap/>
        <w:overflowPunct/>
        <w:topLinePunct w:val="0"/>
        <w:autoSpaceDE/>
        <w:autoSpaceDN/>
        <w:bidi w:val="0"/>
        <w:adjustRightInd/>
        <w:snapToGrid/>
        <w:spacing w:line="220" w:lineRule="atLeast"/>
        <w:textAlignment w:val="auto"/>
        <w:rPr>
          <w:rFonts w:hint="default" w:ascii="Times New Roman" w:hAnsi="Times New Roman" w:cs="Times New Roman"/>
          <w:color w:val="auto"/>
          <w:szCs w:val="24"/>
          <w:u w:val="none" w:color="auto"/>
        </w:rPr>
      </w:pPr>
      <w:r>
        <w:rPr>
          <w:rFonts w:hint="default" w:ascii="Times New Roman" w:hAnsi="Times New Roman" w:cs="Times New Roman"/>
          <w:color w:val="auto"/>
          <w:szCs w:val="24"/>
          <w:u w:val="none" w:color="auto"/>
        </w:rPr>
        <w:fldChar w:fldCharType="end"/>
      </w:r>
      <w:bookmarkStart w:id="8" w:name="_Toc25605_WPSOffice_Level1"/>
      <w:bookmarkStart w:id="9" w:name="_Toc18441_WPSOffice_Level1"/>
    </w:p>
    <w:bookmarkEnd w:id="8"/>
    <w:bookmarkEnd w:id="9"/>
    <w:p w14:paraId="7B30A42E">
      <w:pPr>
        <w:pStyle w:val="6"/>
        <w:bidi w:val="0"/>
        <w:rPr>
          <w:rFonts w:hint="default"/>
          <w:color w:val="auto"/>
          <w:u w:val="none" w:color="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10" w:name="_Toc18997_WPSOffice_Level1"/>
      <w:bookmarkStart w:id="11" w:name="_Toc1056_WPSOffice_Level1"/>
      <w:bookmarkStart w:id="12" w:name="_Toc19097_WPSOffice_Level1"/>
      <w:bookmarkStart w:id="13" w:name="_Toc2912_WPSOffice_Level1"/>
      <w:bookmarkStart w:id="14" w:name="_Toc26194"/>
      <w:bookmarkStart w:id="15" w:name="_Toc17402_WPSOffice_Level1"/>
      <w:bookmarkStart w:id="16" w:name="_Toc22541_WPSOffice_Level1"/>
      <w:bookmarkStart w:id="17" w:name="_Toc6550_WPSOffice_Level1"/>
      <w:bookmarkStart w:id="18" w:name="_Toc8023_WPSOffice_Level1"/>
      <w:bookmarkStart w:id="19" w:name="_Toc32656"/>
      <w:bookmarkStart w:id="20" w:name="_Toc15789_WPSOffice_Level1"/>
      <w:bookmarkStart w:id="21" w:name="_Toc26224"/>
    </w:p>
    <w:p w14:paraId="5DECFDC0">
      <w:pPr>
        <w:pStyle w:val="6"/>
        <w:bidi w:val="0"/>
        <w:rPr>
          <w:rFonts w:hint="default"/>
          <w:color w:val="auto"/>
          <w:u w:val="none" w:color="auto"/>
        </w:rPr>
      </w:pPr>
      <w:bookmarkStart w:id="22" w:name="_Toc30876"/>
      <w:r>
        <w:rPr>
          <w:rFonts w:hint="default"/>
          <w:color w:val="auto"/>
          <w:u w:val="none" w:color="auto"/>
        </w:rPr>
        <w:t>1、</w:t>
      </w:r>
      <w:bookmarkEnd w:id="10"/>
      <w:bookmarkEnd w:id="11"/>
      <w:bookmarkEnd w:id="12"/>
      <w:bookmarkEnd w:id="13"/>
      <w:bookmarkEnd w:id="14"/>
      <w:bookmarkEnd w:id="15"/>
      <w:bookmarkEnd w:id="16"/>
      <w:bookmarkEnd w:id="17"/>
      <w:r>
        <w:rPr>
          <w:rFonts w:hint="default"/>
          <w:color w:val="auto"/>
          <w:u w:val="none" w:color="auto"/>
        </w:rPr>
        <w:t>概述</w:t>
      </w:r>
      <w:bookmarkEnd w:id="18"/>
      <w:bookmarkEnd w:id="19"/>
      <w:bookmarkEnd w:id="20"/>
      <w:bookmarkEnd w:id="21"/>
      <w:bookmarkEnd w:id="22"/>
    </w:p>
    <w:p w14:paraId="58E77791">
      <w:pPr>
        <w:pStyle w:val="7"/>
        <w:spacing w:before="0" w:after="0" w:line="360" w:lineRule="auto"/>
        <w:ind w:left="576" w:hanging="576"/>
        <w:rPr>
          <w:rFonts w:hint="default" w:ascii="Times New Roman" w:hAnsi="Times New Roman" w:cs="Times New Roman"/>
          <w:color w:val="auto"/>
          <w:sz w:val="28"/>
          <w:szCs w:val="28"/>
          <w:u w:val="none" w:color="auto"/>
        </w:rPr>
      </w:pPr>
      <w:bookmarkStart w:id="23" w:name="_Toc146"/>
      <w:bookmarkStart w:id="24" w:name="_Toc7361"/>
      <w:bookmarkStart w:id="25" w:name="_Toc1734_WPSOffice_Level2"/>
      <w:bookmarkStart w:id="26" w:name="_Toc22837"/>
      <w:bookmarkStart w:id="27" w:name="_Toc4740_WPSOffice_Level2"/>
      <w:bookmarkStart w:id="28" w:name="_Toc29062_WPSOffice_Level2"/>
      <w:bookmarkStart w:id="29" w:name="_Toc7342_WPSOffice_Level2"/>
      <w:bookmarkStart w:id="30" w:name="_Toc22577_WPSOffice_Level2"/>
      <w:bookmarkStart w:id="31" w:name="_Toc31341"/>
      <w:bookmarkStart w:id="32" w:name="_Toc13386"/>
      <w:bookmarkStart w:id="33" w:name="_Toc12666_WPSOffice_Level2"/>
      <w:bookmarkStart w:id="34" w:name="_Toc6220_WPSOffice_Level2"/>
      <w:bookmarkStart w:id="35" w:name="_Toc17033"/>
      <w:r>
        <w:rPr>
          <w:rFonts w:hint="default" w:ascii="Times New Roman" w:hAnsi="Times New Roman" w:cs="Times New Roman"/>
          <w:color w:val="auto"/>
          <w:sz w:val="28"/>
          <w:szCs w:val="28"/>
          <w:u w:val="none" w:color="auto"/>
        </w:rPr>
        <w:t>1.1项目由来</w:t>
      </w:r>
      <w:bookmarkEnd w:id="23"/>
      <w:bookmarkEnd w:id="24"/>
      <w:bookmarkEnd w:id="25"/>
      <w:bookmarkEnd w:id="26"/>
      <w:bookmarkEnd w:id="27"/>
      <w:bookmarkEnd w:id="28"/>
      <w:bookmarkEnd w:id="29"/>
      <w:bookmarkEnd w:id="30"/>
      <w:bookmarkEnd w:id="31"/>
      <w:bookmarkEnd w:id="32"/>
      <w:bookmarkEnd w:id="33"/>
      <w:bookmarkEnd w:id="34"/>
      <w:bookmarkEnd w:id="35"/>
    </w:p>
    <w:p w14:paraId="767964FF">
      <w:pPr>
        <w:pStyle w:val="21"/>
        <w:bidi w:val="0"/>
        <w:rPr>
          <w:rFonts w:hint="default" w:ascii="Times New Roman" w:hAnsi="Times New Roman" w:cs="Times New Roman"/>
          <w:color w:val="auto"/>
          <w:u w:val="none" w:color="auto"/>
          <w:lang w:val="en-US" w:eastAsia="zh-CN"/>
        </w:rPr>
      </w:pPr>
      <w:bookmarkStart w:id="36" w:name="_Toc19521_WPSOffice_Level2"/>
      <w:bookmarkStart w:id="37" w:name="_Toc481738340"/>
      <w:bookmarkStart w:id="38" w:name="_Toc2127"/>
      <w:bookmarkStart w:id="39" w:name="_Toc24737"/>
      <w:bookmarkStart w:id="40" w:name="_Toc471286039"/>
      <w:r>
        <w:rPr>
          <w:rFonts w:hint="default"/>
        </w:rPr>
        <w:t>湖南宏翰新能源科技有限公司</w:t>
      </w:r>
      <w:r>
        <w:rPr>
          <w:rFonts w:hint="eastAsia" w:ascii="Times New Roman" w:hAnsi="Times New Roman" w:cs="Times New Roman"/>
          <w:color w:val="auto"/>
          <w:u w:val="none" w:color="auto"/>
          <w:lang w:val="en-US" w:eastAsia="zh-CN"/>
        </w:rPr>
        <w:t>是一家从事能源技术研发、石墨制造、碳素制品制造、石墨销售等业务的公司，成立于2022年08月18日，公司坐落在湖南省岳阳市汨罗市湖南汨罗高新技术产业开发区弼时片区，租赁湖南省虹宇碳素新材料有限公司闲置厂房，购置相关生产设备建设了年生产11500吨石墨及碳纤维制品项目。该项目于2023年9月进行环评手续，于2023年11月1日取得了岳阳市生态环境局汨罗分局关于该项目的批复，批文号“岳汨环评[2023]065号”；于2023年12月19日对突发环境事件应急预案进行了备案登记；于2024年4月申领了排污许可证；于2024年8月开始验收，为阶段性竣工验收，2024年11月18日取得岳阳市汨罗生态环境保护综合行政执法大队的验收备查表。目前，该项目处于正常运行状态。</w:t>
      </w:r>
    </w:p>
    <w:p w14:paraId="76A08EF5">
      <w:pPr>
        <w:pStyle w:val="21"/>
        <w:bidi w:val="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石墨匣钵是以人造石墨为主体原料，辅以粘结剂经等静压成型后，再高温烧结→石墨处理而成。随着锂电负极材料产量的大幅提升，高纯石墨匣钵作为锂离子电池石墨负极材料的必要耗材，具有广阔的发展前景。同时，作为特种石墨类产品，在新兴的风力发电、核工业、光伏产业、精密铸造等行业的应用潜力巨大。</w:t>
      </w:r>
    </w:p>
    <w:p w14:paraId="6BD438D5">
      <w:pPr>
        <w:pStyle w:val="21"/>
        <w:bidi w:val="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为满足市场需求，</w:t>
      </w:r>
      <w:r>
        <w:rPr>
          <w:rFonts w:hint="default"/>
        </w:rPr>
        <w:t>湖南宏翰新能源科技有限公司</w:t>
      </w:r>
      <w:r>
        <w:rPr>
          <w:rFonts w:hint="eastAsia" w:ascii="Times New Roman" w:hAnsi="Times New Roman" w:cs="Times New Roman"/>
          <w:color w:val="auto"/>
          <w:u w:val="none" w:color="auto"/>
          <w:lang w:val="en-US" w:eastAsia="zh-CN"/>
        </w:rPr>
        <w:t>拟投资1000万元，新租赁汨罗市乾源碳素材料有限公司场地建设年产20万套锂电池石墨匣钵项目，年生产锂电池石墨匣钵20万套，该项目取得了湖南汨罗高新技术产业开发区弼时片区《湖南工程机械配套产业园项目入园审批表》（详见附件5）。</w:t>
      </w:r>
    </w:p>
    <w:p w14:paraId="10CC2FD3">
      <w:pPr>
        <w:pStyle w:val="21"/>
        <w:ind w:firstLine="480"/>
        <w:rPr>
          <w:rFonts w:hint="default" w:ascii="Times New Roman" w:hAnsi="Times New Roman" w:cs="Times New Roman"/>
          <w:color w:val="auto"/>
          <w:u w:val="none" w:color="auto"/>
        </w:rPr>
      </w:pPr>
      <w:bookmarkStart w:id="41" w:name="_Toc2826_WPSOffice_Level2"/>
      <w:bookmarkStart w:id="42" w:name="_Toc2361_WPSOffice_Level2"/>
      <w:bookmarkStart w:id="43" w:name="_Toc31517_WPSOffice_Level2"/>
      <w:bookmarkStart w:id="44" w:name="_Toc7141"/>
      <w:bookmarkStart w:id="45" w:name="_Toc25032_WPSOffice_Level2"/>
      <w:bookmarkStart w:id="46" w:name="_Toc5470_WPSOffice_Level2"/>
      <w:bookmarkStart w:id="47" w:name="_Toc17469_WPSOffice_Level2"/>
      <w:r>
        <w:rPr>
          <w:rFonts w:hint="default" w:ascii="Times New Roman" w:hAnsi="Times New Roman" w:cs="Times New Roman"/>
          <w:color w:val="auto"/>
          <w:u w:val="none" w:color="auto"/>
        </w:rPr>
        <w:t>根据《中华人民共和国环境保护法》（2015年1月1日）、《中华人民共和国环境影响评价法》（2018年12月29日）</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《建设项目环境影响评价分类管理名录》（生态环境部第1</w:t>
      </w:r>
      <w:r>
        <w:rPr>
          <w:rFonts w:hint="default"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号令）的有关规定，</w:t>
      </w:r>
      <w:r>
        <w:rPr>
          <w:rFonts w:hint="default" w:ascii="Times New Roman" w:hAnsi="Times New Roman" w:cs="Times New Roman"/>
          <w:color w:val="auto"/>
          <w:u w:val="none" w:color="auto"/>
          <w:lang w:eastAsia="zh-CN"/>
        </w:rPr>
        <w:t>本项目属于国民经济行业类别为</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C3091石墨及碳素制品制造</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，建设项目行业类别为</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二十七、非金属矿物制品</w:t>
      </w:r>
      <w:r>
        <w:rPr>
          <w:rFonts w:hint="eastAsia" w:cs="Times New Roman"/>
          <w:color w:val="auto"/>
          <w:u w:val="none" w:color="auto"/>
          <w:lang w:val="en-US" w:eastAsia="zh-CN"/>
        </w:rPr>
        <w:t>业</w:t>
      </w:r>
      <w:r>
        <w:rPr>
          <w:rFonts w:hint="default" w:ascii="Times New Roman" w:hAnsi="Times New Roman" w:cs="Times New Roman"/>
          <w:color w:val="auto"/>
          <w:u w:val="none" w:color="auto"/>
          <w:lang w:eastAsia="zh-CN"/>
        </w:rPr>
        <w:t xml:space="preserve"> 30</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60耐火材料制品制造 308；石墨及其他非金属矿物制品制造 309</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中的</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含焙烧的石墨、碳素制品</w:t>
      </w:r>
      <w:r>
        <w:rPr>
          <w:rFonts w:hint="eastAsia" w:ascii="宋体" w:hAnsi="宋体" w:eastAsia="宋体" w:cs="宋体"/>
          <w:color w:val="auto"/>
          <w:u w:val="none" w:color="auto"/>
          <w:lang w:eastAsia="zh-CN"/>
        </w:rPr>
        <w:t>”</w:t>
      </w:r>
      <w:r>
        <w:rPr>
          <w:rFonts w:hint="default" w:ascii="Times New Roman" w:hAnsi="Times New Roman" w:cs="Times New Roman"/>
          <w:color w:val="auto"/>
          <w:u w:val="none" w:color="auto"/>
          <w:lang w:eastAsia="zh-CN"/>
        </w:rPr>
        <w:t>类别，应编制环境影响报告书</w:t>
      </w:r>
      <w:r>
        <w:rPr>
          <w:rFonts w:hint="default" w:ascii="Times New Roman" w:hAnsi="Times New Roman" w:cs="Times New Roman"/>
          <w:color w:val="auto"/>
          <w:szCs w:val="24"/>
          <w:u w:val="none" w:color="auto"/>
          <w:lang w:eastAsia="zh-CN"/>
        </w:rPr>
        <w:t>。</w:t>
      </w:r>
      <w:r>
        <w:rPr>
          <w:rFonts w:hint="default" w:ascii="Times New Roman" w:hAnsi="Times New Roman" w:cs="Times New Roman"/>
          <w:color w:val="auto"/>
          <w:szCs w:val="24"/>
          <w:u w:val="none" w:color="auto"/>
        </w:rPr>
        <w:t>因此建设单位委托</w:t>
      </w:r>
      <w:r>
        <w:rPr>
          <w:rFonts w:hint="eastAsia" w:cs="Times New Roman"/>
          <w:color w:val="auto"/>
          <w:szCs w:val="24"/>
          <w:u w:val="none" w:color="auto"/>
          <w:lang w:val="en-US" w:eastAsia="zh-CN"/>
        </w:rPr>
        <w:t>评价单位</w:t>
      </w:r>
      <w:r>
        <w:rPr>
          <w:rFonts w:hint="default" w:ascii="Times New Roman" w:hAnsi="Times New Roman" w:cs="Times New Roman"/>
          <w:color w:val="auto"/>
          <w:szCs w:val="24"/>
          <w:u w:val="none" w:color="auto"/>
        </w:rPr>
        <w:t>湖南</w:t>
      </w:r>
      <w:r>
        <w:rPr>
          <w:rFonts w:hint="default" w:ascii="Times New Roman" w:hAnsi="Times New Roman" w:cs="Times New Roman"/>
          <w:color w:val="auto"/>
          <w:szCs w:val="24"/>
          <w:u w:val="none" w:color="auto"/>
          <w:lang w:val="en-US" w:eastAsia="zh-CN"/>
        </w:rPr>
        <w:t>顺洄环保科技</w:t>
      </w:r>
      <w:r>
        <w:rPr>
          <w:rFonts w:hint="default" w:ascii="Times New Roman" w:hAnsi="Times New Roman" w:cs="Times New Roman"/>
          <w:color w:val="auto"/>
          <w:szCs w:val="24"/>
          <w:u w:val="none" w:color="auto"/>
        </w:rPr>
        <w:t>有限公司承担该项目的环境影响评价编制工作。评价单位在充分收集有关资料并深入进行现场踏勘后，依据国家、地方的有关环保法律、法规，在建设单位大力支持下，完成了项目环境影响报告书的编制工作，上报有关</w:t>
      </w:r>
      <w:r>
        <w:rPr>
          <w:rFonts w:hint="default" w:ascii="Times New Roman" w:hAnsi="Times New Roman" w:cs="Times New Roman"/>
          <w:color w:val="auto"/>
          <w:szCs w:val="24"/>
          <w:u w:val="none" w:color="auto"/>
          <w:lang w:val="en-US" w:eastAsia="zh-CN"/>
        </w:rPr>
        <w:t>生态环境</w:t>
      </w:r>
      <w:r>
        <w:rPr>
          <w:rFonts w:hint="default" w:ascii="Times New Roman" w:hAnsi="Times New Roman" w:cs="Times New Roman"/>
          <w:color w:val="auto"/>
          <w:szCs w:val="24"/>
          <w:u w:val="none" w:color="auto"/>
        </w:rPr>
        <w:t>主管部门审批。</w:t>
      </w:r>
    </w:p>
    <w:bookmarkEnd w:id="41"/>
    <w:bookmarkEnd w:id="42"/>
    <w:bookmarkEnd w:id="43"/>
    <w:bookmarkEnd w:id="44"/>
    <w:bookmarkEnd w:id="45"/>
    <w:bookmarkEnd w:id="46"/>
    <w:bookmarkEnd w:id="47"/>
    <w:p w14:paraId="511C3167">
      <w:pPr>
        <w:pStyle w:val="7"/>
        <w:spacing w:before="0" w:after="0" w:line="360" w:lineRule="auto"/>
        <w:ind w:left="576" w:hanging="576"/>
        <w:rPr>
          <w:rFonts w:hint="default" w:ascii="Times New Roman" w:hAnsi="Times New Roman" w:cs="Times New Roman"/>
          <w:color w:val="auto"/>
          <w:sz w:val="28"/>
          <w:szCs w:val="28"/>
          <w:u w:val="none" w:color="auto"/>
        </w:rPr>
      </w:pPr>
      <w:bookmarkStart w:id="48" w:name="_Toc19873_WPSOffice_Level2"/>
      <w:bookmarkStart w:id="49" w:name="_Toc21676"/>
      <w:bookmarkStart w:id="50" w:name="_Toc4491_WPSOffice_Level2"/>
      <w:bookmarkStart w:id="51" w:name="_Toc9127_WPSOffice_Level2"/>
      <w:bookmarkStart w:id="52" w:name="_Toc13996"/>
      <w:bookmarkStart w:id="53" w:name="_Toc15751"/>
      <w:bookmarkStart w:id="54" w:name="_Toc18434_WPSOffice_Level2"/>
      <w:bookmarkStart w:id="55" w:name="_Toc23635_WPSOffice_Level2"/>
      <w:bookmarkStart w:id="56" w:name="_Toc26293_WPSOffice_Level2"/>
      <w:bookmarkStart w:id="57" w:name="_Toc18929"/>
      <w:r>
        <w:rPr>
          <w:rFonts w:hint="default" w:ascii="Times New Roman" w:hAnsi="Times New Roman" w:cs="Times New Roman"/>
          <w:color w:val="auto"/>
          <w:sz w:val="28"/>
          <w:szCs w:val="28"/>
          <w:u w:val="none" w:color="auto"/>
        </w:rPr>
        <w:t>1.</w:t>
      </w:r>
      <w:r>
        <w:rPr>
          <w:rFonts w:hint="eastAsia" w:ascii="Times New Roman" w:hAnsi="Times New Roman" w:cs="Times New Roman"/>
          <w:color w:val="auto"/>
          <w:sz w:val="28"/>
          <w:szCs w:val="28"/>
          <w:u w:val="none" w:color="auto"/>
          <w:lang w:val="en-US" w:eastAsia="zh-CN"/>
        </w:rPr>
        <w:t>2</w:t>
      </w:r>
      <w:r>
        <w:rPr>
          <w:rFonts w:hint="default" w:ascii="Times New Roman" w:hAnsi="Times New Roman" w:cs="Times New Roman"/>
          <w:color w:val="auto"/>
          <w:sz w:val="28"/>
          <w:szCs w:val="28"/>
          <w:u w:val="none" w:color="auto"/>
        </w:rPr>
        <w:t>环境影响评价的工作过程</w:t>
      </w:r>
      <w:bookmarkEnd w:id="48"/>
      <w:bookmarkEnd w:id="49"/>
      <w:bookmarkEnd w:id="50"/>
      <w:bookmarkEnd w:id="51"/>
      <w:bookmarkEnd w:id="52"/>
      <w:bookmarkEnd w:id="53"/>
      <w:bookmarkEnd w:id="54"/>
      <w:bookmarkEnd w:id="55"/>
      <w:bookmarkEnd w:id="56"/>
      <w:bookmarkEnd w:id="57"/>
    </w:p>
    <w:p w14:paraId="3B76E278">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年</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月，</w:t>
      </w:r>
      <w:r>
        <w:rPr>
          <w:rFonts w:hint="default"/>
        </w:rPr>
        <w:t>湖南宏翰新能源科技有限公司</w:t>
      </w:r>
      <w:r>
        <w:rPr>
          <w:rFonts w:hint="default" w:ascii="Times New Roman" w:hAnsi="Times New Roman" w:cs="Times New Roman"/>
          <w:color w:val="auto"/>
          <w:u w:val="none" w:color="auto"/>
        </w:rPr>
        <w:t>委托</w:t>
      </w:r>
      <w:r>
        <w:rPr>
          <w:rFonts w:hint="eastAsia" w:ascii="Times New Roman" w:hAnsi="Times New Roman" w:cs="Times New Roman"/>
          <w:color w:val="auto"/>
          <w:u w:val="none" w:color="auto"/>
          <w:lang w:eastAsia="zh-CN"/>
        </w:rPr>
        <w:t>湖南顺洄环保科技有限公司</w:t>
      </w:r>
      <w:r>
        <w:rPr>
          <w:rFonts w:hint="default" w:ascii="Times New Roman" w:hAnsi="Times New Roman" w:cs="Times New Roman"/>
          <w:color w:val="auto"/>
          <w:u w:val="none" w:color="auto"/>
        </w:rPr>
        <w:t>承担</w:t>
      </w:r>
      <w:r>
        <w:rPr>
          <w:rFonts w:hint="eastAsia" w:ascii="Times New Roman" w:hAnsi="Times New Roman" w:cs="Times New Roman"/>
          <w:color w:val="auto"/>
          <w:u w:val="none" w:color="auto"/>
          <w:lang w:val="en-US" w:eastAsia="zh-CN"/>
        </w:rPr>
        <w:t>年产20万套锂电池石墨匣钵项目</w:t>
      </w:r>
      <w:r>
        <w:rPr>
          <w:rFonts w:hint="default" w:ascii="Times New Roman" w:hAnsi="Times New Roman" w:cs="Times New Roman"/>
          <w:color w:val="auto"/>
          <w:u w:val="none" w:color="auto"/>
        </w:rPr>
        <w:t>的环境影响评价工作。</w:t>
      </w:r>
      <w:r>
        <w:rPr>
          <w:rFonts w:hint="eastAsia" w:ascii="Times New Roman" w:hAnsi="Times New Roman" w:cs="Times New Roman"/>
          <w:color w:val="auto"/>
          <w:u w:val="none" w:color="auto"/>
          <w:lang w:val="en-US" w:eastAsia="zh-CN"/>
        </w:rPr>
        <w:t>评价</w:t>
      </w:r>
      <w:r>
        <w:rPr>
          <w:rFonts w:hint="default" w:ascii="Times New Roman" w:hAnsi="Times New Roman" w:cs="Times New Roman"/>
          <w:color w:val="auto"/>
          <w:u w:val="none" w:color="auto"/>
        </w:rPr>
        <w:t>单位承接任务后，随即组成环境影响评价工作组，安排有关环评技术人员赴现场进行调查，收集有关资料，调查厂址周围的地表水、环境空气、声环境和地下水环境质量现状资料，收集了项目所在区域近期环境质量现状监测数据；并根据项目的规模、污染物排放量及</w:t>
      </w:r>
      <w:r>
        <w:rPr>
          <w:rFonts w:hint="eastAsia" w:ascii="宋体" w:hAnsi="宋体" w:eastAsia="宋体" w:cs="宋体"/>
          <w:color w:val="auto"/>
          <w:u w:val="none" w:color="auto"/>
        </w:rPr>
        <w:t>其“三废”</w:t>
      </w:r>
      <w:r>
        <w:rPr>
          <w:rFonts w:hint="default" w:ascii="Times New Roman" w:hAnsi="Times New Roman" w:cs="Times New Roman"/>
          <w:color w:val="auto"/>
          <w:u w:val="none" w:color="auto"/>
        </w:rPr>
        <w:t>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w:t>
      </w:r>
      <w:r>
        <w:rPr>
          <w:rFonts w:hint="default"/>
        </w:rPr>
        <w:t>湖南宏翰新能源科技有限公司</w:t>
      </w:r>
      <w:r>
        <w:rPr>
          <w:rFonts w:hint="eastAsia" w:ascii="Times New Roman" w:hAnsi="Times New Roman" w:cs="Times New Roman"/>
          <w:color w:val="auto"/>
          <w:u w:val="none" w:color="auto"/>
          <w:lang w:val="en-US" w:eastAsia="zh-CN"/>
        </w:rPr>
        <w:t>年产20万套锂电池石墨匣钵项目</w:t>
      </w:r>
      <w:r>
        <w:rPr>
          <w:rFonts w:hint="default" w:ascii="Times New Roman" w:hAnsi="Times New Roman" w:cs="Times New Roman"/>
          <w:color w:val="auto"/>
          <w:u w:val="none" w:color="auto"/>
        </w:rPr>
        <w:t>环境影响报告书》，现提交建设单位呈送</w:t>
      </w:r>
      <w:r>
        <w:rPr>
          <w:rFonts w:hint="eastAsia" w:cs="Times New Roman"/>
          <w:color w:val="auto"/>
          <w:u w:val="none" w:color="auto"/>
          <w:lang w:val="en-US" w:eastAsia="zh-CN"/>
        </w:rPr>
        <w:t>生态环境</w:t>
      </w:r>
      <w:r>
        <w:rPr>
          <w:rFonts w:hint="default" w:ascii="Times New Roman" w:hAnsi="Times New Roman" w:cs="Times New Roman"/>
          <w:color w:val="auto"/>
          <w:u w:val="none" w:color="auto"/>
        </w:rPr>
        <w:t>主管部门审查。</w:t>
      </w:r>
    </w:p>
    <w:p w14:paraId="1AB971E0">
      <w:pPr>
        <w:spacing w:line="360" w:lineRule="auto"/>
        <w:ind w:firstLine="434" w:firstLineChars="181"/>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本项目环境影响评价程序如下图所示。</w:t>
      </w:r>
    </w:p>
    <w:p w14:paraId="02C94756">
      <w:pPr>
        <w:spacing w:line="360" w:lineRule="auto"/>
        <w:rPr>
          <w:rFonts w:hint="default" w:ascii="Times New Roman" w:hAnsi="Times New Roman" w:cs="Times New Roman"/>
          <w:color w:val="auto"/>
          <w:sz w:val="24"/>
          <w:u w:val="none" w:color="auto"/>
        </w:rPr>
      </w:pPr>
      <w:r>
        <w:rPr>
          <w:rFonts w:hint="default" w:ascii="Times New Roman" w:hAnsi="Times New Roman" w:cs="Times New Roman"/>
          <w:color w:val="auto"/>
          <w:u w:val="none" w:color="auto"/>
        </w:rPr>
        <w:object>
          <v:shape id="_x0000_i1032" o:spt="75" type="#_x0000_t75" style="height:447.95pt;width:400pt;" o:ole="t" filled="f" o:preferrelative="t" stroked="f" coordsize="21600,21600">
            <v:path/>
            <v:fill on="f" focussize="0,0"/>
            <v:stroke on="f"/>
            <v:imagedata r:id="rId23" o:title=""/>
            <o:lock v:ext="edit" aspectratio="t"/>
            <w10:wrap type="none"/>
            <w10:anchorlock/>
          </v:shape>
          <o:OLEObject Type="Embed" ProgID="Visio.Drawing.11" ShapeID="_x0000_i1032" DrawAspect="Content" ObjectID="_1468075725" r:id="rId22">
            <o:LockedField>false</o:LockedField>
          </o:OLEObject>
        </w:object>
      </w:r>
    </w:p>
    <w:p w14:paraId="5FEC50F8">
      <w:pPr>
        <w:pStyle w:val="22"/>
        <w:bidi w:val="0"/>
        <w:rPr>
          <w:rFonts w:hint="default"/>
          <w:color w:val="auto"/>
          <w:u w:val="none" w:color="auto"/>
        </w:rPr>
      </w:pPr>
      <w:r>
        <w:rPr>
          <w:rFonts w:hint="default"/>
          <w:color w:val="auto"/>
          <w:u w:val="none" w:color="auto"/>
        </w:rPr>
        <w:t>图1.</w:t>
      </w:r>
      <w:r>
        <w:rPr>
          <w:rFonts w:hint="eastAsia"/>
          <w:color w:val="auto"/>
          <w:u w:val="none" w:color="auto"/>
          <w:lang w:val="en-US" w:eastAsia="zh-CN"/>
        </w:rPr>
        <w:t>2</w:t>
      </w:r>
      <w:r>
        <w:rPr>
          <w:rFonts w:hint="default"/>
          <w:color w:val="auto"/>
          <w:u w:val="none" w:color="auto"/>
        </w:rPr>
        <w:t>-1环境影响评价程序图</w:t>
      </w:r>
    </w:p>
    <w:p w14:paraId="28E87D34">
      <w:pPr>
        <w:pStyle w:val="7"/>
        <w:rPr>
          <w:rFonts w:hint="default" w:ascii="Times New Roman" w:hAnsi="Times New Roman" w:cs="Times New Roman"/>
          <w:color w:val="auto"/>
          <w:u w:val="none" w:color="auto"/>
        </w:rPr>
      </w:pPr>
      <w:bookmarkStart w:id="58" w:name="_Toc1561_WPSOffice_Level2"/>
      <w:bookmarkStart w:id="59" w:name="_Toc10450_WPSOffice_Level2"/>
      <w:bookmarkStart w:id="60" w:name="_Toc6173_WPSOffice_Level2"/>
      <w:bookmarkStart w:id="61" w:name="_Toc13460_WPSOffice_Level2"/>
      <w:bookmarkStart w:id="62" w:name="_Toc7324"/>
      <w:bookmarkStart w:id="63" w:name="_Toc10979"/>
      <w:bookmarkStart w:id="64" w:name="_Toc4061"/>
      <w:bookmarkStart w:id="65" w:name="_Toc31780"/>
      <w:bookmarkStart w:id="66" w:name="_Toc372124975"/>
      <w:bookmarkStart w:id="67" w:name="_Toc6427"/>
      <w:bookmarkStart w:id="68" w:name="_Toc4867"/>
      <w:bookmarkStart w:id="69" w:name="_Toc29683_WPSOffice_Level2"/>
      <w:bookmarkStart w:id="70" w:name="_Toc343691364"/>
      <w:bookmarkStart w:id="71" w:name="_Toc9919"/>
      <w:bookmarkStart w:id="72" w:name="_Toc25794_WPSOffice_Level2"/>
      <w:bookmarkStart w:id="73" w:name="_Toc1015_WPSOffice_Level2"/>
      <w:bookmarkStart w:id="74" w:name="_Toc4971"/>
      <w:r>
        <w:rPr>
          <w:rFonts w:hint="default" w:ascii="Times New Roman" w:hAnsi="Times New Roman" w:cs="Times New Roman"/>
          <w:color w:val="auto"/>
          <w:u w:val="none" w:color="auto"/>
        </w:rPr>
        <w:t>1.</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分析判定相关环保政策</w:t>
      </w:r>
      <w:bookmarkEnd w:id="58"/>
      <w:bookmarkEnd w:id="59"/>
      <w:bookmarkEnd w:id="60"/>
      <w:bookmarkEnd w:id="61"/>
      <w:bookmarkEnd w:id="62"/>
      <w:bookmarkEnd w:id="63"/>
      <w:bookmarkEnd w:id="64"/>
    </w:p>
    <w:p w14:paraId="117E7A30">
      <w:pPr>
        <w:pStyle w:val="8"/>
        <w:rPr>
          <w:rFonts w:hint="default" w:ascii="Times New Roman" w:hAnsi="Times New Roman" w:cs="Times New Roman"/>
          <w:color w:val="auto"/>
          <w:u w:val="none" w:color="auto"/>
        </w:rPr>
      </w:pPr>
      <w:bookmarkStart w:id="75" w:name="_Toc10090"/>
      <w:bookmarkStart w:id="76" w:name="_Toc31270"/>
      <w:bookmarkStart w:id="77" w:name="_Toc29991"/>
      <w:bookmarkStart w:id="78" w:name="_Toc31251"/>
      <w:bookmarkStart w:id="79" w:name="_Toc19394"/>
      <w:bookmarkStart w:id="80" w:name="_Toc17000"/>
      <w:bookmarkStart w:id="81" w:name="_Toc25413"/>
      <w:bookmarkStart w:id="82" w:name="_Toc17997"/>
      <w:bookmarkStart w:id="83" w:name="_Toc920"/>
      <w:bookmarkStart w:id="84" w:name="_Toc10724"/>
      <w:bookmarkStart w:id="85" w:name="_Toc5805"/>
      <w:bookmarkStart w:id="86" w:name="_Toc32291"/>
      <w:bookmarkStart w:id="87" w:name="_Toc16213"/>
      <w:bookmarkStart w:id="88" w:name="_Toc30518"/>
      <w:bookmarkStart w:id="89" w:name="_Toc18080"/>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.1产业政策相符性分析</w:t>
      </w:r>
      <w:bookmarkEnd w:id="6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4C31D9A">
      <w:pPr>
        <w:pStyle w:val="21"/>
        <w:ind w:firstLine="480"/>
        <w:rPr>
          <w:rFonts w:hint="default" w:ascii="Times New Roman" w:hAnsi="Times New Roman" w:cs="Times New Roman"/>
          <w:color w:val="auto"/>
          <w:u w:val="none" w:color="auto"/>
        </w:rPr>
      </w:pPr>
      <w:bookmarkStart w:id="90" w:name="_Toc2594_WPSOffice_Level3"/>
      <w:bookmarkStart w:id="91" w:name="_Toc17572_WPSOffice_Level3"/>
      <w:bookmarkStart w:id="92" w:name="_Toc4118_WPSOffice_Level3"/>
      <w:bookmarkStart w:id="93" w:name="_Toc13351_WPSOffice_Level3"/>
      <w:r>
        <w:rPr>
          <w:rFonts w:hint="default" w:ascii="Times New Roman" w:hAnsi="Times New Roman" w:cs="Times New Roman"/>
          <w:color w:val="auto"/>
          <w:u w:val="none" w:color="auto"/>
        </w:rPr>
        <w:t>（1）与</w:t>
      </w:r>
      <w:r>
        <w:rPr>
          <w:rFonts w:hint="default" w:ascii="Times New Roman" w:hAnsi="Times New Roman" w:cs="Times New Roman"/>
          <w:color w:val="auto"/>
          <w:u w:val="none" w:color="auto"/>
          <w:lang w:eastAsia="zh-CN"/>
        </w:rPr>
        <w:t>《产业结构调整指导目录（20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lang w:eastAsia="zh-CN"/>
        </w:rPr>
        <w:t>年本）》</w:t>
      </w:r>
      <w:r>
        <w:rPr>
          <w:rFonts w:hint="default" w:ascii="Times New Roman" w:hAnsi="Times New Roman" w:cs="Times New Roman"/>
          <w:color w:val="auto"/>
          <w:u w:val="none" w:color="auto"/>
        </w:rPr>
        <w:t>相符性</w:t>
      </w:r>
      <w:bookmarkEnd w:id="90"/>
      <w:bookmarkEnd w:id="91"/>
    </w:p>
    <w:bookmarkEnd w:id="92"/>
    <w:bookmarkEnd w:id="93"/>
    <w:p w14:paraId="531D93F8">
      <w:pPr>
        <w:pStyle w:val="21"/>
        <w:ind w:firstLine="480"/>
        <w:rPr>
          <w:rFonts w:hint="default" w:ascii="Times New Roman" w:hAnsi="Times New Roman" w:cs="Times New Roman"/>
          <w:color w:val="auto"/>
          <w:u w:val="none" w:color="auto"/>
        </w:rPr>
      </w:pPr>
      <w:bookmarkStart w:id="94" w:name="_Toc19179"/>
      <w:bookmarkStart w:id="95" w:name="_Toc22310"/>
      <w:bookmarkStart w:id="96" w:name="_Toc5803"/>
      <w:bookmarkStart w:id="97" w:name="_Toc6280"/>
      <w:bookmarkStart w:id="98" w:name="_Toc13980"/>
      <w:bookmarkStart w:id="99" w:name="_Toc10931"/>
      <w:bookmarkStart w:id="100" w:name="_Toc13213"/>
      <w:bookmarkStart w:id="101" w:name="_Toc18806"/>
      <w:bookmarkStart w:id="102" w:name="_Toc29056"/>
      <w:r>
        <w:rPr>
          <w:rFonts w:hint="default" w:ascii="Times New Roman" w:hAnsi="Times New Roman" w:cs="Times New Roman"/>
          <w:color w:val="auto"/>
          <w:u w:val="none" w:color="auto"/>
        </w:rPr>
        <w:t>本项目主要产品为</w:t>
      </w:r>
      <w:r>
        <w:rPr>
          <w:rFonts w:hint="eastAsia" w:ascii="Times New Roman" w:hAnsi="Times New Roman" w:cs="Times New Roman"/>
          <w:color w:val="auto"/>
          <w:u w:val="none" w:color="auto"/>
          <w:lang w:val="en-US" w:eastAsia="zh-CN"/>
        </w:rPr>
        <w:t>石墨匣钵</w:t>
      </w:r>
      <w:r>
        <w:rPr>
          <w:rFonts w:hint="default" w:ascii="Times New Roman" w:hAnsi="Times New Roman" w:cs="Times New Roman"/>
          <w:color w:val="auto"/>
          <w:u w:val="none" w:color="auto"/>
        </w:rPr>
        <w:t>。由《产业结构调整指导目录（20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rPr>
        <w:t>年本）》，本项目不属于国家限制及淘汰类中提及的内容，为允许类。因此项目建设符合国家现行产业政策。</w:t>
      </w:r>
    </w:p>
    <w:p w14:paraId="770175E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（2）与《环境保护综合名录（</w:t>
      </w:r>
      <w:r>
        <w:rPr>
          <w:rFonts w:hint="eastAsia" w:ascii="Times New Roman" w:hAnsi="Times New Roman" w:cs="Times New Roman"/>
          <w:color w:val="auto"/>
          <w:u w:val="none" w:color="auto"/>
          <w:lang w:val="en-US" w:eastAsia="zh-CN"/>
        </w:rPr>
        <w:t>2021</w:t>
      </w:r>
      <w:r>
        <w:rPr>
          <w:rFonts w:hint="default" w:ascii="Times New Roman" w:hAnsi="Times New Roman" w:cs="Times New Roman"/>
          <w:color w:val="auto"/>
          <w:u w:val="none" w:color="auto"/>
        </w:rPr>
        <w:t>年版）》相符性分析</w:t>
      </w:r>
    </w:p>
    <w:p w14:paraId="351276DC">
      <w:pPr>
        <w:pStyle w:val="21"/>
        <w:ind w:firstLine="480"/>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rPr>
        <w:t>本项目属于</w:t>
      </w:r>
      <w:r>
        <w:rPr>
          <w:rFonts w:hint="default" w:ascii="Times New Roman" w:hAnsi="Times New Roman" w:cs="Times New Roman"/>
          <w:color w:val="auto"/>
          <w:u w:val="none" w:color="auto"/>
          <w:lang w:eastAsia="zh-CN"/>
        </w:rPr>
        <w:t>石墨及其他非金属矿物制品制造</w:t>
      </w:r>
      <w:r>
        <w:rPr>
          <w:rFonts w:hint="default" w:ascii="Times New Roman" w:hAnsi="Times New Roman" w:eastAsia="宋体" w:cs="Times New Roman"/>
          <w:color w:val="auto"/>
          <w:u w:val="none" w:color="auto"/>
          <w:lang w:eastAsia="zh-CN"/>
        </w:rPr>
        <w:t>，</w:t>
      </w:r>
      <w:r>
        <w:rPr>
          <w:rFonts w:hint="default" w:ascii="Times New Roman" w:hAnsi="Times New Roman" w:cs="Times New Roman"/>
          <w:color w:val="auto"/>
          <w:u w:val="none" w:color="auto"/>
        </w:rPr>
        <w:t>不属于《环境保护综合名录（20</w:t>
      </w:r>
      <w:r>
        <w:rPr>
          <w:rFonts w:hint="eastAsia" w:ascii="Times New Roman" w:hAnsi="Times New Roman" w:cs="Times New Roman"/>
          <w:color w:val="auto"/>
          <w:u w:val="none" w:color="auto"/>
          <w:lang w:val="en-US" w:eastAsia="zh-CN"/>
        </w:rPr>
        <w:t>21</w:t>
      </w:r>
      <w:r>
        <w:rPr>
          <w:rFonts w:hint="default" w:ascii="Times New Roman" w:hAnsi="Times New Roman" w:cs="Times New Roman"/>
          <w:color w:val="auto"/>
          <w:u w:val="none" w:color="auto"/>
        </w:rPr>
        <w:t>年版）》中</w:t>
      </w:r>
      <w:r>
        <w:rPr>
          <w:rFonts w:hint="eastAsia" w:ascii="宋体" w:hAnsi="宋体" w:eastAsia="宋体" w:cs="宋体"/>
          <w:color w:val="auto"/>
          <w:u w:val="none" w:color="auto"/>
        </w:rPr>
        <w:t>“一、高污染、高环境风险产品名录”</w:t>
      </w:r>
      <w:r>
        <w:rPr>
          <w:rFonts w:hint="default" w:ascii="Times New Roman" w:hAnsi="Times New Roman" w:cs="Times New Roman"/>
          <w:color w:val="auto"/>
          <w:u w:val="none" w:color="auto"/>
        </w:rPr>
        <w:t>之类，符合《环境保护综合名录（20</w:t>
      </w:r>
      <w:r>
        <w:rPr>
          <w:rFonts w:hint="eastAsia" w:ascii="Times New Roman" w:hAnsi="Times New Roman" w:cs="Times New Roman"/>
          <w:color w:val="auto"/>
          <w:u w:val="none" w:color="auto"/>
          <w:lang w:val="en-US" w:eastAsia="zh-CN"/>
        </w:rPr>
        <w:t>21</w:t>
      </w:r>
      <w:r>
        <w:rPr>
          <w:rFonts w:hint="default" w:ascii="Times New Roman" w:hAnsi="Times New Roman" w:cs="Times New Roman"/>
          <w:color w:val="auto"/>
          <w:u w:val="none" w:color="auto"/>
        </w:rPr>
        <w:t>年版）》相关要求。</w:t>
      </w:r>
    </w:p>
    <w:p w14:paraId="75151956">
      <w:pPr>
        <w:pStyle w:val="21"/>
        <w:bidi w:val="0"/>
        <w:rPr>
          <w:rFonts w:hint="eastAsia"/>
          <w:color w:val="auto"/>
          <w:u w:val="none" w:color="auto"/>
        </w:rPr>
      </w:pPr>
      <w:r>
        <w:rPr>
          <w:rFonts w:hint="eastAsia"/>
          <w:color w:val="auto"/>
          <w:u w:val="none" w:color="auto"/>
        </w:rPr>
        <w:t>（3）与《湖南省“两高”项目管理</w:t>
      </w:r>
      <w:r>
        <w:rPr>
          <w:rFonts w:hint="eastAsia"/>
          <w:color w:val="auto"/>
          <w:u w:val="none" w:color="auto"/>
          <w:lang w:val="en-US" w:eastAsia="zh-CN"/>
        </w:rPr>
        <w:t>目录</w:t>
      </w:r>
      <w:r>
        <w:rPr>
          <w:rFonts w:hint="eastAsia"/>
          <w:color w:val="auto"/>
          <w:u w:val="none" w:color="auto"/>
        </w:rPr>
        <w:t>》的相符性分析</w:t>
      </w:r>
    </w:p>
    <w:p w14:paraId="5CD1D65A">
      <w:pPr>
        <w:pStyle w:val="21"/>
        <w:bidi w:val="0"/>
        <w:rPr>
          <w:rFonts w:hint="eastAsia" w:eastAsia="宋体"/>
          <w:color w:val="auto"/>
          <w:u w:val="none" w:color="auto"/>
          <w:lang w:eastAsia="zh-CN"/>
        </w:rPr>
      </w:pPr>
      <w:r>
        <w:rPr>
          <w:rFonts w:hint="eastAsia"/>
          <w:color w:val="auto"/>
          <w:u w:val="none" w:color="auto"/>
        </w:rPr>
        <w:t>本项目属于</w:t>
      </w:r>
      <w:r>
        <w:rPr>
          <w:rFonts w:hint="default" w:ascii="Times New Roman" w:hAnsi="Times New Roman" w:cs="Times New Roman"/>
          <w:color w:val="auto"/>
          <w:u w:val="none" w:color="auto"/>
          <w:lang w:eastAsia="zh-CN"/>
        </w:rPr>
        <w:t>石墨及其他非金属矿物制品制造</w:t>
      </w:r>
      <w:r>
        <w:rPr>
          <w:rFonts w:hint="eastAsia"/>
          <w:color w:val="auto"/>
          <w:u w:val="none" w:color="auto"/>
        </w:rPr>
        <w:t>，</w:t>
      </w:r>
      <w:r>
        <w:rPr>
          <w:rFonts w:hint="eastAsia"/>
          <w:color w:val="auto"/>
          <w:u w:val="none" w:color="auto"/>
          <w:lang w:val="en-US" w:eastAsia="zh-CN"/>
        </w:rPr>
        <w:t>不涉及</w:t>
      </w:r>
      <w:r>
        <w:rPr>
          <w:rFonts w:hint="eastAsia"/>
          <w:color w:val="auto"/>
          <w:u w:val="none" w:color="auto"/>
        </w:rPr>
        <w:t>煤及煤制品、石油焦、渣油、重油等高污染燃料使用</w:t>
      </w:r>
      <w:r>
        <w:rPr>
          <w:rFonts w:hint="eastAsia"/>
          <w:color w:val="auto"/>
          <w:u w:val="none" w:color="auto"/>
          <w:lang w:val="en-US" w:eastAsia="zh-CN"/>
        </w:rPr>
        <w:t>的</w:t>
      </w:r>
      <w:r>
        <w:rPr>
          <w:rFonts w:hint="eastAsia"/>
          <w:color w:val="auto"/>
          <w:u w:val="none" w:color="auto"/>
        </w:rPr>
        <w:t>工业炉窑、锅炉</w:t>
      </w:r>
      <w:r>
        <w:rPr>
          <w:rFonts w:hint="eastAsia"/>
          <w:color w:val="auto"/>
          <w:u w:val="none" w:color="auto"/>
          <w:lang w:eastAsia="zh-CN"/>
        </w:rPr>
        <w:t>，</w:t>
      </w:r>
      <w:r>
        <w:rPr>
          <w:rFonts w:hint="eastAsia"/>
          <w:color w:val="auto"/>
          <w:u w:val="none" w:color="auto"/>
        </w:rPr>
        <w:t>不属于《湖南省“两高”项目管理</w:t>
      </w:r>
      <w:r>
        <w:rPr>
          <w:rFonts w:hint="eastAsia"/>
          <w:color w:val="auto"/>
          <w:u w:val="none" w:color="auto"/>
          <w:lang w:val="en-US" w:eastAsia="zh-CN"/>
        </w:rPr>
        <w:t>目录</w:t>
      </w:r>
      <w:r>
        <w:rPr>
          <w:rFonts w:hint="eastAsia"/>
          <w:color w:val="auto"/>
          <w:u w:val="none" w:color="auto"/>
        </w:rPr>
        <w:t>》中提及的行业、内容、产品、工序的项目，</w:t>
      </w:r>
      <w:r>
        <w:rPr>
          <w:rFonts w:hint="eastAsia"/>
          <w:color w:val="auto"/>
          <w:u w:val="none" w:color="auto"/>
          <w:lang w:val="en-US" w:eastAsia="zh-CN"/>
        </w:rPr>
        <w:t>项目不属于两高项目</w:t>
      </w:r>
      <w:r>
        <w:rPr>
          <w:rFonts w:hint="eastAsia"/>
          <w:color w:val="auto"/>
          <w:u w:val="none" w:color="auto"/>
          <w:lang w:eastAsia="zh-CN"/>
        </w:rPr>
        <w:t>。</w:t>
      </w:r>
    </w:p>
    <w:p w14:paraId="1C609B98">
      <w:pPr>
        <w:pStyle w:val="21"/>
        <w:bidi w:val="0"/>
        <w:rPr>
          <w:rFonts w:hint="eastAsia"/>
          <w:color w:val="auto"/>
          <w:u w:val="none" w:color="auto"/>
        </w:rPr>
      </w:pPr>
      <w:r>
        <w:rPr>
          <w:rFonts w:hint="eastAsia"/>
          <w:color w:val="auto"/>
          <w:u w:val="none" w:color="auto"/>
        </w:rPr>
        <w:t>（4）与《湖南省“十四五”生态环境保护规划》（湘政办发〔2021〕61号）相符性分析</w:t>
      </w:r>
    </w:p>
    <w:p w14:paraId="230CE35D">
      <w:pPr>
        <w:pStyle w:val="21"/>
        <w:bidi w:val="0"/>
        <w:rPr>
          <w:rFonts w:hint="eastAsia"/>
          <w:color w:val="auto"/>
          <w:u w:val="none" w:color="auto"/>
          <w:lang w:eastAsia="zh-CN"/>
        </w:rPr>
      </w:pPr>
      <w:r>
        <w:rPr>
          <w:rFonts w:hint="eastAsia"/>
          <w:color w:val="auto"/>
          <w:u w:val="none" w:color="auto"/>
        </w:rPr>
        <w:t>2021年9月30日，湖南省人民政府办公厅印发了《湖南省“十四五”生态环境保护规划》</w:t>
      </w:r>
      <w:r>
        <w:rPr>
          <w:rFonts w:hint="eastAsia"/>
          <w:color w:val="auto"/>
          <w:u w:val="none" w:color="auto"/>
          <w:lang w:eastAsia="zh-CN"/>
        </w:rPr>
        <w:t>，</w:t>
      </w:r>
      <w:r>
        <w:rPr>
          <w:rFonts w:hint="eastAsia"/>
          <w:color w:val="auto"/>
          <w:u w:val="none" w:color="auto"/>
          <w:lang w:val="en-US" w:eastAsia="zh-CN"/>
        </w:rPr>
        <w:t>其要求：强化重点行业VOCs科学治理。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w:t>
      </w:r>
      <w:r>
        <w:rPr>
          <w:rFonts w:hint="eastAsia"/>
          <w:color w:val="auto"/>
          <w:u w:val="none" w:color="auto"/>
        </w:rPr>
        <w:t>。</w:t>
      </w:r>
      <w:r>
        <w:rPr>
          <w:rFonts w:hint="eastAsia"/>
          <w:color w:val="auto"/>
          <w:u w:val="none" w:color="auto"/>
          <w:lang w:val="en-US" w:eastAsia="zh-CN"/>
        </w:rPr>
        <w:t>本项目加热</w:t>
      </w:r>
      <w:r>
        <w:rPr>
          <w:rFonts w:hint="eastAsia"/>
          <w:color w:val="auto"/>
          <w:u w:val="none" w:color="auto"/>
        </w:rPr>
        <w:t>混捏、</w:t>
      </w:r>
      <w:r>
        <w:rPr>
          <w:rFonts w:hint="eastAsia"/>
          <w:color w:val="auto"/>
          <w:u w:val="none" w:color="auto"/>
          <w:lang w:val="en-US" w:eastAsia="zh-CN"/>
        </w:rPr>
        <w:t>冷却</w:t>
      </w:r>
      <w:r>
        <w:rPr>
          <w:rFonts w:hint="eastAsia"/>
          <w:color w:val="auto"/>
          <w:u w:val="none" w:color="auto"/>
        </w:rPr>
        <w:t>等有机废气经活性炭处理后排放</w:t>
      </w:r>
      <w:r>
        <w:rPr>
          <w:rFonts w:hint="eastAsia"/>
          <w:color w:val="auto"/>
          <w:u w:val="none" w:color="auto"/>
          <w:lang w:eastAsia="zh-CN"/>
        </w:rPr>
        <w:t>，</w:t>
      </w:r>
      <w:r>
        <w:rPr>
          <w:rFonts w:hint="eastAsia"/>
          <w:color w:val="auto"/>
          <w:u w:val="none" w:color="auto"/>
        </w:rPr>
        <w:t>焙烧废气经焚烧炉（1#、2#）处理后排放，本项目使用的酚醛树脂等原料采用包装桶进行储存，</w:t>
      </w:r>
      <w:r>
        <w:rPr>
          <w:rFonts w:hint="eastAsia"/>
          <w:color w:val="auto"/>
          <w:u w:val="none" w:color="auto"/>
          <w:lang w:val="en-US" w:eastAsia="zh-CN"/>
        </w:rPr>
        <w:t>加热</w:t>
      </w:r>
      <w:r>
        <w:rPr>
          <w:rFonts w:hint="eastAsia"/>
          <w:color w:val="auto"/>
          <w:u w:val="none" w:color="auto"/>
        </w:rPr>
        <w:t>混捏、</w:t>
      </w:r>
      <w:r>
        <w:rPr>
          <w:rFonts w:hint="eastAsia"/>
          <w:color w:val="auto"/>
          <w:u w:val="none" w:color="auto"/>
          <w:lang w:val="en-US" w:eastAsia="zh-CN"/>
        </w:rPr>
        <w:t>冷却</w:t>
      </w:r>
      <w:r>
        <w:rPr>
          <w:rFonts w:hint="eastAsia"/>
          <w:color w:val="auto"/>
          <w:u w:val="none" w:color="auto"/>
        </w:rPr>
        <w:t>、焙烧等环节均在密闭设备中进行，</w:t>
      </w:r>
      <w:r>
        <w:rPr>
          <w:rFonts w:hint="eastAsia"/>
          <w:color w:val="auto"/>
          <w:u w:val="none" w:color="auto"/>
          <w:lang w:val="en-US" w:eastAsia="zh-CN"/>
        </w:rPr>
        <w:t>加热</w:t>
      </w:r>
      <w:r>
        <w:rPr>
          <w:rFonts w:hint="eastAsia"/>
          <w:color w:val="auto"/>
          <w:u w:val="none" w:color="auto"/>
        </w:rPr>
        <w:t>混捏、</w:t>
      </w:r>
      <w:r>
        <w:rPr>
          <w:rFonts w:hint="eastAsia"/>
          <w:color w:val="auto"/>
          <w:u w:val="none" w:color="auto"/>
          <w:lang w:val="en-US" w:eastAsia="zh-CN"/>
        </w:rPr>
        <w:t>冷却</w:t>
      </w:r>
      <w:r>
        <w:rPr>
          <w:rFonts w:hint="eastAsia"/>
          <w:color w:val="auto"/>
          <w:u w:val="none" w:color="auto"/>
        </w:rPr>
        <w:t>设置</w:t>
      </w:r>
      <w:r>
        <w:rPr>
          <w:rFonts w:hint="eastAsia"/>
          <w:color w:val="auto"/>
          <w:u w:val="none" w:color="auto"/>
          <w:lang w:val="en-US" w:eastAsia="zh-CN"/>
        </w:rPr>
        <w:t>管道</w:t>
      </w:r>
      <w:r>
        <w:rPr>
          <w:rFonts w:hint="eastAsia"/>
          <w:color w:val="auto"/>
          <w:u w:val="none" w:color="auto"/>
        </w:rPr>
        <w:t>对有机废气进行收集处理，焙烧采用密闭收集，符合规划要求</w:t>
      </w:r>
      <w:r>
        <w:rPr>
          <w:rFonts w:hint="eastAsia"/>
          <w:color w:val="auto"/>
          <w:u w:val="none" w:color="auto"/>
          <w:lang w:eastAsia="zh-CN"/>
        </w:rPr>
        <w:t>，</w:t>
      </w:r>
      <w:r>
        <w:rPr>
          <w:rFonts w:hint="eastAsia"/>
          <w:color w:val="auto"/>
          <w:u w:val="none" w:color="auto"/>
        </w:rPr>
        <w:t>符合《湖南省“十四五”生态环境保护规划》</w:t>
      </w:r>
      <w:r>
        <w:rPr>
          <w:rFonts w:hint="eastAsia"/>
          <w:color w:val="auto"/>
          <w:u w:val="none" w:color="auto"/>
          <w:lang w:eastAsia="zh-CN"/>
        </w:rPr>
        <w:t>。</w:t>
      </w:r>
    </w:p>
    <w:p w14:paraId="33FB73F3">
      <w:pPr>
        <w:pStyle w:val="8"/>
        <w:rPr>
          <w:color w:val="auto"/>
          <w:u w:val="none" w:color="auto"/>
        </w:rPr>
      </w:pPr>
      <w:bookmarkStart w:id="103" w:name="_Toc10483"/>
      <w:bookmarkStart w:id="104" w:name="_Toc29166"/>
      <w:r>
        <w:rPr>
          <w:color w:val="auto"/>
          <w:u w:val="none" w:color="auto"/>
        </w:rPr>
        <w:t>1.</w:t>
      </w:r>
      <w:r>
        <w:rPr>
          <w:rFonts w:hint="eastAsia"/>
          <w:color w:val="auto"/>
          <w:u w:val="none" w:color="auto"/>
        </w:rPr>
        <w:t>3</w:t>
      </w:r>
      <w:r>
        <w:rPr>
          <w:color w:val="auto"/>
          <w:u w:val="none" w:color="auto"/>
        </w:rPr>
        <w:t>.</w:t>
      </w:r>
      <w:r>
        <w:rPr>
          <w:rFonts w:hint="eastAsia"/>
          <w:color w:val="auto"/>
          <w:u w:val="none" w:color="auto"/>
        </w:rPr>
        <w:t>2相关</w:t>
      </w:r>
      <w:r>
        <w:rPr>
          <w:color w:val="auto"/>
          <w:u w:val="none" w:color="auto"/>
        </w:rPr>
        <w:t>政策相符性分析</w:t>
      </w:r>
      <w:bookmarkEnd w:id="103"/>
      <w:bookmarkEnd w:id="104"/>
    </w:p>
    <w:p w14:paraId="33BB962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）与《湖南省大气污染防治</w:t>
      </w:r>
      <w:r>
        <w:rPr>
          <w:rFonts w:hint="eastAsia" w:ascii="宋体" w:hAnsi="宋体" w:eastAsia="宋体" w:cs="宋体"/>
          <w:color w:val="auto"/>
          <w:u w:val="none" w:color="auto"/>
        </w:rPr>
        <w:t>“守护蓝天”攻</w:t>
      </w:r>
      <w:r>
        <w:rPr>
          <w:rFonts w:hint="default" w:ascii="Times New Roman" w:hAnsi="Times New Roman" w:cs="Times New Roman"/>
          <w:color w:val="auto"/>
          <w:u w:val="none" w:color="auto"/>
        </w:rPr>
        <w:t>坚行动计划（2023—2025年）》符合性分析</w:t>
      </w:r>
    </w:p>
    <w:p w14:paraId="3538655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为深入打好蓝天保卫战，努力实现全省大气环境质量根本好转，2023年8月湖南省人民政府办公厅印发了《湖南省大气污染防治</w:t>
      </w:r>
      <w:r>
        <w:rPr>
          <w:rFonts w:hint="eastAsia" w:ascii="宋体" w:hAnsi="宋体" w:eastAsia="宋体" w:cs="宋体"/>
          <w:color w:val="auto"/>
          <w:u w:val="none" w:color="auto"/>
        </w:rPr>
        <w:t>“守护蓝天”</w:t>
      </w:r>
      <w:r>
        <w:rPr>
          <w:rFonts w:hint="default" w:ascii="Times New Roman" w:hAnsi="Times New Roman" w:cs="Times New Roman"/>
          <w:color w:val="auto"/>
          <w:u w:val="none" w:color="auto"/>
        </w:rPr>
        <w:t>攻坚行动计划（2023-2025年）》（湘政办发〔2023〕34号），推动全省空气质量</w:t>
      </w:r>
      <w:r>
        <w:rPr>
          <w:rFonts w:hint="eastAsia" w:ascii="宋体" w:hAnsi="宋体" w:eastAsia="宋体" w:cs="宋体"/>
          <w:color w:val="auto"/>
          <w:u w:val="none" w:color="auto"/>
        </w:rPr>
        <w:t>改善“</w:t>
      </w:r>
      <w:r>
        <w:rPr>
          <w:rFonts w:hint="default" w:ascii="Times New Roman" w:hAnsi="Times New Roman" w:cs="Times New Roman"/>
          <w:color w:val="auto"/>
          <w:u w:val="none" w:color="auto"/>
        </w:rPr>
        <w:t>一年见成效、两年有提升，到2025年基本消除重污染</w:t>
      </w:r>
      <w:r>
        <w:rPr>
          <w:rFonts w:hint="eastAsia" w:ascii="宋体" w:hAnsi="宋体" w:eastAsia="宋体" w:cs="宋体"/>
          <w:color w:val="auto"/>
          <w:u w:val="none" w:color="auto"/>
        </w:rPr>
        <w:t>天气”</w:t>
      </w:r>
      <w:r>
        <w:rPr>
          <w:rFonts w:hint="default" w:ascii="Times New Roman" w:hAnsi="Times New Roman" w:cs="Times New Roman"/>
          <w:color w:val="auto"/>
          <w:u w:val="none" w:color="auto"/>
        </w:rPr>
        <w:t>。</w:t>
      </w:r>
    </w:p>
    <w:p w14:paraId="7C3F3F06">
      <w:pPr>
        <w:pStyle w:val="23"/>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default"/>
          <w:color w:val="auto"/>
          <w:u w:val="none" w:color="auto"/>
          <w:lang w:val="en-US" w:eastAsia="zh-CN"/>
        </w:rPr>
        <w:t xml:space="preserve">1 </w:t>
      </w:r>
      <w:r>
        <w:rPr>
          <w:rFonts w:hint="default"/>
          <w:color w:val="auto"/>
          <w:u w:val="none" w:color="auto"/>
        </w:rPr>
        <w:t>本项目与《湖南省大气污染防治“守护蓝天”攻坚行动计划（2023-2025年）》有关条款符合性分析</w:t>
      </w:r>
    </w:p>
    <w:tbl>
      <w:tblPr>
        <w:tblStyle w:val="16"/>
        <w:tblW w:w="8331"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57" w:type="dxa"/>
          <w:bottom w:w="0" w:type="dxa"/>
          <w:right w:w="57" w:type="dxa"/>
        </w:tblCellMar>
      </w:tblPr>
      <w:tblGrid>
        <w:gridCol w:w="462"/>
        <w:gridCol w:w="4260"/>
        <w:gridCol w:w="2805"/>
        <w:gridCol w:w="804"/>
      </w:tblGrid>
      <w:tr w14:paraId="7FB452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4140C5A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序号</w:t>
            </w:r>
          </w:p>
        </w:tc>
        <w:tc>
          <w:tcPr>
            <w:tcW w:w="4260" w:type="dxa"/>
            <w:tcBorders>
              <w:tl2br w:val="nil"/>
              <w:tr2bl w:val="nil"/>
            </w:tcBorders>
            <w:noWrap w:val="0"/>
            <w:vAlign w:val="center"/>
          </w:tcPr>
          <w:p w14:paraId="03C4C9D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eastAsia="zh-CN"/>
              </w:rPr>
              <w:t>《湖南省大气污染防治“守护蓝天”攻坚行动计划（2023-2025年）》</w:t>
            </w:r>
          </w:p>
        </w:tc>
        <w:tc>
          <w:tcPr>
            <w:tcW w:w="2805" w:type="dxa"/>
            <w:tcBorders>
              <w:tl2br w:val="nil"/>
              <w:tr2bl w:val="nil"/>
            </w:tcBorders>
            <w:noWrap w:val="0"/>
            <w:vAlign w:val="center"/>
          </w:tcPr>
          <w:p w14:paraId="742CF72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本</w:t>
            </w:r>
            <w:r>
              <w:rPr>
                <w:rFonts w:hint="eastAsia" w:ascii="Times New Roman" w:hAnsi="Times New Roman" w:eastAsia="宋体" w:cs="Times New Roman"/>
                <w:b/>
                <w:bCs/>
                <w:color w:val="auto"/>
                <w:sz w:val="21"/>
                <w:szCs w:val="21"/>
                <w:highlight w:val="none"/>
                <w:u w:val="none" w:color="auto"/>
                <w:lang w:val="en-US" w:eastAsia="zh-CN"/>
              </w:rPr>
              <w:t>项目</w:t>
            </w:r>
          </w:p>
        </w:tc>
        <w:tc>
          <w:tcPr>
            <w:tcW w:w="804" w:type="dxa"/>
            <w:tcBorders>
              <w:tl2br w:val="nil"/>
              <w:tr2bl w:val="nil"/>
            </w:tcBorders>
            <w:noWrap w:val="0"/>
            <w:vAlign w:val="center"/>
          </w:tcPr>
          <w:p w14:paraId="57AD8F1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符合性</w:t>
            </w:r>
          </w:p>
        </w:tc>
      </w:tr>
      <w:tr w14:paraId="1F67BB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1054E33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1</w:t>
            </w:r>
          </w:p>
        </w:tc>
        <w:tc>
          <w:tcPr>
            <w:tcW w:w="4260" w:type="dxa"/>
            <w:tcBorders>
              <w:tl2br w:val="nil"/>
              <w:tr2bl w:val="nil"/>
            </w:tcBorders>
            <w:noWrap w:val="0"/>
            <w:vAlign w:val="center"/>
          </w:tcPr>
          <w:p w14:paraId="7B18769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推动能源绿色低碳转型。严格落实煤炭等量、减量替代，提高电煤消费占比。多渠道扩展天然气气源，扩大外受电比重，持续推</w:t>
            </w:r>
            <w:r>
              <w:rPr>
                <w:rFonts w:hint="eastAsia" w:ascii="宋体" w:hAnsi="宋体" w:eastAsia="宋体" w:cs="宋体"/>
                <w:color w:val="auto"/>
                <w:sz w:val="21"/>
                <w:szCs w:val="21"/>
                <w:highlight w:val="none"/>
                <w:u w:val="none" w:color="auto"/>
                <w:lang w:eastAsia="zh-CN"/>
              </w:rPr>
              <w:t>进“煤改气”“</w:t>
            </w:r>
            <w:r>
              <w:rPr>
                <w:rFonts w:hint="default" w:ascii="Times New Roman" w:hAnsi="Times New Roman" w:eastAsia="宋体" w:cs="Times New Roman"/>
                <w:color w:val="auto"/>
                <w:sz w:val="21"/>
                <w:szCs w:val="21"/>
                <w:highlight w:val="none"/>
                <w:u w:val="none" w:color="auto"/>
                <w:lang w:eastAsia="zh-CN"/>
              </w:rPr>
              <w:t>煤改电</w:t>
            </w:r>
            <w:r>
              <w:rPr>
                <w:rFonts w:hint="eastAsia" w:ascii="宋体" w:hAnsi="宋体" w:eastAsia="宋体" w:cs="宋体"/>
                <w:color w:val="auto"/>
                <w:sz w:val="21"/>
                <w:szCs w:val="21"/>
                <w:highlight w:val="none"/>
                <w:u w:val="none" w:color="auto"/>
                <w:lang w:eastAsia="zh-CN"/>
              </w:rPr>
              <w:t>”工</w:t>
            </w:r>
            <w:r>
              <w:rPr>
                <w:rFonts w:hint="default" w:ascii="Times New Roman" w:hAnsi="Times New Roman" w:eastAsia="宋体" w:cs="Times New Roman"/>
                <w:color w:val="auto"/>
                <w:sz w:val="21"/>
                <w:szCs w:val="21"/>
                <w:highlight w:val="none"/>
                <w:u w:val="none" w:color="auto"/>
                <w:lang w:eastAsia="zh-CN"/>
              </w:rPr>
              <w:t>程，大力推进使用清洁能源或电厂热力、工业余热等替代锅炉、炉窑燃料用煤，加快推动玻璃、地板砖等建材行业企业以及有色冶炼行业鼓风炉、反射炉</w:t>
            </w:r>
            <w:r>
              <w:rPr>
                <w:rFonts w:hint="eastAsia" w:ascii="宋体" w:hAnsi="宋体" w:eastAsia="宋体" w:cs="宋体"/>
                <w:color w:val="auto"/>
                <w:sz w:val="21"/>
                <w:szCs w:val="21"/>
                <w:highlight w:val="none"/>
                <w:u w:val="none" w:color="auto"/>
                <w:lang w:eastAsia="zh-CN"/>
              </w:rPr>
              <w:t>等“煤改气”</w:t>
            </w:r>
            <w:r>
              <w:rPr>
                <w:rFonts w:hint="default" w:ascii="Times New Roman" w:hAnsi="Times New Roman" w:eastAsia="宋体" w:cs="Times New Roman"/>
                <w:color w:val="auto"/>
                <w:sz w:val="21"/>
                <w:szCs w:val="21"/>
                <w:highlight w:val="none"/>
                <w:u w:val="none" w:color="auto"/>
                <w:lang w:eastAsia="zh-CN"/>
              </w:rPr>
              <w:t>，依法依规推进煤气发生炉有序退出，推动非化石能源发展。</w:t>
            </w:r>
          </w:p>
        </w:tc>
        <w:tc>
          <w:tcPr>
            <w:tcW w:w="2805" w:type="dxa"/>
            <w:tcBorders>
              <w:tl2br w:val="nil"/>
              <w:tr2bl w:val="nil"/>
            </w:tcBorders>
            <w:noWrap w:val="0"/>
            <w:vAlign w:val="center"/>
          </w:tcPr>
          <w:p w14:paraId="1A3EEC8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项目</w:t>
            </w:r>
            <w:r>
              <w:rPr>
                <w:rFonts w:hint="default" w:ascii="Times New Roman" w:hAnsi="Times New Roman" w:eastAsia="宋体" w:cs="Times New Roman"/>
                <w:color w:val="auto"/>
                <w:sz w:val="21"/>
                <w:szCs w:val="21"/>
                <w:highlight w:val="none"/>
                <w:u w:val="none" w:color="auto"/>
                <w:lang w:eastAsia="zh-CN"/>
              </w:rPr>
              <w:t>能源消耗以电</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天然气等</w:t>
            </w:r>
            <w:r>
              <w:rPr>
                <w:rFonts w:hint="default" w:ascii="Times New Roman" w:hAnsi="Times New Roman" w:eastAsia="宋体" w:cs="Times New Roman"/>
                <w:color w:val="auto"/>
                <w:sz w:val="21"/>
                <w:szCs w:val="21"/>
                <w:highlight w:val="none"/>
                <w:u w:val="none" w:color="auto"/>
                <w:lang w:eastAsia="zh-CN"/>
              </w:rPr>
              <w:t>清洁能源为主</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不涉及使用煤</w:t>
            </w:r>
            <w:r>
              <w:rPr>
                <w:rFonts w:hint="eastAsia"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5557EB5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281AA0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06F9C70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c>
          <w:tcPr>
            <w:tcW w:w="4260" w:type="dxa"/>
            <w:tcBorders>
              <w:tl2br w:val="nil"/>
              <w:tr2bl w:val="nil"/>
            </w:tcBorders>
            <w:noWrap w:val="0"/>
            <w:vAlign w:val="center"/>
          </w:tcPr>
          <w:p w14:paraId="08F0A04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优化产业结构和布局。严格项目准入，遏</w:t>
            </w:r>
            <w:r>
              <w:rPr>
                <w:rFonts w:hint="eastAsia" w:ascii="宋体" w:hAnsi="宋体" w:eastAsia="宋体" w:cs="宋体"/>
                <w:color w:val="auto"/>
                <w:sz w:val="21"/>
                <w:szCs w:val="21"/>
                <w:highlight w:val="none"/>
                <w:u w:val="none" w:color="auto"/>
                <w:lang w:eastAsia="zh-CN"/>
              </w:rPr>
              <w:t>制“两高一低”项</w:t>
            </w:r>
            <w:r>
              <w:rPr>
                <w:rFonts w:hint="default" w:ascii="Times New Roman" w:hAnsi="Times New Roman" w:eastAsia="宋体" w:cs="Times New Roman"/>
                <w:color w:val="auto"/>
                <w:sz w:val="21"/>
                <w:szCs w:val="21"/>
                <w:highlight w:val="none"/>
                <w:u w:val="none" w:color="auto"/>
                <w:lang w:eastAsia="zh-CN"/>
              </w:rPr>
              <w:t>目盲目发展。落实产业规划及产业政策，严格执行重点行业产能置换办法，依法依规淘汰落后产能。优化产业链布局，开展传统产业集群排查整治，推进重点涉气企业入区入园。</w:t>
            </w:r>
          </w:p>
        </w:tc>
        <w:tc>
          <w:tcPr>
            <w:tcW w:w="2805" w:type="dxa"/>
            <w:tcBorders>
              <w:tl2br w:val="nil"/>
              <w:tr2bl w:val="nil"/>
            </w:tcBorders>
            <w:noWrap w:val="0"/>
            <w:vAlign w:val="center"/>
          </w:tcPr>
          <w:p w14:paraId="63921F1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由文本分析可知，本项目不属于“两高一低”项目，项目</w:t>
            </w:r>
            <w:r>
              <w:rPr>
                <w:rFonts w:hint="eastAsia" w:ascii="Times New Roman" w:hAnsi="Times New Roman" w:eastAsia="宋体" w:cs="Times New Roman"/>
                <w:color w:val="auto"/>
                <w:highlight w:val="none"/>
                <w:u w:val="none" w:color="auto"/>
              </w:rPr>
              <w:t>位于湖南省岳阳市汨罗市湖南汨罗高新技术产业开发区弼时片区</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符合</w:t>
            </w:r>
            <w:r>
              <w:rPr>
                <w:rFonts w:hint="eastAsia" w:ascii="Times New Roman" w:hAnsi="Times New Roman" w:eastAsia="宋体" w:cs="Times New Roman"/>
                <w:color w:val="auto"/>
                <w:highlight w:val="none"/>
                <w:u w:val="none" w:color="auto"/>
              </w:rPr>
              <w:t>湖南汨罗高新技术产业开发区</w:t>
            </w:r>
            <w:r>
              <w:rPr>
                <w:rFonts w:hint="eastAsia" w:ascii="Times New Roman" w:hAnsi="Times New Roman" w:eastAsia="宋体" w:cs="Times New Roman"/>
                <w:color w:val="auto"/>
                <w:highlight w:val="none"/>
                <w:u w:val="none" w:color="auto"/>
                <w:lang w:val="en-US" w:eastAsia="zh-CN"/>
              </w:rPr>
              <w:t>弼时</w:t>
            </w:r>
            <w:r>
              <w:rPr>
                <w:rFonts w:hint="eastAsia" w:ascii="Times New Roman" w:hAnsi="Times New Roman" w:eastAsia="宋体" w:cs="Times New Roman"/>
                <w:color w:val="auto"/>
                <w:highlight w:val="none"/>
                <w:u w:val="none" w:color="auto"/>
              </w:rPr>
              <w:t>片区</w:t>
            </w:r>
            <w:r>
              <w:rPr>
                <w:rFonts w:hint="eastAsia" w:ascii="Times New Roman" w:hAnsi="Times New Roman" w:eastAsia="宋体" w:cs="Times New Roman"/>
                <w:color w:val="auto"/>
                <w:highlight w:val="none"/>
                <w:u w:val="none" w:color="auto"/>
                <w:lang w:val="en-US" w:eastAsia="zh-CN"/>
              </w:rPr>
              <w:t>产业规划</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224B097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346047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1B88812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w:t>
            </w:r>
          </w:p>
        </w:tc>
        <w:tc>
          <w:tcPr>
            <w:tcW w:w="4260" w:type="dxa"/>
            <w:tcBorders>
              <w:tl2br w:val="nil"/>
              <w:tr2bl w:val="nil"/>
            </w:tcBorders>
            <w:noWrap w:val="0"/>
            <w:vAlign w:val="center"/>
          </w:tcPr>
          <w:p w14:paraId="040EFA8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推动产业绿色低碳发展。健全节能标准体系，深入开展重点行业强制性清洁生产审核。大力推行绿色制造，推进绿色工厂、绿色园区建设。</w:t>
            </w:r>
          </w:p>
        </w:tc>
        <w:tc>
          <w:tcPr>
            <w:tcW w:w="2805" w:type="dxa"/>
            <w:tcBorders>
              <w:tl2br w:val="nil"/>
              <w:tr2bl w:val="nil"/>
            </w:tcBorders>
            <w:noWrap w:val="0"/>
            <w:vAlign w:val="center"/>
          </w:tcPr>
          <w:p w14:paraId="752B218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本项目不属于重点行业，无需开展清洁生产审核</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3A75517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1369DC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6BCBD72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w:t>
            </w:r>
          </w:p>
        </w:tc>
        <w:tc>
          <w:tcPr>
            <w:tcW w:w="4260" w:type="dxa"/>
            <w:tcBorders>
              <w:tl2br w:val="nil"/>
              <w:tr2bl w:val="nil"/>
            </w:tcBorders>
            <w:noWrap w:val="0"/>
            <w:vAlign w:val="center"/>
          </w:tcPr>
          <w:p w14:paraId="3028DEC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2805" w:type="dxa"/>
            <w:tcBorders>
              <w:tl2br w:val="nil"/>
              <w:tr2bl w:val="nil"/>
            </w:tcBorders>
            <w:noWrap w:val="0"/>
            <w:vAlign w:val="center"/>
          </w:tcPr>
          <w:p w14:paraId="5F75E24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highlight w:val="none"/>
                <w:u w:val="none" w:color="auto"/>
              </w:rPr>
              <w:t>本项目属于石墨及其他非金属矿物制品制造，不涉及涂装、印刷、粘合、工业清洗等工序，不使用涂料、油墨、胶粘剂、清洗剂等易挥发VOCs原辅料。</w:t>
            </w:r>
          </w:p>
        </w:tc>
        <w:tc>
          <w:tcPr>
            <w:tcW w:w="804" w:type="dxa"/>
            <w:tcBorders>
              <w:tl2br w:val="nil"/>
              <w:tr2bl w:val="nil"/>
            </w:tcBorders>
            <w:noWrap w:val="0"/>
            <w:vAlign w:val="center"/>
          </w:tcPr>
          <w:p w14:paraId="4AA3314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68E9FD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2A825BE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w:t>
            </w:r>
          </w:p>
        </w:tc>
        <w:tc>
          <w:tcPr>
            <w:tcW w:w="4260" w:type="dxa"/>
            <w:tcBorders>
              <w:tl2br w:val="nil"/>
              <w:tr2bl w:val="nil"/>
            </w:tcBorders>
            <w:noWrap w:val="0"/>
            <w:vAlign w:val="center"/>
          </w:tcPr>
          <w:p w14:paraId="624EE1F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w:t>
            </w:r>
          </w:p>
        </w:tc>
        <w:tc>
          <w:tcPr>
            <w:tcW w:w="2805" w:type="dxa"/>
            <w:tcBorders>
              <w:tl2br w:val="nil"/>
              <w:tr2bl w:val="nil"/>
            </w:tcBorders>
            <w:noWrap w:val="0"/>
            <w:vAlign w:val="center"/>
          </w:tcPr>
          <w:p w14:paraId="705CA1D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本项目使用天然气炉窑，项目不属于钢铁、水泥等行业</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134E1DE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194581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2A1D3BC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w:t>
            </w:r>
          </w:p>
        </w:tc>
        <w:tc>
          <w:tcPr>
            <w:tcW w:w="4260" w:type="dxa"/>
            <w:tcBorders>
              <w:tl2br w:val="nil"/>
              <w:tr2bl w:val="nil"/>
            </w:tcBorders>
            <w:noWrap w:val="0"/>
            <w:vAlign w:val="center"/>
          </w:tcPr>
          <w:p w14:paraId="555990F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开展涉VOCs重点行业全流程整治。持续开展VOCs治理突出问题排查，清理整顿简易低效、不合规定治理设施，强化无组织和非正常工况废气排放管控。规范开展泄漏检测与修复。</w:t>
            </w:r>
          </w:p>
        </w:tc>
        <w:tc>
          <w:tcPr>
            <w:tcW w:w="2805" w:type="dxa"/>
            <w:tcBorders>
              <w:tl2br w:val="nil"/>
              <w:tr2bl w:val="nil"/>
            </w:tcBorders>
            <w:noWrap w:val="0"/>
            <w:vAlign w:val="center"/>
          </w:tcPr>
          <w:p w14:paraId="4176BDE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本项目不属于</w:t>
            </w:r>
            <w:r>
              <w:rPr>
                <w:rFonts w:hint="default" w:ascii="Times New Roman" w:hAnsi="Times New Roman" w:eastAsia="宋体" w:cs="Times New Roman"/>
                <w:color w:val="auto"/>
                <w:sz w:val="21"/>
                <w:szCs w:val="21"/>
                <w:highlight w:val="none"/>
                <w:u w:val="none" w:color="auto"/>
                <w:lang w:eastAsia="zh-CN"/>
              </w:rPr>
              <w:t>涉VOCs重点行业</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highlight w:val="none"/>
                <w:u w:val="none" w:color="auto"/>
              </w:rPr>
              <w:t>本项目加热混捏、冷却等有机废气经活性炭处理后排放</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rPr>
              <w:t>焙烧废气经焚烧炉（1#、2#）处理后排放</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要求建设单位生产过程中强化</w:t>
            </w:r>
            <w:r>
              <w:rPr>
                <w:rFonts w:hint="default" w:ascii="Times New Roman" w:hAnsi="Times New Roman" w:eastAsia="宋体" w:cs="Times New Roman"/>
                <w:color w:val="auto"/>
                <w:sz w:val="21"/>
                <w:szCs w:val="21"/>
                <w:highlight w:val="none"/>
                <w:u w:val="none" w:color="auto"/>
                <w:lang w:eastAsia="zh-CN"/>
              </w:rPr>
              <w:t>无组织和非正常工况废气排放管控</w:t>
            </w:r>
            <w:r>
              <w:rPr>
                <w:rFonts w:hint="eastAsia"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1FE0880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46FBBB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0802FB2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w:t>
            </w:r>
          </w:p>
        </w:tc>
        <w:tc>
          <w:tcPr>
            <w:tcW w:w="4260" w:type="dxa"/>
            <w:tcBorders>
              <w:tl2br w:val="nil"/>
              <w:tr2bl w:val="nil"/>
            </w:tcBorders>
            <w:noWrap w:val="0"/>
            <w:vAlign w:val="center"/>
          </w:tcPr>
          <w:p w14:paraId="50CF090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加强工业源重污染天气应对。完善应急减排清单，确保涉气企业全覆盖。将应急减排措施纳入排污许可证管理。</w:t>
            </w:r>
          </w:p>
        </w:tc>
        <w:tc>
          <w:tcPr>
            <w:tcW w:w="2805" w:type="dxa"/>
            <w:tcBorders>
              <w:tl2br w:val="nil"/>
              <w:tr2bl w:val="nil"/>
            </w:tcBorders>
            <w:noWrap w:val="0"/>
            <w:vAlign w:val="center"/>
          </w:tcPr>
          <w:p w14:paraId="73D783B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本评价要求</w:t>
            </w:r>
            <w:r>
              <w:rPr>
                <w:rFonts w:hint="default" w:ascii="Times New Roman" w:hAnsi="Times New Roman" w:eastAsia="宋体" w:cs="Times New Roman"/>
                <w:color w:val="auto"/>
                <w:sz w:val="21"/>
                <w:szCs w:val="21"/>
                <w:highlight w:val="none"/>
                <w:u w:val="none" w:color="auto"/>
                <w:lang w:eastAsia="zh-CN"/>
              </w:rPr>
              <w:t>加强工业源重污染天气应对</w:t>
            </w:r>
            <w:r>
              <w:rPr>
                <w:rFonts w:hint="eastAsia"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eastAsia="zh-CN"/>
              </w:rPr>
              <w:t>将应急减排措施纳入排污许可证管理。</w:t>
            </w:r>
          </w:p>
        </w:tc>
        <w:tc>
          <w:tcPr>
            <w:tcW w:w="804" w:type="dxa"/>
            <w:tcBorders>
              <w:tl2br w:val="nil"/>
              <w:tr2bl w:val="nil"/>
            </w:tcBorders>
            <w:noWrap w:val="0"/>
            <w:vAlign w:val="center"/>
          </w:tcPr>
          <w:p w14:paraId="5D2027A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300BB7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55BA5B6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w:t>
            </w:r>
          </w:p>
        </w:tc>
        <w:tc>
          <w:tcPr>
            <w:tcW w:w="4260" w:type="dxa"/>
            <w:tcBorders>
              <w:tl2br w:val="nil"/>
              <w:tr2bl w:val="nil"/>
            </w:tcBorders>
            <w:noWrap w:val="0"/>
            <w:vAlign w:val="center"/>
          </w:tcPr>
          <w:p w14:paraId="343C01F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加强非道路移动机械监管。推进厂矿企业、单位内部作业车辆和机械电动化。</w:t>
            </w:r>
          </w:p>
        </w:tc>
        <w:tc>
          <w:tcPr>
            <w:tcW w:w="2805" w:type="dxa"/>
            <w:tcBorders>
              <w:tl2br w:val="nil"/>
              <w:tr2bl w:val="nil"/>
            </w:tcBorders>
            <w:noWrap w:val="0"/>
            <w:vAlign w:val="center"/>
          </w:tcPr>
          <w:p w14:paraId="74BC03B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本评价要求</w:t>
            </w:r>
            <w:r>
              <w:rPr>
                <w:rFonts w:hint="default" w:ascii="Times New Roman" w:hAnsi="Times New Roman" w:eastAsia="宋体" w:cs="Times New Roman"/>
                <w:color w:val="auto"/>
                <w:sz w:val="21"/>
                <w:szCs w:val="21"/>
                <w:highlight w:val="none"/>
                <w:u w:val="none" w:color="auto"/>
                <w:lang w:eastAsia="zh-CN"/>
              </w:rPr>
              <w:t>推进企业内部作业车辆和机械电动化。</w:t>
            </w:r>
          </w:p>
        </w:tc>
        <w:tc>
          <w:tcPr>
            <w:tcW w:w="804" w:type="dxa"/>
            <w:tcBorders>
              <w:tl2br w:val="nil"/>
              <w:tr2bl w:val="nil"/>
            </w:tcBorders>
            <w:noWrap w:val="0"/>
            <w:vAlign w:val="center"/>
          </w:tcPr>
          <w:p w14:paraId="263DE3C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6DE481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035831A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w:t>
            </w:r>
          </w:p>
        </w:tc>
        <w:tc>
          <w:tcPr>
            <w:tcW w:w="4260" w:type="dxa"/>
            <w:tcBorders>
              <w:tl2br w:val="nil"/>
              <w:tr2bl w:val="nil"/>
            </w:tcBorders>
            <w:noWrap w:val="0"/>
            <w:vAlign w:val="center"/>
          </w:tcPr>
          <w:p w14:paraId="3E83B46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推进企业深度治理。以钢铁、建材、工业涂装等行业企业为重点推进NOx和VOCs深度减排。</w:t>
            </w:r>
          </w:p>
        </w:tc>
        <w:tc>
          <w:tcPr>
            <w:tcW w:w="2805" w:type="dxa"/>
            <w:tcBorders>
              <w:tl2br w:val="nil"/>
              <w:tr2bl w:val="nil"/>
            </w:tcBorders>
            <w:noWrap w:val="0"/>
            <w:vAlign w:val="center"/>
          </w:tcPr>
          <w:p w14:paraId="1A5F2B3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本项目不属于钢铁、建材、工业涂装等行业</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0A083BF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bl>
    <w:p w14:paraId="6B54A82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综上所述，本规划符合《湖南省大气污染防治</w:t>
      </w:r>
      <w:r>
        <w:rPr>
          <w:rFonts w:hint="eastAsia" w:ascii="宋体" w:hAnsi="宋体" w:eastAsia="宋体" w:cs="宋体"/>
          <w:color w:val="auto"/>
          <w:u w:val="none" w:color="auto"/>
        </w:rPr>
        <w:t>“守护蓝天”</w:t>
      </w:r>
      <w:r>
        <w:rPr>
          <w:rFonts w:hint="default" w:ascii="Times New Roman" w:hAnsi="Times New Roman" w:cs="Times New Roman"/>
          <w:color w:val="auto"/>
          <w:u w:val="none" w:color="auto"/>
        </w:rPr>
        <w:t>攻坚行动计划（2023-2025年）》的相关要求。</w:t>
      </w:r>
    </w:p>
    <w:p w14:paraId="314289A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）与《挥发性有机物（VOCs）污染防治技术政策》符合性分析</w:t>
      </w:r>
    </w:p>
    <w:p w14:paraId="0704ACCD">
      <w:pPr>
        <w:pStyle w:val="23"/>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default"/>
          <w:color w:val="auto"/>
          <w:u w:val="none" w:color="auto"/>
          <w:lang w:val="en-US" w:eastAsia="zh-CN"/>
        </w:rPr>
        <w:t>2</w:t>
      </w:r>
      <w:r>
        <w:rPr>
          <w:rFonts w:hint="default"/>
          <w:color w:val="auto"/>
          <w:u w:val="none" w:color="auto"/>
        </w:rPr>
        <w:t xml:space="preserve"> 本项目与《挥发性有机物（VOCs）污染防治技术政策》相关要求表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3"/>
        <w:gridCol w:w="3294"/>
        <w:gridCol w:w="885"/>
      </w:tblGrid>
      <w:tr w14:paraId="4F98F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343" w:type="dxa"/>
            <w:noWrap w:val="0"/>
            <w:vAlign w:val="center"/>
          </w:tcPr>
          <w:p w14:paraId="4C685AC1">
            <w:pPr>
              <w:pStyle w:val="24"/>
              <w:bidi w:val="0"/>
              <w:rPr>
                <w:rFonts w:hint="default"/>
                <w:b/>
                <w:bCs w:val="0"/>
                <w:color w:val="auto"/>
                <w:u w:val="none" w:color="auto"/>
              </w:rPr>
            </w:pPr>
            <w:r>
              <w:rPr>
                <w:rFonts w:hint="default"/>
                <w:b/>
                <w:bCs w:val="0"/>
                <w:color w:val="auto"/>
                <w:u w:val="none" w:color="auto"/>
              </w:rPr>
              <w:t>相关规定</w:t>
            </w:r>
          </w:p>
        </w:tc>
        <w:tc>
          <w:tcPr>
            <w:tcW w:w="3294" w:type="dxa"/>
            <w:noWrap w:val="0"/>
            <w:vAlign w:val="center"/>
          </w:tcPr>
          <w:p w14:paraId="4C49ADE0">
            <w:pPr>
              <w:pStyle w:val="24"/>
              <w:bidi w:val="0"/>
              <w:rPr>
                <w:rFonts w:hint="default"/>
                <w:b/>
                <w:bCs w:val="0"/>
                <w:color w:val="auto"/>
                <w:u w:val="none" w:color="auto"/>
              </w:rPr>
            </w:pPr>
            <w:r>
              <w:rPr>
                <w:rFonts w:hint="default"/>
                <w:b/>
                <w:bCs w:val="0"/>
                <w:color w:val="auto"/>
                <w:u w:val="none" w:color="auto"/>
                <w:lang w:eastAsia="zh-CN"/>
              </w:rPr>
              <w:t>本项目情况</w:t>
            </w:r>
          </w:p>
        </w:tc>
        <w:tc>
          <w:tcPr>
            <w:tcW w:w="885" w:type="dxa"/>
            <w:noWrap w:val="0"/>
            <w:vAlign w:val="center"/>
          </w:tcPr>
          <w:p w14:paraId="5A71843E">
            <w:pPr>
              <w:pStyle w:val="24"/>
              <w:bidi w:val="0"/>
              <w:rPr>
                <w:rFonts w:hint="default"/>
                <w:b/>
                <w:bCs w:val="0"/>
                <w:color w:val="auto"/>
                <w:u w:val="none" w:color="auto"/>
              </w:rPr>
            </w:pPr>
            <w:r>
              <w:rPr>
                <w:rFonts w:hint="default"/>
                <w:b/>
                <w:bCs w:val="0"/>
                <w:color w:val="auto"/>
                <w:u w:val="none" w:color="auto"/>
              </w:rPr>
              <w:t>相符性</w:t>
            </w:r>
          </w:p>
        </w:tc>
      </w:tr>
      <w:tr w14:paraId="643DA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4343" w:type="dxa"/>
            <w:noWrap w:val="0"/>
            <w:vAlign w:val="center"/>
          </w:tcPr>
          <w:p w14:paraId="1FCBBF49">
            <w:pPr>
              <w:pStyle w:val="24"/>
              <w:bidi w:val="0"/>
              <w:rPr>
                <w:rFonts w:hint="default"/>
                <w:color w:val="auto"/>
                <w:u w:val="none" w:color="auto"/>
              </w:rPr>
            </w:pPr>
            <w:r>
              <w:rPr>
                <w:rFonts w:hint="default"/>
                <w:color w:val="auto"/>
                <w:u w:val="none" w:color="auto"/>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3294" w:type="dxa"/>
            <w:noWrap w:val="0"/>
            <w:vAlign w:val="center"/>
          </w:tcPr>
          <w:p w14:paraId="5E31B5E5">
            <w:pPr>
              <w:pStyle w:val="24"/>
              <w:bidi w:val="0"/>
              <w:rPr>
                <w:rFonts w:hint="default"/>
                <w:u w:val="none" w:color="auto"/>
                <w:lang w:eastAsia="zh-CN"/>
              </w:rPr>
            </w:pPr>
            <w:r>
              <w:rPr>
                <w:rFonts w:hint="default"/>
                <w:u w:val="none" w:color="auto"/>
                <w:lang w:eastAsia="zh-CN"/>
              </w:rPr>
              <w:t>本项目具有挥发性原料主要为液</w:t>
            </w:r>
          </w:p>
          <w:p w14:paraId="7512F6D9">
            <w:pPr>
              <w:pStyle w:val="24"/>
              <w:bidi w:val="0"/>
              <w:rPr>
                <w:rFonts w:hint="default"/>
                <w:u w:val="none" w:color="auto"/>
                <w:lang w:eastAsia="zh-CN"/>
              </w:rPr>
            </w:pPr>
            <w:r>
              <w:rPr>
                <w:rFonts w:hint="default"/>
                <w:u w:val="none" w:color="auto"/>
                <w:lang w:eastAsia="zh-CN"/>
              </w:rPr>
              <w:t>态酚醛树脂原料，采用密闭包装</w:t>
            </w:r>
          </w:p>
          <w:p w14:paraId="64AF29D9">
            <w:pPr>
              <w:pStyle w:val="24"/>
              <w:bidi w:val="0"/>
              <w:rPr>
                <w:rFonts w:hint="default"/>
                <w:color w:val="auto"/>
                <w:u w:val="none" w:color="auto"/>
                <w:lang w:eastAsia="zh-CN"/>
              </w:rPr>
            </w:pPr>
            <w:r>
              <w:rPr>
                <w:rFonts w:hint="default"/>
                <w:u w:val="none" w:color="auto"/>
                <w:lang w:eastAsia="zh-CN"/>
              </w:rPr>
              <w:t>桶储存</w:t>
            </w:r>
            <w:r>
              <w:rPr>
                <w:rFonts w:hint="eastAsia"/>
                <w:u w:val="none" w:color="auto"/>
                <w:lang w:val="en-US" w:eastAsia="zh-CN"/>
              </w:rPr>
              <w:t>，产品不会挥发。项目生产过程中加强VOCs的收集，减少无组织逸散</w:t>
            </w:r>
            <w:r>
              <w:rPr>
                <w:rFonts w:hint="default"/>
                <w:color w:val="auto"/>
                <w:u w:val="none" w:color="auto"/>
                <w:lang w:eastAsia="zh-CN"/>
              </w:rPr>
              <w:t>；末端治理上，</w:t>
            </w:r>
            <w:r>
              <w:rPr>
                <w:rFonts w:hint="eastAsia"/>
                <w:color w:val="auto"/>
                <w:u w:val="none" w:color="auto"/>
                <w:lang w:val="en-US" w:eastAsia="zh-CN"/>
              </w:rPr>
              <w:t>加热混捏、冷却废气采用布袋除尘器+活性炭吸附装置处理后通过15m高排气筒达标排放，焙烧废气</w:t>
            </w:r>
            <w:r>
              <w:rPr>
                <w:rFonts w:hint="default"/>
                <w:color w:val="auto"/>
                <w:u w:val="none" w:color="auto"/>
                <w:lang w:eastAsia="zh-CN"/>
              </w:rPr>
              <w:t>采用</w:t>
            </w:r>
            <w:r>
              <w:rPr>
                <w:rFonts w:hint="eastAsia"/>
                <w:color w:val="auto"/>
                <w:u w:val="none" w:color="auto"/>
                <w:lang w:val="en-US" w:eastAsia="zh-CN"/>
              </w:rPr>
              <w:t>焚烧炉</w:t>
            </w:r>
            <w:r>
              <w:rPr>
                <w:rFonts w:hint="default"/>
                <w:color w:val="auto"/>
                <w:u w:val="none" w:color="auto"/>
                <w:lang w:eastAsia="zh-CN"/>
              </w:rPr>
              <w:t>处理后通过15m高排气筒达标排放，基本做到了过程控制与末端治理相结合的综合防治。</w:t>
            </w:r>
          </w:p>
        </w:tc>
        <w:tc>
          <w:tcPr>
            <w:tcW w:w="885" w:type="dxa"/>
            <w:noWrap w:val="0"/>
            <w:vAlign w:val="center"/>
          </w:tcPr>
          <w:p w14:paraId="0A276637">
            <w:pPr>
              <w:pStyle w:val="24"/>
              <w:bidi w:val="0"/>
              <w:rPr>
                <w:rFonts w:hint="default"/>
                <w:color w:val="auto"/>
                <w:u w:val="none" w:color="auto"/>
                <w:lang w:eastAsia="zh-CN"/>
              </w:rPr>
            </w:pPr>
            <w:r>
              <w:rPr>
                <w:rFonts w:hint="default"/>
                <w:color w:val="auto"/>
                <w:u w:val="none" w:color="auto"/>
                <w:lang w:eastAsia="zh-CN"/>
              </w:rPr>
              <w:t>符合</w:t>
            </w:r>
          </w:p>
        </w:tc>
      </w:tr>
      <w:tr w14:paraId="43F93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4343" w:type="dxa"/>
            <w:noWrap w:val="0"/>
            <w:vAlign w:val="center"/>
          </w:tcPr>
          <w:p w14:paraId="2CEDFC9B">
            <w:pPr>
              <w:pStyle w:val="24"/>
              <w:bidi w:val="0"/>
              <w:rPr>
                <w:rFonts w:hint="default"/>
                <w:color w:val="auto"/>
                <w:u w:val="none" w:color="auto"/>
                <w:lang w:val="en-US" w:eastAsia="zh-CN"/>
              </w:rPr>
            </w:pPr>
            <w:r>
              <w:rPr>
                <w:rFonts w:hint="eastAsia"/>
                <w:color w:val="auto"/>
                <w:u w:val="none" w:color="auto"/>
                <w:lang w:val="en-US" w:eastAsia="zh-CN"/>
              </w:rPr>
              <w:t>当采用吸附回收（浓缩）、催化燃烧、热力焚烧、等离子体等方法进行末端治理时，应编制本单位事故火灾、爆炸等应急救援预案，配备应急救援人员和器材，并开展应急演练。</w:t>
            </w:r>
          </w:p>
        </w:tc>
        <w:tc>
          <w:tcPr>
            <w:tcW w:w="3294" w:type="dxa"/>
            <w:noWrap w:val="0"/>
            <w:vAlign w:val="center"/>
          </w:tcPr>
          <w:p w14:paraId="7114B92D">
            <w:pPr>
              <w:pStyle w:val="24"/>
              <w:bidi w:val="0"/>
              <w:rPr>
                <w:rFonts w:hint="default"/>
                <w:color w:val="auto"/>
                <w:u w:val="none" w:color="auto"/>
                <w:lang w:val="en-US" w:eastAsia="zh-CN"/>
              </w:rPr>
            </w:pPr>
            <w:r>
              <w:rPr>
                <w:rFonts w:hint="eastAsia"/>
                <w:color w:val="auto"/>
                <w:u w:val="none" w:color="auto"/>
                <w:lang w:val="en-US" w:eastAsia="zh-CN"/>
              </w:rPr>
              <w:t>本项目建成后将按突发环境事件应急预案相关管理要求办理手续，要求配备应急救援人员和器材，并定期开展应急演练。</w:t>
            </w:r>
          </w:p>
        </w:tc>
        <w:tc>
          <w:tcPr>
            <w:tcW w:w="885" w:type="dxa"/>
            <w:noWrap w:val="0"/>
            <w:vAlign w:val="center"/>
          </w:tcPr>
          <w:p w14:paraId="7FC30AE5">
            <w:pPr>
              <w:pStyle w:val="24"/>
              <w:bidi w:val="0"/>
              <w:rPr>
                <w:rFonts w:hint="default"/>
                <w:color w:val="auto"/>
                <w:u w:val="none" w:color="auto"/>
                <w:lang w:val="en-US" w:eastAsia="zh-CN"/>
              </w:rPr>
            </w:pPr>
            <w:r>
              <w:rPr>
                <w:rFonts w:hint="eastAsia"/>
                <w:color w:val="auto"/>
                <w:u w:val="none" w:color="auto"/>
                <w:lang w:val="en-US" w:eastAsia="zh-CN"/>
              </w:rPr>
              <w:t>符合</w:t>
            </w:r>
          </w:p>
        </w:tc>
      </w:tr>
    </w:tbl>
    <w:p w14:paraId="2362E73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通过上表分析，项目基本符合《挥发性有机物（VOCs）污染防治技术政策》相关要求。</w:t>
      </w:r>
    </w:p>
    <w:p w14:paraId="6BF9434E">
      <w:pPr>
        <w:pStyle w:val="21"/>
        <w:bidi w:val="0"/>
        <w:rPr>
          <w:rFonts w:hint="default"/>
          <w:color w:val="auto"/>
          <w:u w:val="none" w:color="auto"/>
          <w:lang w:val="en-US"/>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w:t>
      </w:r>
      <w:r>
        <w:rPr>
          <w:rFonts w:hint="default"/>
          <w:color w:val="auto"/>
          <w:u w:val="none" w:color="auto"/>
          <w:lang w:eastAsia="zh-CN"/>
        </w:rPr>
        <w:t>与《</w:t>
      </w:r>
      <w:r>
        <w:rPr>
          <w:rFonts w:hint="default"/>
          <w:color w:val="auto"/>
          <w:u w:val="none" w:color="auto"/>
        </w:rPr>
        <w:t>挥发性有机物无组织排放控制标准（GB 37822</w:t>
      </w:r>
      <w:r>
        <w:rPr>
          <w:rFonts w:hint="eastAsia"/>
          <w:color w:val="auto"/>
          <w:u w:val="none" w:color="auto"/>
          <w:lang w:val="en-US" w:eastAsia="zh-CN"/>
        </w:rPr>
        <w:t>-</w:t>
      </w:r>
      <w:r>
        <w:rPr>
          <w:rFonts w:hint="default"/>
          <w:color w:val="auto"/>
          <w:u w:val="none" w:color="auto"/>
        </w:rPr>
        <w:t>2019）</w:t>
      </w:r>
      <w:r>
        <w:rPr>
          <w:rFonts w:hint="default"/>
          <w:color w:val="auto"/>
          <w:u w:val="none" w:color="auto"/>
          <w:lang w:eastAsia="zh-CN"/>
        </w:rPr>
        <w:t>》符合性分析</w:t>
      </w:r>
    </w:p>
    <w:p w14:paraId="3C4C7BA1">
      <w:pPr>
        <w:pStyle w:val="23"/>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本项目与《挥发性有机物无组织排放控制标准（GB 37822</w:t>
      </w:r>
      <w:r>
        <w:rPr>
          <w:rFonts w:hint="eastAsia"/>
          <w:color w:val="auto"/>
          <w:u w:val="none" w:color="auto"/>
          <w:lang w:val="en-US" w:eastAsia="zh-CN"/>
        </w:rPr>
        <w:t>-</w:t>
      </w:r>
      <w:r>
        <w:rPr>
          <w:rFonts w:hint="default"/>
          <w:color w:val="auto"/>
          <w:u w:val="none" w:color="auto"/>
        </w:rPr>
        <w:t>2019）》相关要求表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3300"/>
        <w:gridCol w:w="1203"/>
      </w:tblGrid>
      <w:tr w14:paraId="0E0F3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73D8250">
            <w:pPr>
              <w:pStyle w:val="24"/>
              <w:bidi w:val="0"/>
              <w:rPr>
                <w:rFonts w:hint="default"/>
                <w:b/>
                <w:bCs w:val="0"/>
                <w:color w:val="auto"/>
                <w:u w:val="none" w:color="auto"/>
                <w:lang w:val="en-US" w:eastAsia="zh-CN"/>
              </w:rPr>
            </w:pPr>
            <w:r>
              <w:rPr>
                <w:rFonts w:hint="default"/>
                <w:b/>
                <w:bCs w:val="0"/>
                <w:color w:val="auto"/>
                <w:u w:val="none" w:color="auto"/>
                <w:lang w:val="en-US" w:eastAsia="zh-CN"/>
              </w:rPr>
              <w:t>相关规定</w:t>
            </w:r>
          </w:p>
        </w:tc>
        <w:tc>
          <w:tcPr>
            <w:tcW w:w="3300" w:type="dxa"/>
            <w:noWrap w:val="0"/>
            <w:vAlign w:val="center"/>
          </w:tcPr>
          <w:p w14:paraId="2EB0C8E6">
            <w:pPr>
              <w:pStyle w:val="24"/>
              <w:bidi w:val="0"/>
              <w:rPr>
                <w:rFonts w:hint="default"/>
                <w:b/>
                <w:bCs w:val="0"/>
                <w:color w:val="auto"/>
                <w:u w:val="none" w:color="auto"/>
                <w:lang w:val="en-US" w:eastAsia="zh-CN"/>
              </w:rPr>
            </w:pPr>
            <w:r>
              <w:rPr>
                <w:rFonts w:hint="default"/>
                <w:b/>
                <w:bCs w:val="0"/>
                <w:color w:val="auto"/>
                <w:u w:val="none" w:color="auto"/>
                <w:lang w:val="en-US" w:eastAsia="zh-CN"/>
              </w:rPr>
              <w:t>本项目已采取的措施及改进建议</w:t>
            </w:r>
          </w:p>
        </w:tc>
        <w:tc>
          <w:tcPr>
            <w:tcW w:w="1203" w:type="dxa"/>
            <w:noWrap w:val="0"/>
            <w:vAlign w:val="center"/>
          </w:tcPr>
          <w:p w14:paraId="164357A0">
            <w:pPr>
              <w:pStyle w:val="24"/>
              <w:bidi w:val="0"/>
              <w:rPr>
                <w:rFonts w:hint="default"/>
                <w:b/>
                <w:bCs w:val="0"/>
                <w:color w:val="auto"/>
                <w:u w:val="none" w:color="auto"/>
                <w:lang w:val="en-US" w:eastAsia="zh-CN"/>
              </w:rPr>
            </w:pPr>
            <w:r>
              <w:rPr>
                <w:rFonts w:hint="eastAsia"/>
                <w:b/>
                <w:bCs w:val="0"/>
                <w:color w:val="auto"/>
                <w:u w:val="none" w:color="auto"/>
                <w:lang w:val="en-US" w:eastAsia="zh-CN"/>
              </w:rPr>
              <w:t>是否符合</w:t>
            </w:r>
          </w:p>
        </w:tc>
      </w:tr>
      <w:tr w14:paraId="1E4ED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5227DD92">
            <w:pPr>
              <w:pStyle w:val="24"/>
              <w:bidi w:val="0"/>
              <w:rPr>
                <w:rFonts w:hint="default"/>
                <w:color w:val="auto"/>
                <w:u w:val="none" w:color="auto"/>
              </w:rPr>
            </w:pPr>
            <w:r>
              <w:rPr>
                <w:rFonts w:hint="default"/>
                <w:color w:val="auto"/>
                <w:u w:val="none" w:color="auto"/>
              </w:rPr>
              <w:t>一、</w:t>
            </w:r>
            <w:r>
              <w:rPr>
                <w:rFonts w:hint="default"/>
                <w:color w:val="auto"/>
                <w:u w:val="none" w:color="auto"/>
                <w:lang w:eastAsia="zh-CN"/>
              </w:rPr>
              <w:t>基本要求</w:t>
            </w:r>
          </w:p>
        </w:tc>
      </w:tr>
      <w:tr w14:paraId="4F0B7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524E2A9E">
            <w:pPr>
              <w:pStyle w:val="24"/>
              <w:bidi w:val="0"/>
              <w:rPr>
                <w:rFonts w:hint="default"/>
                <w:color w:val="auto"/>
                <w:u w:val="none" w:color="auto"/>
                <w:lang w:val="en-US" w:eastAsia="zh-CN"/>
              </w:rPr>
            </w:pPr>
            <w:r>
              <w:rPr>
                <w:rFonts w:hint="default"/>
                <w:color w:val="auto"/>
                <w:u w:val="none" w:color="auto"/>
                <w:lang w:val="en-US" w:eastAsia="zh-CN"/>
              </w:rPr>
              <w:t>VOCs物料应储存于密闭的容器、包装袋、储罐、储库、料仓中。</w:t>
            </w:r>
          </w:p>
        </w:tc>
        <w:tc>
          <w:tcPr>
            <w:tcW w:w="3300" w:type="dxa"/>
            <w:noWrap w:val="0"/>
            <w:vAlign w:val="center"/>
          </w:tcPr>
          <w:p w14:paraId="541BDC93">
            <w:pPr>
              <w:pStyle w:val="24"/>
              <w:bidi w:val="0"/>
              <w:rPr>
                <w:rFonts w:hint="default"/>
                <w:color w:val="auto"/>
                <w:u w:val="none" w:color="auto"/>
                <w:lang w:val="en-US" w:eastAsia="zh-CN"/>
              </w:rPr>
            </w:pPr>
            <w:r>
              <w:rPr>
                <w:rFonts w:hint="default"/>
                <w:color w:val="auto"/>
                <w:u w:val="none" w:color="auto"/>
                <w:lang w:val="en-US" w:eastAsia="zh-CN"/>
              </w:rPr>
              <w:t>本项目使用的</w:t>
            </w:r>
            <w:r>
              <w:rPr>
                <w:rFonts w:hint="eastAsia"/>
                <w:color w:val="auto"/>
                <w:u w:val="none" w:color="auto"/>
                <w:lang w:val="en-US" w:eastAsia="zh-CN"/>
              </w:rPr>
              <w:t>酚醛树脂</w:t>
            </w:r>
            <w:r>
              <w:rPr>
                <w:rFonts w:hint="default"/>
                <w:color w:val="auto"/>
                <w:u w:val="none" w:color="auto"/>
                <w:lang w:val="en-US" w:eastAsia="zh-CN"/>
              </w:rPr>
              <w:t>采用密闭</w:t>
            </w:r>
            <w:r>
              <w:rPr>
                <w:rFonts w:hint="eastAsia"/>
                <w:color w:val="auto"/>
                <w:u w:val="none" w:color="auto"/>
                <w:lang w:val="en-US" w:eastAsia="zh-CN"/>
              </w:rPr>
              <w:t>包装桶</w:t>
            </w:r>
            <w:r>
              <w:rPr>
                <w:rFonts w:hint="default"/>
                <w:color w:val="auto"/>
                <w:u w:val="none" w:color="auto"/>
                <w:lang w:val="en-US" w:eastAsia="zh-CN"/>
              </w:rPr>
              <w:t>进行储存，符合要求。</w:t>
            </w:r>
          </w:p>
        </w:tc>
        <w:tc>
          <w:tcPr>
            <w:tcW w:w="1203" w:type="dxa"/>
            <w:noWrap w:val="0"/>
            <w:vAlign w:val="center"/>
          </w:tcPr>
          <w:p w14:paraId="14400CB8">
            <w:pPr>
              <w:pStyle w:val="24"/>
              <w:bidi w:val="0"/>
              <w:rPr>
                <w:rFonts w:hint="default"/>
                <w:color w:val="auto"/>
                <w:u w:val="none" w:color="auto"/>
                <w:lang w:val="en-US" w:eastAsia="zh-CN"/>
              </w:rPr>
            </w:pPr>
            <w:r>
              <w:rPr>
                <w:rFonts w:hint="eastAsia"/>
                <w:color w:val="auto"/>
                <w:u w:val="none" w:color="auto"/>
                <w:lang w:val="en-US" w:eastAsia="zh-CN"/>
              </w:rPr>
              <w:t>符合</w:t>
            </w:r>
          </w:p>
        </w:tc>
      </w:tr>
      <w:tr w14:paraId="71CA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511714C">
            <w:pPr>
              <w:pStyle w:val="24"/>
              <w:bidi w:val="0"/>
              <w:rPr>
                <w:rFonts w:hint="default"/>
                <w:color w:val="auto"/>
                <w:u w:val="none" w:color="auto"/>
                <w:lang w:val="en-US" w:eastAsia="zh-CN"/>
              </w:rPr>
            </w:pPr>
            <w:r>
              <w:rPr>
                <w:rFonts w:hint="default"/>
                <w:color w:val="auto"/>
                <w:u w:val="none" w:color="auto"/>
                <w:lang w:eastAsia="zh-CN"/>
              </w:rPr>
              <w:t>盛装</w:t>
            </w:r>
            <w:r>
              <w:rPr>
                <w:rFonts w:hint="default"/>
                <w:color w:val="auto"/>
                <w:u w:val="none" w:color="auto"/>
                <w:lang w:val="en-US" w:eastAsia="zh-CN"/>
              </w:rPr>
              <w:t>VOCs物料的容器或包装袋应存放于室内，或存放于设置有雨棚、遮阳和防渗设施的专用场地。盛装VOCs物料的容器或包装袋在非取用状态时应加盖、封口、保持密闭。</w:t>
            </w:r>
          </w:p>
        </w:tc>
        <w:tc>
          <w:tcPr>
            <w:tcW w:w="3300" w:type="dxa"/>
            <w:noWrap w:val="0"/>
            <w:vAlign w:val="center"/>
          </w:tcPr>
          <w:p w14:paraId="4B0935F1">
            <w:pPr>
              <w:pStyle w:val="24"/>
              <w:bidi w:val="0"/>
              <w:rPr>
                <w:rFonts w:hint="default"/>
                <w:color w:val="auto"/>
                <w:u w:val="none" w:color="auto"/>
                <w:lang w:val="en-US" w:eastAsia="zh-CN"/>
              </w:rPr>
            </w:pPr>
            <w:r>
              <w:rPr>
                <w:rFonts w:hint="default"/>
                <w:color w:val="auto"/>
                <w:u w:val="none" w:color="auto"/>
                <w:lang w:val="en-US" w:eastAsia="zh-CN"/>
              </w:rPr>
              <w:t>本项目原辅料均储存在室内，不露天堆放。</w:t>
            </w:r>
            <w:r>
              <w:rPr>
                <w:rFonts w:hint="eastAsia"/>
                <w:color w:val="auto"/>
                <w:u w:val="none" w:color="auto"/>
                <w:lang w:val="en-US" w:eastAsia="zh-CN"/>
              </w:rPr>
              <w:t>酚醛树脂包装桶在</w:t>
            </w:r>
            <w:r>
              <w:rPr>
                <w:rFonts w:hint="default"/>
                <w:color w:val="auto"/>
                <w:u w:val="none" w:color="auto"/>
                <w:lang w:val="en-US" w:eastAsia="zh-CN"/>
              </w:rPr>
              <w:t>非取用状态时应加盖</w:t>
            </w:r>
            <w:r>
              <w:rPr>
                <w:rFonts w:hint="eastAsia"/>
                <w:color w:val="auto"/>
                <w:u w:val="none" w:color="auto"/>
                <w:lang w:val="en-US" w:eastAsia="zh-CN"/>
              </w:rPr>
              <w:t>。</w:t>
            </w:r>
          </w:p>
        </w:tc>
        <w:tc>
          <w:tcPr>
            <w:tcW w:w="1203" w:type="dxa"/>
            <w:noWrap w:val="0"/>
            <w:vAlign w:val="center"/>
          </w:tcPr>
          <w:p w14:paraId="408EDABB">
            <w:pPr>
              <w:pStyle w:val="24"/>
              <w:bidi w:val="0"/>
              <w:rPr>
                <w:rFonts w:hint="default"/>
                <w:color w:val="auto"/>
                <w:u w:val="none" w:color="auto"/>
                <w:lang w:val="en-US" w:eastAsia="zh-CN"/>
              </w:rPr>
            </w:pPr>
            <w:r>
              <w:rPr>
                <w:rFonts w:hint="eastAsia"/>
                <w:color w:val="auto"/>
                <w:u w:val="none" w:color="auto"/>
                <w:lang w:val="en-US" w:eastAsia="zh-CN"/>
              </w:rPr>
              <w:t>符合</w:t>
            </w:r>
          </w:p>
        </w:tc>
      </w:tr>
      <w:tr w14:paraId="3F7ED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5487E1E2">
            <w:pPr>
              <w:pStyle w:val="24"/>
              <w:bidi w:val="0"/>
              <w:rPr>
                <w:rFonts w:hint="default"/>
                <w:color w:val="auto"/>
                <w:u w:val="none" w:color="auto"/>
                <w:lang w:val="en-US" w:eastAsia="zh-CN"/>
              </w:rPr>
            </w:pPr>
            <w:r>
              <w:rPr>
                <w:rFonts w:hint="default"/>
                <w:color w:val="auto"/>
                <w:u w:val="none" w:color="auto"/>
                <w:lang w:val="en-US" w:eastAsia="zh-CN"/>
              </w:rPr>
              <w:t>VOCs物料储存、料仓应满足密闭空间的要求。</w:t>
            </w:r>
          </w:p>
        </w:tc>
        <w:tc>
          <w:tcPr>
            <w:tcW w:w="3300" w:type="dxa"/>
            <w:noWrap w:val="0"/>
            <w:vAlign w:val="center"/>
          </w:tcPr>
          <w:p w14:paraId="73E212E8">
            <w:pPr>
              <w:pStyle w:val="24"/>
              <w:bidi w:val="0"/>
              <w:rPr>
                <w:rFonts w:hint="default"/>
                <w:color w:val="auto"/>
                <w:u w:val="none" w:color="auto"/>
                <w:lang w:val="en-US" w:eastAsia="zh-CN"/>
              </w:rPr>
            </w:pPr>
            <w:r>
              <w:rPr>
                <w:rFonts w:hint="default"/>
                <w:color w:val="auto"/>
                <w:u w:val="none" w:color="auto"/>
                <w:lang w:val="en-US" w:eastAsia="zh-CN"/>
              </w:rPr>
              <w:t>VOCs物料储存满足密闭空间的要求。符合要求</w:t>
            </w:r>
          </w:p>
        </w:tc>
        <w:tc>
          <w:tcPr>
            <w:tcW w:w="1203" w:type="dxa"/>
            <w:noWrap w:val="0"/>
            <w:vAlign w:val="center"/>
          </w:tcPr>
          <w:p w14:paraId="7FB771E3">
            <w:pPr>
              <w:pStyle w:val="24"/>
              <w:bidi w:val="0"/>
              <w:rPr>
                <w:rFonts w:hint="default"/>
                <w:color w:val="auto"/>
                <w:u w:val="none" w:color="auto"/>
                <w:lang w:val="en-US" w:eastAsia="zh-CN"/>
              </w:rPr>
            </w:pPr>
            <w:r>
              <w:rPr>
                <w:rFonts w:hint="eastAsia"/>
                <w:color w:val="auto"/>
                <w:u w:val="none" w:color="auto"/>
                <w:lang w:val="en-US" w:eastAsia="zh-CN"/>
              </w:rPr>
              <w:t>符合</w:t>
            </w:r>
          </w:p>
        </w:tc>
      </w:tr>
      <w:tr w14:paraId="68FEA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6C179E6D">
            <w:pPr>
              <w:pStyle w:val="24"/>
              <w:bidi w:val="0"/>
              <w:rPr>
                <w:rFonts w:hint="default"/>
                <w:color w:val="auto"/>
                <w:u w:val="none" w:color="auto"/>
              </w:rPr>
            </w:pPr>
            <w:r>
              <w:rPr>
                <w:rFonts w:hint="default"/>
                <w:color w:val="auto"/>
                <w:u w:val="none" w:color="auto"/>
              </w:rPr>
              <w:t>二、</w:t>
            </w:r>
            <w:r>
              <w:rPr>
                <w:rFonts w:hint="default"/>
                <w:color w:val="auto"/>
                <w:u w:val="none" w:color="auto"/>
                <w:lang w:eastAsia="zh-CN"/>
              </w:rPr>
              <w:t>工艺过程</w:t>
            </w:r>
            <w:r>
              <w:rPr>
                <w:rFonts w:hint="default"/>
                <w:color w:val="auto"/>
                <w:u w:val="none" w:color="auto"/>
                <w:lang w:val="en-US" w:eastAsia="zh-CN"/>
              </w:rPr>
              <w:t>VOCs无组织排放控制要求</w:t>
            </w:r>
          </w:p>
        </w:tc>
      </w:tr>
      <w:tr w14:paraId="0F228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73A2C416">
            <w:pPr>
              <w:pStyle w:val="24"/>
              <w:bidi w:val="0"/>
              <w:rPr>
                <w:rFonts w:hint="default"/>
                <w:color w:val="auto"/>
                <w:u w:val="none" w:color="auto"/>
                <w:lang w:val="en-US" w:eastAsia="zh-CN"/>
              </w:rPr>
            </w:pPr>
            <w:r>
              <w:rPr>
                <w:rFonts w:hint="default"/>
                <w:color w:val="auto"/>
                <w:u w:val="none" w:color="auto"/>
                <w:lang w:val="en-US" w:eastAsia="zh-CN"/>
              </w:rPr>
              <w:t>VOCs物料混合、搅拌、研磨、造粒、切片、压片等配料加工过程，以及含VOCs产品的包装（灌装、分装）过程应采用密闭设备或在密闭空间内操作，废气应排至VOCs废气收集处理系统；无法密闭的，应采取局部气体收集措施，废气应排至VOCs废气收集处理系统。</w:t>
            </w:r>
          </w:p>
        </w:tc>
        <w:tc>
          <w:tcPr>
            <w:tcW w:w="3300" w:type="dxa"/>
            <w:noWrap w:val="0"/>
            <w:vAlign w:val="center"/>
          </w:tcPr>
          <w:p w14:paraId="04ADF9A9">
            <w:pPr>
              <w:pStyle w:val="24"/>
              <w:bidi w:val="0"/>
              <w:rPr>
                <w:rFonts w:hint="default"/>
                <w:color w:val="auto"/>
                <w:u w:val="none" w:color="auto"/>
                <w:lang w:val="en-US" w:eastAsia="zh-CN"/>
              </w:rPr>
            </w:pPr>
            <w:r>
              <w:rPr>
                <w:rFonts w:hint="default"/>
                <w:color w:val="auto"/>
                <w:u w:val="none" w:color="auto"/>
                <w:lang w:val="en-US" w:eastAsia="zh-CN"/>
              </w:rPr>
              <w:t>VOCs物料</w:t>
            </w:r>
            <w:r>
              <w:rPr>
                <w:rFonts w:hint="eastAsia"/>
                <w:color w:val="auto"/>
                <w:u w:val="none" w:color="auto"/>
                <w:lang w:val="en-US" w:eastAsia="zh-CN"/>
              </w:rPr>
              <w:t>加热捏合</w:t>
            </w:r>
            <w:r>
              <w:rPr>
                <w:rFonts w:hint="default"/>
                <w:color w:val="auto"/>
                <w:u w:val="none" w:color="auto"/>
                <w:lang w:val="en-US" w:eastAsia="zh-CN"/>
              </w:rPr>
              <w:t>等工序均在封闭设备进行，后进入VOCs废气处理设施处理，符合要求。</w:t>
            </w:r>
          </w:p>
        </w:tc>
        <w:tc>
          <w:tcPr>
            <w:tcW w:w="1203" w:type="dxa"/>
            <w:noWrap w:val="0"/>
            <w:vAlign w:val="center"/>
          </w:tcPr>
          <w:p w14:paraId="2839C30F">
            <w:pPr>
              <w:pStyle w:val="24"/>
              <w:bidi w:val="0"/>
              <w:rPr>
                <w:rFonts w:hint="default"/>
                <w:color w:val="auto"/>
                <w:u w:val="none" w:color="auto"/>
                <w:lang w:val="en-US" w:eastAsia="zh-CN"/>
              </w:rPr>
            </w:pPr>
            <w:r>
              <w:rPr>
                <w:rFonts w:hint="eastAsia"/>
                <w:color w:val="auto"/>
                <w:u w:val="none" w:color="auto"/>
                <w:lang w:val="en-US" w:eastAsia="zh-CN"/>
              </w:rPr>
              <w:t>符合</w:t>
            </w:r>
          </w:p>
        </w:tc>
      </w:tr>
      <w:tr w14:paraId="4CF92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621C5D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企业应建立台账，记录含VOCs原辅材料和含 VOCs产品的名称、使用量、回收量、废弃量去向以及VOCs 含量等信息。台账保存期限不少于3年。</w:t>
            </w:r>
          </w:p>
        </w:tc>
        <w:tc>
          <w:tcPr>
            <w:tcW w:w="3300" w:type="dxa"/>
            <w:noWrap w:val="0"/>
            <w:vAlign w:val="center"/>
          </w:tcPr>
          <w:p w14:paraId="56289F7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本评价要求建设单位按要求建立台账，台账保存期限不少于3年</w:t>
            </w:r>
            <w:r>
              <w:rPr>
                <w:rFonts w:hint="default" w:ascii="Times New Roman" w:hAnsi="Times New Roman" w:cs="Times New Roman"/>
                <w:color w:val="auto"/>
                <w:u w:val="none" w:color="auto"/>
                <w:lang w:val="en-US" w:eastAsia="zh-CN"/>
              </w:rPr>
              <w:t>。</w:t>
            </w:r>
          </w:p>
        </w:tc>
        <w:tc>
          <w:tcPr>
            <w:tcW w:w="1203" w:type="dxa"/>
            <w:noWrap w:val="0"/>
            <w:vAlign w:val="center"/>
          </w:tcPr>
          <w:p w14:paraId="0810B98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r w14:paraId="287B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53F877A7">
            <w:pPr>
              <w:pStyle w:val="24"/>
              <w:bidi w:val="0"/>
              <w:rPr>
                <w:rFonts w:hint="eastAsia"/>
                <w:color w:val="auto"/>
                <w:u w:val="none" w:color="auto"/>
                <w:lang w:val="en-US" w:eastAsia="zh-CN"/>
              </w:rPr>
            </w:pPr>
            <w:r>
              <w:rPr>
                <w:rFonts w:hint="eastAsia"/>
                <w:color w:val="auto"/>
                <w:u w:val="none" w:color="auto"/>
                <w:lang w:val="en-US" w:eastAsia="zh-CN"/>
              </w:rPr>
              <w:t>十、VOCs 无组织排放废气收集处理系统要求</w:t>
            </w:r>
          </w:p>
        </w:tc>
      </w:tr>
      <w:tr w14:paraId="23F87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45D60DE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收集的废气中NMHC初始排放速率&gt;3 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h时，应配置VOCs处理设施，处理效率不应低于80%</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对于重点地区，收集的废气中NMHC 初始排放速率&gt;2kg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h时，应配置VOCs处理设施，处理效率不应低于80%</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采用的原辅材料符合国家有关低VOCs含量产品规定的除外</w:t>
            </w:r>
            <w:r>
              <w:rPr>
                <w:rFonts w:hint="eastAsia" w:ascii="Times New Roman" w:hAnsi="Times New Roman" w:cs="Times New Roman"/>
                <w:color w:val="auto"/>
                <w:u w:val="none" w:color="auto"/>
                <w:lang w:val="en-US" w:eastAsia="zh-CN"/>
              </w:rPr>
              <w:t>。</w:t>
            </w:r>
          </w:p>
        </w:tc>
        <w:tc>
          <w:tcPr>
            <w:tcW w:w="3300" w:type="dxa"/>
            <w:noWrap w:val="0"/>
            <w:vAlign w:val="center"/>
          </w:tcPr>
          <w:p w14:paraId="0412DBC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根据后续工程分析可知，本项目设置3根排气筒，其</w:t>
            </w:r>
            <w:r>
              <w:rPr>
                <w:rFonts w:hint="default" w:ascii="Times New Roman" w:hAnsi="Times New Roman" w:cs="Times New Roman"/>
                <w:color w:val="auto"/>
                <w:u w:val="none" w:color="auto"/>
                <w:lang w:val="en-US" w:eastAsia="zh-CN"/>
              </w:rPr>
              <w:t>VOCs</w:t>
            </w:r>
            <w:r>
              <w:rPr>
                <w:rFonts w:hint="eastAsia" w:ascii="Times New Roman" w:hAnsi="Times New Roman" w:cs="Times New Roman"/>
                <w:color w:val="auto"/>
                <w:u w:val="none" w:color="auto"/>
                <w:lang w:val="en-US" w:eastAsia="zh-CN"/>
              </w:rPr>
              <w:t>初始排放速率分别为</w:t>
            </w:r>
            <w:r>
              <w:rPr>
                <w:rFonts w:hint="eastAsia"/>
                <w:color w:val="auto"/>
                <w:u w:val="none" w:color="auto"/>
                <w:lang w:val="en-US" w:eastAsia="zh-CN"/>
              </w:rPr>
              <w:t>0.356</w:t>
            </w:r>
            <w:r>
              <w:rPr>
                <w:color w:val="auto"/>
                <w:u w:val="none" w:color="auto"/>
              </w:rPr>
              <w:t>千克/小时</w:t>
            </w:r>
            <w:r>
              <w:rPr>
                <w:rFonts w:hint="eastAsia"/>
                <w:color w:val="auto"/>
                <w:u w:val="none" w:color="auto"/>
                <w:lang w:eastAsia="zh-CN"/>
              </w:rPr>
              <w:t>、</w:t>
            </w:r>
            <w:r>
              <w:rPr>
                <w:rFonts w:hint="eastAsia"/>
                <w:color w:val="auto"/>
                <w:u w:val="none" w:color="auto"/>
                <w:lang w:val="en-US" w:eastAsia="zh-CN"/>
              </w:rPr>
              <w:t>3.995</w:t>
            </w:r>
            <w:r>
              <w:rPr>
                <w:color w:val="auto"/>
                <w:u w:val="none" w:color="auto"/>
              </w:rPr>
              <w:t>千克/小时</w:t>
            </w:r>
            <w:r>
              <w:rPr>
                <w:rFonts w:hint="eastAsia"/>
                <w:color w:val="auto"/>
                <w:u w:val="none" w:color="auto"/>
                <w:lang w:eastAsia="zh-CN"/>
              </w:rPr>
              <w:t>、</w:t>
            </w:r>
            <w:r>
              <w:rPr>
                <w:rFonts w:hint="eastAsia"/>
                <w:color w:val="auto"/>
                <w:u w:val="none" w:color="auto"/>
                <w:lang w:val="en-US" w:eastAsia="zh-CN"/>
              </w:rPr>
              <w:t>3.995</w:t>
            </w:r>
            <w:r>
              <w:rPr>
                <w:color w:val="auto"/>
                <w:u w:val="none" w:color="auto"/>
              </w:rPr>
              <w:t>千克/小时</w:t>
            </w:r>
            <w:r>
              <w:rPr>
                <w:rFonts w:hint="eastAsia" w:ascii="Times New Roman" w:hAnsi="Times New Roman" w:cs="Times New Roman"/>
                <w:color w:val="auto"/>
                <w:u w:val="none" w:color="auto"/>
                <w:lang w:val="en-US" w:eastAsia="zh-CN"/>
              </w:rPr>
              <w:t>，本项目区域不属于重点地区，DA001初始排放速率小于3</w:t>
            </w:r>
            <w:r>
              <w:rPr>
                <w:rFonts w:hint="default" w:ascii="Times New Roman" w:hAnsi="Times New Roman" w:cs="Times New Roman"/>
                <w:color w:val="auto"/>
                <w:u w:val="none" w:color="auto"/>
                <w:lang w:val="en-US" w:eastAsia="zh-CN"/>
              </w:rPr>
              <w:t>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w:t>
            </w:r>
            <w:r>
              <w:rPr>
                <w:rFonts w:hint="eastAsia" w:ascii="Times New Roman" w:hAnsi="Times New Roman" w:cs="Times New Roman"/>
                <w:color w:val="auto"/>
                <w:u w:val="none" w:color="auto"/>
                <w:lang w:val="en-US" w:eastAsia="zh-CN"/>
              </w:rPr>
              <w:t>，无需满足处理效率要求，项目已配置活性炭吸附装置对</w:t>
            </w:r>
            <w:r>
              <w:rPr>
                <w:rFonts w:hint="default" w:ascii="Times New Roman" w:hAnsi="Times New Roman" w:cs="Times New Roman"/>
                <w:color w:val="auto"/>
                <w:u w:val="none" w:color="auto"/>
                <w:lang w:val="en-US" w:eastAsia="zh-CN"/>
              </w:rPr>
              <w:t>VOCs</w:t>
            </w:r>
            <w:r>
              <w:rPr>
                <w:rFonts w:hint="eastAsia" w:ascii="Times New Roman" w:hAnsi="Times New Roman" w:cs="Times New Roman"/>
                <w:color w:val="auto"/>
                <w:u w:val="none" w:color="auto"/>
                <w:lang w:val="en-US" w:eastAsia="zh-CN"/>
              </w:rPr>
              <w:t>进行</w:t>
            </w:r>
            <w:r>
              <w:rPr>
                <w:rFonts w:hint="default" w:ascii="Times New Roman" w:hAnsi="Times New Roman" w:cs="Times New Roman"/>
                <w:color w:val="auto"/>
                <w:u w:val="none" w:color="auto"/>
                <w:lang w:val="en-US" w:eastAsia="zh-CN"/>
              </w:rPr>
              <w:t>处理</w:t>
            </w:r>
            <w:r>
              <w:rPr>
                <w:rFonts w:hint="eastAsia" w:ascii="Times New Roman" w:hAnsi="Times New Roman" w:cs="Times New Roman"/>
                <w:color w:val="auto"/>
                <w:u w:val="none" w:color="auto"/>
                <w:lang w:val="en-US" w:eastAsia="zh-CN"/>
              </w:rPr>
              <w:t>，DA002、DA003已配置焚烧炉对</w:t>
            </w:r>
            <w:r>
              <w:rPr>
                <w:rFonts w:hint="default" w:ascii="Times New Roman" w:hAnsi="Times New Roman" w:cs="Times New Roman"/>
                <w:color w:val="auto"/>
                <w:u w:val="none" w:color="auto"/>
                <w:lang w:val="en-US" w:eastAsia="zh-CN"/>
              </w:rPr>
              <w:t>VOCs</w:t>
            </w:r>
            <w:r>
              <w:rPr>
                <w:rFonts w:hint="eastAsia" w:ascii="Times New Roman" w:hAnsi="Times New Roman" w:cs="Times New Roman"/>
                <w:color w:val="auto"/>
                <w:u w:val="none" w:color="auto"/>
                <w:lang w:val="en-US" w:eastAsia="zh-CN"/>
              </w:rPr>
              <w:t>进行</w:t>
            </w:r>
            <w:r>
              <w:rPr>
                <w:rFonts w:hint="default" w:ascii="Times New Roman" w:hAnsi="Times New Roman" w:cs="Times New Roman"/>
                <w:color w:val="auto"/>
                <w:u w:val="none" w:color="auto"/>
                <w:lang w:val="en-US" w:eastAsia="zh-CN"/>
              </w:rPr>
              <w:t>处理</w:t>
            </w:r>
            <w:r>
              <w:rPr>
                <w:rFonts w:hint="eastAsia" w:ascii="Times New Roman" w:hAnsi="Times New Roman" w:cs="Times New Roman"/>
                <w:color w:val="auto"/>
                <w:u w:val="none" w:color="auto"/>
                <w:lang w:val="en-US" w:eastAsia="zh-CN"/>
              </w:rPr>
              <w:t>，处理效率为90%。</w:t>
            </w:r>
          </w:p>
        </w:tc>
        <w:tc>
          <w:tcPr>
            <w:tcW w:w="1203" w:type="dxa"/>
            <w:noWrap w:val="0"/>
            <w:vAlign w:val="center"/>
          </w:tcPr>
          <w:p w14:paraId="2B00773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bl>
    <w:p w14:paraId="04D8990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通过上表分析，项目基本符合《挥发性有机物无组织排放控制标准（GB 37822</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2019）》相关要求。</w:t>
      </w:r>
    </w:p>
    <w:p w14:paraId="78CDCF12">
      <w:pPr>
        <w:pStyle w:val="21"/>
        <w:bidi w:val="0"/>
        <w:rPr>
          <w:color w:val="auto"/>
          <w:u w:val="none" w:color="auto"/>
        </w:rPr>
      </w:pPr>
      <w:bookmarkStart w:id="105" w:name="_Toc24733"/>
      <w:bookmarkStart w:id="106" w:name="_Toc1538"/>
      <w:bookmarkStart w:id="107" w:name="_Toc28634"/>
      <w:bookmarkStart w:id="108" w:name="_Toc10262"/>
      <w:r>
        <w:rPr>
          <w:color w:val="auto"/>
          <w:u w:val="none" w:color="auto"/>
        </w:rPr>
        <w:t>（</w:t>
      </w:r>
      <w:r>
        <w:rPr>
          <w:rFonts w:hint="eastAsia"/>
          <w:color w:val="auto"/>
          <w:u w:val="none" w:color="auto"/>
          <w:lang w:val="en-US" w:eastAsia="zh-CN"/>
        </w:rPr>
        <w:t>4</w:t>
      </w:r>
      <w:r>
        <w:rPr>
          <w:color w:val="auto"/>
          <w:u w:val="none" w:color="auto"/>
        </w:rPr>
        <w:t>）</w:t>
      </w:r>
      <w:r>
        <w:rPr>
          <w:rFonts w:hint="eastAsia"/>
          <w:color w:val="auto"/>
          <w:u w:val="none" w:color="auto"/>
        </w:rPr>
        <w:t>与《</w:t>
      </w:r>
      <w:r>
        <w:rPr>
          <w:rFonts w:hint="eastAsia"/>
          <w:color w:val="auto"/>
          <w:u w:val="none" w:color="auto"/>
          <w:lang w:eastAsia="zh-CN"/>
        </w:rPr>
        <w:t>湖南省</w:t>
      </w:r>
      <w:r>
        <w:rPr>
          <w:rFonts w:hint="eastAsia"/>
          <w:color w:val="auto"/>
          <w:u w:val="none" w:color="auto"/>
        </w:rPr>
        <w:t>工业炉窑大气污染综合治理</w:t>
      </w:r>
      <w:r>
        <w:rPr>
          <w:rFonts w:hint="eastAsia"/>
          <w:color w:val="auto"/>
          <w:u w:val="none" w:color="auto"/>
          <w:lang w:eastAsia="zh-CN"/>
        </w:rPr>
        <w:t>实施</w:t>
      </w:r>
      <w:r>
        <w:rPr>
          <w:rFonts w:hint="eastAsia"/>
          <w:color w:val="auto"/>
          <w:u w:val="none" w:color="auto"/>
        </w:rPr>
        <w:t>方案》的相符性分析</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7"/>
        <w:gridCol w:w="2898"/>
        <w:gridCol w:w="1107"/>
      </w:tblGrid>
      <w:tr w14:paraId="006F8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7" w:type="dxa"/>
            <w:noWrap w:val="0"/>
            <w:vAlign w:val="center"/>
          </w:tcPr>
          <w:p w14:paraId="755B8C75">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u w:val="none" w:color="auto"/>
              </w:rPr>
            </w:pPr>
            <w:r>
              <w:rPr>
                <w:rFonts w:hint="eastAsia"/>
                <w:color w:val="auto"/>
                <w:u w:val="none" w:color="auto"/>
              </w:rPr>
              <w:t>规范</w:t>
            </w:r>
            <w:r>
              <w:rPr>
                <w:color w:val="auto"/>
                <w:u w:val="none" w:color="auto"/>
              </w:rPr>
              <w:t>要求</w:t>
            </w:r>
          </w:p>
        </w:tc>
        <w:tc>
          <w:tcPr>
            <w:tcW w:w="2892" w:type="dxa"/>
            <w:noWrap w:val="0"/>
            <w:vAlign w:val="center"/>
          </w:tcPr>
          <w:p w14:paraId="49E3221B">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color w:val="auto"/>
                <w:u w:val="none" w:color="auto"/>
              </w:rPr>
              <w:t>本项目</w:t>
            </w:r>
            <w:r>
              <w:rPr>
                <w:rFonts w:hint="eastAsia"/>
                <w:color w:val="auto"/>
                <w:u w:val="none" w:color="auto"/>
              </w:rPr>
              <w:t>情况</w:t>
            </w:r>
          </w:p>
        </w:tc>
        <w:tc>
          <w:tcPr>
            <w:tcW w:w="1105" w:type="dxa"/>
            <w:noWrap w:val="0"/>
            <w:vAlign w:val="center"/>
          </w:tcPr>
          <w:p w14:paraId="1258A493">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符合性</w:t>
            </w:r>
          </w:p>
        </w:tc>
      </w:tr>
      <w:tr w14:paraId="49ADA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4507" w:type="dxa"/>
            <w:noWrap w:val="0"/>
            <w:vAlign w:val="center"/>
          </w:tcPr>
          <w:p w14:paraId="07A38704">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u w:val="none" w:color="auto"/>
              </w:rPr>
            </w:pPr>
            <w:r>
              <w:rPr>
                <w:rFonts w:hint="eastAsia"/>
                <w:color w:val="auto"/>
                <w:u w:val="none" w:color="auto"/>
              </w:rPr>
              <w:t>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w:t>
            </w:r>
          </w:p>
        </w:tc>
        <w:tc>
          <w:tcPr>
            <w:tcW w:w="2892" w:type="dxa"/>
            <w:noWrap w:val="0"/>
            <w:vAlign w:val="center"/>
          </w:tcPr>
          <w:p w14:paraId="6C6DACE6">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本项目为新建项目，</w:t>
            </w:r>
            <w:r>
              <w:rPr>
                <w:rFonts w:hint="eastAsia"/>
                <w:color w:val="auto"/>
                <w:u w:val="none" w:color="auto"/>
                <w:lang w:val="en-US" w:eastAsia="zh-CN"/>
              </w:rPr>
              <w:t>涉及新建工业炉窑，</w:t>
            </w:r>
            <w:r>
              <w:rPr>
                <w:rFonts w:hint="eastAsia"/>
                <w:color w:val="auto"/>
                <w:u w:val="none" w:color="auto"/>
              </w:rPr>
              <w:t>选址于汨罗高新技术产业开发区弼时片区，使用天然气</w:t>
            </w:r>
            <w:r>
              <w:rPr>
                <w:rFonts w:hint="eastAsia"/>
                <w:color w:val="auto"/>
                <w:u w:val="none" w:color="auto"/>
                <w:lang w:eastAsia="zh-CN"/>
              </w:rPr>
              <w:t>、</w:t>
            </w:r>
            <w:r>
              <w:rPr>
                <w:rFonts w:hint="eastAsia"/>
                <w:color w:val="auto"/>
                <w:u w:val="none" w:color="auto"/>
                <w:lang w:val="en-US" w:eastAsia="zh-CN"/>
              </w:rPr>
              <w:t>电能</w:t>
            </w:r>
            <w:r>
              <w:rPr>
                <w:rFonts w:hint="eastAsia"/>
                <w:color w:val="auto"/>
                <w:u w:val="none" w:color="auto"/>
              </w:rPr>
              <w:t>。</w:t>
            </w:r>
          </w:p>
        </w:tc>
        <w:tc>
          <w:tcPr>
            <w:tcW w:w="1105" w:type="dxa"/>
            <w:noWrap w:val="0"/>
            <w:vAlign w:val="center"/>
          </w:tcPr>
          <w:p w14:paraId="3647C099">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符合</w:t>
            </w:r>
          </w:p>
        </w:tc>
      </w:tr>
      <w:tr w14:paraId="40154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7" w:type="dxa"/>
            <w:noWrap w:val="0"/>
            <w:vAlign w:val="center"/>
          </w:tcPr>
          <w:p w14:paraId="6F60F09D">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u w:val="none" w:color="auto"/>
              </w:rPr>
            </w:pPr>
            <w:r>
              <w:rPr>
                <w:rFonts w:hint="eastAsia"/>
                <w:color w:val="auto"/>
                <w:u w:val="none" w:color="auto"/>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2892" w:type="dxa"/>
            <w:noWrap w:val="0"/>
            <w:vAlign w:val="center"/>
          </w:tcPr>
          <w:p w14:paraId="4DD30D16">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u w:val="none" w:color="auto"/>
                <w:lang w:val="en-US" w:eastAsia="zh-CN"/>
              </w:rPr>
            </w:pPr>
            <w:r>
              <w:rPr>
                <w:rFonts w:hint="eastAsia"/>
                <w:color w:val="auto"/>
                <w:u w:val="none" w:color="auto"/>
              </w:rPr>
              <w:t>本项目使用天然气</w:t>
            </w:r>
            <w:r>
              <w:rPr>
                <w:rFonts w:hint="eastAsia"/>
                <w:color w:val="auto"/>
                <w:u w:val="none" w:color="auto"/>
                <w:lang w:eastAsia="zh-CN"/>
              </w:rPr>
              <w:t>、</w:t>
            </w:r>
            <w:r>
              <w:rPr>
                <w:rFonts w:hint="eastAsia"/>
                <w:color w:val="auto"/>
                <w:u w:val="none" w:color="auto"/>
                <w:lang w:val="en-US" w:eastAsia="zh-CN"/>
              </w:rPr>
              <w:t>电能等清洁低碳能源</w:t>
            </w:r>
          </w:p>
        </w:tc>
        <w:tc>
          <w:tcPr>
            <w:tcW w:w="1105" w:type="dxa"/>
            <w:noWrap w:val="0"/>
            <w:vAlign w:val="center"/>
          </w:tcPr>
          <w:p w14:paraId="7471B263">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符合</w:t>
            </w:r>
          </w:p>
        </w:tc>
      </w:tr>
      <w:tr w14:paraId="13623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7" w:type="dxa"/>
            <w:noWrap w:val="0"/>
            <w:vAlign w:val="center"/>
          </w:tcPr>
          <w:p w14:paraId="3570FDFF">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实施污染深度治理。推进工业炉窑全面达标排放。已有行业排放标准的工业炉窑，严格执行行业排放标准相关规定，配套建设高效脱硫脱硝除尘设施，确保稳定达标排放。已核发排污许可证的，应严格执行许可要求</w:t>
            </w:r>
          </w:p>
        </w:tc>
        <w:tc>
          <w:tcPr>
            <w:tcW w:w="2892" w:type="dxa"/>
            <w:noWrap w:val="0"/>
            <w:vAlign w:val="center"/>
          </w:tcPr>
          <w:p w14:paraId="02BB83F6">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本项目</w:t>
            </w:r>
            <w:r>
              <w:rPr>
                <w:rFonts w:hint="eastAsia"/>
                <w:color w:val="auto"/>
                <w:u w:val="none" w:color="auto"/>
                <w:lang w:eastAsia="zh-CN"/>
              </w:rPr>
              <w:t>炉窑为天然气加热炉窑</w:t>
            </w:r>
            <w:r>
              <w:rPr>
                <w:rFonts w:hint="eastAsia"/>
                <w:color w:val="auto"/>
                <w:u w:val="none" w:color="auto"/>
              </w:rPr>
              <w:t>，能稳定达标排放。</w:t>
            </w:r>
          </w:p>
        </w:tc>
        <w:tc>
          <w:tcPr>
            <w:tcW w:w="1105" w:type="dxa"/>
            <w:noWrap w:val="0"/>
            <w:vAlign w:val="center"/>
          </w:tcPr>
          <w:p w14:paraId="3179B8A1">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符合</w:t>
            </w:r>
          </w:p>
        </w:tc>
      </w:tr>
      <w:tr w14:paraId="6A85C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7" w:type="dxa"/>
            <w:noWrap w:val="0"/>
            <w:vAlign w:val="center"/>
          </w:tcPr>
          <w:p w14:paraId="6F6645E5">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全面加强无组织排放管理。严格控制工业炉窑生产工艺过程及相关物料储存、输送等无组织排放，在保障生产安全的前提下，采取密闭、封闭等有效措施，有效提高废气收集率，产尘点及车间不得有可见烟颗粒物外逸。生产工艺产尘点（装置）应采取密闭、封闭或设置集气罩等措施。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892" w:type="dxa"/>
            <w:noWrap w:val="0"/>
            <w:vAlign w:val="center"/>
          </w:tcPr>
          <w:p w14:paraId="6CF4A099">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rFonts w:hint="eastAsia"/>
                <w:color w:val="auto"/>
                <w:u w:val="none" w:color="auto"/>
              </w:rPr>
              <w:t>本项目生产工艺产尘点（装置）采取密闭、封闭等措施。粉状物料密闭或封闭储存。粒状物料采用封闭袋装等方式输送</w:t>
            </w:r>
          </w:p>
        </w:tc>
        <w:tc>
          <w:tcPr>
            <w:tcW w:w="1105" w:type="dxa"/>
            <w:noWrap w:val="0"/>
            <w:vAlign w:val="center"/>
          </w:tcPr>
          <w:p w14:paraId="1ACF6A2F">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u w:val="none" w:color="auto"/>
              </w:rPr>
            </w:pPr>
            <w:r>
              <w:rPr>
                <w:color w:val="auto"/>
                <w:u w:val="none" w:color="auto"/>
              </w:rPr>
              <w:t>符合</w:t>
            </w:r>
          </w:p>
        </w:tc>
      </w:tr>
      <w:bookmarkEnd w:id="94"/>
      <w:bookmarkEnd w:id="95"/>
      <w:bookmarkEnd w:id="96"/>
      <w:bookmarkEnd w:id="97"/>
      <w:bookmarkEnd w:id="98"/>
      <w:bookmarkEnd w:id="99"/>
      <w:bookmarkEnd w:id="100"/>
      <w:bookmarkEnd w:id="101"/>
      <w:bookmarkEnd w:id="102"/>
      <w:bookmarkEnd w:id="105"/>
      <w:bookmarkEnd w:id="106"/>
      <w:bookmarkEnd w:id="107"/>
      <w:bookmarkEnd w:id="108"/>
    </w:tbl>
    <w:p w14:paraId="43575667">
      <w:pPr>
        <w:pStyle w:val="8"/>
        <w:rPr>
          <w:rFonts w:hint="default" w:ascii="Times New Roman" w:hAnsi="Times New Roman" w:cs="Times New Roman"/>
          <w:color w:val="auto"/>
          <w:u w:val="none" w:color="auto"/>
        </w:rPr>
      </w:pPr>
      <w:bookmarkStart w:id="109" w:name="_Toc1458"/>
      <w:bookmarkStart w:id="110" w:name="_Toc3636"/>
      <w:bookmarkStart w:id="111" w:name="_Toc27181"/>
      <w:bookmarkStart w:id="112" w:name="_Toc5375"/>
      <w:bookmarkStart w:id="113" w:name="_Toc12980"/>
      <w:bookmarkStart w:id="114" w:name="_Toc257"/>
      <w:bookmarkStart w:id="115" w:name="_Toc15516"/>
      <w:bookmarkStart w:id="116" w:name="_Toc140"/>
      <w:bookmarkStart w:id="117" w:name="_Toc9839"/>
      <w:bookmarkStart w:id="118" w:name="_Toc4005"/>
      <w:bookmarkStart w:id="119" w:name="_Toc15252"/>
      <w:bookmarkStart w:id="120" w:name="_Toc13838"/>
      <w:bookmarkStart w:id="121" w:name="_Toc23562"/>
      <w:bookmarkStart w:id="122" w:name="_Toc10957"/>
      <w:bookmarkStart w:id="123" w:name="_Toc11525"/>
      <w:bookmarkStart w:id="124" w:name="_Toc18825"/>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与</w:t>
      </w:r>
      <w:r>
        <w:rPr>
          <w:rFonts w:hint="eastAsia" w:ascii="Times New Roman" w:hAnsi="Times New Roman" w:cs="Times New Roman"/>
          <w:color w:val="auto"/>
          <w:u w:val="none" w:color="auto"/>
          <w:lang w:val="en-US" w:eastAsia="zh-CN"/>
        </w:rPr>
        <w:t>园区</w:t>
      </w:r>
      <w:r>
        <w:rPr>
          <w:rFonts w:hint="default" w:ascii="Times New Roman" w:hAnsi="Times New Roman" w:cs="Times New Roman"/>
          <w:color w:val="auto"/>
          <w:u w:val="none" w:color="auto"/>
        </w:rPr>
        <w:t>规划及规划环境影响评价符合性分析</w:t>
      </w:r>
      <w:bookmarkEnd w:id="109"/>
    </w:p>
    <w:p w14:paraId="7BC30ACB">
      <w:pPr>
        <w:pStyle w:val="21"/>
        <w:bidi w:val="0"/>
        <w:rPr>
          <w:rFonts w:hint="default"/>
          <w:color w:val="auto"/>
          <w:u w:val="none" w:color="auto"/>
        </w:rPr>
      </w:pPr>
      <w:r>
        <w:rPr>
          <w:rFonts w:hint="default"/>
          <w:b/>
          <w:bCs/>
          <w:color w:val="auto"/>
          <w:u w:val="none" w:color="auto"/>
        </w:rPr>
        <w:t>1、本项目与汨罗高新技术产业开发区总体规划符合性</w:t>
      </w:r>
    </w:p>
    <w:p w14:paraId="7028D601">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（1）与园区用地规划相符性分析</w:t>
      </w:r>
    </w:p>
    <w:p w14:paraId="01B455B5">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汨罗高新技术产业开发区控制性详细规划》（2022-2035年）方案，湖南工程机械配套产业园范围东至老107国道、南至汨罗市和长沙县行政边界、西至万家丽路（汨罗段）、北至新107国道，规划面积为510.76公顷，</w:t>
      </w:r>
      <w:r>
        <w:rPr>
          <w:rFonts w:hint="eastAsia" w:ascii="Times New Roman" w:hAnsi="Times New Roman" w:eastAsia="宋体" w:cs="Times New Roman"/>
          <w:color w:val="auto"/>
          <w:sz w:val="24"/>
          <w:szCs w:val="24"/>
          <w:u w:val="none" w:color="auto"/>
          <w:lang w:val="en-US" w:eastAsia="zh-CN"/>
        </w:rPr>
        <w:t>本</w:t>
      </w:r>
      <w:r>
        <w:rPr>
          <w:rFonts w:hint="default" w:ascii="Times New Roman" w:hAnsi="Times New Roman" w:eastAsia="宋体" w:cs="Times New Roman"/>
          <w:color w:val="auto"/>
          <w:sz w:val="24"/>
          <w:szCs w:val="24"/>
          <w:u w:val="none" w:color="auto"/>
        </w:rPr>
        <w:t>项目所在区域属于汨罗高新技术产业开发区控制性详细规划中</w:t>
      </w:r>
      <w:r>
        <w:rPr>
          <w:rFonts w:hint="eastAsia" w:ascii="Times New Roman" w:hAnsi="Times New Roman" w:eastAsia="宋体" w:cs="Times New Roman"/>
          <w:color w:val="auto"/>
          <w:sz w:val="24"/>
          <w:szCs w:val="24"/>
          <w:u w:val="none" w:color="auto"/>
          <w:lang w:val="en-US" w:eastAsia="zh-CN"/>
        </w:rPr>
        <w:t>弼时</w:t>
      </w:r>
      <w:r>
        <w:rPr>
          <w:rFonts w:hint="default" w:ascii="Times New Roman" w:hAnsi="Times New Roman" w:eastAsia="宋体" w:cs="Times New Roman"/>
          <w:color w:val="auto"/>
          <w:sz w:val="24"/>
          <w:szCs w:val="24"/>
          <w:u w:val="none" w:color="auto"/>
        </w:rPr>
        <w:t>片区的规划范围内。根据《汨罗高新技术产业开发区控制性详细规划》（2022-2035年）中的土地利用规划图，项目用地性质为</w:t>
      </w:r>
      <w:r>
        <w:rPr>
          <w:rFonts w:hint="eastAsia" w:ascii="Times New Roman" w:hAnsi="Times New Roman" w:eastAsia="宋体" w:cs="Times New Roman"/>
          <w:color w:val="auto"/>
          <w:sz w:val="24"/>
          <w:szCs w:val="24"/>
          <w:u w:val="none" w:color="auto"/>
          <w:lang w:val="en-US" w:eastAsia="zh-CN"/>
        </w:rPr>
        <w:t>二</w:t>
      </w:r>
      <w:r>
        <w:rPr>
          <w:rFonts w:hint="default" w:ascii="Times New Roman" w:hAnsi="Times New Roman" w:eastAsia="宋体" w:cs="Times New Roman"/>
          <w:color w:val="auto"/>
          <w:sz w:val="24"/>
          <w:szCs w:val="24"/>
          <w:u w:val="none" w:color="auto"/>
        </w:rPr>
        <w:t>类工业用地，选址符合规划。</w:t>
      </w:r>
    </w:p>
    <w:p w14:paraId="62DA07F1">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（2）与园区产业布局规划相符性分析</w:t>
      </w:r>
    </w:p>
    <w:p w14:paraId="10ACF432">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根据《湖南汨罗高新技术产业开发区产业发展规划（2022-2027）》及其批复（汨政函[2023]90号），汨罗高新技术产业开发区将通</w:t>
      </w:r>
      <w:r>
        <w:rPr>
          <w:rFonts w:hint="eastAsia" w:ascii="宋体" w:hAnsi="宋体" w:eastAsia="宋体" w:cs="宋体"/>
          <w:color w:val="auto"/>
          <w:sz w:val="24"/>
          <w:szCs w:val="24"/>
          <w:u w:val="none" w:color="auto"/>
        </w:rPr>
        <w:t>过打造“一园一主一特” 和新兴产业，即新市片（湖南汨罗循环经济产业园）以“废弃资源综合利用产业”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层次分明、科学合理的产业定位组合，以绿色循环经济</w:t>
      </w:r>
      <w:r>
        <w:rPr>
          <w:rFonts w:hint="default" w:ascii="Times New Roman" w:hAnsi="Times New Roman" w:eastAsia="宋体" w:cs="Times New Roman"/>
          <w:color w:val="auto"/>
          <w:sz w:val="24"/>
          <w:szCs w:val="24"/>
          <w:u w:val="none" w:color="auto"/>
        </w:rPr>
        <w:t>推动该地区的可持续高质量增长。项目</w:t>
      </w:r>
      <w:r>
        <w:rPr>
          <w:rFonts w:hint="eastAsia" w:ascii="Times New Roman" w:hAnsi="Times New Roman" w:eastAsia="宋体" w:cs="Times New Roman"/>
          <w:color w:val="auto"/>
          <w:sz w:val="24"/>
          <w:szCs w:val="24"/>
          <w:u w:val="none" w:color="auto"/>
          <w:lang w:val="en-US" w:eastAsia="zh-CN"/>
        </w:rPr>
        <w:t>属于</w:t>
      </w:r>
      <w:r>
        <w:rPr>
          <w:rFonts w:hint="default" w:ascii="Times New Roman" w:hAnsi="Times New Roman" w:eastAsia="宋体" w:cs="Times New Roman"/>
          <w:color w:val="auto"/>
          <w:sz w:val="24"/>
          <w:szCs w:val="24"/>
          <w:u w:val="none" w:color="auto"/>
        </w:rPr>
        <w:t>石墨及其他非金属矿物制品制造</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产品为锂电池石墨匣钵，</w:t>
      </w:r>
      <w:r>
        <w:rPr>
          <w:rFonts w:hint="default" w:ascii="Times New Roman" w:hAnsi="Times New Roman" w:eastAsia="宋体" w:cs="Times New Roman"/>
          <w:color w:val="auto"/>
          <w:sz w:val="24"/>
          <w:szCs w:val="24"/>
          <w:u w:val="none" w:color="auto"/>
        </w:rPr>
        <w:t>属于先进储能材料产业</w:t>
      </w:r>
      <w:r>
        <w:rPr>
          <w:rFonts w:hint="eastAsia" w:ascii="Times New Roman" w:hAnsi="Times New Roman" w:eastAsia="宋体" w:cs="Times New Roman"/>
          <w:color w:val="auto"/>
          <w:sz w:val="24"/>
          <w:szCs w:val="24"/>
          <w:u w:val="none" w:color="auto"/>
          <w:lang w:val="en-US" w:eastAsia="zh-CN"/>
        </w:rPr>
        <w:t>的配套产业</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根据《汨罗高新技术产业开发区扩区规划环境影响报告书》中园区准入要求及园区产业布局规划图，规划弼时片区分为先进装备制造业区、汽车零部件及配件制造区。故本项目虽不属于弼时片区的主导产业，不属于园区的鼓励类，但根据后续分析，也不是限制类、禁止类，即视为允许类，且取得了园区的同意，与弼时片区产业定位不冲突</w:t>
      </w:r>
      <w:r>
        <w:rPr>
          <w:rFonts w:hint="eastAsia" w:ascii="Times New Roman" w:hAnsi="Times New Roman" w:eastAsia="宋体" w:cs="Times New Roman"/>
          <w:color w:val="auto"/>
          <w:sz w:val="24"/>
          <w:szCs w:val="24"/>
          <w:u w:val="none" w:color="auto"/>
          <w:lang w:eastAsia="zh-CN"/>
        </w:rPr>
        <w:t>。</w:t>
      </w:r>
    </w:p>
    <w:p w14:paraId="5EC4D9BA">
      <w:pPr>
        <w:pStyle w:val="28"/>
        <w:bidi w:val="0"/>
        <w:rPr>
          <w:rFonts w:hint="eastAsia"/>
          <w:b/>
          <w:bCs/>
          <w:color w:val="auto"/>
          <w:u w:val="none" w:color="auto"/>
          <w:lang w:val="en-US" w:eastAsia="zh-CN"/>
        </w:rPr>
      </w:pPr>
      <w:r>
        <w:rPr>
          <w:rFonts w:hint="eastAsia"/>
          <w:b/>
          <w:bCs/>
          <w:color w:val="auto"/>
          <w:u w:val="none" w:color="auto"/>
          <w:lang w:val="en-US" w:eastAsia="zh-CN"/>
        </w:rPr>
        <w:t>2、本项目与《汨罗高新技术产业开发区扩区规划环境影响报告书》及其审查意见的符合性</w:t>
      </w:r>
    </w:p>
    <w:p w14:paraId="4390EF0C">
      <w:pPr>
        <w:pStyle w:val="29"/>
        <w:keepNext w:val="0"/>
        <w:keepLines w:val="0"/>
        <w:pageBreakBefore w:val="0"/>
        <w:widowControl w:val="0"/>
        <w:kinsoku/>
        <w:wordWrap/>
        <w:overflowPunct/>
        <w:topLinePunct w:val="0"/>
        <w:autoSpaceDE/>
        <w:autoSpaceDN/>
        <w:bidi w:val="0"/>
        <w:adjustRightInd w:val="0"/>
        <w:snapToGrid/>
        <w:spacing w:before="0" w:line="240" w:lineRule="auto"/>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3-5</w:t>
      </w:r>
      <w:r>
        <w:rPr>
          <w:rFonts w:hint="default" w:ascii="Times New Roman" w:hAnsi="Times New Roman" w:eastAsia="宋体" w:cs="Times New Roman"/>
          <w:color w:val="auto"/>
          <w:sz w:val="21"/>
          <w:szCs w:val="21"/>
          <w:u w:val="none" w:color="auto"/>
        </w:rPr>
        <w:t xml:space="preserve"> 项目建设与园区规划环评审查意见（湘环评函[2024]41号）的相符性分析</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4"/>
        <w:gridCol w:w="4723"/>
        <w:gridCol w:w="2527"/>
        <w:gridCol w:w="725"/>
      </w:tblGrid>
      <w:tr w14:paraId="3A66A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12" w:space="0"/>
              <w:left w:val="single" w:color="auto" w:sz="12" w:space="0"/>
              <w:bottom w:val="single" w:color="auto" w:sz="6" w:space="0"/>
              <w:right w:val="single" w:color="auto" w:sz="6" w:space="0"/>
            </w:tcBorders>
            <w:noWrap w:val="0"/>
            <w:vAlign w:val="center"/>
          </w:tcPr>
          <w:p w14:paraId="3D1ABDCF">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序号</w:t>
            </w:r>
          </w:p>
        </w:tc>
        <w:tc>
          <w:tcPr>
            <w:tcW w:w="2772" w:type="pct"/>
            <w:tcBorders>
              <w:top w:val="single" w:color="auto" w:sz="12" w:space="0"/>
              <w:left w:val="single" w:color="auto" w:sz="6" w:space="0"/>
              <w:bottom w:val="single" w:color="auto" w:sz="6" w:space="0"/>
              <w:right w:val="single" w:color="auto" w:sz="6" w:space="0"/>
            </w:tcBorders>
            <w:noWrap w:val="0"/>
            <w:vAlign w:val="center"/>
          </w:tcPr>
          <w:p w14:paraId="0AE18F3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b/>
                <w:bCs/>
                <w:color w:val="auto"/>
                <w:sz w:val="21"/>
                <w:szCs w:val="21"/>
                <w:u w:val="none" w:color="auto"/>
                <w:lang w:val="en-US" w:eastAsia="zh-CN"/>
              </w:rPr>
            </w:pPr>
            <w:r>
              <w:rPr>
                <w:rFonts w:hint="eastAsia"/>
                <w:b/>
                <w:bCs/>
                <w:color w:val="auto"/>
                <w:sz w:val="21"/>
                <w:szCs w:val="21"/>
                <w:u w:val="none" w:color="auto"/>
                <w:lang w:val="en-US" w:eastAsia="zh-CN"/>
              </w:rPr>
              <w:t>审查意见</w:t>
            </w:r>
          </w:p>
        </w:tc>
        <w:tc>
          <w:tcPr>
            <w:tcW w:w="1482" w:type="pct"/>
            <w:tcBorders>
              <w:top w:val="single" w:color="auto" w:sz="12" w:space="0"/>
              <w:left w:val="single" w:color="auto" w:sz="6" w:space="0"/>
              <w:bottom w:val="single" w:color="auto" w:sz="6" w:space="0"/>
              <w:right w:val="single" w:color="auto" w:sz="6" w:space="0"/>
            </w:tcBorders>
            <w:noWrap w:val="0"/>
            <w:vAlign w:val="center"/>
          </w:tcPr>
          <w:p w14:paraId="2B20462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项目情况</w:t>
            </w:r>
          </w:p>
        </w:tc>
        <w:tc>
          <w:tcPr>
            <w:tcW w:w="425" w:type="pct"/>
            <w:tcBorders>
              <w:top w:val="single" w:color="auto" w:sz="12" w:space="0"/>
              <w:left w:val="single" w:color="auto" w:sz="6" w:space="0"/>
              <w:bottom w:val="single" w:color="auto" w:sz="6" w:space="0"/>
              <w:right w:val="single" w:color="auto" w:sz="12" w:space="0"/>
            </w:tcBorders>
            <w:noWrap w:val="0"/>
            <w:vAlign w:val="center"/>
          </w:tcPr>
          <w:p w14:paraId="7555F08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符合性</w:t>
            </w:r>
          </w:p>
        </w:tc>
      </w:tr>
      <w:tr w14:paraId="384F7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1CF8FC9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1</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1ED427C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一）做好功能布局，严格执行准入要求。园区应从环境相容性的角度优化区域功能布局，将空间管控要求融入园区规划实施全过程，以减小工业开发对城市居住及社会服务功能的影响。新市片西片区（区块一）部分区域现状已与集中居住区交错布局，该区域不再新引入以气型污染为主的、涉及重大风险源的工业项目，紧邻集中居住区的工业用地，后续应优化产业调整，逐步转为按一类工业用地规划布局，其现状已存在的二类工业企业不得新增污染物排放；新市片东片区（区块二）沿G107国道、老街路侧存在连片居住用地，建议毗邻居住用地的区域不作为三类工业用地规划，该区域已存在的工业企业不得新增污染物排放。弼时片区（区块三）中北部保障性住房仅限于园区企业员工倒班宿舍使用；建议该片区东北部和西南部规划的居住用地调整为一类工业用地。产业布局方面应落实《报告书》提出的调整建议，产业引进应落实园区生态分区环境管控要求，执行《报告书》提出的产业定位和产业生态环境准入清单。</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0F37CD4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本项目位于弼时片区（区块三），项目租赁汨罗市乾源碳素材料有限公司场地</w:t>
            </w:r>
            <w:r>
              <w:rPr>
                <w:rFonts w:hint="eastAsia" w:ascii="Times New Roman" w:hAnsi="Times New Roman" w:eastAsia="宋体" w:cs="Times New Roman"/>
                <w:color w:val="auto"/>
                <w:sz w:val="21"/>
                <w:szCs w:val="21"/>
                <w:u w:val="none" w:color="auto"/>
                <w:lang w:val="en-US" w:eastAsia="zh-CN"/>
              </w:rPr>
              <w:t>，用地类型属于二类工业用地，不属于</w:t>
            </w:r>
            <w:r>
              <w:rPr>
                <w:rFonts w:hint="eastAsia"/>
                <w:color w:val="auto"/>
                <w:sz w:val="21"/>
                <w:szCs w:val="21"/>
                <w:u w:val="none" w:color="auto"/>
              </w:rPr>
              <w:t>片区东北部和西南部规划的居住用地调整为一类工业用地</w:t>
            </w:r>
            <w:r>
              <w:rPr>
                <w:rFonts w:hint="eastAsia"/>
                <w:color w:val="auto"/>
                <w:sz w:val="21"/>
                <w:szCs w:val="21"/>
                <w:u w:val="none" w:color="auto"/>
                <w:lang w:val="en-US" w:eastAsia="zh-CN"/>
              </w:rPr>
              <w:t>的区域</w:t>
            </w:r>
            <w:r>
              <w:rPr>
                <w:rFonts w:hint="eastAsia" w:ascii="Times New Roman" w:hAnsi="Times New Roman" w:eastAsia="宋体" w:cs="Times New Roman"/>
                <w:color w:val="auto"/>
                <w:sz w:val="21"/>
                <w:szCs w:val="21"/>
                <w:u w:val="none" w:color="auto"/>
                <w:lang w:val="en-US" w:eastAsia="zh-CN"/>
              </w:rPr>
              <w:t>。项目不属于园区环境准入工艺和产品负面清单中的推荐类、限制类和禁止类项目，即为允许类，符合</w:t>
            </w:r>
            <w:r>
              <w:rPr>
                <w:rFonts w:hint="eastAsia"/>
                <w:color w:val="auto"/>
                <w:sz w:val="21"/>
                <w:szCs w:val="21"/>
                <w:u w:val="none" w:color="auto"/>
              </w:rPr>
              <w:t>园区生态分区环境管控要求</w:t>
            </w:r>
            <w:r>
              <w:rPr>
                <w:rFonts w:hint="eastAsia"/>
                <w:color w:val="auto"/>
                <w:sz w:val="21"/>
                <w:szCs w:val="21"/>
                <w:u w:val="none" w:color="auto"/>
                <w:lang w:eastAsia="zh-CN"/>
              </w:rPr>
              <w:t>，</w:t>
            </w:r>
            <w:r>
              <w:rPr>
                <w:rFonts w:hint="eastAsia"/>
                <w:color w:val="auto"/>
                <w:sz w:val="21"/>
                <w:szCs w:val="21"/>
                <w:u w:val="none" w:color="auto"/>
                <w:lang w:val="en-US" w:eastAsia="zh-CN"/>
              </w:rPr>
              <w:t>满足</w:t>
            </w:r>
            <w:r>
              <w:rPr>
                <w:rFonts w:hint="eastAsia"/>
                <w:color w:val="auto"/>
                <w:sz w:val="21"/>
                <w:szCs w:val="21"/>
                <w:u w:val="none" w:color="auto"/>
              </w:rPr>
              <w:t>《报告书》提出的产业定位和产业生态环境准入清单</w:t>
            </w:r>
            <w:r>
              <w:rPr>
                <w:rFonts w:hint="eastAsia"/>
                <w:color w:val="auto"/>
                <w:sz w:val="21"/>
                <w:szCs w:val="21"/>
                <w:u w:val="none" w:color="auto"/>
                <w:lang w:val="en-US"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21169AA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778FA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5A47FFB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2</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185CF9E6">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二）落实管控措施，加强园区污染治理。园区应切实抓好污水处理设施及配套管网的建设和运维，做好雨污分流、污污分流，确保园区各片区生产生活废水应收尽收。做好新市片循环园污水处理厂、重金属污水处理厂、弼时片区污水处理设施及管网的建设与完善，确保污水处理设施及管网与项目建设同步规划、同步建设、同步投入运营；落实关于水污染防治、排水方案优化、环保基础设施建设运行等方面的规定要求。园区应落实国、省关于重点行业建设项目主要污染物排放区域削减的相关要求，着重从本园区现有企业深度治理、提质改造方面深挖减排潜力，重点控制相关特征污染物的无组织排放，加大VOCs及恶臭/异味治理排放的整治力度，对重点排放企业予以严格监管，确保其处理设施稳妥、持续有效运行，严格落实大气污染防治特护期及重污染天气应急响应的相关减排要求。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推动入园企业按规定要求开展清洁生产审核，减少污染物的排放量。园区应落实第三方环境治理工作相关政策要求，强化对园区重点产排污企业的监管与服务。</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61C4121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项目排水实行</w:t>
            </w:r>
            <w:r>
              <w:rPr>
                <w:rFonts w:hint="eastAsia"/>
                <w:color w:val="auto"/>
                <w:sz w:val="21"/>
                <w:szCs w:val="21"/>
                <w:u w:val="none" w:color="auto"/>
              </w:rPr>
              <w:t>雨污分流、污污分流，</w:t>
            </w:r>
            <w:r>
              <w:rPr>
                <w:rFonts w:hint="eastAsia"/>
                <w:color w:val="auto"/>
                <w:sz w:val="21"/>
                <w:szCs w:val="21"/>
                <w:u w:val="none" w:color="auto"/>
                <w:lang w:val="en-US" w:eastAsia="zh-CN"/>
              </w:rPr>
              <w:t>项目无生产废水产生，</w:t>
            </w:r>
            <w:r>
              <w:rPr>
                <w:rFonts w:hint="eastAsia"/>
                <w:color w:val="auto"/>
                <w:u w:val="none" w:color="auto"/>
                <w:lang w:val="en-US" w:eastAsia="zh-CN"/>
              </w:rPr>
              <w:t>生活污水经化粪池处理后排入长沙经开区汨罗产业园污水处理厂</w:t>
            </w:r>
            <w:r>
              <w:rPr>
                <w:rFonts w:hint="eastAsia"/>
                <w:color w:val="auto"/>
                <w:sz w:val="21"/>
                <w:szCs w:val="21"/>
                <w:u w:val="none" w:color="auto"/>
                <w:lang w:val="en-US" w:eastAsia="zh-CN"/>
              </w:rPr>
              <w:t>，污水管网已达项目所在地。项目属于</w:t>
            </w:r>
            <w:r>
              <w:rPr>
                <w:rFonts w:hint="eastAsia" w:ascii="Times New Roman" w:hAnsi="Times New Roman" w:eastAsia="宋体" w:cs="Times New Roman"/>
                <w:color w:val="auto"/>
                <w:sz w:val="21"/>
                <w:szCs w:val="21"/>
                <w:u w:val="none" w:color="auto"/>
                <w:lang w:val="en-US" w:eastAsia="zh-CN"/>
              </w:rPr>
              <w:t>石墨及其他非金属矿物制品制造，不属于</w:t>
            </w:r>
            <w:r>
              <w:rPr>
                <w:rFonts w:hint="eastAsia"/>
                <w:color w:val="auto"/>
                <w:sz w:val="21"/>
                <w:szCs w:val="21"/>
                <w:u w:val="none" w:color="auto"/>
              </w:rPr>
              <w:t>国、省</w:t>
            </w:r>
            <w:r>
              <w:rPr>
                <w:rFonts w:hint="eastAsia"/>
                <w:color w:val="auto"/>
                <w:sz w:val="21"/>
                <w:szCs w:val="21"/>
                <w:u w:val="none" w:color="auto"/>
                <w:lang w:val="en-US" w:eastAsia="zh-CN"/>
              </w:rPr>
              <w:t>规定的</w:t>
            </w:r>
            <w:r>
              <w:rPr>
                <w:rFonts w:hint="eastAsia"/>
                <w:color w:val="auto"/>
                <w:sz w:val="21"/>
                <w:szCs w:val="21"/>
                <w:u w:val="none" w:color="auto"/>
              </w:rPr>
              <w:t>重点行业建设项目</w:t>
            </w:r>
            <w:r>
              <w:rPr>
                <w:rFonts w:hint="eastAsia"/>
                <w:color w:val="auto"/>
                <w:sz w:val="21"/>
                <w:szCs w:val="21"/>
                <w:u w:val="none" w:color="auto"/>
                <w:lang w:eastAsia="zh-CN"/>
              </w:rPr>
              <w:t>，</w:t>
            </w:r>
            <w:r>
              <w:rPr>
                <w:rFonts w:hint="eastAsia"/>
                <w:color w:val="auto"/>
                <w:sz w:val="21"/>
                <w:szCs w:val="21"/>
                <w:u w:val="none" w:color="auto"/>
                <w:lang w:val="en-US" w:eastAsia="zh-CN"/>
              </w:rPr>
              <w:t>废气能够实现达标排放。项目</w:t>
            </w:r>
            <w:r>
              <w:rPr>
                <w:rFonts w:hint="eastAsia"/>
                <w:color w:val="auto"/>
                <w:sz w:val="21"/>
                <w:szCs w:val="21"/>
                <w:u w:val="none" w:color="auto"/>
              </w:rPr>
              <w:t>工业固体废物和生活垃圾分类收集、转运、综合利用和无害化处理</w:t>
            </w:r>
            <w:r>
              <w:rPr>
                <w:rFonts w:hint="eastAsia"/>
                <w:color w:val="auto"/>
                <w:sz w:val="21"/>
                <w:szCs w:val="21"/>
                <w:u w:val="none" w:color="auto"/>
                <w:lang w:eastAsia="zh-CN"/>
              </w:rPr>
              <w:t>，</w:t>
            </w:r>
            <w:r>
              <w:rPr>
                <w:rFonts w:hint="eastAsia"/>
                <w:color w:val="auto"/>
                <w:sz w:val="21"/>
                <w:szCs w:val="21"/>
                <w:u w:val="none" w:color="auto"/>
                <w:lang w:val="en-US" w:eastAsia="zh-CN"/>
              </w:rPr>
              <w:t>危险废物委托有资质的单位处置。项目</w:t>
            </w:r>
            <w:r>
              <w:rPr>
                <w:rFonts w:hint="eastAsia"/>
                <w:color w:val="auto"/>
                <w:sz w:val="21"/>
                <w:szCs w:val="21"/>
                <w:u w:val="none" w:color="auto"/>
              </w:rPr>
              <w:t>严格落实排污许可制度和污染物排放总量控制</w:t>
            </w:r>
            <w:r>
              <w:rPr>
                <w:rFonts w:hint="eastAsia"/>
                <w:color w:val="auto"/>
                <w:sz w:val="21"/>
                <w:szCs w:val="21"/>
                <w:u w:val="none" w:color="auto"/>
                <w:lang w:eastAsia="zh-CN"/>
              </w:rPr>
              <w:t>，</w:t>
            </w:r>
            <w:r>
              <w:rPr>
                <w:rFonts w:hint="eastAsia"/>
                <w:color w:val="auto"/>
                <w:sz w:val="21"/>
                <w:szCs w:val="21"/>
                <w:u w:val="none" w:color="auto"/>
                <w:lang w:val="en-US" w:eastAsia="zh-CN"/>
              </w:rPr>
              <w:t>在运行前申请排污许可证，严格控制污染物排放总量，积极配合园区及生态环境主管部门的监管。</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5FF0F56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0B832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439EF8DE">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3</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16557985">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lang w:eastAsia="zh-CN"/>
              </w:rPr>
              <w:t>（</w:t>
            </w:r>
            <w:r>
              <w:rPr>
                <w:rFonts w:hint="eastAsia"/>
                <w:color w:val="auto"/>
                <w:sz w:val="21"/>
                <w:szCs w:val="21"/>
                <w:u w:val="none" w:color="auto"/>
              </w:rPr>
              <w:t>三）完善监测体系，监控环境质量变化状况。结合园区规划的功能分区、产业布局、重点企业分布、特征污染物的排放种类和状况、环境敏感目标分布等，建立健全各环境要素的监控体系。园区应加强对涉重金属排放企业、园区污水处理厂的监督性监测，并覆盖相关特征排放因子，严防企业废水废气偷排漏排或污染治理措施不正常运行。督促土壤污染重点监管单位按规定进行土壤污染状况监测及地下水监测。</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44C7815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项目属于</w:t>
            </w:r>
            <w:r>
              <w:rPr>
                <w:rFonts w:hint="eastAsia" w:ascii="Times New Roman" w:hAnsi="Times New Roman" w:eastAsia="宋体" w:cs="Times New Roman"/>
                <w:color w:val="auto"/>
                <w:sz w:val="21"/>
                <w:szCs w:val="21"/>
                <w:u w:val="none" w:color="auto"/>
                <w:lang w:val="en-US" w:eastAsia="zh-CN"/>
              </w:rPr>
              <w:t>石墨及其他非金属矿物制品制造，不涉及重金属污染物。项目确保各项污染治理措施正常运行，确保污染物达标排放，并按照相关要求落实相关监测要求，项目不属于</w:t>
            </w:r>
            <w:r>
              <w:rPr>
                <w:rFonts w:hint="eastAsia"/>
                <w:color w:val="auto"/>
                <w:sz w:val="21"/>
                <w:szCs w:val="21"/>
                <w:u w:val="none" w:color="auto"/>
              </w:rPr>
              <w:t>土壤污染重点监管单位</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218676A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4D56C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1513B89E">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4</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66BC262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四）强化风险管控，严防园区环境事故。建立健全园区环境风险管理工作长效机制，加强园区环境风险防控、预警和应急体系建设，全面提升园区环境风险防控和环境事故应急处置能力，确保区域环境安全。完善涉重金属废水排放企业事故应急池、围堰等环境风险防范设施，完善环境风险应急体系管控要求。加强对园区污水管网的日常监管、巡管，杜绝污水管网的泄漏。重点做好涉重、涉危险化学品企业的环境风险防控。</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11C3B661">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项目不涉及重金属废水产生或排放，建设单位</w:t>
            </w:r>
            <w:r>
              <w:rPr>
                <w:rFonts w:hint="eastAsia"/>
                <w:color w:val="auto"/>
                <w:sz w:val="21"/>
                <w:szCs w:val="21"/>
                <w:u w:val="none" w:color="auto"/>
              </w:rPr>
              <w:t>在项目建设</w:t>
            </w:r>
            <w:r>
              <w:rPr>
                <w:rFonts w:hint="eastAsia"/>
                <w:color w:val="auto"/>
                <w:sz w:val="21"/>
                <w:szCs w:val="21"/>
                <w:u w:val="none" w:color="auto"/>
                <w:lang w:val="en-US" w:eastAsia="zh-CN"/>
              </w:rPr>
              <w:t>和运行</w:t>
            </w:r>
            <w:r>
              <w:rPr>
                <w:rFonts w:hint="eastAsia"/>
                <w:color w:val="auto"/>
                <w:sz w:val="21"/>
                <w:szCs w:val="21"/>
                <w:u w:val="none" w:color="auto"/>
              </w:rPr>
              <w:t>过程中应加强风险防范措施的落实，储备相应的应急物资，</w:t>
            </w:r>
            <w:r>
              <w:rPr>
                <w:rFonts w:hint="eastAsia"/>
                <w:color w:val="auto"/>
                <w:sz w:val="21"/>
                <w:szCs w:val="21"/>
                <w:u w:val="none" w:color="auto"/>
                <w:lang w:val="en-US" w:eastAsia="zh-CN"/>
              </w:rPr>
              <w:t>不断提升企业的环境风险防控和</w:t>
            </w:r>
            <w:r>
              <w:rPr>
                <w:rFonts w:hint="eastAsia"/>
                <w:color w:val="auto"/>
                <w:sz w:val="21"/>
                <w:szCs w:val="21"/>
                <w:u w:val="none" w:color="auto"/>
              </w:rPr>
              <w:t>环境事故应急处置能力</w:t>
            </w:r>
            <w:r>
              <w:rPr>
                <w:rFonts w:hint="eastAsia"/>
                <w:color w:val="auto"/>
                <w:sz w:val="21"/>
                <w:szCs w:val="21"/>
                <w:u w:val="none" w:color="auto"/>
                <w:lang w:eastAsia="zh-CN"/>
              </w:rPr>
              <w:t>，</w:t>
            </w:r>
            <w:r>
              <w:rPr>
                <w:rFonts w:hint="eastAsia"/>
                <w:color w:val="auto"/>
                <w:sz w:val="21"/>
                <w:szCs w:val="21"/>
                <w:u w:val="none" w:color="auto"/>
                <w:lang w:val="en-US" w:eastAsia="zh-CN"/>
              </w:rPr>
              <w:t>应加强</w:t>
            </w:r>
            <w:r>
              <w:rPr>
                <w:rFonts w:hint="eastAsia"/>
                <w:color w:val="auto"/>
                <w:sz w:val="21"/>
                <w:szCs w:val="21"/>
                <w:u w:val="none" w:color="auto"/>
              </w:rPr>
              <w:t>日常监管、巡管，杜绝污水的泄漏</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123EF6AF">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7379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7B6C504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5</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082262E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u w:val="none" w:color="auto"/>
              </w:rPr>
            </w:pPr>
            <w:r>
              <w:rPr>
                <w:rFonts w:hint="eastAsia"/>
                <w:color w:val="auto"/>
                <w:sz w:val="21"/>
                <w:szCs w:val="21"/>
                <w:u w:val="none" w:color="auto"/>
              </w:rPr>
              <w:t>（五）做好周边控规，落实搬迁安置计划。园区管委会与地方政府应共同做好控规，杜绝在规划的工业用地上新增环境敏感目标，确保园区开发过程中的居民搬迁到位，园区不再新设拆迁安置区，搬迁以货币安置为主。对于具体项目环评设置防护距离和提出搬迁要求的，要确保予以落实，未落实的，园区应确保相关新建项目不得投产。</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1B0A611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项目租赁汨罗市乾源碳素材料有限公司场地，不涉及搬迁安置。本</w:t>
            </w:r>
            <w:r>
              <w:rPr>
                <w:rFonts w:hint="eastAsia"/>
                <w:color w:val="auto"/>
                <w:sz w:val="21"/>
                <w:szCs w:val="21"/>
                <w:u w:val="none" w:color="auto"/>
              </w:rPr>
              <w:t>项目环评</w:t>
            </w:r>
            <w:r>
              <w:rPr>
                <w:rFonts w:hint="eastAsia"/>
                <w:color w:val="auto"/>
                <w:sz w:val="21"/>
                <w:szCs w:val="21"/>
                <w:u w:val="none" w:color="auto"/>
                <w:lang w:val="en-US" w:eastAsia="zh-CN"/>
              </w:rPr>
              <w:t>无需</w:t>
            </w:r>
            <w:r>
              <w:rPr>
                <w:rFonts w:hint="eastAsia"/>
                <w:color w:val="auto"/>
                <w:sz w:val="21"/>
                <w:szCs w:val="21"/>
                <w:u w:val="none" w:color="auto"/>
              </w:rPr>
              <w:t>设置防护距离</w:t>
            </w:r>
            <w:r>
              <w:rPr>
                <w:rFonts w:hint="eastAsia"/>
                <w:color w:val="auto"/>
                <w:sz w:val="21"/>
                <w:szCs w:val="21"/>
                <w:u w:val="none" w:color="auto"/>
                <w:lang w:eastAsia="zh-CN"/>
              </w:rPr>
              <w:t>，</w:t>
            </w:r>
            <w:r>
              <w:rPr>
                <w:rFonts w:hint="eastAsia"/>
                <w:color w:val="auto"/>
                <w:sz w:val="21"/>
                <w:szCs w:val="21"/>
                <w:u w:val="none" w:color="auto"/>
                <w:lang w:val="en-US" w:eastAsia="zh-CN"/>
              </w:rPr>
              <w:t>不涉及</w:t>
            </w:r>
            <w:r>
              <w:rPr>
                <w:rFonts w:hint="eastAsia"/>
                <w:color w:val="auto"/>
                <w:sz w:val="21"/>
                <w:szCs w:val="21"/>
                <w:u w:val="none" w:color="auto"/>
              </w:rPr>
              <w:t>搬迁要求</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1591A4F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00A64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12" w:space="0"/>
              <w:right w:val="single" w:color="auto" w:sz="6" w:space="0"/>
            </w:tcBorders>
            <w:noWrap w:val="0"/>
            <w:vAlign w:val="center"/>
          </w:tcPr>
          <w:p w14:paraId="3100CA86">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6</w:t>
            </w:r>
          </w:p>
        </w:tc>
        <w:tc>
          <w:tcPr>
            <w:tcW w:w="2772" w:type="pct"/>
            <w:tcBorders>
              <w:top w:val="single" w:color="auto" w:sz="6" w:space="0"/>
              <w:left w:val="single" w:color="auto" w:sz="6" w:space="0"/>
              <w:bottom w:val="single" w:color="auto" w:sz="12" w:space="0"/>
              <w:right w:val="single" w:color="auto" w:sz="6" w:space="0"/>
            </w:tcBorders>
            <w:noWrap w:val="0"/>
            <w:vAlign w:val="center"/>
          </w:tcPr>
          <w:p w14:paraId="6ECAF73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u w:val="none" w:color="auto"/>
              </w:rPr>
            </w:pPr>
            <w:r>
              <w:rPr>
                <w:rFonts w:hint="eastAsia"/>
                <w:color w:val="auto"/>
                <w:sz w:val="21"/>
                <w:szCs w:val="21"/>
                <w:u w:val="none" w:color="auto"/>
              </w:rPr>
              <w:t>（六）做好园区建设期生态保护。尽可能保留自然水体，施工期对土石方开挖、堆存及回填要实施围挡、护坡等措施，裸露地及时恢复植被，杜绝施工建设对地表水体的污染。</w:t>
            </w:r>
          </w:p>
        </w:tc>
        <w:tc>
          <w:tcPr>
            <w:tcW w:w="1482" w:type="pct"/>
            <w:tcBorders>
              <w:top w:val="single" w:color="auto" w:sz="6" w:space="0"/>
              <w:left w:val="single" w:color="auto" w:sz="6" w:space="0"/>
              <w:bottom w:val="single" w:color="auto" w:sz="12" w:space="0"/>
              <w:right w:val="single" w:color="auto" w:sz="6" w:space="0"/>
            </w:tcBorders>
            <w:noWrap w:val="0"/>
            <w:vAlign w:val="center"/>
          </w:tcPr>
          <w:p w14:paraId="58CCD38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项目租赁汨罗市乾源碳素材料有限公司场地，本评价要求</w:t>
            </w:r>
            <w:r>
              <w:rPr>
                <w:rFonts w:hint="eastAsia"/>
                <w:color w:val="auto"/>
                <w:sz w:val="21"/>
                <w:szCs w:val="21"/>
                <w:u w:val="none" w:color="auto"/>
              </w:rPr>
              <w:t>施工期对土石方开挖、堆存及回填要实施围挡、护坡等措施，裸露地及时恢复植被</w:t>
            </w:r>
            <w:r>
              <w:rPr>
                <w:rFonts w:hint="eastAsia"/>
                <w:color w:val="auto"/>
                <w:sz w:val="21"/>
                <w:szCs w:val="21"/>
                <w:u w:val="none" w:color="auto"/>
                <w:lang w:val="en-US" w:eastAsia="zh-CN"/>
              </w:rPr>
              <w:t>。</w:t>
            </w:r>
          </w:p>
        </w:tc>
        <w:tc>
          <w:tcPr>
            <w:tcW w:w="425" w:type="pct"/>
            <w:tcBorders>
              <w:top w:val="single" w:color="auto" w:sz="6" w:space="0"/>
              <w:left w:val="single" w:color="auto" w:sz="6" w:space="0"/>
              <w:bottom w:val="single" w:color="auto" w:sz="12" w:space="0"/>
              <w:right w:val="single" w:color="auto" w:sz="12" w:space="0"/>
            </w:tcBorders>
            <w:noWrap w:val="0"/>
            <w:vAlign w:val="center"/>
          </w:tcPr>
          <w:p w14:paraId="55BFC75D">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bl>
    <w:p w14:paraId="1A7674B7">
      <w:pPr>
        <w:pStyle w:val="21"/>
        <w:bidi w:val="0"/>
        <w:rPr>
          <w:rFonts w:hint="default"/>
          <w:color w:val="auto"/>
          <w:u w:val="none" w:color="auto"/>
          <w:lang w:val="en-US" w:eastAsia="zh-CN"/>
        </w:rPr>
      </w:pPr>
      <w:r>
        <w:rPr>
          <w:rFonts w:hint="default"/>
          <w:color w:val="auto"/>
          <w:u w:val="none" w:color="auto"/>
          <w:lang w:val="en-US" w:eastAsia="zh-CN"/>
        </w:rPr>
        <w:t>根据《汨罗高新技术产业开发区扩区规划环境影响报告书》中的</w:t>
      </w:r>
      <w:r>
        <w:rPr>
          <w:rFonts w:hint="eastAsia" w:ascii="宋体" w:hAnsi="宋体" w:eastAsia="宋体" w:cs="宋体"/>
          <w:color w:val="auto"/>
          <w:u w:val="none" w:color="auto"/>
          <w:lang w:val="en-US" w:eastAsia="zh-CN"/>
        </w:rPr>
        <w:t>“</w:t>
      </w:r>
      <w:r>
        <w:rPr>
          <w:rFonts w:hint="default"/>
          <w:color w:val="auto"/>
          <w:u w:val="none" w:color="auto"/>
          <w:lang w:val="en-US" w:eastAsia="zh-CN"/>
        </w:rPr>
        <w:t>9.3 产业园环境准入</w:t>
      </w:r>
      <w:r>
        <w:rPr>
          <w:rFonts w:hint="eastAsia" w:ascii="宋体" w:hAnsi="宋体" w:eastAsia="宋体" w:cs="宋体"/>
          <w:color w:val="auto"/>
          <w:u w:val="none" w:color="auto"/>
          <w:lang w:val="en-US" w:eastAsia="zh-CN"/>
        </w:rPr>
        <w:t>”</w:t>
      </w:r>
      <w:r>
        <w:rPr>
          <w:rFonts w:hint="default"/>
          <w:color w:val="auto"/>
          <w:u w:val="none" w:color="auto"/>
          <w:lang w:val="en-US" w:eastAsia="zh-CN"/>
        </w:rPr>
        <w:t>相关内容，本项目位于汨罗高新技术产业开发区</w:t>
      </w:r>
      <w:r>
        <w:rPr>
          <w:rFonts w:hint="eastAsia" w:ascii="宋体" w:hAnsi="宋体" w:eastAsia="宋体" w:cs="宋体"/>
          <w:color w:val="auto"/>
          <w:sz w:val="24"/>
          <w:szCs w:val="24"/>
          <w:u w:val="none" w:color="auto"/>
        </w:rPr>
        <w:t>弼时片</w:t>
      </w:r>
      <w:r>
        <w:rPr>
          <w:rFonts w:hint="eastAsia" w:ascii="Times New Roman" w:hAnsi="Times New Roman" w:eastAsia="宋体" w:cs="Times New Roman"/>
          <w:color w:val="auto"/>
          <w:sz w:val="24"/>
          <w:szCs w:val="24"/>
          <w:u w:val="none" w:color="auto"/>
          <w:lang w:val="en-US" w:eastAsia="zh-CN"/>
        </w:rPr>
        <w:t>区</w:t>
      </w:r>
      <w:r>
        <w:rPr>
          <w:rFonts w:hint="default"/>
          <w:color w:val="auto"/>
          <w:u w:val="none" w:color="auto"/>
          <w:lang w:val="en-US" w:eastAsia="zh-CN"/>
        </w:rPr>
        <w:t>，项目与园区环境准入行业清单和环境准入工艺和产品负面清单符合性分析如下。</w:t>
      </w:r>
    </w:p>
    <w:p w14:paraId="36777D95">
      <w:pPr>
        <w:pStyle w:val="31"/>
        <w:bidi w:val="0"/>
        <w:rPr>
          <w:rFonts w:hint="default"/>
          <w:color w:val="auto"/>
          <w:u w:val="none" w:color="auto"/>
        </w:rPr>
      </w:pPr>
      <w:r>
        <w:rPr>
          <w:rFonts w:hint="default"/>
          <w:color w:val="auto"/>
          <w:u w:val="none" w:color="auto"/>
        </w:rPr>
        <w:t>表</w:t>
      </w:r>
      <w:r>
        <w:rPr>
          <w:rFonts w:hint="default"/>
          <w:color w:val="auto"/>
          <w:u w:val="none" w:color="auto"/>
          <w:lang w:val="en-US" w:eastAsia="zh-CN"/>
        </w:rPr>
        <w:t>1.</w:t>
      </w:r>
      <w:r>
        <w:rPr>
          <w:rFonts w:hint="eastAsia"/>
          <w:color w:val="auto"/>
          <w:u w:val="none" w:color="auto"/>
          <w:lang w:val="en-US" w:eastAsia="zh-CN"/>
        </w:rPr>
        <w:t>3</w:t>
      </w:r>
      <w:r>
        <w:rPr>
          <w:rFonts w:hint="default"/>
          <w:color w:val="auto"/>
          <w:u w:val="none" w:color="auto"/>
          <w:lang w:val="en-US" w:eastAsia="zh-CN"/>
        </w:rPr>
        <w:t>-</w:t>
      </w:r>
      <w:r>
        <w:rPr>
          <w:rFonts w:hint="eastAsia"/>
          <w:color w:val="auto"/>
          <w:u w:val="none" w:color="auto"/>
          <w:lang w:val="en-US" w:eastAsia="zh-CN"/>
        </w:rPr>
        <w:t>6</w:t>
      </w:r>
      <w:r>
        <w:rPr>
          <w:rFonts w:hint="default"/>
          <w:color w:val="auto"/>
          <w:u w:val="none" w:color="auto"/>
          <w:lang w:val="en-US" w:eastAsia="zh-CN"/>
        </w:rPr>
        <w:t xml:space="preserve"> </w:t>
      </w:r>
      <w:r>
        <w:rPr>
          <w:rFonts w:hint="default"/>
          <w:color w:val="auto"/>
          <w:u w:val="none" w:color="auto"/>
        </w:rPr>
        <w:t>环境准入行业清单</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10"/>
        <w:gridCol w:w="960"/>
        <w:gridCol w:w="5152"/>
        <w:gridCol w:w="1882"/>
      </w:tblGrid>
      <w:tr w14:paraId="48D9FC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tcBorders>
              <w:tl2br w:val="nil"/>
              <w:tr2bl w:val="nil"/>
            </w:tcBorders>
            <w:noWrap w:val="0"/>
            <w:vAlign w:val="center"/>
          </w:tcPr>
          <w:p w14:paraId="0ACD2796">
            <w:pPr>
              <w:pStyle w:val="32"/>
              <w:bidi w:val="0"/>
              <w:rPr>
                <w:rFonts w:hint="default"/>
                <w:b/>
                <w:bCs/>
                <w:color w:val="auto"/>
                <w:u w:val="none" w:color="auto"/>
              </w:rPr>
            </w:pPr>
            <w:r>
              <w:rPr>
                <w:rFonts w:hint="default"/>
                <w:b/>
                <w:bCs/>
                <w:color w:val="auto"/>
                <w:u w:val="none" w:color="auto"/>
              </w:rPr>
              <w:t>片区</w:t>
            </w:r>
          </w:p>
        </w:tc>
        <w:tc>
          <w:tcPr>
            <w:tcW w:w="960" w:type="dxa"/>
            <w:tcBorders>
              <w:tl2br w:val="nil"/>
              <w:tr2bl w:val="nil"/>
            </w:tcBorders>
            <w:noWrap w:val="0"/>
            <w:vAlign w:val="center"/>
          </w:tcPr>
          <w:p w14:paraId="05F3EA2C">
            <w:pPr>
              <w:pStyle w:val="32"/>
              <w:bidi w:val="0"/>
              <w:rPr>
                <w:rFonts w:hint="default"/>
                <w:b/>
                <w:bCs/>
                <w:color w:val="auto"/>
                <w:u w:val="none" w:color="auto"/>
              </w:rPr>
            </w:pPr>
            <w:r>
              <w:rPr>
                <w:rFonts w:hint="default"/>
                <w:b/>
                <w:bCs/>
                <w:color w:val="auto"/>
                <w:u w:val="none" w:color="auto"/>
              </w:rPr>
              <w:t>类别</w:t>
            </w:r>
          </w:p>
        </w:tc>
        <w:tc>
          <w:tcPr>
            <w:tcW w:w="5152" w:type="dxa"/>
            <w:tcBorders>
              <w:tl2br w:val="nil"/>
              <w:tr2bl w:val="nil"/>
            </w:tcBorders>
            <w:noWrap w:val="0"/>
            <w:vAlign w:val="center"/>
          </w:tcPr>
          <w:p w14:paraId="1B1BE50B">
            <w:pPr>
              <w:pStyle w:val="32"/>
              <w:bidi w:val="0"/>
              <w:rPr>
                <w:rFonts w:hint="default"/>
                <w:b/>
                <w:bCs/>
                <w:color w:val="auto"/>
                <w:u w:val="none" w:color="auto"/>
              </w:rPr>
            </w:pPr>
            <w:r>
              <w:rPr>
                <w:rFonts w:hint="default"/>
                <w:b/>
                <w:bCs/>
                <w:color w:val="auto"/>
                <w:u w:val="none" w:color="auto"/>
              </w:rPr>
              <w:t>行业</w:t>
            </w:r>
          </w:p>
        </w:tc>
        <w:tc>
          <w:tcPr>
            <w:tcW w:w="1882" w:type="dxa"/>
            <w:tcBorders>
              <w:tl2br w:val="nil"/>
              <w:tr2bl w:val="nil"/>
            </w:tcBorders>
            <w:noWrap w:val="0"/>
            <w:vAlign w:val="center"/>
          </w:tcPr>
          <w:p w14:paraId="3D82B01A">
            <w:pPr>
              <w:pStyle w:val="32"/>
              <w:bidi w:val="0"/>
              <w:rPr>
                <w:rFonts w:hint="default"/>
                <w:b/>
                <w:bCs/>
                <w:color w:val="auto"/>
                <w:u w:val="none" w:color="auto"/>
                <w:lang w:val="en-US" w:eastAsia="zh-CN"/>
              </w:rPr>
            </w:pPr>
            <w:r>
              <w:rPr>
                <w:rFonts w:hint="default"/>
                <w:b/>
                <w:bCs/>
                <w:color w:val="auto"/>
                <w:u w:val="none" w:color="auto"/>
                <w:lang w:val="en-US" w:eastAsia="zh-CN"/>
              </w:rPr>
              <w:t>本项目情况</w:t>
            </w:r>
          </w:p>
        </w:tc>
      </w:tr>
      <w:tr w14:paraId="5863BA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04" w:type="dxa"/>
            <w:gridSpan w:val="4"/>
            <w:tcBorders>
              <w:tl2br w:val="nil"/>
              <w:tr2bl w:val="nil"/>
            </w:tcBorders>
            <w:noWrap w:val="0"/>
            <w:vAlign w:val="center"/>
          </w:tcPr>
          <w:p w14:paraId="30933074">
            <w:pPr>
              <w:pStyle w:val="32"/>
              <w:bidi w:val="0"/>
              <w:rPr>
                <w:rFonts w:hint="default"/>
                <w:b/>
                <w:bCs/>
                <w:color w:val="auto"/>
                <w:u w:val="none" w:color="auto"/>
              </w:rPr>
            </w:pPr>
            <w:r>
              <w:rPr>
                <w:rFonts w:hint="eastAsia"/>
                <w:b/>
                <w:bCs/>
                <w:color w:val="auto"/>
                <w:u w:val="none" w:color="auto"/>
                <w:lang w:val="en-US" w:eastAsia="zh-CN"/>
              </w:rPr>
              <w:t>园区环境准入行业清单</w:t>
            </w:r>
          </w:p>
        </w:tc>
      </w:tr>
      <w:tr w14:paraId="24DED7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restart"/>
            <w:tcBorders>
              <w:tl2br w:val="nil"/>
              <w:tr2bl w:val="nil"/>
            </w:tcBorders>
            <w:noWrap w:val="0"/>
            <w:vAlign w:val="center"/>
          </w:tcPr>
          <w:p w14:paraId="2E0AF0E5">
            <w:pPr>
              <w:pStyle w:val="32"/>
              <w:bidi w:val="0"/>
              <w:rPr>
                <w:rFonts w:hint="default"/>
                <w:color w:val="auto"/>
                <w:u w:val="none" w:color="auto"/>
              </w:rPr>
            </w:pPr>
            <w:r>
              <w:rPr>
                <w:rFonts w:hint="eastAsia"/>
                <w:color w:val="auto"/>
                <w:u w:val="none" w:color="auto"/>
                <w:lang w:val="en-US" w:eastAsia="zh-CN"/>
              </w:rPr>
              <w:t>弼时</w:t>
            </w:r>
            <w:r>
              <w:rPr>
                <w:rFonts w:hint="default"/>
                <w:color w:val="auto"/>
                <w:u w:val="none" w:color="auto"/>
              </w:rPr>
              <w:t>片区</w:t>
            </w:r>
          </w:p>
        </w:tc>
        <w:tc>
          <w:tcPr>
            <w:tcW w:w="960" w:type="dxa"/>
            <w:tcBorders>
              <w:tl2br w:val="nil"/>
              <w:tr2bl w:val="nil"/>
            </w:tcBorders>
            <w:noWrap w:val="0"/>
            <w:vAlign w:val="center"/>
          </w:tcPr>
          <w:p w14:paraId="4041D542">
            <w:pPr>
              <w:pStyle w:val="32"/>
              <w:bidi w:val="0"/>
              <w:rPr>
                <w:rFonts w:hint="default"/>
                <w:color w:val="auto"/>
                <w:u w:val="none" w:color="auto"/>
              </w:rPr>
            </w:pPr>
            <w:r>
              <w:rPr>
                <w:rFonts w:hint="default"/>
                <w:color w:val="auto"/>
                <w:u w:val="none" w:color="auto"/>
              </w:rPr>
              <w:t>推荐类</w:t>
            </w:r>
          </w:p>
        </w:tc>
        <w:tc>
          <w:tcPr>
            <w:tcW w:w="5152" w:type="dxa"/>
            <w:tcBorders>
              <w:tl2br w:val="nil"/>
              <w:tr2bl w:val="nil"/>
            </w:tcBorders>
            <w:noWrap w:val="0"/>
            <w:vAlign w:val="center"/>
          </w:tcPr>
          <w:p w14:paraId="40C646E2">
            <w:pPr>
              <w:pStyle w:val="33"/>
              <w:spacing w:line="240" w:lineRule="auto"/>
              <w:ind w:firstLine="0" w:firstLineChars="0"/>
              <w:rPr>
                <w:sz w:val="21"/>
                <w:u w:val="none"/>
              </w:rPr>
            </w:pPr>
            <w:r>
              <w:rPr>
                <w:sz w:val="21"/>
                <w:u w:val="none"/>
              </w:rPr>
              <w:t>以先进装备制造业、汽车零部件及配件制造业为主，重点发展：</w:t>
            </w:r>
          </w:p>
          <w:p w14:paraId="60AB6C3F">
            <w:pPr>
              <w:pStyle w:val="33"/>
              <w:spacing w:line="240" w:lineRule="auto"/>
              <w:ind w:firstLine="0" w:firstLineChars="0"/>
              <w:rPr>
                <w:sz w:val="21"/>
                <w:u w:val="none"/>
              </w:rPr>
            </w:pPr>
            <w:r>
              <w:rPr>
                <w:sz w:val="21"/>
                <w:u w:val="none"/>
              </w:rPr>
              <w:t>①先进装备制造业：C34通用设备制造，C35专用设备制造，C381电机制造</w:t>
            </w:r>
            <w:r>
              <w:rPr>
                <w:rFonts w:hint="eastAsia"/>
                <w:sz w:val="21"/>
                <w:u w:val="none"/>
              </w:rPr>
              <w:t>；</w:t>
            </w:r>
          </w:p>
          <w:p w14:paraId="0F6EFF28">
            <w:pPr>
              <w:pStyle w:val="33"/>
              <w:spacing w:line="240" w:lineRule="auto"/>
              <w:ind w:firstLine="0" w:firstLineChars="0"/>
              <w:rPr>
                <w:rFonts w:hint="default" w:ascii="Times New Roman" w:hAnsi="Times New Roman" w:eastAsia="宋体" w:cs="Times New Roman"/>
                <w:snapToGrid w:val="0"/>
                <w:sz w:val="21"/>
                <w:szCs w:val="21"/>
                <w:u w:val="none"/>
                <w:lang w:val="en-US" w:eastAsia="zh-CN" w:bidi="ar-SA"/>
              </w:rPr>
            </w:pPr>
            <w:r>
              <w:rPr>
                <w:sz w:val="21"/>
                <w:u w:val="none"/>
              </w:rPr>
              <w:t>②汽车零部件及配件制造业：C366汽车车身、挂车制造，C367汽车零部件及配件制造。</w:t>
            </w:r>
          </w:p>
        </w:tc>
        <w:tc>
          <w:tcPr>
            <w:tcW w:w="1882" w:type="dxa"/>
            <w:vMerge w:val="restart"/>
            <w:tcBorders>
              <w:tl2br w:val="nil"/>
              <w:tr2bl w:val="nil"/>
            </w:tcBorders>
            <w:noWrap w:val="0"/>
            <w:vAlign w:val="center"/>
          </w:tcPr>
          <w:p w14:paraId="3947C008">
            <w:pPr>
              <w:pStyle w:val="32"/>
              <w:bidi w:val="0"/>
              <w:rPr>
                <w:rFonts w:hint="default" w:eastAsia="宋体"/>
                <w:color w:val="auto"/>
                <w:u w:val="none" w:color="auto"/>
                <w:lang w:val="en-US" w:eastAsia="zh-CN"/>
              </w:rPr>
            </w:pPr>
            <w:r>
              <w:rPr>
                <w:rFonts w:hint="eastAsia"/>
                <w:color w:val="auto"/>
                <w:u w:val="none" w:color="auto"/>
                <w:lang w:val="en-US" w:eastAsia="zh-CN"/>
              </w:rPr>
              <w:t>项目为C3091石墨及碳素制品制造，产品为锂电池石墨匣钵，属于先进储能材料产业配套产业，不属于推荐类；不属于</w:t>
            </w:r>
            <w:r>
              <w:rPr>
                <w:sz w:val="21"/>
                <w:u w:val="none"/>
              </w:rPr>
              <w:t>《产业结构调整指导目录（2024年本）》中限制类</w:t>
            </w:r>
            <w:r>
              <w:rPr>
                <w:rFonts w:hint="eastAsia"/>
                <w:sz w:val="21"/>
                <w:u w:val="none"/>
                <w:lang w:val="en-US" w:eastAsia="zh-CN"/>
              </w:rPr>
              <w:t>及淘汰类；项目不属于</w:t>
            </w:r>
            <w:r>
              <w:rPr>
                <w:sz w:val="21"/>
                <w:u w:val="none"/>
              </w:rPr>
              <w:t>《湖南</w:t>
            </w:r>
            <w:r>
              <w:rPr>
                <w:rFonts w:hint="eastAsia" w:ascii="宋体" w:hAnsi="宋体" w:eastAsia="宋体" w:cs="宋体"/>
                <w:sz w:val="21"/>
                <w:u w:val="none"/>
              </w:rPr>
              <w:t>省“两高”项</w:t>
            </w:r>
            <w:r>
              <w:rPr>
                <w:sz w:val="21"/>
                <w:u w:val="none"/>
              </w:rPr>
              <w:t>目管理目录》中项目</w:t>
            </w:r>
            <w:r>
              <w:rPr>
                <w:rFonts w:hint="eastAsia"/>
                <w:sz w:val="21"/>
                <w:u w:val="none"/>
                <w:lang w:eastAsia="zh-CN"/>
              </w:rPr>
              <w:t>，</w:t>
            </w:r>
            <w:r>
              <w:rPr>
                <w:rFonts w:hint="eastAsia"/>
                <w:sz w:val="21"/>
                <w:u w:val="none"/>
                <w:lang w:val="en-US" w:eastAsia="zh-CN"/>
              </w:rPr>
              <w:t>项目无生产废水产生；项目不属于化工项目；不属于</w:t>
            </w:r>
            <w:r>
              <w:rPr>
                <w:rFonts w:hint="eastAsia"/>
                <w:sz w:val="21"/>
                <w:u w:val="none"/>
              </w:rPr>
              <w:t>电镀、线路板制造等项目</w:t>
            </w:r>
            <w:r>
              <w:rPr>
                <w:rFonts w:hint="eastAsia"/>
                <w:sz w:val="21"/>
                <w:u w:val="none"/>
                <w:lang w:eastAsia="zh-CN"/>
              </w:rPr>
              <w:t>；</w:t>
            </w:r>
            <w:r>
              <w:rPr>
                <w:rFonts w:hint="eastAsia"/>
                <w:sz w:val="21"/>
                <w:u w:val="none"/>
                <w:lang w:val="en-US" w:eastAsia="zh-CN"/>
              </w:rPr>
              <w:t>不属于</w:t>
            </w:r>
            <w:r>
              <w:rPr>
                <w:rFonts w:hint="eastAsia"/>
                <w:sz w:val="21"/>
                <w:u w:val="none"/>
              </w:rPr>
              <w:t>废弃资源综合利用产业</w:t>
            </w:r>
            <w:r>
              <w:rPr>
                <w:rFonts w:hint="eastAsia"/>
                <w:sz w:val="21"/>
                <w:u w:val="none"/>
                <w:lang w:eastAsia="zh-CN"/>
              </w:rPr>
              <w:t>；</w:t>
            </w:r>
            <w:r>
              <w:rPr>
                <w:rFonts w:hint="eastAsia"/>
                <w:sz w:val="21"/>
                <w:u w:val="none"/>
                <w:lang w:val="en-US" w:eastAsia="zh-CN"/>
              </w:rPr>
              <w:t>项目不涉及重大危险源；</w:t>
            </w:r>
            <w:r>
              <w:rPr>
                <w:rFonts w:hint="eastAsia"/>
                <w:u w:val="none" w:color="auto"/>
                <w:lang w:val="en-US" w:eastAsia="zh-CN"/>
              </w:rPr>
              <w:t>不属于高能耗、高物耗、污染重的项目</w:t>
            </w:r>
            <w:r>
              <w:rPr>
                <w:rFonts w:hint="eastAsia"/>
                <w:color w:val="auto"/>
                <w:u w:val="none" w:color="auto"/>
                <w:lang w:val="en-US" w:eastAsia="zh-CN"/>
              </w:rPr>
              <w:t>。</w:t>
            </w:r>
          </w:p>
        </w:tc>
      </w:tr>
      <w:tr w14:paraId="72EE6C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91BAF2E">
            <w:pPr>
              <w:pStyle w:val="32"/>
              <w:bidi w:val="0"/>
              <w:rPr>
                <w:rFonts w:hint="default"/>
                <w:color w:val="auto"/>
                <w:u w:val="none" w:color="auto"/>
              </w:rPr>
            </w:pPr>
          </w:p>
        </w:tc>
        <w:tc>
          <w:tcPr>
            <w:tcW w:w="960" w:type="dxa"/>
            <w:tcBorders>
              <w:tl2br w:val="nil"/>
              <w:tr2bl w:val="nil"/>
            </w:tcBorders>
            <w:noWrap w:val="0"/>
            <w:vAlign w:val="center"/>
          </w:tcPr>
          <w:p w14:paraId="295B5163">
            <w:pPr>
              <w:pStyle w:val="32"/>
              <w:bidi w:val="0"/>
              <w:rPr>
                <w:rFonts w:hint="default"/>
                <w:color w:val="auto"/>
                <w:u w:val="none" w:color="auto"/>
              </w:rPr>
            </w:pPr>
            <w:r>
              <w:rPr>
                <w:rFonts w:hint="default"/>
                <w:color w:val="auto"/>
                <w:u w:val="none" w:color="auto"/>
              </w:rPr>
              <w:t>限制类</w:t>
            </w:r>
          </w:p>
        </w:tc>
        <w:tc>
          <w:tcPr>
            <w:tcW w:w="5152" w:type="dxa"/>
            <w:tcBorders>
              <w:tl2br w:val="nil"/>
              <w:tr2bl w:val="nil"/>
            </w:tcBorders>
            <w:noWrap w:val="0"/>
            <w:vAlign w:val="center"/>
          </w:tcPr>
          <w:p w14:paraId="01B4F2CE">
            <w:pPr>
              <w:pStyle w:val="33"/>
              <w:spacing w:line="240" w:lineRule="auto"/>
              <w:ind w:firstLine="0" w:firstLineChars="0"/>
              <w:rPr>
                <w:rFonts w:hint="eastAsia"/>
                <w:sz w:val="21"/>
                <w:u w:val="none"/>
                <w:lang w:eastAsia="zh-CN"/>
              </w:rPr>
            </w:pPr>
            <w:r>
              <w:rPr>
                <w:rFonts w:hint="eastAsia" w:ascii="宋体" w:hAnsi="宋体" w:eastAsia="宋体" w:cs="宋体"/>
                <w:sz w:val="21"/>
                <w:u w:val="none"/>
              </w:rPr>
              <w:t>①</w:t>
            </w:r>
            <w:r>
              <w:rPr>
                <w:sz w:val="21"/>
                <w:u w:val="none"/>
              </w:rPr>
              <w:t>《产业结构调整指导目录（2024年本）》中限制类</w:t>
            </w:r>
            <w:r>
              <w:rPr>
                <w:rFonts w:hint="eastAsia"/>
                <w:sz w:val="21"/>
                <w:u w:val="none"/>
                <w:lang w:eastAsia="zh-CN"/>
              </w:rPr>
              <w:t>。</w:t>
            </w:r>
          </w:p>
          <w:p w14:paraId="273F9A86">
            <w:pPr>
              <w:pStyle w:val="33"/>
              <w:spacing w:line="240" w:lineRule="auto"/>
              <w:ind w:firstLine="0" w:firstLineChars="0"/>
              <w:rPr>
                <w:rFonts w:hint="eastAsia"/>
                <w:sz w:val="21"/>
                <w:u w:val="none"/>
              </w:rPr>
            </w:pPr>
            <w:r>
              <w:rPr>
                <w:rFonts w:hint="eastAsia" w:ascii="宋体" w:hAnsi="宋体" w:eastAsia="宋体" w:cs="宋体"/>
                <w:sz w:val="21"/>
                <w:u w:val="none"/>
              </w:rPr>
              <w:t>②</w:t>
            </w:r>
            <w:r>
              <w:rPr>
                <w:sz w:val="21"/>
                <w:u w:val="none"/>
              </w:rPr>
              <w:t>《湖南</w:t>
            </w:r>
            <w:r>
              <w:rPr>
                <w:rFonts w:hint="eastAsia" w:ascii="宋体" w:hAnsi="宋体" w:eastAsia="宋体" w:cs="宋体"/>
                <w:sz w:val="21"/>
                <w:u w:val="none"/>
              </w:rPr>
              <w:t>省“两高”项</w:t>
            </w:r>
            <w:r>
              <w:rPr>
                <w:sz w:val="21"/>
                <w:u w:val="none"/>
              </w:rPr>
              <w:t>目管理目录》中项目</w:t>
            </w:r>
            <w:r>
              <w:rPr>
                <w:rFonts w:hint="eastAsia"/>
                <w:sz w:val="21"/>
                <w:u w:val="none"/>
              </w:rPr>
              <w:t>，</w:t>
            </w:r>
            <w:r>
              <w:rPr>
                <w:sz w:val="21"/>
                <w:u w:val="none"/>
              </w:rPr>
              <w:t>限制引进排水量大</w:t>
            </w:r>
            <w:r>
              <w:rPr>
                <w:rFonts w:hint="eastAsia"/>
                <w:sz w:val="21"/>
                <w:u w:val="none"/>
              </w:rPr>
              <w:t>（水环境重点排污单位）</w:t>
            </w:r>
            <w:r>
              <w:rPr>
                <w:sz w:val="21"/>
                <w:u w:val="none"/>
              </w:rPr>
              <w:t>的企业</w:t>
            </w:r>
            <w:r>
              <w:rPr>
                <w:rFonts w:hint="eastAsia"/>
                <w:sz w:val="21"/>
                <w:u w:val="none"/>
              </w:rPr>
              <w:t>。</w:t>
            </w:r>
          </w:p>
          <w:p w14:paraId="7B0E3EB0">
            <w:pPr>
              <w:pStyle w:val="33"/>
              <w:spacing w:line="240" w:lineRule="auto"/>
              <w:ind w:firstLine="0" w:firstLineChars="0"/>
              <w:rPr>
                <w:rFonts w:hint="default" w:ascii="Times New Roman" w:hAnsi="Times New Roman" w:eastAsia="宋体" w:cs="Times New Roman"/>
                <w:snapToGrid w:val="0"/>
                <w:sz w:val="21"/>
                <w:szCs w:val="21"/>
                <w:u w:val="none"/>
                <w:lang w:val="en-US" w:eastAsia="zh-CN" w:bidi="ar-SA"/>
              </w:rPr>
            </w:pPr>
            <w:r>
              <w:rPr>
                <w:rFonts w:hint="eastAsia" w:ascii="宋体" w:hAnsi="宋体" w:eastAsia="宋体" w:cs="宋体"/>
                <w:sz w:val="21"/>
                <w:u w:val="none"/>
              </w:rPr>
              <w:t>③</w:t>
            </w:r>
            <w:r>
              <w:rPr>
                <w:rFonts w:hint="eastAsia"/>
                <w:sz w:val="21"/>
                <w:u w:val="none"/>
              </w:rPr>
              <w:t>限制引进排水量大（满足水环境重点排污单位条件的）的项目。</w:t>
            </w:r>
          </w:p>
        </w:tc>
        <w:tc>
          <w:tcPr>
            <w:tcW w:w="1882" w:type="dxa"/>
            <w:vMerge w:val="continue"/>
            <w:tcBorders>
              <w:tl2br w:val="nil"/>
              <w:tr2bl w:val="nil"/>
            </w:tcBorders>
            <w:noWrap w:val="0"/>
            <w:vAlign w:val="center"/>
          </w:tcPr>
          <w:p w14:paraId="28A90553">
            <w:pPr>
              <w:pStyle w:val="32"/>
              <w:bidi w:val="0"/>
              <w:rPr>
                <w:rFonts w:hint="default"/>
                <w:color w:val="auto"/>
                <w:u w:val="none" w:color="auto"/>
                <w:lang w:val="en-US"/>
              </w:rPr>
            </w:pPr>
          </w:p>
        </w:tc>
      </w:tr>
      <w:tr w14:paraId="3FC700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2DC47ED3">
            <w:pPr>
              <w:pStyle w:val="32"/>
              <w:bidi w:val="0"/>
              <w:rPr>
                <w:rFonts w:hint="default"/>
                <w:color w:val="auto"/>
                <w:u w:val="none" w:color="auto"/>
              </w:rPr>
            </w:pPr>
          </w:p>
        </w:tc>
        <w:tc>
          <w:tcPr>
            <w:tcW w:w="960" w:type="dxa"/>
            <w:tcBorders>
              <w:tl2br w:val="nil"/>
              <w:tr2bl w:val="nil"/>
            </w:tcBorders>
            <w:noWrap w:val="0"/>
            <w:vAlign w:val="center"/>
          </w:tcPr>
          <w:p w14:paraId="4A4DD685">
            <w:pPr>
              <w:pStyle w:val="32"/>
              <w:bidi w:val="0"/>
              <w:rPr>
                <w:rFonts w:hint="default"/>
                <w:color w:val="auto"/>
                <w:u w:val="none" w:color="auto"/>
              </w:rPr>
            </w:pPr>
            <w:r>
              <w:rPr>
                <w:rFonts w:hint="default"/>
                <w:color w:val="auto"/>
                <w:u w:val="none" w:color="auto"/>
              </w:rPr>
              <w:t>禁止类</w:t>
            </w:r>
          </w:p>
        </w:tc>
        <w:tc>
          <w:tcPr>
            <w:tcW w:w="5152" w:type="dxa"/>
            <w:tcBorders>
              <w:tl2br w:val="nil"/>
              <w:tr2bl w:val="nil"/>
            </w:tcBorders>
            <w:noWrap w:val="0"/>
            <w:vAlign w:val="center"/>
          </w:tcPr>
          <w:p w14:paraId="0BF126FF">
            <w:pPr>
              <w:pStyle w:val="33"/>
              <w:spacing w:line="240" w:lineRule="auto"/>
              <w:ind w:firstLine="0" w:firstLineChars="0"/>
              <w:rPr>
                <w:sz w:val="21"/>
                <w:u w:val="none"/>
              </w:rPr>
            </w:pPr>
            <w:r>
              <w:rPr>
                <w:rFonts w:hint="eastAsia" w:ascii="宋体" w:hAnsi="宋体" w:eastAsia="宋体" w:cs="宋体"/>
                <w:sz w:val="21"/>
                <w:u w:val="none"/>
              </w:rPr>
              <w:t>①</w:t>
            </w:r>
            <w:r>
              <w:rPr>
                <w:rFonts w:hint="eastAsia"/>
                <w:sz w:val="21"/>
                <w:u w:val="none"/>
              </w:rPr>
              <w:t>园区本次未作为化工园区（片区）进行规划，不得新引进国、省相关规定要求须强制入化工园区发展的项目。</w:t>
            </w:r>
          </w:p>
          <w:p w14:paraId="1A4ECAB9">
            <w:pPr>
              <w:pStyle w:val="33"/>
              <w:spacing w:line="240" w:lineRule="auto"/>
              <w:ind w:firstLine="0" w:firstLineChars="0"/>
              <w:rPr>
                <w:rFonts w:hint="eastAsia"/>
                <w:sz w:val="21"/>
                <w:u w:val="none"/>
                <w:lang w:eastAsia="zh-CN"/>
              </w:rPr>
            </w:pPr>
            <w:r>
              <w:rPr>
                <w:rFonts w:hint="eastAsia" w:ascii="宋体" w:hAnsi="宋体" w:eastAsia="宋体" w:cs="宋体"/>
                <w:sz w:val="21"/>
                <w:u w:val="none"/>
              </w:rPr>
              <w:t>②</w:t>
            </w:r>
            <w:r>
              <w:rPr>
                <w:rFonts w:hint="eastAsia"/>
                <w:sz w:val="21"/>
                <w:u w:val="none"/>
              </w:rPr>
              <w:t>禁止引进排水涉重金属及持久性有机物的项目</w:t>
            </w:r>
            <w:r>
              <w:rPr>
                <w:rFonts w:hint="eastAsia"/>
                <w:sz w:val="21"/>
                <w:u w:val="none"/>
                <w:lang w:eastAsia="zh-CN"/>
              </w:rPr>
              <w:t>。</w:t>
            </w:r>
          </w:p>
          <w:p w14:paraId="55E7B5B5">
            <w:pPr>
              <w:pStyle w:val="33"/>
              <w:spacing w:line="240" w:lineRule="auto"/>
              <w:ind w:firstLine="0" w:firstLineChars="0"/>
              <w:rPr>
                <w:rFonts w:hint="eastAsia"/>
                <w:sz w:val="21"/>
                <w:u w:val="none"/>
              </w:rPr>
            </w:pPr>
            <w:r>
              <w:rPr>
                <w:rFonts w:hint="eastAsia" w:ascii="宋体" w:hAnsi="宋体" w:eastAsia="宋体" w:cs="宋体"/>
                <w:sz w:val="21"/>
                <w:u w:val="none"/>
              </w:rPr>
              <w:t>③</w:t>
            </w:r>
            <w:r>
              <w:rPr>
                <w:rFonts w:hint="eastAsia"/>
                <w:sz w:val="21"/>
                <w:u w:val="none"/>
              </w:rPr>
              <w:t>禁止引进电镀、线路板制造等项目。</w:t>
            </w:r>
          </w:p>
          <w:p w14:paraId="5712D5F5">
            <w:pPr>
              <w:pStyle w:val="33"/>
              <w:spacing w:line="240" w:lineRule="auto"/>
              <w:ind w:firstLine="0" w:firstLineChars="0"/>
              <w:rPr>
                <w:rFonts w:hint="eastAsia"/>
                <w:sz w:val="21"/>
                <w:u w:val="none"/>
              </w:rPr>
            </w:pPr>
            <w:r>
              <w:rPr>
                <w:rFonts w:hint="eastAsia" w:ascii="宋体" w:hAnsi="宋体" w:eastAsia="宋体" w:cs="宋体"/>
                <w:sz w:val="21"/>
                <w:u w:val="none"/>
              </w:rPr>
              <w:t>④</w:t>
            </w:r>
            <w:r>
              <w:rPr>
                <w:rFonts w:hint="eastAsia"/>
                <w:sz w:val="21"/>
                <w:u w:val="none"/>
              </w:rPr>
              <w:t>禁止引进废弃资源综合利用产业中涉及冶炼、</w:t>
            </w:r>
            <w:r>
              <w:rPr>
                <w:rFonts w:hint="eastAsia"/>
                <w:sz w:val="21"/>
                <w:u w:val="none"/>
                <w:lang w:val="en-US" w:eastAsia="zh-CN"/>
              </w:rPr>
              <w:t>有色金属</w:t>
            </w:r>
            <w:r>
              <w:rPr>
                <w:rFonts w:hint="eastAsia"/>
                <w:sz w:val="21"/>
                <w:u w:val="none"/>
              </w:rPr>
              <w:t>精深加工的项目。</w:t>
            </w:r>
          </w:p>
          <w:p w14:paraId="74F74618">
            <w:pPr>
              <w:pStyle w:val="33"/>
              <w:spacing w:line="240" w:lineRule="auto"/>
              <w:ind w:firstLine="0" w:firstLineChars="0"/>
              <w:rPr>
                <w:rFonts w:hint="eastAsia" w:eastAsia="宋体"/>
                <w:sz w:val="21"/>
                <w:u w:val="none"/>
                <w:lang w:eastAsia="zh-CN"/>
              </w:rPr>
            </w:pPr>
            <w:r>
              <w:rPr>
                <w:rFonts w:hint="eastAsia" w:ascii="宋体" w:hAnsi="宋体" w:eastAsia="宋体" w:cs="宋体"/>
                <w:sz w:val="21"/>
                <w:u w:val="none"/>
              </w:rPr>
              <w:t>⑤</w:t>
            </w:r>
            <w:r>
              <w:rPr>
                <w:rFonts w:hint="eastAsia"/>
                <w:sz w:val="21"/>
                <w:u w:val="none"/>
              </w:rPr>
              <w:t>禁止重大危险源企业紧邻规划居住用地布局的</w:t>
            </w:r>
            <w:r>
              <w:rPr>
                <w:rFonts w:hint="eastAsia"/>
                <w:sz w:val="21"/>
                <w:u w:val="none"/>
                <w:lang w:eastAsia="zh-CN"/>
              </w:rPr>
              <w:t>。</w:t>
            </w:r>
          </w:p>
          <w:p w14:paraId="1FEFC892">
            <w:pPr>
              <w:pStyle w:val="33"/>
              <w:spacing w:line="240" w:lineRule="auto"/>
              <w:ind w:firstLine="0" w:firstLineChars="0"/>
              <w:rPr>
                <w:sz w:val="21"/>
                <w:u w:val="none"/>
              </w:rPr>
            </w:pPr>
            <w:r>
              <w:rPr>
                <w:rFonts w:hint="eastAsia" w:ascii="宋体" w:hAnsi="宋体" w:eastAsia="宋体" w:cs="宋体"/>
                <w:sz w:val="21"/>
                <w:u w:val="none"/>
              </w:rPr>
              <w:t>⑥</w:t>
            </w:r>
            <w:r>
              <w:rPr>
                <w:sz w:val="21"/>
                <w:u w:val="none"/>
              </w:rPr>
              <w:t>《产业结构调整指导目录（2024年本）》中淘汰类。</w:t>
            </w:r>
          </w:p>
          <w:p w14:paraId="559BB231">
            <w:pPr>
              <w:pStyle w:val="33"/>
              <w:spacing w:line="240" w:lineRule="auto"/>
              <w:ind w:firstLine="0" w:firstLineChars="0"/>
              <w:rPr>
                <w:rFonts w:hint="default" w:ascii="Times New Roman" w:hAnsi="Times New Roman" w:eastAsia="宋体" w:cs="Times New Roman"/>
                <w:snapToGrid w:val="0"/>
                <w:sz w:val="21"/>
                <w:szCs w:val="21"/>
                <w:u w:val="none"/>
                <w:lang w:val="en-US" w:eastAsia="zh-CN" w:bidi="ar-SA"/>
              </w:rPr>
            </w:pPr>
            <w:r>
              <w:rPr>
                <w:rFonts w:hint="eastAsia" w:ascii="宋体" w:hAnsi="宋体" w:eastAsia="宋体" w:cs="宋体"/>
                <w:sz w:val="21"/>
                <w:u w:val="none"/>
              </w:rPr>
              <w:t>⑦</w:t>
            </w:r>
            <w:r>
              <w:rPr>
                <w:sz w:val="21"/>
                <w:u w:val="none"/>
              </w:rPr>
              <w:t>国家命令淘法和禁止发展的高能耗、高物耗、污染重，不符合产业政策的建设项目。</w:t>
            </w:r>
          </w:p>
        </w:tc>
        <w:tc>
          <w:tcPr>
            <w:tcW w:w="1882" w:type="dxa"/>
            <w:vMerge w:val="continue"/>
            <w:tcBorders>
              <w:tl2br w:val="nil"/>
              <w:tr2bl w:val="nil"/>
            </w:tcBorders>
            <w:noWrap w:val="0"/>
            <w:vAlign w:val="center"/>
          </w:tcPr>
          <w:p w14:paraId="08677392">
            <w:pPr>
              <w:pStyle w:val="32"/>
              <w:bidi w:val="0"/>
              <w:rPr>
                <w:rFonts w:hint="default"/>
                <w:color w:val="auto"/>
                <w:u w:val="none" w:color="auto"/>
                <w:lang w:val="en-US" w:eastAsia="zh-CN"/>
              </w:rPr>
            </w:pPr>
          </w:p>
        </w:tc>
      </w:tr>
      <w:tr w14:paraId="797ADD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04" w:type="dxa"/>
            <w:gridSpan w:val="4"/>
            <w:tcBorders>
              <w:tl2br w:val="nil"/>
              <w:tr2bl w:val="nil"/>
            </w:tcBorders>
            <w:noWrap w:val="0"/>
            <w:vAlign w:val="center"/>
          </w:tcPr>
          <w:p w14:paraId="4140B541">
            <w:pPr>
              <w:pStyle w:val="32"/>
              <w:bidi w:val="0"/>
              <w:rPr>
                <w:rFonts w:hint="default"/>
                <w:color w:val="auto"/>
                <w:u w:val="none" w:color="auto"/>
              </w:rPr>
            </w:pPr>
            <w:r>
              <w:rPr>
                <w:rFonts w:hint="eastAsia"/>
                <w:b/>
                <w:bCs/>
                <w:color w:val="auto"/>
                <w:u w:val="none" w:color="auto"/>
                <w:lang w:val="en-US" w:eastAsia="zh-CN"/>
              </w:rPr>
              <w:t>园区环境准入工艺和产品负面清单</w:t>
            </w:r>
          </w:p>
        </w:tc>
      </w:tr>
      <w:tr w14:paraId="0E0783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 w:hRule="atLeast"/>
          <w:jc w:val="center"/>
        </w:trPr>
        <w:tc>
          <w:tcPr>
            <w:tcW w:w="510" w:type="dxa"/>
            <w:tcBorders>
              <w:tl2br w:val="nil"/>
              <w:tr2bl w:val="nil"/>
            </w:tcBorders>
            <w:noWrap w:val="0"/>
            <w:vAlign w:val="center"/>
          </w:tcPr>
          <w:p w14:paraId="138766AF">
            <w:pPr>
              <w:pStyle w:val="32"/>
              <w:bidi w:val="0"/>
              <w:rPr>
                <w:rFonts w:hint="default"/>
                <w:color w:val="auto"/>
                <w:u w:val="none" w:color="auto"/>
                <w:lang w:val="en-US" w:eastAsia="zh-CN"/>
              </w:rPr>
            </w:pPr>
            <w:r>
              <w:rPr>
                <w:rFonts w:hint="eastAsia"/>
                <w:color w:val="auto"/>
                <w:u w:val="none" w:color="auto"/>
                <w:lang w:val="en-US" w:eastAsia="zh-CN"/>
              </w:rPr>
              <w:t>弼时</w:t>
            </w:r>
            <w:r>
              <w:rPr>
                <w:rFonts w:hint="default"/>
                <w:color w:val="auto"/>
                <w:u w:val="none" w:color="auto"/>
              </w:rPr>
              <w:t>片区</w:t>
            </w:r>
          </w:p>
        </w:tc>
        <w:tc>
          <w:tcPr>
            <w:tcW w:w="6112" w:type="dxa"/>
            <w:gridSpan w:val="2"/>
            <w:tcBorders>
              <w:tl2br w:val="nil"/>
              <w:tr2bl w:val="nil"/>
            </w:tcBorders>
            <w:noWrap w:val="0"/>
            <w:vAlign w:val="center"/>
          </w:tcPr>
          <w:p w14:paraId="106365A5">
            <w:pPr>
              <w:widowControl/>
              <w:spacing w:line="240" w:lineRule="auto"/>
              <w:ind w:firstLine="0" w:firstLineChars="0"/>
              <w:jc w:val="center"/>
              <w:textAlignment w:val="bottom"/>
              <w:rPr>
                <w:rFonts w:hint="default" w:eastAsia="宋体" w:cs="Times New Roman"/>
                <w:sz w:val="21"/>
                <w:lang w:val="en-US" w:eastAsia="zh-CN" w:bidi="ar"/>
              </w:rPr>
            </w:pPr>
            <w:r>
              <w:rPr>
                <w:rFonts w:hint="eastAsia" w:cs="Times New Roman"/>
                <w:sz w:val="21"/>
                <w:lang w:val="en-US" w:eastAsia="zh-CN" w:bidi="ar"/>
              </w:rPr>
              <w:t>先进装备制造产业和汽车零部件及配件制造产业</w:t>
            </w:r>
          </w:p>
        </w:tc>
        <w:tc>
          <w:tcPr>
            <w:tcW w:w="1882" w:type="dxa"/>
            <w:tcBorders>
              <w:tl2br w:val="nil"/>
              <w:tr2bl w:val="nil"/>
            </w:tcBorders>
            <w:noWrap w:val="0"/>
            <w:vAlign w:val="center"/>
          </w:tcPr>
          <w:p w14:paraId="5FC1E3A3">
            <w:pPr>
              <w:pStyle w:val="32"/>
              <w:bidi w:val="0"/>
              <w:rPr>
                <w:rFonts w:hint="default"/>
                <w:color w:val="auto"/>
                <w:u w:val="none" w:color="auto"/>
                <w:lang w:val="en-US" w:eastAsia="zh-CN"/>
              </w:rPr>
            </w:pPr>
            <w:r>
              <w:rPr>
                <w:rFonts w:hint="eastAsia"/>
                <w:color w:val="auto"/>
                <w:u w:val="none" w:color="auto"/>
                <w:lang w:val="en-US" w:eastAsia="zh-CN"/>
              </w:rPr>
              <w:t>项目为C3091石墨及碳素制品制造，产品为锂电池石墨匣钵，不属于</w:t>
            </w:r>
            <w:r>
              <w:rPr>
                <w:rFonts w:hint="eastAsia" w:cs="Times New Roman"/>
                <w:sz w:val="21"/>
                <w:lang w:val="en-US" w:eastAsia="zh-CN" w:bidi="ar"/>
              </w:rPr>
              <w:t>先进装备制造产业和汽车零部件及配件制造产业。</w:t>
            </w:r>
          </w:p>
        </w:tc>
      </w:tr>
    </w:tbl>
    <w:p w14:paraId="0FD03C8D">
      <w:pPr>
        <w:pStyle w:val="21"/>
        <w:bidi w:val="0"/>
        <w:rPr>
          <w:rFonts w:hint="default"/>
          <w:color w:val="auto"/>
          <w:u w:val="none" w:color="auto"/>
        </w:rPr>
      </w:pPr>
      <w:r>
        <w:rPr>
          <w:rFonts w:hint="default"/>
          <w:color w:val="auto"/>
          <w:u w:val="none" w:color="auto"/>
        </w:rPr>
        <w:t>综上所述，本项目不属于园区环境准入工艺和产品负面清单中的限制类或淘汰类项目，符合《汨罗高新技术产业开发区扩区规划环境影响报告书》中的园区环境准入要求。</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14:paraId="1A3B2348">
      <w:pPr>
        <w:pStyle w:val="8"/>
        <w:bidi w:val="0"/>
        <w:rPr>
          <w:rFonts w:hint="default" w:eastAsia="宋体"/>
          <w:b/>
          <w:bCs/>
          <w:color w:val="auto"/>
          <w:u w:val="none" w:color="auto"/>
          <w:lang w:val="en-US" w:eastAsia="zh-CN"/>
        </w:rPr>
      </w:pPr>
      <w:bookmarkStart w:id="125" w:name="_Toc26317"/>
      <w:bookmarkStart w:id="126" w:name="_Toc32648"/>
      <w:bookmarkStart w:id="127" w:name="_Toc13621"/>
      <w:bookmarkStart w:id="128" w:name="_Toc30211"/>
      <w:bookmarkStart w:id="129" w:name="_Toc7423"/>
      <w:bookmarkStart w:id="130" w:name="_Toc1074"/>
      <w:bookmarkStart w:id="131" w:name="_Toc13218"/>
      <w:bookmarkStart w:id="132" w:name="_Toc8864"/>
      <w:bookmarkStart w:id="133" w:name="_Toc16669"/>
      <w:bookmarkStart w:id="134" w:name="_Toc12231"/>
      <w:bookmarkStart w:id="135" w:name="_Toc9108"/>
      <w:bookmarkStart w:id="136" w:name="_Toc22838"/>
      <w:bookmarkStart w:id="137" w:name="_Toc20304"/>
      <w:bookmarkStart w:id="138" w:name="_Toc794"/>
      <w:bookmarkStart w:id="139" w:name="_Toc554"/>
      <w:bookmarkStart w:id="140" w:name="_Toc15376"/>
      <w:bookmarkStart w:id="141" w:name="_Toc27864"/>
      <w:bookmarkStart w:id="142" w:name="_Toc9645"/>
      <w:bookmarkStart w:id="143" w:name="_Toc23678"/>
      <w:bookmarkStart w:id="144" w:name="_Toc16553"/>
      <w:bookmarkStart w:id="145" w:name="_Toc29664"/>
      <w:bookmarkStart w:id="146" w:name="_Toc19923"/>
      <w:bookmarkStart w:id="147" w:name="_Toc31422"/>
      <w:bookmarkStart w:id="148" w:name="_Toc1280"/>
      <w:bookmarkStart w:id="149" w:name="_Toc31064"/>
      <w:bookmarkStart w:id="150" w:name="_Toc30681"/>
      <w:bookmarkStart w:id="151" w:name="_Toc9049"/>
      <w:bookmarkStart w:id="152" w:name="_Toc19305"/>
      <w:bookmarkStart w:id="153" w:name="_Toc19012"/>
      <w:bookmarkStart w:id="154" w:name="_Toc24479"/>
      <w:bookmarkStart w:id="155" w:name="_Toc3736"/>
      <w:bookmarkStart w:id="156" w:name="_Toc5094"/>
      <w:bookmarkStart w:id="157" w:name="_Toc25633"/>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bookmarkEnd w:id="125"/>
      <w:r>
        <w:rPr>
          <w:rFonts w:hint="eastAsia" w:ascii="Times New Roman" w:hAnsi="Times New Roman" w:cs="Times New Roman"/>
          <w:color w:val="auto"/>
          <w:u w:val="none" w:color="auto"/>
          <w:lang w:val="en-US" w:eastAsia="zh-CN"/>
        </w:rPr>
        <w:t>4</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hint="eastAsia"/>
          <w:b/>
          <w:bCs/>
          <w:color w:val="auto"/>
          <w:u w:val="none" w:color="auto"/>
          <w:lang w:val="en-US" w:eastAsia="zh-CN"/>
        </w:rPr>
        <w:t>与《湖南省长江经济带发展负面清单实施细则（试行，2022版）》相符性分析</w:t>
      </w:r>
      <w:bookmarkEnd w:id="140"/>
    </w:p>
    <w:p w14:paraId="556D4D10">
      <w:pPr>
        <w:pStyle w:val="21"/>
        <w:ind w:firstLine="480"/>
        <w:rPr>
          <w:color w:val="auto"/>
          <w:u w:val="none" w:color="auto"/>
        </w:rPr>
      </w:pPr>
      <w:r>
        <w:rPr>
          <w:color w:val="auto"/>
          <w:u w:val="none" w:color="auto"/>
        </w:rPr>
        <w:t>本项目与《</w:t>
      </w:r>
      <w:r>
        <w:rPr>
          <w:rFonts w:hint="eastAsia"/>
          <w:color w:val="auto"/>
          <w:u w:val="none" w:color="auto"/>
        </w:rPr>
        <w:t>湖南省</w:t>
      </w:r>
      <w:r>
        <w:rPr>
          <w:rFonts w:hint="eastAsia"/>
          <w:color w:val="auto"/>
          <w:u w:val="none" w:color="auto"/>
          <w:lang w:eastAsia="zh-CN"/>
        </w:rPr>
        <w:t>长江经济带发展负面清单指南（试行，</w:t>
      </w:r>
      <w:r>
        <w:rPr>
          <w:rFonts w:hint="eastAsia"/>
          <w:color w:val="auto"/>
          <w:u w:val="none" w:color="auto"/>
          <w:lang w:val="en-US" w:eastAsia="zh-CN"/>
        </w:rPr>
        <w:t>2022年版</w:t>
      </w:r>
      <w:r>
        <w:rPr>
          <w:rFonts w:hint="eastAsia"/>
          <w:color w:val="auto"/>
          <w:u w:val="none" w:color="auto"/>
          <w:lang w:eastAsia="zh-CN"/>
        </w:rPr>
        <w:t>）</w:t>
      </w:r>
      <w:r>
        <w:rPr>
          <w:color w:val="auto"/>
          <w:u w:val="none" w:color="auto"/>
        </w:rPr>
        <w:t>》相符性分析如下：</w:t>
      </w:r>
    </w:p>
    <w:p w14:paraId="7D3BCE34">
      <w:pPr>
        <w:pStyle w:val="23"/>
        <w:bidi w:val="0"/>
        <w:rPr>
          <w:rFonts w:hint="default"/>
          <w:color w:val="auto"/>
          <w:u w:val="none" w:color="auto"/>
          <w:lang w:val="en-US" w:eastAsia="zh-CN"/>
        </w:rPr>
      </w:pPr>
      <w:r>
        <w:rPr>
          <w:rFonts w:hint="eastAsia"/>
          <w:color w:val="auto"/>
          <w:u w:val="none" w:color="auto"/>
          <w:lang w:val="en-US" w:eastAsia="zh-CN"/>
        </w:rPr>
        <w:t>表1.3-7 与《湖南省长江经济带发展负面清单指南（试行，2022年版）》相符性分析</w:t>
      </w:r>
    </w:p>
    <w:tbl>
      <w:tblPr>
        <w:tblStyle w:val="16"/>
        <w:tblW w:w="85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93"/>
        <w:gridCol w:w="2741"/>
        <w:gridCol w:w="905"/>
      </w:tblGrid>
      <w:tr w14:paraId="734B4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F978CEC">
            <w:pPr>
              <w:pStyle w:val="24"/>
              <w:bidi w:val="0"/>
              <w:rPr>
                <w:rFonts w:hint="eastAsia"/>
                <w:b/>
                <w:bCs w:val="0"/>
                <w:color w:val="auto"/>
                <w:u w:val="none" w:color="auto"/>
              </w:rPr>
            </w:pPr>
            <w:r>
              <w:rPr>
                <w:rFonts w:hint="eastAsia"/>
                <w:b/>
                <w:bCs w:val="0"/>
                <w:color w:val="auto"/>
                <w:u w:val="none" w:color="auto"/>
              </w:rPr>
              <w:t>要求</w:t>
            </w:r>
          </w:p>
        </w:tc>
        <w:tc>
          <w:tcPr>
            <w:tcW w:w="2741" w:type="dxa"/>
            <w:noWrap w:val="0"/>
            <w:vAlign w:val="center"/>
          </w:tcPr>
          <w:p w14:paraId="68AFF5A1">
            <w:pPr>
              <w:pStyle w:val="24"/>
              <w:bidi w:val="0"/>
              <w:rPr>
                <w:rFonts w:hint="eastAsia"/>
                <w:b/>
                <w:bCs w:val="0"/>
                <w:color w:val="auto"/>
                <w:u w:val="none" w:color="auto"/>
              </w:rPr>
            </w:pPr>
            <w:r>
              <w:rPr>
                <w:rFonts w:hint="eastAsia"/>
                <w:b/>
                <w:bCs w:val="0"/>
                <w:color w:val="auto"/>
                <w:u w:val="none" w:color="auto"/>
              </w:rPr>
              <w:t>本项目情况</w:t>
            </w:r>
          </w:p>
        </w:tc>
        <w:tc>
          <w:tcPr>
            <w:tcW w:w="905" w:type="dxa"/>
            <w:noWrap w:val="0"/>
            <w:vAlign w:val="center"/>
          </w:tcPr>
          <w:p w14:paraId="06BA6D27">
            <w:pPr>
              <w:pStyle w:val="24"/>
              <w:bidi w:val="0"/>
              <w:rPr>
                <w:rFonts w:hint="eastAsia"/>
                <w:b/>
                <w:bCs w:val="0"/>
                <w:color w:val="auto"/>
                <w:u w:val="none" w:color="auto"/>
              </w:rPr>
            </w:pPr>
            <w:r>
              <w:rPr>
                <w:rFonts w:hint="eastAsia"/>
                <w:b/>
                <w:bCs w:val="0"/>
                <w:color w:val="auto"/>
                <w:u w:val="none" w:color="auto"/>
              </w:rPr>
              <w:t>相符性</w:t>
            </w:r>
          </w:p>
        </w:tc>
      </w:tr>
      <w:tr w14:paraId="78391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C81D0BE">
            <w:pPr>
              <w:pStyle w:val="24"/>
              <w:bidi w:val="0"/>
              <w:rPr>
                <w:rFonts w:hint="eastAsia"/>
                <w:color w:val="auto"/>
                <w:u w:val="none" w:color="auto"/>
              </w:rPr>
            </w:pPr>
            <w:r>
              <w:rPr>
                <w:rFonts w:hint="eastAsia"/>
                <w:color w:val="auto"/>
                <w:u w:val="none" w:color="auto"/>
              </w:rPr>
              <w:t>禁止建设不符合全国和省级港口布局规划以及港</w:t>
            </w:r>
          </w:p>
          <w:p w14:paraId="77BD93FB">
            <w:pPr>
              <w:pStyle w:val="24"/>
              <w:bidi w:val="0"/>
              <w:rPr>
                <w:rFonts w:hint="eastAsia"/>
                <w:color w:val="auto"/>
                <w:u w:val="none" w:color="auto"/>
              </w:rPr>
            </w:pPr>
            <w:r>
              <w:rPr>
                <w:rFonts w:hint="eastAsia"/>
                <w:color w:val="auto"/>
                <w:u w:val="none" w:color="auto"/>
              </w:rPr>
              <w:t>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2741" w:type="dxa"/>
            <w:noWrap w:val="0"/>
            <w:vAlign w:val="center"/>
          </w:tcPr>
          <w:p w14:paraId="071E2BAD">
            <w:pPr>
              <w:pStyle w:val="24"/>
              <w:bidi w:val="0"/>
              <w:rPr>
                <w:rFonts w:hint="eastAsia"/>
                <w:color w:val="auto"/>
                <w:u w:val="none" w:color="auto"/>
              </w:rPr>
            </w:pPr>
            <w:r>
              <w:rPr>
                <w:rFonts w:hint="eastAsia"/>
                <w:color w:val="auto"/>
                <w:u w:val="none" w:color="auto"/>
              </w:rPr>
              <w:t>本项目不属于码头建设项目</w:t>
            </w:r>
          </w:p>
        </w:tc>
        <w:tc>
          <w:tcPr>
            <w:tcW w:w="905" w:type="dxa"/>
            <w:noWrap w:val="0"/>
            <w:vAlign w:val="center"/>
          </w:tcPr>
          <w:p w14:paraId="697584B6">
            <w:pPr>
              <w:pStyle w:val="24"/>
              <w:bidi w:val="0"/>
              <w:rPr>
                <w:rFonts w:hint="eastAsia"/>
                <w:color w:val="auto"/>
                <w:u w:val="none" w:color="auto"/>
              </w:rPr>
            </w:pPr>
            <w:r>
              <w:rPr>
                <w:rFonts w:hint="eastAsia"/>
                <w:color w:val="auto"/>
                <w:u w:val="none" w:color="auto"/>
              </w:rPr>
              <w:t>符合</w:t>
            </w:r>
          </w:p>
        </w:tc>
      </w:tr>
      <w:tr w14:paraId="6ED86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090B8A7A">
            <w:pPr>
              <w:pStyle w:val="24"/>
              <w:bidi w:val="0"/>
              <w:rPr>
                <w:rFonts w:hint="eastAsia"/>
                <w:color w:val="auto"/>
                <w:u w:val="none" w:color="auto"/>
              </w:rPr>
            </w:pPr>
            <w:r>
              <w:rPr>
                <w:rFonts w:hint="eastAsia"/>
                <w:color w:val="auto"/>
                <w:u w:val="none" w:color="auto"/>
              </w:rPr>
              <w:t>禁止在自然保护区核心区、缓冲区的岸线和河段</w:t>
            </w:r>
          </w:p>
          <w:p w14:paraId="6B491F39">
            <w:pPr>
              <w:pStyle w:val="24"/>
              <w:bidi w:val="0"/>
              <w:rPr>
                <w:rFonts w:hint="eastAsia"/>
                <w:color w:val="auto"/>
                <w:u w:val="none" w:color="auto"/>
                <w:lang w:eastAsia="zh-CN"/>
              </w:rPr>
            </w:pPr>
            <w:r>
              <w:rPr>
                <w:rFonts w:hint="eastAsia"/>
                <w:color w:val="auto"/>
                <w:u w:val="none" w:color="auto"/>
              </w:rPr>
              <w:t>范围内投资建设以下旅游和生产经营项目</w:t>
            </w:r>
            <w:r>
              <w:rPr>
                <w:rFonts w:hint="eastAsia"/>
                <w:color w:val="auto"/>
                <w:u w:val="none" w:color="auto"/>
                <w:lang w:eastAsia="zh-CN"/>
              </w:rPr>
              <w:t>：</w:t>
            </w:r>
            <w:r>
              <w:rPr>
                <w:rFonts w:hint="eastAsia"/>
                <w:color w:val="auto"/>
                <w:u w:val="none" w:color="auto"/>
              </w:rPr>
              <w:t>(一)高尔夫球场开发、房地产开发、索道建设、会所建设等项目</w:t>
            </w:r>
            <w:r>
              <w:rPr>
                <w:rFonts w:hint="eastAsia"/>
                <w:color w:val="auto"/>
                <w:u w:val="none" w:color="auto"/>
                <w:lang w:eastAsia="zh-CN"/>
              </w:rPr>
              <w:t>；</w:t>
            </w:r>
            <w:r>
              <w:rPr>
                <w:rFonts w:hint="eastAsia"/>
                <w:color w:val="auto"/>
                <w:u w:val="none" w:color="auto"/>
              </w:rPr>
              <w:t>(二)光伏发电、风力发电、火力发电建设项目</w:t>
            </w:r>
            <w:r>
              <w:rPr>
                <w:rFonts w:hint="eastAsia"/>
                <w:color w:val="auto"/>
                <w:u w:val="none" w:color="auto"/>
                <w:lang w:eastAsia="zh-CN"/>
              </w:rPr>
              <w:t>；</w:t>
            </w:r>
            <w:r>
              <w:rPr>
                <w:rFonts w:hint="eastAsia"/>
                <w:color w:val="auto"/>
                <w:u w:val="none" w:color="auto"/>
              </w:rPr>
              <w:t>(三)社会资金进行商业性探矿勘查，以及不属于国家紧缺矿种资源的基础地质调查和矿产远景调查等公益性工作的设施建设</w:t>
            </w:r>
            <w:r>
              <w:rPr>
                <w:rFonts w:hint="eastAsia"/>
                <w:color w:val="auto"/>
                <w:u w:val="none" w:color="auto"/>
                <w:lang w:eastAsia="zh-CN"/>
              </w:rPr>
              <w:t>；(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2741" w:type="dxa"/>
            <w:noWrap w:val="0"/>
            <w:vAlign w:val="center"/>
          </w:tcPr>
          <w:p w14:paraId="391366D6">
            <w:pPr>
              <w:pStyle w:val="24"/>
              <w:bidi w:val="0"/>
              <w:rPr>
                <w:rFonts w:hint="eastAsia"/>
                <w:color w:val="auto"/>
                <w:u w:val="none" w:color="auto"/>
              </w:rPr>
            </w:pPr>
            <w:r>
              <w:rPr>
                <w:rFonts w:hint="eastAsia"/>
                <w:color w:val="auto"/>
                <w:u w:val="none" w:color="auto"/>
              </w:rPr>
              <w:t>项目位于汨罗高新技术产</w:t>
            </w:r>
          </w:p>
          <w:p w14:paraId="0762E5EC">
            <w:pPr>
              <w:pStyle w:val="24"/>
              <w:bidi w:val="0"/>
              <w:rPr>
                <w:rFonts w:hint="eastAsia"/>
                <w:color w:val="auto"/>
                <w:u w:val="none" w:color="auto"/>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片区，不属于自然保护区及风景名胜区</w:t>
            </w:r>
          </w:p>
          <w:p w14:paraId="0609411B">
            <w:pPr>
              <w:pStyle w:val="24"/>
              <w:bidi w:val="0"/>
              <w:rPr>
                <w:rFonts w:hint="eastAsia"/>
                <w:color w:val="auto"/>
                <w:u w:val="none" w:color="auto"/>
              </w:rPr>
            </w:pPr>
            <w:r>
              <w:rPr>
                <w:rFonts w:hint="eastAsia"/>
                <w:color w:val="auto"/>
                <w:u w:val="none" w:color="auto"/>
              </w:rPr>
              <w:t>内</w:t>
            </w:r>
          </w:p>
        </w:tc>
        <w:tc>
          <w:tcPr>
            <w:tcW w:w="905" w:type="dxa"/>
            <w:noWrap w:val="0"/>
            <w:vAlign w:val="center"/>
          </w:tcPr>
          <w:p w14:paraId="4EE01954">
            <w:pPr>
              <w:pStyle w:val="24"/>
              <w:bidi w:val="0"/>
              <w:rPr>
                <w:rFonts w:hint="eastAsia"/>
                <w:color w:val="auto"/>
                <w:u w:val="none" w:color="auto"/>
              </w:rPr>
            </w:pPr>
            <w:r>
              <w:rPr>
                <w:rFonts w:hint="eastAsia"/>
                <w:color w:val="auto"/>
                <w:u w:val="none" w:color="auto"/>
              </w:rPr>
              <w:t>符合</w:t>
            </w:r>
          </w:p>
        </w:tc>
      </w:tr>
      <w:tr w14:paraId="4548C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128DE90D">
            <w:pPr>
              <w:pStyle w:val="24"/>
              <w:bidi w:val="0"/>
              <w:rPr>
                <w:rFonts w:hint="eastAsia"/>
                <w:color w:val="auto"/>
                <w:u w:val="none" w:color="auto"/>
              </w:rPr>
            </w:pPr>
            <w:r>
              <w:rPr>
                <w:rFonts w:hint="eastAsia"/>
                <w:color w:val="auto"/>
                <w:u w:val="none" w:color="auto"/>
              </w:rPr>
              <w:t xml:space="preserve"> 机场、铁路、公路、水利、围堰等公益性基础设施的选址选线应多方案优化比选，尽量避让相关自然保护区域、野生动物迁徙洄游通道</w:t>
            </w:r>
            <w:r>
              <w:rPr>
                <w:rFonts w:hint="eastAsia"/>
                <w:color w:val="auto"/>
                <w:u w:val="none" w:color="auto"/>
                <w:lang w:eastAsia="zh-CN"/>
              </w:rPr>
              <w:t>；</w:t>
            </w:r>
            <w:r>
              <w:rPr>
                <w:rFonts w:hint="eastAsia"/>
                <w:color w:val="auto"/>
                <w:u w:val="none" w:color="auto"/>
              </w:rPr>
              <w:t>无法避让的，应当采取修建野生动物通道、过鱼设施等措施，消除或者减少对野生动物的不利影响。</w:t>
            </w:r>
          </w:p>
        </w:tc>
        <w:tc>
          <w:tcPr>
            <w:tcW w:w="2741" w:type="dxa"/>
            <w:noWrap w:val="0"/>
            <w:vAlign w:val="center"/>
          </w:tcPr>
          <w:p w14:paraId="3F0DB836">
            <w:pPr>
              <w:pStyle w:val="24"/>
              <w:bidi w:val="0"/>
              <w:rPr>
                <w:rFonts w:hint="eastAsia"/>
                <w:color w:val="auto"/>
                <w:u w:val="none" w:color="auto"/>
                <w:lang w:eastAsia="zh-CN"/>
              </w:rPr>
            </w:pPr>
            <w:r>
              <w:rPr>
                <w:rFonts w:hint="eastAsia"/>
                <w:color w:val="auto"/>
                <w:u w:val="none" w:color="auto"/>
              </w:rPr>
              <w:t>本项目</w:t>
            </w:r>
            <w:r>
              <w:rPr>
                <w:rFonts w:hint="eastAsia"/>
                <w:color w:val="auto"/>
                <w:u w:val="none" w:color="auto"/>
                <w:lang w:eastAsia="zh-CN"/>
              </w:rPr>
              <w:t>不属于</w:t>
            </w:r>
            <w:r>
              <w:rPr>
                <w:rFonts w:hint="eastAsia"/>
                <w:color w:val="auto"/>
                <w:u w:val="none" w:color="auto"/>
              </w:rPr>
              <w:t>机场、铁路、公路、水利、围堰等公益性基础设施</w:t>
            </w:r>
            <w:r>
              <w:rPr>
                <w:rFonts w:hint="eastAsia"/>
                <w:color w:val="auto"/>
                <w:u w:val="none" w:color="auto"/>
                <w:lang w:eastAsia="zh-CN"/>
              </w:rPr>
              <w:t>建设，且本项目</w:t>
            </w:r>
            <w:r>
              <w:rPr>
                <w:rFonts w:hint="eastAsia"/>
                <w:color w:val="auto"/>
                <w:u w:val="none" w:color="auto"/>
              </w:rPr>
              <w:t>位于工业区，不位于自然保护区内</w:t>
            </w:r>
          </w:p>
        </w:tc>
        <w:tc>
          <w:tcPr>
            <w:tcW w:w="905" w:type="dxa"/>
            <w:noWrap w:val="0"/>
            <w:vAlign w:val="center"/>
          </w:tcPr>
          <w:p w14:paraId="63031D7F">
            <w:pPr>
              <w:pStyle w:val="24"/>
              <w:bidi w:val="0"/>
              <w:rPr>
                <w:rFonts w:hint="eastAsia"/>
                <w:color w:val="auto"/>
                <w:u w:val="none" w:color="auto"/>
              </w:rPr>
            </w:pPr>
            <w:r>
              <w:rPr>
                <w:rFonts w:hint="eastAsia"/>
                <w:color w:val="auto"/>
                <w:u w:val="none" w:color="auto"/>
              </w:rPr>
              <w:t>符合</w:t>
            </w:r>
          </w:p>
        </w:tc>
      </w:tr>
      <w:tr w14:paraId="7E56C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32D0411">
            <w:pPr>
              <w:pStyle w:val="24"/>
              <w:bidi w:val="0"/>
              <w:rPr>
                <w:rFonts w:hint="eastAsia"/>
                <w:color w:val="auto"/>
                <w:u w:val="none" w:color="auto"/>
              </w:rPr>
            </w:pPr>
            <w:r>
              <w:rPr>
                <w:rFonts w:hint="eastAsia"/>
                <w:color w:val="auto"/>
                <w:u w:val="none" w:color="auto"/>
              </w:rPr>
              <w:t>禁止违反风景名胜区规划，在风景名胜区内设立各类开发区和在核心景区内建设宾馆、招待所、培训中心、疗养院以及与风景名胜资源保护无关的其他建筑物</w:t>
            </w:r>
            <w:r>
              <w:rPr>
                <w:rFonts w:hint="eastAsia"/>
                <w:color w:val="auto"/>
                <w:u w:val="none" w:color="auto"/>
                <w:lang w:eastAsia="zh-CN"/>
              </w:rPr>
              <w:t>；</w:t>
            </w:r>
            <w:r>
              <w:rPr>
                <w:rFonts w:hint="eastAsia"/>
                <w:color w:val="auto"/>
                <w:u w:val="none" w:color="auto"/>
              </w:rPr>
              <w:t>已经建设的，应当按照风景名胜区规划，逐步迁出</w:t>
            </w:r>
          </w:p>
        </w:tc>
        <w:tc>
          <w:tcPr>
            <w:tcW w:w="2741" w:type="dxa"/>
            <w:noWrap w:val="0"/>
            <w:vAlign w:val="center"/>
          </w:tcPr>
          <w:p w14:paraId="5EC15692">
            <w:pPr>
              <w:pStyle w:val="24"/>
              <w:bidi w:val="0"/>
              <w:rPr>
                <w:rFonts w:hint="eastAsia"/>
                <w:color w:val="auto"/>
                <w:u w:val="none" w:color="auto"/>
              </w:rPr>
            </w:pPr>
            <w:r>
              <w:rPr>
                <w:rFonts w:hint="eastAsia"/>
                <w:color w:val="auto"/>
                <w:u w:val="none" w:color="auto"/>
              </w:rPr>
              <w:t>项目位于汨罗高新技术产</w:t>
            </w:r>
          </w:p>
          <w:p w14:paraId="020FA059">
            <w:pPr>
              <w:pStyle w:val="24"/>
              <w:bidi w:val="0"/>
              <w:rPr>
                <w:rFonts w:hint="eastAsia"/>
                <w:color w:val="auto"/>
                <w:u w:val="none" w:color="auto"/>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片区，不属于</w:t>
            </w:r>
          </w:p>
          <w:p w14:paraId="303392FF">
            <w:pPr>
              <w:pStyle w:val="24"/>
              <w:bidi w:val="0"/>
              <w:rPr>
                <w:rFonts w:hint="eastAsia"/>
                <w:color w:val="auto"/>
                <w:u w:val="none" w:color="auto"/>
              </w:rPr>
            </w:pPr>
            <w:r>
              <w:rPr>
                <w:rFonts w:hint="eastAsia"/>
                <w:color w:val="auto"/>
                <w:u w:val="none" w:color="auto"/>
              </w:rPr>
              <w:t>风景名胜区内</w:t>
            </w:r>
          </w:p>
        </w:tc>
        <w:tc>
          <w:tcPr>
            <w:tcW w:w="905" w:type="dxa"/>
            <w:noWrap w:val="0"/>
            <w:vAlign w:val="center"/>
          </w:tcPr>
          <w:p w14:paraId="6C1CA376">
            <w:pPr>
              <w:pStyle w:val="24"/>
              <w:bidi w:val="0"/>
              <w:rPr>
                <w:rFonts w:hint="eastAsia"/>
                <w:color w:val="auto"/>
                <w:u w:val="none" w:color="auto"/>
              </w:rPr>
            </w:pPr>
            <w:r>
              <w:rPr>
                <w:rFonts w:hint="eastAsia"/>
                <w:color w:val="auto"/>
                <w:u w:val="none" w:color="auto"/>
              </w:rPr>
              <w:t>符合</w:t>
            </w:r>
          </w:p>
        </w:tc>
      </w:tr>
      <w:tr w14:paraId="12DBB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E97C23C">
            <w:pPr>
              <w:pStyle w:val="24"/>
              <w:bidi w:val="0"/>
              <w:rPr>
                <w:rFonts w:hint="eastAsia"/>
                <w:color w:val="auto"/>
                <w:u w:val="none" w:color="auto"/>
              </w:rPr>
            </w:pPr>
            <w:r>
              <w:rPr>
                <w:rFonts w:hint="eastAsia"/>
                <w:color w:val="auto"/>
                <w:u w:val="none" w:color="auto"/>
              </w:rPr>
              <w:t>饮用水水源一级保护区内禁止新建、改建、扩建</w:t>
            </w:r>
          </w:p>
          <w:p w14:paraId="63FFB4E1">
            <w:pPr>
              <w:pStyle w:val="24"/>
              <w:bidi w:val="0"/>
              <w:rPr>
                <w:rFonts w:hint="eastAsia"/>
                <w:color w:val="auto"/>
                <w:u w:val="none" w:color="auto"/>
              </w:rPr>
            </w:pPr>
            <w:r>
              <w:rPr>
                <w:rFonts w:hint="eastAsia"/>
                <w:color w:val="auto"/>
                <w:u w:val="none" w:color="auto"/>
              </w:rPr>
              <w:t>与供水设施和保护水源无关的建设项目，以及网箱养殖、畜禽养殖、旅游等可能污染饮用水水体的投资建设项目</w:t>
            </w:r>
            <w:r>
              <w:rPr>
                <w:rFonts w:hint="eastAsia"/>
                <w:color w:val="auto"/>
                <w:u w:val="none" w:color="auto"/>
                <w:lang w:eastAsia="zh-CN"/>
              </w:rPr>
              <w:t>；</w:t>
            </w:r>
            <w:r>
              <w:rPr>
                <w:rFonts w:hint="eastAsia"/>
                <w:color w:val="auto"/>
                <w:u w:val="none" w:color="auto"/>
              </w:rPr>
              <w:t>禁止向水域排放污水，已设置的排污口必须拆除</w:t>
            </w:r>
            <w:r>
              <w:rPr>
                <w:rFonts w:hint="eastAsia"/>
                <w:color w:val="auto"/>
                <w:u w:val="none" w:color="auto"/>
                <w:lang w:eastAsia="zh-CN"/>
              </w:rPr>
              <w:t>；</w:t>
            </w:r>
            <w:r>
              <w:rPr>
                <w:rFonts w:hint="eastAsia"/>
                <w:color w:val="auto"/>
                <w:u w:val="none" w:color="auto"/>
              </w:rPr>
              <w:t>不得设置与供水需要无关的码头，禁止停靠船舶</w:t>
            </w:r>
            <w:r>
              <w:rPr>
                <w:rFonts w:hint="eastAsia"/>
                <w:color w:val="auto"/>
                <w:u w:val="none" w:color="auto"/>
                <w:lang w:eastAsia="zh-CN"/>
              </w:rPr>
              <w:t>；</w:t>
            </w:r>
            <w:r>
              <w:rPr>
                <w:rFonts w:hint="eastAsia"/>
                <w:color w:val="auto"/>
                <w:u w:val="none" w:color="auto"/>
              </w:rPr>
              <w:t>禁止堆置和存放工业废渣、城市垃圾、粪便和其它废弃物</w:t>
            </w:r>
            <w:r>
              <w:rPr>
                <w:rFonts w:hint="eastAsia"/>
                <w:color w:val="auto"/>
                <w:u w:val="none" w:color="auto"/>
                <w:lang w:eastAsia="zh-CN"/>
              </w:rPr>
              <w:t>；</w:t>
            </w:r>
            <w:r>
              <w:rPr>
                <w:rFonts w:hint="eastAsia"/>
                <w:color w:val="auto"/>
                <w:u w:val="none" w:color="auto"/>
              </w:rPr>
              <w:t>禁止设置油库</w:t>
            </w:r>
            <w:r>
              <w:rPr>
                <w:rFonts w:hint="eastAsia"/>
                <w:color w:val="auto"/>
                <w:u w:val="none" w:color="auto"/>
                <w:lang w:eastAsia="zh-CN"/>
              </w:rPr>
              <w:t>；</w:t>
            </w:r>
            <w:r>
              <w:rPr>
                <w:rFonts w:hint="eastAsia"/>
                <w:color w:val="auto"/>
                <w:u w:val="none" w:color="auto"/>
              </w:rPr>
              <w:t>禁止使用含磷洗涤用品</w:t>
            </w:r>
          </w:p>
        </w:tc>
        <w:tc>
          <w:tcPr>
            <w:tcW w:w="2741" w:type="dxa"/>
            <w:noWrap w:val="0"/>
            <w:vAlign w:val="center"/>
          </w:tcPr>
          <w:p w14:paraId="6D6384E1">
            <w:pPr>
              <w:pStyle w:val="24"/>
              <w:bidi w:val="0"/>
              <w:rPr>
                <w:rFonts w:hint="eastAsia"/>
                <w:color w:val="auto"/>
                <w:u w:val="none" w:color="auto"/>
              </w:rPr>
            </w:pPr>
            <w:r>
              <w:rPr>
                <w:rFonts w:hint="eastAsia"/>
                <w:color w:val="auto"/>
                <w:u w:val="none" w:color="auto"/>
              </w:rPr>
              <w:t>项目位于汨罗高新技术产</w:t>
            </w:r>
          </w:p>
          <w:p w14:paraId="46E30B24">
            <w:pPr>
              <w:pStyle w:val="24"/>
              <w:bidi w:val="0"/>
              <w:rPr>
                <w:rFonts w:hint="eastAsia"/>
                <w:color w:val="auto"/>
                <w:u w:val="none" w:color="auto"/>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片区，不涉及饮用水水源一级保护区</w:t>
            </w:r>
          </w:p>
        </w:tc>
        <w:tc>
          <w:tcPr>
            <w:tcW w:w="905" w:type="dxa"/>
            <w:noWrap w:val="0"/>
            <w:vAlign w:val="center"/>
          </w:tcPr>
          <w:p w14:paraId="14BB1858">
            <w:pPr>
              <w:pStyle w:val="24"/>
              <w:bidi w:val="0"/>
              <w:rPr>
                <w:rFonts w:hint="eastAsia"/>
                <w:color w:val="auto"/>
                <w:u w:val="none" w:color="auto"/>
              </w:rPr>
            </w:pPr>
            <w:r>
              <w:rPr>
                <w:rFonts w:hint="eastAsia"/>
                <w:color w:val="auto"/>
                <w:u w:val="none" w:color="auto"/>
              </w:rPr>
              <w:t>符合</w:t>
            </w:r>
          </w:p>
        </w:tc>
      </w:tr>
      <w:tr w14:paraId="63C04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75F9E64E">
            <w:pPr>
              <w:pStyle w:val="24"/>
              <w:bidi w:val="0"/>
              <w:rPr>
                <w:rFonts w:hint="eastAsia"/>
                <w:color w:val="auto"/>
                <w:u w:val="none" w:color="auto"/>
              </w:rPr>
            </w:pPr>
            <w:r>
              <w:rPr>
                <w:rFonts w:hint="eastAsia"/>
                <w:color w:val="auto"/>
                <w:u w:val="none" w:color="auto"/>
              </w:rPr>
              <w:t>饮用水水源二级保护区内禁止新建、改建、扩建</w:t>
            </w:r>
          </w:p>
          <w:p w14:paraId="01AA67E8">
            <w:pPr>
              <w:pStyle w:val="24"/>
              <w:bidi w:val="0"/>
              <w:rPr>
                <w:rFonts w:hint="eastAsia"/>
                <w:color w:val="auto"/>
                <w:u w:val="none" w:color="auto"/>
              </w:rPr>
            </w:pPr>
            <w:r>
              <w:rPr>
                <w:rFonts w:hint="eastAsia"/>
                <w:color w:val="auto"/>
                <w:u w:val="none" w:color="auto"/>
              </w:rPr>
              <w:t>向水体排放污染物的投资建设项目。原有排污口依法拆除或关闭。禁止设立装卸垃圾、粪便、油类和有毒物品的码头。</w:t>
            </w:r>
          </w:p>
        </w:tc>
        <w:tc>
          <w:tcPr>
            <w:tcW w:w="2741" w:type="dxa"/>
            <w:noWrap w:val="0"/>
            <w:vAlign w:val="center"/>
          </w:tcPr>
          <w:p w14:paraId="4991547D">
            <w:pPr>
              <w:pStyle w:val="24"/>
              <w:bidi w:val="0"/>
              <w:rPr>
                <w:rFonts w:hint="eastAsia"/>
                <w:color w:val="auto"/>
                <w:u w:val="none" w:color="auto"/>
              </w:rPr>
            </w:pPr>
            <w:r>
              <w:rPr>
                <w:rFonts w:hint="eastAsia"/>
                <w:color w:val="auto"/>
                <w:u w:val="none" w:color="auto"/>
              </w:rPr>
              <w:t>项目位于汨罗高新技术产</w:t>
            </w:r>
          </w:p>
          <w:p w14:paraId="64CB816F">
            <w:pPr>
              <w:pStyle w:val="24"/>
              <w:bidi w:val="0"/>
              <w:rPr>
                <w:rFonts w:hint="eastAsia"/>
                <w:color w:val="auto"/>
                <w:u w:val="none" w:color="auto"/>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片区，不涉及饮用水水源</w:t>
            </w:r>
            <w:r>
              <w:rPr>
                <w:rFonts w:hint="eastAsia"/>
                <w:color w:val="auto"/>
                <w:u w:val="none" w:color="auto"/>
                <w:lang w:eastAsia="zh-CN"/>
              </w:rPr>
              <w:t>二</w:t>
            </w:r>
            <w:r>
              <w:rPr>
                <w:rFonts w:hint="eastAsia"/>
                <w:color w:val="auto"/>
                <w:u w:val="none" w:color="auto"/>
              </w:rPr>
              <w:t>级保护区</w:t>
            </w:r>
          </w:p>
        </w:tc>
        <w:tc>
          <w:tcPr>
            <w:tcW w:w="905" w:type="dxa"/>
            <w:noWrap w:val="0"/>
            <w:vAlign w:val="center"/>
          </w:tcPr>
          <w:p w14:paraId="0DFB1293">
            <w:pPr>
              <w:pStyle w:val="24"/>
              <w:bidi w:val="0"/>
              <w:rPr>
                <w:rFonts w:hint="eastAsia"/>
                <w:color w:val="auto"/>
                <w:u w:val="none" w:color="auto"/>
              </w:rPr>
            </w:pPr>
            <w:r>
              <w:rPr>
                <w:rFonts w:hint="eastAsia"/>
                <w:color w:val="auto"/>
                <w:u w:val="none" w:color="auto"/>
              </w:rPr>
              <w:t>符合</w:t>
            </w:r>
          </w:p>
        </w:tc>
      </w:tr>
      <w:tr w14:paraId="774CC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4647BDA">
            <w:pPr>
              <w:pStyle w:val="24"/>
              <w:bidi w:val="0"/>
              <w:rPr>
                <w:color w:val="auto"/>
                <w:u w:val="none" w:color="auto"/>
              </w:rPr>
            </w:pPr>
            <w:r>
              <w:rPr>
                <w:rFonts w:hint="eastAsia"/>
                <w:color w:val="auto"/>
                <w:u w:val="none" w:color="auto"/>
              </w:rPr>
              <w:t>禁止在水产种质资源保护区的岸线和河段范围内新建排污口、实施非法围垦河道和围湖造田造地等投资建设项目</w:t>
            </w:r>
          </w:p>
        </w:tc>
        <w:tc>
          <w:tcPr>
            <w:tcW w:w="2741" w:type="dxa"/>
            <w:noWrap w:val="0"/>
            <w:vAlign w:val="center"/>
          </w:tcPr>
          <w:p w14:paraId="5A0E5AB8">
            <w:pPr>
              <w:pStyle w:val="24"/>
              <w:bidi w:val="0"/>
              <w:rPr>
                <w:rFonts w:hint="eastAsia"/>
                <w:color w:val="auto"/>
                <w:u w:val="none" w:color="auto"/>
              </w:rPr>
            </w:pPr>
            <w:r>
              <w:rPr>
                <w:rFonts w:hint="eastAsia"/>
                <w:color w:val="auto"/>
                <w:u w:val="none" w:color="auto"/>
              </w:rPr>
              <w:t>项目位于汨罗高新技术产</w:t>
            </w:r>
          </w:p>
          <w:p w14:paraId="1B5049CF">
            <w:pPr>
              <w:pStyle w:val="24"/>
              <w:bidi w:val="0"/>
              <w:rPr>
                <w:rFonts w:hint="eastAsia"/>
                <w:color w:val="auto"/>
                <w:u w:val="none" w:color="auto"/>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片区，不涉及水产种质资源保护区的岸线和河段</w:t>
            </w:r>
          </w:p>
        </w:tc>
        <w:tc>
          <w:tcPr>
            <w:tcW w:w="905" w:type="dxa"/>
            <w:noWrap w:val="0"/>
            <w:vAlign w:val="center"/>
          </w:tcPr>
          <w:p w14:paraId="57CB449D">
            <w:pPr>
              <w:pStyle w:val="24"/>
              <w:bidi w:val="0"/>
              <w:rPr>
                <w:rFonts w:hint="eastAsia"/>
                <w:color w:val="auto"/>
                <w:u w:val="none" w:color="auto"/>
              </w:rPr>
            </w:pPr>
            <w:r>
              <w:rPr>
                <w:rFonts w:hint="eastAsia"/>
                <w:color w:val="auto"/>
                <w:u w:val="none" w:color="auto"/>
              </w:rPr>
              <w:t>符合</w:t>
            </w:r>
          </w:p>
        </w:tc>
      </w:tr>
      <w:tr w14:paraId="7519D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B37E9D1">
            <w:pPr>
              <w:pStyle w:val="24"/>
              <w:bidi w:val="0"/>
              <w:rPr>
                <w:rFonts w:hint="eastAsia"/>
                <w:color w:val="auto"/>
                <w:u w:val="none" w:color="auto"/>
              </w:rPr>
            </w:pPr>
            <w:r>
              <w:rPr>
                <w:rFonts w:hint="eastAsia"/>
                <w:color w:val="auto"/>
                <w:u w:val="none" w:color="auto"/>
              </w:rPr>
              <w:t>除《中华人民共和国防洪法》规定的紧急防汛期</w:t>
            </w:r>
          </w:p>
          <w:p w14:paraId="7FA6D113">
            <w:pPr>
              <w:pStyle w:val="24"/>
              <w:bidi w:val="0"/>
              <w:rPr>
                <w:color w:val="auto"/>
                <w:u w:val="none" w:color="auto"/>
              </w:rPr>
            </w:pPr>
            <w:r>
              <w:rPr>
                <w:rFonts w:hint="eastAsia"/>
                <w:color w:val="auto"/>
                <w:u w:val="none" w:color="auto"/>
              </w:rPr>
              <w:t>采取的紧急措施外，禁止在国家湿地公园的岸线和河段范围内挖沙、采矿，以及以下不符合主体功能定位的行为和活动</w:t>
            </w:r>
            <w:r>
              <w:rPr>
                <w:rFonts w:hint="eastAsia"/>
                <w:color w:val="auto"/>
                <w:u w:val="none" w:color="auto"/>
                <w:lang w:eastAsia="zh-CN"/>
              </w:rPr>
              <w:t>：</w:t>
            </w:r>
            <w:r>
              <w:rPr>
                <w:rFonts w:hint="eastAsia"/>
                <w:color w:val="auto"/>
                <w:u w:val="none" w:color="auto"/>
              </w:rPr>
              <w:t>(一)开(围)垦、填埋或者排干湿地(二)截断湿地水源。(三)倾倒有毒有害物质、废弃物、垃圾。(四)从事房地产、度假村、高尔夫球场、风力发电、光伏发电等任何不符合主体功能定位的建设项目和开发活动。(五)破坏野生动物栖息地和迁徙通道、鱼类洄游通道，滥采滥捕野生动植物。(六)引入外来物种。(七)擅自放牧、捕捞、取土、取水、排污、放生。(八)其他破坏湿地及其生态功能的活动</w:t>
            </w:r>
          </w:p>
        </w:tc>
        <w:tc>
          <w:tcPr>
            <w:tcW w:w="2741" w:type="dxa"/>
            <w:noWrap w:val="0"/>
            <w:vAlign w:val="center"/>
          </w:tcPr>
          <w:p w14:paraId="6F7E1D3D">
            <w:pPr>
              <w:pStyle w:val="24"/>
              <w:bidi w:val="0"/>
              <w:rPr>
                <w:rFonts w:hint="eastAsia"/>
                <w:color w:val="auto"/>
                <w:u w:val="none" w:color="auto"/>
              </w:rPr>
            </w:pPr>
            <w:r>
              <w:rPr>
                <w:rFonts w:hint="eastAsia"/>
                <w:color w:val="auto"/>
                <w:u w:val="none" w:color="auto"/>
              </w:rPr>
              <w:t>项目位于汨罗高新技术产</w:t>
            </w:r>
          </w:p>
          <w:p w14:paraId="0AB02992">
            <w:pPr>
              <w:pStyle w:val="24"/>
              <w:bidi w:val="0"/>
              <w:rPr>
                <w:rFonts w:hint="default"/>
                <w:color w:val="auto"/>
                <w:u w:val="none" w:color="auto"/>
                <w:lang w:val="en-US" w:eastAsia="zh-CN"/>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片区，不</w:t>
            </w:r>
            <w:r>
              <w:rPr>
                <w:rFonts w:hint="eastAsia"/>
                <w:color w:val="auto"/>
                <w:u w:val="none" w:color="auto"/>
                <w:lang w:eastAsia="zh-CN"/>
              </w:rPr>
              <w:t>位于</w:t>
            </w:r>
            <w:r>
              <w:rPr>
                <w:rFonts w:hint="eastAsia"/>
                <w:color w:val="auto"/>
                <w:u w:val="none" w:color="auto"/>
              </w:rPr>
              <w:t>国家湿地公园的岸线和河段范围内</w:t>
            </w:r>
          </w:p>
        </w:tc>
        <w:tc>
          <w:tcPr>
            <w:tcW w:w="905" w:type="dxa"/>
            <w:noWrap w:val="0"/>
            <w:vAlign w:val="center"/>
          </w:tcPr>
          <w:p w14:paraId="580F0E59">
            <w:pPr>
              <w:pStyle w:val="24"/>
              <w:bidi w:val="0"/>
              <w:rPr>
                <w:rFonts w:hint="eastAsia"/>
                <w:color w:val="auto"/>
                <w:u w:val="none" w:color="auto"/>
              </w:rPr>
            </w:pPr>
            <w:r>
              <w:rPr>
                <w:rFonts w:hint="eastAsia"/>
                <w:color w:val="auto"/>
                <w:u w:val="none" w:color="auto"/>
              </w:rPr>
              <w:t>符合</w:t>
            </w:r>
          </w:p>
        </w:tc>
      </w:tr>
      <w:tr w14:paraId="0A989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594C9106">
            <w:pPr>
              <w:pStyle w:val="24"/>
              <w:bidi w:val="0"/>
              <w:rPr>
                <w:rFonts w:hint="eastAsia"/>
                <w:color w:val="auto"/>
                <w:u w:val="none" w:color="auto"/>
              </w:rPr>
            </w:pPr>
            <w:r>
              <w:rPr>
                <w:rFonts w:hint="eastAsia"/>
                <w:color w:val="auto"/>
                <w:u w:val="none" w:color="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网围、填埋湿地等侵占河湖水域或者违法利用、占用河湖岸线的行为</w:t>
            </w:r>
          </w:p>
        </w:tc>
        <w:tc>
          <w:tcPr>
            <w:tcW w:w="2741" w:type="dxa"/>
            <w:noWrap w:val="0"/>
            <w:vAlign w:val="center"/>
          </w:tcPr>
          <w:p w14:paraId="0330CB07">
            <w:pPr>
              <w:pStyle w:val="24"/>
              <w:bidi w:val="0"/>
              <w:rPr>
                <w:rFonts w:hint="eastAsia"/>
                <w:color w:val="auto"/>
                <w:u w:val="none" w:color="auto"/>
              </w:rPr>
            </w:pPr>
            <w:r>
              <w:rPr>
                <w:rFonts w:hint="eastAsia"/>
                <w:color w:val="auto"/>
                <w:u w:val="none" w:color="auto"/>
              </w:rPr>
              <w:t>项目位于汨罗高新技术产</w:t>
            </w:r>
          </w:p>
          <w:p w14:paraId="580037C4">
            <w:pPr>
              <w:pStyle w:val="24"/>
              <w:bidi w:val="0"/>
              <w:rPr>
                <w:rFonts w:hint="eastAsia"/>
                <w:color w:val="auto"/>
                <w:u w:val="none" w:color="auto"/>
                <w:lang w:eastAsia="zh-CN"/>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w:t>
            </w:r>
            <w:r>
              <w:rPr>
                <w:rFonts w:hint="eastAsia"/>
                <w:color w:val="auto"/>
                <w:u w:val="none" w:color="auto"/>
                <w:lang w:eastAsia="zh-CN"/>
              </w:rPr>
              <w:t>不涉及长江流域河湖岸线</w:t>
            </w:r>
          </w:p>
        </w:tc>
        <w:tc>
          <w:tcPr>
            <w:tcW w:w="905" w:type="dxa"/>
            <w:noWrap w:val="0"/>
            <w:vAlign w:val="center"/>
          </w:tcPr>
          <w:p w14:paraId="5FA67FB4">
            <w:pPr>
              <w:pStyle w:val="24"/>
              <w:bidi w:val="0"/>
              <w:rPr>
                <w:rFonts w:hint="eastAsia"/>
                <w:color w:val="auto"/>
                <w:u w:val="none" w:color="auto"/>
              </w:rPr>
            </w:pPr>
            <w:r>
              <w:rPr>
                <w:rFonts w:hint="eastAsia"/>
                <w:color w:val="auto"/>
                <w:u w:val="none" w:color="auto"/>
              </w:rPr>
              <w:t>符合</w:t>
            </w:r>
          </w:p>
        </w:tc>
      </w:tr>
      <w:tr w14:paraId="426E2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B35159A">
            <w:pPr>
              <w:pStyle w:val="24"/>
              <w:bidi w:val="0"/>
              <w:rPr>
                <w:rFonts w:hint="eastAsia"/>
                <w:color w:val="auto"/>
                <w:u w:val="none" w:color="auto"/>
              </w:rPr>
            </w:pPr>
            <w:r>
              <w:rPr>
                <w:rFonts w:hint="eastAsia"/>
                <w:color w:val="auto"/>
                <w:u w:val="none" w:color="auto"/>
              </w:rPr>
              <w:t>禁止在《全国重要江河湖泊水功能区划》划定的河段及湖泊保护区、保留区内投资建设不利于水资源及自然生态保护的项目。</w:t>
            </w:r>
          </w:p>
        </w:tc>
        <w:tc>
          <w:tcPr>
            <w:tcW w:w="2741" w:type="dxa"/>
            <w:noWrap w:val="0"/>
            <w:vAlign w:val="center"/>
          </w:tcPr>
          <w:p w14:paraId="2C81EAA2">
            <w:pPr>
              <w:pStyle w:val="24"/>
              <w:bidi w:val="0"/>
              <w:rPr>
                <w:rFonts w:hint="eastAsia"/>
                <w:color w:val="auto"/>
                <w:u w:val="none" w:color="auto"/>
              </w:rPr>
            </w:pPr>
            <w:r>
              <w:rPr>
                <w:rFonts w:hint="eastAsia"/>
                <w:color w:val="auto"/>
                <w:u w:val="none" w:color="auto"/>
              </w:rPr>
              <w:t>项目位于汨罗高新技术产</w:t>
            </w:r>
          </w:p>
          <w:p w14:paraId="07E7FF30">
            <w:pPr>
              <w:pStyle w:val="24"/>
              <w:bidi w:val="0"/>
              <w:rPr>
                <w:rFonts w:hint="eastAsia"/>
                <w:color w:val="auto"/>
                <w:u w:val="none" w:color="auto"/>
                <w:lang w:eastAsia="zh-CN"/>
              </w:rPr>
            </w:pPr>
            <w:r>
              <w:rPr>
                <w:rFonts w:hint="eastAsia"/>
                <w:color w:val="auto"/>
                <w:u w:val="none" w:color="auto"/>
              </w:rPr>
              <w:t>业开发区</w:t>
            </w:r>
            <w:r>
              <w:rPr>
                <w:rFonts w:hint="eastAsia"/>
                <w:color w:val="auto"/>
                <w:u w:val="none" w:color="auto"/>
                <w:lang w:val="en-US" w:eastAsia="zh-CN"/>
              </w:rPr>
              <w:t>弼时</w:t>
            </w:r>
            <w:r>
              <w:rPr>
                <w:rFonts w:hint="eastAsia"/>
                <w:color w:val="auto"/>
                <w:u w:val="none" w:color="auto"/>
              </w:rPr>
              <w:t>片区，</w:t>
            </w:r>
            <w:r>
              <w:rPr>
                <w:rFonts w:hint="eastAsia"/>
                <w:color w:val="auto"/>
                <w:u w:val="none" w:color="auto"/>
                <w:lang w:eastAsia="zh-CN"/>
              </w:rPr>
              <w:t>不位于</w:t>
            </w:r>
            <w:r>
              <w:rPr>
                <w:rFonts w:hint="eastAsia"/>
                <w:color w:val="auto"/>
                <w:u w:val="none" w:color="auto"/>
              </w:rPr>
              <w:t>《全国重要江河湖泊水功能区划》划定的河段及湖泊保护区、保留区内</w:t>
            </w:r>
          </w:p>
        </w:tc>
        <w:tc>
          <w:tcPr>
            <w:tcW w:w="905" w:type="dxa"/>
            <w:noWrap w:val="0"/>
            <w:vAlign w:val="center"/>
          </w:tcPr>
          <w:p w14:paraId="2B4858AD">
            <w:pPr>
              <w:pStyle w:val="24"/>
              <w:bidi w:val="0"/>
              <w:rPr>
                <w:rFonts w:hint="eastAsia"/>
                <w:color w:val="auto"/>
                <w:u w:val="none" w:color="auto"/>
              </w:rPr>
            </w:pPr>
            <w:r>
              <w:rPr>
                <w:rFonts w:hint="eastAsia"/>
                <w:color w:val="auto"/>
                <w:u w:val="none" w:color="auto"/>
              </w:rPr>
              <w:t>符合</w:t>
            </w:r>
          </w:p>
        </w:tc>
      </w:tr>
      <w:tr w14:paraId="47046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1576E189">
            <w:pPr>
              <w:pStyle w:val="24"/>
              <w:bidi w:val="0"/>
              <w:rPr>
                <w:rFonts w:hint="eastAsia"/>
                <w:color w:val="auto"/>
                <w:u w:val="none" w:color="auto"/>
              </w:rPr>
            </w:pPr>
            <w:r>
              <w:rPr>
                <w:rFonts w:hint="eastAsia"/>
                <w:color w:val="auto"/>
                <w:u w:val="none" w:color="auto"/>
              </w:rPr>
              <w:t>禁止未经许可在长江干支流及湖泊新设、改设或扩大排污口</w:t>
            </w:r>
          </w:p>
        </w:tc>
        <w:tc>
          <w:tcPr>
            <w:tcW w:w="2741" w:type="dxa"/>
            <w:noWrap w:val="0"/>
            <w:vAlign w:val="center"/>
          </w:tcPr>
          <w:p w14:paraId="30DBEE42">
            <w:pPr>
              <w:pStyle w:val="24"/>
              <w:bidi w:val="0"/>
              <w:rPr>
                <w:rFonts w:hint="eastAsia"/>
                <w:color w:val="auto"/>
                <w:u w:val="none" w:color="auto"/>
              </w:rPr>
            </w:pPr>
            <w:r>
              <w:rPr>
                <w:rFonts w:hint="eastAsia"/>
                <w:color w:val="auto"/>
                <w:u w:val="none" w:color="auto"/>
              </w:rPr>
              <w:t>本项目位于湖南省岳阳市汨罗市湖南汨罗高新技术产业开发区弼时片区大里塘村立新南路，租赁汨罗市乾源碳素材料有限公司场地</w:t>
            </w:r>
            <w:r>
              <w:rPr>
                <w:rFonts w:hint="eastAsia"/>
                <w:color w:val="auto"/>
                <w:u w:val="none" w:color="auto"/>
                <w:lang w:eastAsia="zh-CN"/>
              </w:rPr>
              <w:t>，</w:t>
            </w:r>
            <w:r>
              <w:rPr>
                <w:rFonts w:hint="eastAsia"/>
                <w:color w:val="auto"/>
                <w:u w:val="none" w:color="auto"/>
              </w:rPr>
              <w:t>不涉及在长江干支流及湖泊新设、改设或扩大排污口</w:t>
            </w:r>
          </w:p>
        </w:tc>
        <w:tc>
          <w:tcPr>
            <w:tcW w:w="905" w:type="dxa"/>
            <w:noWrap w:val="0"/>
            <w:vAlign w:val="center"/>
          </w:tcPr>
          <w:p w14:paraId="0107A32F">
            <w:pPr>
              <w:pStyle w:val="24"/>
              <w:bidi w:val="0"/>
              <w:rPr>
                <w:rFonts w:hint="eastAsia"/>
                <w:color w:val="auto"/>
                <w:u w:val="none" w:color="auto"/>
              </w:rPr>
            </w:pPr>
            <w:r>
              <w:rPr>
                <w:rFonts w:hint="eastAsia"/>
                <w:color w:val="auto"/>
                <w:u w:val="none" w:color="auto"/>
              </w:rPr>
              <w:t>符合</w:t>
            </w:r>
          </w:p>
        </w:tc>
      </w:tr>
      <w:tr w14:paraId="505ED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1D29597">
            <w:pPr>
              <w:pStyle w:val="24"/>
              <w:bidi w:val="0"/>
              <w:rPr>
                <w:rFonts w:hint="eastAsia"/>
                <w:color w:val="auto"/>
                <w:u w:val="none" w:color="auto"/>
              </w:rPr>
            </w:pPr>
            <w:r>
              <w:rPr>
                <w:rFonts w:hint="eastAsia"/>
                <w:color w:val="auto"/>
                <w:u w:val="none" w:color="auto"/>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2741" w:type="dxa"/>
            <w:noWrap w:val="0"/>
            <w:vAlign w:val="center"/>
          </w:tcPr>
          <w:p w14:paraId="5EAA3422">
            <w:pPr>
              <w:pStyle w:val="24"/>
              <w:bidi w:val="0"/>
              <w:rPr>
                <w:rFonts w:hint="eastAsia"/>
                <w:color w:val="auto"/>
                <w:u w:val="none" w:color="auto"/>
              </w:rPr>
            </w:pPr>
            <w:r>
              <w:rPr>
                <w:rFonts w:hint="eastAsia"/>
                <w:color w:val="auto"/>
                <w:u w:val="none" w:color="auto"/>
              </w:rPr>
              <w:t>本项目不涉及捕捞</w:t>
            </w:r>
          </w:p>
        </w:tc>
        <w:tc>
          <w:tcPr>
            <w:tcW w:w="905" w:type="dxa"/>
            <w:noWrap w:val="0"/>
            <w:vAlign w:val="center"/>
          </w:tcPr>
          <w:p w14:paraId="2511399D">
            <w:pPr>
              <w:pStyle w:val="24"/>
              <w:bidi w:val="0"/>
              <w:rPr>
                <w:rFonts w:hint="eastAsia"/>
                <w:color w:val="auto"/>
                <w:u w:val="none" w:color="auto"/>
              </w:rPr>
            </w:pPr>
            <w:r>
              <w:rPr>
                <w:rFonts w:hint="eastAsia"/>
                <w:color w:val="auto"/>
                <w:u w:val="none" w:color="auto"/>
              </w:rPr>
              <w:t>符合</w:t>
            </w:r>
          </w:p>
        </w:tc>
      </w:tr>
      <w:tr w14:paraId="3BFC6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9A959E3">
            <w:pPr>
              <w:pStyle w:val="24"/>
              <w:bidi w:val="0"/>
              <w:rPr>
                <w:rFonts w:hint="eastAsia"/>
                <w:color w:val="auto"/>
                <w:u w:val="none" w:color="auto"/>
              </w:rPr>
            </w:pPr>
            <w:r>
              <w:rPr>
                <w:rFonts w:hint="eastAsia"/>
                <w:color w:val="auto"/>
                <w:u w:val="none" w:color="auto"/>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2741" w:type="dxa"/>
            <w:noWrap w:val="0"/>
            <w:vAlign w:val="center"/>
          </w:tcPr>
          <w:p w14:paraId="5BD6C4B6">
            <w:pPr>
              <w:pStyle w:val="24"/>
              <w:bidi w:val="0"/>
              <w:rPr>
                <w:rFonts w:hint="eastAsia"/>
                <w:color w:val="auto"/>
                <w:u w:val="none" w:color="auto"/>
              </w:rPr>
            </w:pPr>
            <w:r>
              <w:rPr>
                <w:rFonts w:hint="eastAsia"/>
                <w:color w:val="auto"/>
                <w:u w:val="none" w:color="auto"/>
              </w:rPr>
              <w:t>本项目位于湖南省岳阳市汨罗市湖南汨罗高新技术产业开发区弼时片区大里塘村立新南路，租赁汨罗市乾源碳素材料有限公司场地，本项目不属于化工、尾矿库、冶炼渣库和磷石膏库等项目</w:t>
            </w:r>
          </w:p>
        </w:tc>
        <w:tc>
          <w:tcPr>
            <w:tcW w:w="905" w:type="dxa"/>
            <w:noWrap w:val="0"/>
            <w:vAlign w:val="center"/>
          </w:tcPr>
          <w:p w14:paraId="47185F1A">
            <w:pPr>
              <w:pStyle w:val="24"/>
              <w:bidi w:val="0"/>
              <w:rPr>
                <w:rFonts w:hint="eastAsia"/>
                <w:color w:val="auto"/>
                <w:u w:val="none" w:color="auto"/>
              </w:rPr>
            </w:pPr>
            <w:r>
              <w:rPr>
                <w:rFonts w:hint="eastAsia"/>
                <w:color w:val="auto"/>
                <w:u w:val="none" w:color="auto"/>
              </w:rPr>
              <w:t>符合</w:t>
            </w:r>
          </w:p>
        </w:tc>
      </w:tr>
      <w:tr w14:paraId="742BE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4B197F14">
            <w:pPr>
              <w:pStyle w:val="24"/>
              <w:bidi w:val="0"/>
              <w:rPr>
                <w:rFonts w:hint="eastAsia"/>
                <w:color w:val="auto"/>
                <w:u w:val="none" w:color="auto"/>
              </w:rPr>
            </w:pPr>
            <w:r>
              <w:rPr>
                <w:rFonts w:hint="eastAsia"/>
                <w:color w:val="auto"/>
                <w:u w:val="none" w:color="auto"/>
              </w:rPr>
              <w:t>禁止在合规园区外新建、扩建钢铁、石化、化工、焦化、建材、有色、制浆造纸等高污染项目。高污染项目严格按照生态环境部《环境保护综合名录(2021年版</w:t>
            </w:r>
            <w:r>
              <w:rPr>
                <w:rFonts w:hint="eastAsia"/>
                <w:color w:val="auto"/>
                <w:u w:val="none" w:color="auto"/>
                <w:lang w:eastAsia="zh-CN"/>
              </w:rPr>
              <w:t>）</w:t>
            </w:r>
            <w:r>
              <w:rPr>
                <w:rFonts w:hint="eastAsia"/>
                <w:color w:val="auto"/>
                <w:u w:val="none" w:color="auto"/>
              </w:rPr>
              <w:t>》有关要求执行</w:t>
            </w:r>
          </w:p>
        </w:tc>
        <w:tc>
          <w:tcPr>
            <w:tcW w:w="2741" w:type="dxa"/>
            <w:noWrap w:val="0"/>
            <w:vAlign w:val="center"/>
          </w:tcPr>
          <w:p w14:paraId="7EC9B2CD">
            <w:pPr>
              <w:pStyle w:val="24"/>
              <w:bidi w:val="0"/>
              <w:rPr>
                <w:rFonts w:hint="eastAsia"/>
                <w:color w:val="auto"/>
                <w:u w:val="none" w:color="auto"/>
              </w:rPr>
            </w:pPr>
            <w:r>
              <w:rPr>
                <w:rFonts w:hint="eastAsia"/>
                <w:color w:val="auto"/>
                <w:u w:val="none" w:color="auto"/>
              </w:rPr>
              <w:t>本项目位于湖南省岳阳市汨罗市湖南汨罗高新技术产业开发区弼时片区大里塘村立新南路，租赁汨罗市乾源碳素材料有限公司场地</w:t>
            </w:r>
            <w:r>
              <w:rPr>
                <w:rFonts w:hint="eastAsia"/>
                <w:color w:val="auto"/>
                <w:u w:val="none" w:color="auto"/>
                <w:lang w:eastAsia="zh-CN"/>
              </w:rPr>
              <w:t>，</w:t>
            </w:r>
            <w:r>
              <w:rPr>
                <w:rFonts w:hint="eastAsia"/>
                <w:color w:val="auto"/>
                <w:u w:val="none" w:color="auto"/>
              </w:rPr>
              <w:t>本项目不属于钢铁、石化、化工、焦化、建材、有色等高污染项目</w:t>
            </w:r>
          </w:p>
        </w:tc>
        <w:tc>
          <w:tcPr>
            <w:tcW w:w="905" w:type="dxa"/>
            <w:noWrap w:val="0"/>
            <w:vAlign w:val="center"/>
          </w:tcPr>
          <w:p w14:paraId="0024032C">
            <w:pPr>
              <w:pStyle w:val="24"/>
              <w:bidi w:val="0"/>
              <w:rPr>
                <w:rFonts w:hint="eastAsia"/>
                <w:color w:val="auto"/>
                <w:u w:val="none" w:color="auto"/>
              </w:rPr>
            </w:pPr>
            <w:r>
              <w:rPr>
                <w:rFonts w:hint="eastAsia"/>
                <w:color w:val="auto"/>
                <w:u w:val="none" w:color="auto"/>
              </w:rPr>
              <w:t>符合</w:t>
            </w:r>
          </w:p>
        </w:tc>
      </w:tr>
      <w:tr w14:paraId="4FA9C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5AF6C3EF">
            <w:pPr>
              <w:pStyle w:val="24"/>
              <w:bidi w:val="0"/>
              <w:rPr>
                <w:rFonts w:hint="eastAsia" w:eastAsia="宋体"/>
                <w:color w:val="auto"/>
                <w:u w:val="none" w:color="auto"/>
                <w:lang w:eastAsia="zh-CN"/>
              </w:rPr>
            </w:pPr>
            <w:r>
              <w:rPr>
                <w:rFonts w:hint="eastAsia"/>
                <w:color w:val="auto"/>
                <w:u w:val="none" w:color="auto"/>
              </w:rPr>
              <w:t>禁止新建、扩建不符合国家石化、现代煤化工等产业布局规划的项目。未通过认定的化工园区，不得新建、改扩建化工项目</w:t>
            </w:r>
            <w:r>
              <w:rPr>
                <w:rFonts w:hint="eastAsia"/>
                <w:color w:val="auto"/>
                <w:u w:val="none" w:color="auto"/>
                <w:lang w:eastAsia="zh-CN"/>
              </w:rPr>
              <w:t>（</w:t>
            </w:r>
            <w:r>
              <w:rPr>
                <w:rFonts w:hint="eastAsia"/>
                <w:color w:val="auto"/>
                <w:u w:val="none" w:color="auto"/>
              </w:rPr>
              <w:t>安全、环保、节能和智能化改造项目除外</w:t>
            </w:r>
            <w:r>
              <w:rPr>
                <w:rFonts w:hint="eastAsia"/>
                <w:color w:val="auto"/>
                <w:u w:val="none" w:color="auto"/>
                <w:lang w:eastAsia="zh-CN"/>
              </w:rPr>
              <w:t>）</w:t>
            </w:r>
          </w:p>
        </w:tc>
        <w:tc>
          <w:tcPr>
            <w:tcW w:w="2741" w:type="dxa"/>
            <w:noWrap w:val="0"/>
            <w:vAlign w:val="center"/>
          </w:tcPr>
          <w:p w14:paraId="3BBD7452">
            <w:pPr>
              <w:pStyle w:val="24"/>
              <w:bidi w:val="0"/>
              <w:rPr>
                <w:rFonts w:hint="default"/>
                <w:color w:val="auto"/>
                <w:u w:val="none" w:color="auto"/>
                <w:lang w:val="en-US" w:eastAsia="zh-CN"/>
              </w:rPr>
            </w:pPr>
            <w:r>
              <w:rPr>
                <w:rFonts w:hint="eastAsia"/>
                <w:color w:val="auto"/>
                <w:u w:val="none" w:color="auto"/>
              </w:rPr>
              <w:t>本项目位于湖南省岳阳市汨罗市湖南汨罗高新技术产业开发区弼时片区大里塘村立新南路，租赁汨罗市乾源碳素材料有限公司场地</w:t>
            </w:r>
            <w:r>
              <w:rPr>
                <w:rFonts w:hint="eastAsia"/>
                <w:color w:val="auto"/>
                <w:u w:val="none" w:color="auto"/>
                <w:lang w:eastAsia="zh-CN"/>
              </w:rPr>
              <w:t>，</w:t>
            </w:r>
            <w:r>
              <w:rPr>
                <w:rFonts w:hint="eastAsia"/>
                <w:color w:val="auto"/>
                <w:u w:val="none" w:color="auto"/>
                <w:lang w:val="en-US" w:eastAsia="zh-CN"/>
              </w:rPr>
              <w:t>不属于石化项目。</w:t>
            </w:r>
          </w:p>
        </w:tc>
        <w:tc>
          <w:tcPr>
            <w:tcW w:w="905" w:type="dxa"/>
            <w:noWrap w:val="0"/>
            <w:vAlign w:val="center"/>
          </w:tcPr>
          <w:p w14:paraId="5FF3C006">
            <w:pPr>
              <w:pStyle w:val="24"/>
              <w:bidi w:val="0"/>
              <w:rPr>
                <w:rFonts w:hint="eastAsia"/>
                <w:color w:val="auto"/>
                <w:u w:val="none" w:color="auto"/>
              </w:rPr>
            </w:pPr>
            <w:r>
              <w:rPr>
                <w:rFonts w:hint="eastAsia"/>
                <w:color w:val="auto"/>
                <w:u w:val="none" w:color="auto"/>
              </w:rPr>
              <w:t>符合</w:t>
            </w:r>
          </w:p>
        </w:tc>
      </w:tr>
      <w:tr w14:paraId="5335F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74B3EA58">
            <w:pPr>
              <w:pStyle w:val="24"/>
              <w:bidi w:val="0"/>
              <w:rPr>
                <w:rFonts w:hint="eastAsia"/>
                <w:color w:val="auto"/>
                <w:u w:val="none" w:color="auto"/>
              </w:rPr>
            </w:pPr>
            <w:r>
              <w:rPr>
                <w:rFonts w:hint="eastAsia"/>
                <w:color w:val="auto"/>
                <w:u w:val="none" w:color="auto"/>
              </w:rPr>
              <w:t>禁止新建、扩建法律法规和相关政策明令禁止的落后产能项目</w:t>
            </w:r>
            <w:r>
              <w:rPr>
                <w:rFonts w:hint="eastAsia"/>
                <w:color w:val="auto"/>
                <w:u w:val="none" w:color="auto"/>
                <w:lang w:eastAsia="zh-CN"/>
              </w:rPr>
              <w:t>；</w:t>
            </w:r>
            <w:r>
              <w:rPr>
                <w:rFonts w:hint="eastAsia"/>
                <w:color w:val="auto"/>
                <w:u w:val="none" w:color="auto"/>
              </w:rPr>
              <w:t>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2741" w:type="dxa"/>
            <w:noWrap w:val="0"/>
            <w:vAlign w:val="center"/>
          </w:tcPr>
          <w:p w14:paraId="4864E828">
            <w:pPr>
              <w:pStyle w:val="24"/>
              <w:bidi w:val="0"/>
              <w:rPr>
                <w:rFonts w:hint="eastAsia"/>
                <w:color w:val="auto"/>
                <w:u w:val="none" w:color="auto"/>
                <w:lang w:eastAsia="zh-CN"/>
              </w:rPr>
            </w:pPr>
            <w:r>
              <w:rPr>
                <w:rFonts w:hint="eastAsia"/>
                <w:color w:val="auto"/>
                <w:u w:val="none" w:color="auto"/>
                <w:lang w:eastAsia="zh-CN"/>
              </w:rPr>
              <w:t>本项目不属于</w:t>
            </w:r>
            <w:r>
              <w:rPr>
                <w:rFonts w:hint="eastAsia"/>
                <w:color w:val="auto"/>
                <w:u w:val="none" w:color="auto"/>
              </w:rPr>
              <w:t>法律法规和相关政策明令禁止的落后产能项目</w:t>
            </w:r>
            <w:r>
              <w:rPr>
                <w:rFonts w:hint="eastAsia"/>
                <w:color w:val="auto"/>
                <w:u w:val="none" w:color="auto"/>
                <w:lang w:eastAsia="zh-CN"/>
              </w:rPr>
              <w:t>，不属于</w:t>
            </w:r>
            <w:r>
              <w:rPr>
                <w:rFonts w:hint="eastAsia"/>
                <w:color w:val="auto"/>
                <w:u w:val="none" w:color="auto"/>
              </w:rPr>
              <w:t>不符合国家产能置换要求的严重过剩产能行业</w:t>
            </w:r>
            <w:r>
              <w:rPr>
                <w:rFonts w:hint="eastAsia"/>
                <w:color w:val="auto"/>
                <w:u w:val="none" w:color="auto"/>
                <w:lang w:eastAsia="zh-CN"/>
              </w:rPr>
              <w:t>，不属于</w:t>
            </w:r>
            <w:r>
              <w:rPr>
                <w:rFonts w:hint="eastAsia"/>
                <w:color w:val="auto"/>
                <w:u w:val="none" w:color="auto"/>
              </w:rPr>
              <w:t>高耗能高排放项目</w:t>
            </w:r>
          </w:p>
        </w:tc>
        <w:tc>
          <w:tcPr>
            <w:tcW w:w="905" w:type="dxa"/>
            <w:noWrap w:val="0"/>
            <w:vAlign w:val="center"/>
          </w:tcPr>
          <w:p w14:paraId="32C78DFF">
            <w:pPr>
              <w:pStyle w:val="24"/>
              <w:bidi w:val="0"/>
              <w:rPr>
                <w:rFonts w:hint="eastAsia"/>
                <w:color w:val="auto"/>
                <w:u w:val="none" w:color="auto"/>
              </w:rPr>
            </w:pPr>
            <w:r>
              <w:rPr>
                <w:rFonts w:hint="eastAsia"/>
                <w:color w:val="auto"/>
                <w:u w:val="none" w:color="auto"/>
              </w:rPr>
              <w:t>符合</w:t>
            </w:r>
          </w:p>
        </w:tc>
      </w:tr>
    </w:tbl>
    <w:p w14:paraId="667B1B03">
      <w:pPr>
        <w:pStyle w:val="21"/>
        <w:ind w:firstLine="480"/>
        <w:rPr>
          <w:rFonts w:hint="eastAsia" w:eastAsia="宋体"/>
          <w:b/>
          <w:bCs/>
          <w:color w:val="auto"/>
          <w:u w:val="none" w:color="auto"/>
          <w:lang w:val="en-US" w:eastAsia="zh-CN"/>
        </w:rPr>
      </w:pPr>
      <w:r>
        <w:rPr>
          <w:color w:val="auto"/>
          <w:u w:val="none" w:color="auto"/>
        </w:rPr>
        <w:t>项目与《</w:t>
      </w:r>
      <w:r>
        <w:rPr>
          <w:rFonts w:hint="eastAsia"/>
          <w:color w:val="auto"/>
          <w:u w:val="none" w:color="auto"/>
        </w:rPr>
        <w:t>湖南省</w:t>
      </w:r>
      <w:r>
        <w:rPr>
          <w:rFonts w:hint="eastAsia"/>
          <w:color w:val="auto"/>
          <w:u w:val="none" w:color="auto"/>
          <w:lang w:eastAsia="zh-CN"/>
        </w:rPr>
        <w:t>长江经济带发展负面清单指南（试行，</w:t>
      </w:r>
      <w:r>
        <w:rPr>
          <w:rFonts w:hint="eastAsia"/>
          <w:color w:val="auto"/>
          <w:u w:val="none" w:color="auto"/>
          <w:lang w:val="en-US" w:eastAsia="zh-CN"/>
        </w:rPr>
        <w:t>2022年版</w:t>
      </w:r>
      <w:r>
        <w:rPr>
          <w:rFonts w:hint="eastAsia"/>
          <w:color w:val="auto"/>
          <w:u w:val="none" w:color="auto"/>
          <w:lang w:eastAsia="zh-CN"/>
        </w:rPr>
        <w:t>）</w:t>
      </w:r>
      <w:r>
        <w:rPr>
          <w:color w:val="auto"/>
          <w:u w:val="none" w:color="auto"/>
        </w:rPr>
        <w:t>》</w:t>
      </w:r>
      <w:r>
        <w:rPr>
          <w:rFonts w:hint="eastAsia"/>
          <w:color w:val="auto"/>
          <w:u w:val="none" w:color="auto"/>
          <w:lang w:val="en-US" w:eastAsia="zh-CN"/>
        </w:rPr>
        <w:t>相符。</w:t>
      </w:r>
    </w:p>
    <w:p w14:paraId="2622CEBB">
      <w:pPr>
        <w:pStyle w:val="8"/>
        <w:bidi w:val="0"/>
        <w:rPr>
          <w:rFonts w:hint="eastAsia"/>
          <w:color w:val="auto"/>
          <w:u w:val="none" w:color="auto"/>
          <w:lang w:val="en-US" w:eastAsia="zh-CN"/>
        </w:rPr>
      </w:pPr>
      <w:bookmarkStart w:id="158" w:name="_Toc27624"/>
      <w:r>
        <w:rPr>
          <w:rFonts w:hint="eastAsia"/>
          <w:color w:val="auto"/>
          <w:u w:val="none" w:color="auto"/>
          <w:lang w:val="en-US" w:eastAsia="zh-CN"/>
        </w:rPr>
        <w:t>1.3.5与湖南省生态环境厅《关于公布湖南省生态环境分区管控更新成果（2023版）的公告》中汨罗高新技术产业开发区生态环境准入建议清单相符性分析</w:t>
      </w:r>
      <w:bookmarkEnd w:id="158"/>
    </w:p>
    <w:p w14:paraId="458CBF68">
      <w:pPr>
        <w:pStyle w:val="21"/>
        <w:ind w:firstLine="480"/>
        <w:rPr>
          <w:rFonts w:hint="eastAsia"/>
          <w:color w:val="auto"/>
          <w:u w:val="none" w:color="auto"/>
        </w:rPr>
      </w:pPr>
      <w:r>
        <w:rPr>
          <w:rFonts w:hint="eastAsia"/>
          <w:color w:val="auto"/>
          <w:u w:val="none" w:color="auto"/>
        </w:rPr>
        <w:t>本项目与湖南省生态环境厅《关于公布湖南省生态环境分区管控更新成果（2023版）的公告》中汨罗高新技术产业开发区生态环境准入建议清单相符性分析如下：</w:t>
      </w:r>
    </w:p>
    <w:p w14:paraId="629B0C2B">
      <w:pPr>
        <w:pStyle w:val="23"/>
        <w:bidi w:val="0"/>
        <w:rPr>
          <w:rFonts w:hint="eastAsia"/>
          <w:color w:val="auto"/>
          <w:u w:val="none" w:color="auto"/>
          <w:lang w:val="en-US" w:eastAsia="zh-CN"/>
        </w:rPr>
      </w:pPr>
      <w:r>
        <w:rPr>
          <w:rFonts w:hint="eastAsia"/>
          <w:color w:val="auto"/>
          <w:u w:val="none" w:color="auto"/>
          <w:lang w:val="en-US" w:eastAsia="zh-CN"/>
        </w:rPr>
        <w:t>表1.3-8 与湖南省生态环境厅《关于公布湖南省生态环境分区管控更新成果（2023版）的公告》中汨罗高新技术产业开发区生态环境准入建议清单相符性分析</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1" w:type="dxa"/>
          <w:bottom w:w="0" w:type="dxa"/>
          <w:right w:w="51" w:type="dxa"/>
        </w:tblCellMar>
      </w:tblPr>
      <w:tblGrid>
        <w:gridCol w:w="733"/>
        <w:gridCol w:w="314"/>
        <w:gridCol w:w="348"/>
        <w:gridCol w:w="348"/>
        <w:gridCol w:w="348"/>
        <w:gridCol w:w="448"/>
        <w:gridCol w:w="514"/>
        <w:gridCol w:w="912"/>
        <w:gridCol w:w="746"/>
        <w:gridCol w:w="1530"/>
        <w:gridCol w:w="693"/>
        <w:gridCol w:w="759"/>
        <w:gridCol w:w="715"/>
      </w:tblGrid>
      <w:tr w14:paraId="1B5AED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vMerge w:val="restart"/>
            <w:tcBorders>
              <w:tl2br w:val="nil"/>
              <w:tr2bl w:val="nil"/>
            </w:tcBorders>
            <w:noWrap w:val="0"/>
            <w:vAlign w:val="center"/>
          </w:tcPr>
          <w:p w14:paraId="4DDC8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环境管控单元</w:t>
            </w:r>
          </w:p>
          <w:p w14:paraId="60AA8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编码</w:t>
            </w:r>
          </w:p>
        </w:tc>
        <w:tc>
          <w:tcPr>
            <w:tcW w:w="314" w:type="dxa"/>
            <w:vMerge w:val="restart"/>
            <w:tcBorders>
              <w:tl2br w:val="nil"/>
              <w:tr2bl w:val="nil"/>
            </w:tcBorders>
            <w:noWrap w:val="0"/>
            <w:vAlign w:val="center"/>
          </w:tcPr>
          <w:p w14:paraId="3575C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单元名称</w:t>
            </w:r>
          </w:p>
        </w:tc>
        <w:tc>
          <w:tcPr>
            <w:tcW w:w="1044" w:type="dxa"/>
            <w:gridSpan w:val="3"/>
            <w:tcBorders>
              <w:tl2br w:val="nil"/>
              <w:tr2bl w:val="nil"/>
            </w:tcBorders>
            <w:noWrap w:val="0"/>
            <w:vAlign w:val="center"/>
          </w:tcPr>
          <w:p w14:paraId="6063D6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行政区划</w:t>
            </w:r>
          </w:p>
        </w:tc>
        <w:tc>
          <w:tcPr>
            <w:tcW w:w="448" w:type="dxa"/>
            <w:vMerge w:val="restart"/>
            <w:tcBorders>
              <w:tl2br w:val="nil"/>
              <w:tr2bl w:val="nil"/>
            </w:tcBorders>
            <w:noWrap w:val="0"/>
            <w:vAlign w:val="center"/>
          </w:tcPr>
          <w:p w14:paraId="0E9EF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单元</w:t>
            </w:r>
          </w:p>
          <w:p w14:paraId="3E0B1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分类</w:t>
            </w:r>
          </w:p>
        </w:tc>
        <w:tc>
          <w:tcPr>
            <w:tcW w:w="514" w:type="dxa"/>
            <w:vMerge w:val="restart"/>
            <w:tcBorders>
              <w:tl2br w:val="nil"/>
              <w:tr2bl w:val="nil"/>
            </w:tcBorders>
            <w:noWrap w:val="0"/>
            <w:vAlign w:val="center"/>
          </w:tcPr>
          <w:p w14:paraId="0D5B9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单元面积（km</w:t>
            </w:r>
            <w:r>
              <w:rPr>
                <w:rFonts w:cs="Times New Roman"/>
                <w:color w:val="auto"/>
                <w:sz w:val="21"/>
                <w:szCs w:val="21"/>
                <w:u w:val="none" w:color="auto"/>
                <w:vertAlign w:val="superscript"/>
              </w:rPr>
              <w:t>2</w:t>
            </w:r>
            <w:r>
              <w:rPr>
                <w:rFonts w:cs="Times New Roman"/>
                <w:color w:val="auto"/>
                <w:sz w:val="21"/>
                <w:szCs w:val="21"/>
                <w:u w:val="none" w:color="auto"/>
              </w:rPr>
              <w:t>）</w:t>
            </w:r>
          </w:p>
        </w:tc>
        <w:tc>
          <w:tcPr>
            <w:tcW w:w="912" w:type="dxa"/>
            <w:vMerge w:val="restart"/>
            <w:tcBorders>
              <w:tl2br w:val="nil"/>
              <w:tr2bl w:val="nil"/>
            </w:tcBorders>
            <w:noWrap w:val="0"/>
            <w:vAlign w:val="center"/>
          </w:tcPr>
          <w:p w14:paraId="676A5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涉及乡镇（街道）</w:t>
            </w:r>
          </w:p>
        </w:tc>
        <w:tc>
          <w:tcPr>
            <w:tcW w:w="746" w:type="dxa"/>
            <w:vMerge w:val="restart"/>
            <w:tcBorders>
              <w:tl2br w:val="nil"/>
              <w:tr2bl w:val="nil"/>
            </w:tcBorders>
            <w:noWrap w:val="0"/>
            <w:vAlign w:val="center"/>
          </w:tcPr>
          <w:p w14:paraId="26C0B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区域主体功能定位</w:t>
            </w:r>
          </w:p>
        </w:tc>
        <w:tc>
          <w:tcPr>
            <w:tcW w:w="2223" w:type="dxa"/>
            <w:gridSpan w:val="2"/>
            <w:vMerge w:val="restart"/>
            <w:tcBorders>
              <w:tl2br w:val="nil"/>
              <w:tr2bl w:val="nil"/>
            </w:tcBorders>
            <w:noWrap w:val="0"/>
            <w:vAlign w:val="center"/>
          </w:tcPr>
          <w:p w14:paraId="2242EA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主导产业</w:t>
            </w:r>
          </w:p>
        </w:tc>
        <w:tc>
          <w:tcPr>
            <w:tcW w:w="1474" w:type="dxa"/>
            <w:gridSpan w:val="2"/>
            <w:vMerge w:val="restart"/>
            <w:tcBorders>
              <w:tl2br w:val="nil"/>
              <w:tr2bl w:val="nil"/>
            </w:tcBorders>
            <w:noWrap w:val="0"/>
            <w:vAlign w:val="center"/>
          </w:tcPr>
          <w:p w14:paraId="3273D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主要环境问题和重要保护目标</w:t>
            </w:r>
          </w:p>
        </w:tc>
      </w:tr>
      <w:tr w14:paraId="3919F9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vMerge w:val="continue"/>
            <w:tcBorders>
              <w:tl2br w:val="nil"/>
              <w:tr2bl w:val="nil"/>
            </w:tcBorders>
            <w:noWrap w:val="0"/>
            <w:vAlign w:val="center"/>
          </w:tcPr>
          <w:p w14:paraId="5537B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314" w:type="dxa"/>
            <w:vMerge w:val="continue"/>
            <w:tcBorders>
              <w:tl2br w:val="nil"/>
              <w:tr2bl w:val="nil"/>
            </w:tcBorders>
            <w:noWrap w:val="0"/>
            <w:vAlign w:val="center"/>
          </w:tcPr>
          <w:p w14:paraId="0DC67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348" w:type="dxa"/>
            <w:tcBorders>
              <w:tl2br w:val="nil"/>
              <w:tr2bl w:val="nil"/>
            </w:tcBorders>
            <w:noWrap w:val="0"/>
            <w:vAlign w:val="center"/>
          </w:tcPr>
          <w:p w14:paraId="6FA5A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省</w:t>
            </w:r>
          </w:p>
        </w:tc>
        <w:tc>
          <w:tcPr>
            <w:tcW w:w="348" w:type="dxa"/>
            <w:tcBorders>
              <w:tl2br w:val="nil"/>
              <w:tr2bl w:val="nil"/>
            </w:tcBorders>
            <w:noWrap w:val="0"/>
            <w:vAlign w:val="center"/>
          </w:tcPr>
          <w:p w14:paraId="3E37B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市</w:t>
            </w:r>
          </w:p>
        </w:tc>
        <w:tc>
          <w:tcPr>
            <w:tcW w:w="348" w:type="dxa"/>
            <w:tcBorders>
              <w:tl2br w:val="nil"/>
              <w:tr2bl w:val="nil"/>
            </w:tcBorders>
            <w:noWrap w:val="0"/>
            <w:vAlign w:val="center"/>
          </w:tcPr>
          <w:p w14:paraId="6DED7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县</w:t>
            </w:r>
          </w:p>
        </w:tc>
        <w:tc>
          <w:tcPr>
            <w:tcW w:w="448" w:type="dxa"/>
            <w:vMerge w:val="continue"/>
            <w:tcBorders>
              <w:tl2br w:val="nil"/>
              <w:tr2bl w:val="nil"/>
            </w:tcBorders>
            <w:noWrap w:val="0"/>
            <w:vAlign w:val="center"/>
          </w:tcPr>
          <w:p w14:paraId="1AEEB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514" w:type="dxa"/>
            <w:vMerge w:val="continue"/>
            <w:tcBorders>
              <w:tl2br w:val="nil"/>
              <w:tr2bl w:val="nil"/>
            </w:tcBorders>
            <w:noWrap w:val="0"/>
            <w:vAlign w:val="center"/>
          </w:tcPr>
          <w:p w14:paraId="7C430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912" w:type="dxa"/>
            <w:vMerge w:val="continue"/>
            <w:tcBorders>
              <w:tl2br w:val="nil"/>
              <w:tr2bl w:val="nil"/>
            </w:tcBorders>
            <w:noWrap w:val="0"/>
            <w:vAlign w:val="center"/>
          </w:tcPr>
          <w:p w14:paraId="3DC41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746" w:type="dxa"/>
            <w:vMerge w:val="continue"/>
            <w:tcBorders>
              <w:tl2br w:val="nil"/>
              <w:tr2bl w:val="nil"/>
            </w:tcBorders>
            <w:noWrap w:val="0"/>
            <w:vAlign w:val="center"/>
          </w:tcPr>
          <w:p w14:paraId="7FA04C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2223" w:type="dxa"/>
            <w:gridSpan w:val="2"/>
            <w:vMerge w:val="continue"/>
            <w:tcBorders>
              <w:tl2br w:val="nil"/>
              <w:tr2bl w:val="nil"/>
            </w:tcBorders>
            <w:noWrap w:val="0"/>
            <w:vAlign w:val="center"/>
          </w:tcPr>
          <w:p w14:paraId="6659E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1474" w:type="dxa"/>
            <w:gridSpan w:val="2"/>
            <w:vMerge w:val="continue"/>
            <w:tcBorders>
              <w:tl2br w:val="nil"/>
              <w:tr2bl w:val="nil"/>
            </w:tcBorders>
            <w:noWrap w:val="0"/>
            <w:vAlign w:val="center"/>
          </w:tcPr>
          <w:p w14:paraId="2B596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r>
      <w:tr w14:paraId="358458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1AF9D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ZH430</w:t>
            </w:r>
            <w:r>
              <w:rPr>
                <w:rFonts w:hint="eastAsia" w:cs="Times New Roman"/>
                <w:color w:val="auto"/>
                <w:sz w:val="21"/>
                <w:szCs w:val="21"/>
                <w:u w:val="none" w:color="auto"/>
              </w:rPr>
              <w:t>68120003</w:t>
            </w:r>
          </w:p>
        </w:tc>
        <w:tc>
          <w:tcPr>
            <w:tcW w:w="314" w:type="dxa"/>
            <w:tcBorders>
              <w:tl2br w:val="nil"/>
              <w:tr2bl w:val="nil"/>
            </w:tcBorders>
            <w:noWrap w:val="0"/>
            <w:vAlign w:val="center"/>
          </w:tcPr>
          <w:p w14:paraId="484FC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lang w:eastAsia="zh-CN"/>
              </w:rPr>
              <w:t>汨</w:t>
            </w:r>
            <w:r>
              <w:rPr>
                <w:rFonts w:hint="eastAsia" w:cs="Times New Roman"/>
                <w:color w:val="auto"/>
                <w:sz w:val="21"/>
                <w:szCs w:val="21"/>
                <w:u w:val="none" w:color="auto"/>
              </w:rPr>
              <w:t>罗高新技术产业开发区</w:t>
            </w:r>
          </w:p>
        </w:tc>
        <w:tc>
          <w:tcPr>
            <w:tcW w:w="348" w:type="dxa"/>
            <w:tcBorders>
              <w:tl2br w:val="nil"/>
              <w:tr2bl w:val="nil"/>
            </w:tcBorders>
            <w:noWrap w:val="0"/>
            <w:vAlign w:val="center"/>
          </w:tcPr>
          <w:p w14:paraId="06901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湖南省</w:t>
            </w:r>
          </w:p>
        </w:tc>
        <w:tc>
          <w:tcPr>
            <w:tcW w:w="348" w:type="dxa"/>
            <w:tcBorders>
              <w:tl2br w:val="nil"/>
              <w:tr2bl w:val="nil"/>
            </w:tcBorders>
            <w:noWrap w:val="0"/>
            <w:vAlign w:val="center"/>
          </w:tcPr>
          <w:p w14:paraId="1018D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岳阳</w:t>
            </w:r>
            <w:r>
              <w:rPr>
                <w:rFonts w:cs="Times New Roman"/>
                <w:color w:val="auto"/>
                <w:sz w:val="21"/>
                <w:szCs w:val="21"/>
                <w:u w:val="none" w:color="auto"/>
              </w:rPr>
              <w:t>市</w:t>
            </w:r>
          </w:p>
        </w:tc>
        <w:tc>
          <w:tcPr>
            <w:tcW w:w="348" w:type="dxa"/>
            <w:tcBorders>
              <w:tl2br w:val="nil"/>
              <w:tr2bl w:val="nil"/>
            </w:tcBorders>
            <w:noWrap w:val="0"/>
            <w:vAlign w:val="center"/>
          </w:tcPr>
          <w:p w14:paraId="7136F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lang w:eastAsia="zh-CN"/>
              </w:rPr>
              <w:t>汨</w:t>
            </w:r>
            <w:r>
              <w:rPr>
                <w:rFonts w:hint="eastAsia" w:cs="Times New Roman"/>
                <w:color w:val="auto"/>
                <w:sz w:val="21"/>
                <w:szCs w:val="21"/>
                <w:u w:val="none" w:color="auto"/>
              </w:rPr>
              <w:t>罗市</w:t>
            </w:r>
          </w:p>
        </w:tc>
        <w:tc>
          <w:tcPr>
            <w:tcW w:w="448" w:type="dxa"/>
            <w:tcBorders>
              <w:tl2br w:val="nil"/>
              <w:tr2bl w:val="nil"/>
            </w:tcBorders>
            <w:noWrap w:val="0"/>
            <w:vAlign w:val="center"/>
          </w:tcPr>
          <w:p w14:paraId="06C1E1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重点管控单元</w:t>
            </w:r>
          </w:p>
        </w:tc>
        <w:tc>
          <w:tcPr>
            <w:tcW w:w="514" w:type="dxa"/>
            <w:tcBorders>
              <w:tl2br w:val="nil"/>
              <w:tr2bl w:val="nil"/>
            </w:tcBorders>
            <w:noWrap w:val="0"/>
            <w:vAlign w:val="center"/>
          </w:tcPr>
          <w:p w14:paraId="60A3C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u w:val="none" w:color="auto"/>
                <w:vertAlign w:val="subscript"/>
                <w:lang w:val="en-US" w:eastAsia="zh-CN"/>
              </w:rPr>
            </w:pPr>
            <w:r>
              <w:rPr>
                <w:rFonts w:hint="eastAsia" w:cs="Times New Roman"/>
                <w:b/>
                <w:bCs/>
                <w:color w:val="auto"/>
                <w:sz w:val="21"/>
                <w:szCs w:val="21"/>
                <w:u w:val="none" w:color="auto"/>
                <w:lang w:val="en-US" w:eastAsia="zh-CN"/>
              </w:rPr>
              <w:t>9.5143</w:t>
            </w:r>
          </w:p>
        </w:tc>
        <w:tc>
          <w:tcPr>
            <w:tcW w:w="912" w:type="dxa"/>
            <w:tcBorders>
              <w:tl2br w:val="nil"/>
              <w:tr2bl w:val="nil"/>
            </w:tcBorders>
            <w:noWrap w:val="0"/>
            <w:vAlign w:val="center"/>
          </w:tcPr>
          <w:p w14:paraId="210465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核准范围（一区两片）：区块一、区块二（新市片区）涉及新市镇；区块三（弼时片）涉及弼时镇</w:t>
            </w:r>
          </w:p>
        </w:tc>
        <w:tc>
          <w:tcPr>
            <w:tcW w:w="746" w:type="dxa"/>
            <w:tcBorders>
              <w:tl2br w:val="nil"/>
              <w:tr2bl w:val="nil"/>
            </w:tcBorders>
            <w:noWrap w:val="0"/>
            <w:vAlign w:val="center"/>
          </w:tcPr>
          <w:p w14:paraId="3034C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rPr>
              <w:t>弼时镇</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城市化地区；新市镇：农产品主产区</w:t>
            </w:r>
          </w:p>
        </w:tc>
        <w:tc>
          <w:tcPr>
            <w:tcW w:w="2223" w:type="dxa"/>
            <w:gridSpan w:val="2"/>
            <w:tcBorders>
              <w:tl2br w:val="nil"/>
              <w:tr2bl w:val="nil"/>
            </w:tcBorders>
            <w:noWrap w:val="0"/>
            <w:vAlign w:val="center"/>
          </w:tcPr>
          <w:p w14:paraId="21E33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b/>
                <w:bCs/>
                <w:color w:val="auto"/>
                <w:sz w:val="21"/>
                <w:szCs w:val="21"/>
                <w:u w:val="none" w:color="auto"/>
              </w:rPr>
              <w:t>六部委公告2018年第4号</w:t>
            </w:r>
            <w:r>
              <w:rPr>
                <w:rFonts w:hint="eastAsia" w:cs="Times New Roman"/>
                <w:color w:val="auto"/>
                <w:sz w:val="21"/>
                <w:szCs w:val="21"/>
                <w:u w:val="none" w:color="auto"/>
              </w:rPr>
              <w:t>：再生资源、电子信息、机械；</w:t>
            </w:r>
          </w:p>
          <w:p w14:paraId="12B82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b/>
                <w:bCs/>
                <w:color w:val="auto"/>
                <w:sz w:val="21"/>
                <w:szCs w:val="21"/>
                <w:u w:val="none" w:color="auto"/>
              </w:rPr>
              <w:t>湘环评函[2019]8号</w:t>
            </w:r>
            <w:r>
              <w:rPr>
                <w:rFonts w:hint="eastAsia" w:cs="Times New Roman"/>
                <w:color w:val="auto"/>
                <w:sz w:val="21"/>
                <w:szCs w:val="21"/>
                <w:u w:val="none" w:color="auto"/>
              </w:rPr>
              <w:t>：以再生资源回收利用、有色金属精深加工、先进制造产业为主导，辅以发展安防建材、新材料、电子信息三大特色产业；</w:t>
            </w:r>
          </w:p>
          <w:p w14:paraId="1F2D8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bCs/>
                <w:color w:val="auto"/>
                <w:sz w:val="21"/>
                <w:szCs w:val="21"/>
                <w:u w:val="none" w:color="auto"/>
                <w:lang w:eastAsia="zh-CN"/>
              </w:rPr>
            </w:pPr>
            <w:r>
              <w:rPr>
                <w:rFonts w:hint="eastAsia" w:cs="Times New Roman"/>
                <w:b/>
                <w:bCs/>
                <w:color w:val="auto"/>
                <w:sz w:val="21"/>
                <w:szCs w:val="21"/>
                <w:u w:val="none" w:color="auto"/>
              </w:rPr>
              <w:t>湘</w:t>
            </w:r>
            <w:r>
              <w:rPr>
                <w:rFonts w:hint="eastAsia" w:cs="Times New Roman"/>
                <w:b/>
                <w:bCs/>
                <w:color w:val="auto"/>
                <w:sz w:val="21"/>
                <w:szCs w:val="21"/>
                <w:u w:val="none" w:color="auto"/>
                <w:lang w:val="en-US" w:eastAsia="zh-CN"/>
              </w:rPr>
              <w:t>发改地区</w:t>
            </w:r>
            <w:r>
              <w:rPr>
                <w:rFonts w:hint="eastAsia" w:cs="Times New Roman"/>
                <w:b/>
                <w:bCs/>
                <w:color w:val="auto"/>
                <w:sz w:val="21"/>
                <w:szCs w:val="21"/>
                <w:u w:val="none" w:color="auto"/>
              </w:rPr>
              <w:t>[20</w:t>
            </w:r>
            <w:r>
              <w:rPr>
                <w:rFonts w:hint="eastAsia" w:cs="Times New Roman"/>
                <w:b/>
                <w:bCs/>
                <w:color w:val="auto"/>
                <w:sz w:val="21"/>
                <w:szCs w:val="21"/>
                <w:u w:val="none" w:color="auto"/>
                <w:lang w:val="en-US" w:eastAsia="zh-CN"/>
              </w:rPr>
              <w:t>21</w:t>
            </w:r>
            <w:r>
              <w:rPr>
                <w:rFonts w:hint="eastAsia" w:cs="Times New Roman"/>
                <w:b/>
                <w:bCs/>
                <w:color w:val="auto"/>
                <w:sz w:val="21"/>
                <w:szCs w:val="21"/>
                <w:u w:val="none" w:color="auto"/>
              </w:rPr>
              <w:t>]</w:t>
            </w:r>
            <w:r>
              <w:rPr>
                <w:rFonts w:hint="eastAsia" w:cs="Times New Roman"/>
                <w:b/>
                <w:bCs/>
                <w:color w:val="auto"/>
                <w:sz w:val="21"/>
                <w:szCs w:val="21"/>
                <w:u w:val="none" w:color="auto"/>
                <w:lang w:val="en-US" w:eastAsia="zh-CN"/>
              </w:rPr>
              <w:t>394</w:t>
            </w:r>
            <w:r>
              <w:rPr>
                <w:rFonts w:hint="eastAsia" w:cs="Times New Roman"/>
                <w:b/>
                <w:bCs/>
                <w:color w:val="auto"/>
                <w:sz w:val="21"/>
                <w:szCs w:val="21"/>
                <w:u w:val="none" w:color="auto"/>
              </w:rPr>
              <w:t>号</w:t>
            </w:r>
            <w:r>
              <w:rPr>
                <w:rFonts w:hint="eastAsia" w:cs="Times New Roman"/>
                <w:color w:val="auto"/>
                <w:sz w:val="21"/>
                <w:szCs w:val="21"/>
                <w:u w:val="none" w:color="auto"/>
              </w:rPr>
              <w:t>：</w:t>
            </w:r>
            <w:r>
              <w:rPr>
                <w:rFonts w:hint="eastAsia" w:cs="Times New Roman"/>
                <w:color w:val="auto"/>
                <w:sz w:val="21"/>
                <w:szCs w:val="21"/>
                <w:u w:val="none" w:color="auto"/>
                <w:lang w:val="en-US" w:eastAsia="zh-CN"/>
              </w:rPr>
              <w:t>主导产业：有色金属冶炼和压延加工；特色产业：再生资源综合利用、高分子材料、电子信息及其产业链延伸产业</w:t>
            </w:r>
            <w:r>
              <w:rPr>
                <w:rFonts w:hint="eastAsia" w:cs="Times New Roman"/>
                <w:color w:val="auto"/>
                <w:sz w:val="21"/>
                <w:szCs w:val="21"/>
                <w:u w:val="none" w:color="auto"/>
                <w:lang w:eastAsia="zh-CN"/>
              </w:rPr>
              <w:t>。</w:t>
            </w:r>
          </w:p>
        </w:tc>
        <w:tc>
          <w:tcPr>
            <w:tcW w:w="1474" w:type="dxa"/>
            <w:gridSpan w:val="2"/>
            <w:tcBorders>
              <w:tl2br w:val="nil"/>
              <w:tr2bl w:val="nil"/>
            </w:tcBorders>
            <w:noWrap w:val="0"/>
            <w:vAlign w:val="center"/>
          </w:tcPr>
          <w:p w14:paraId="4221A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区块一、区块二</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新市片区</w:t>
            </w:r>
            <w:r>
              <w:rPr>
                <w:rFonts w:hint="eastAsia" w:cs="Times New Roman"/>
                <w:color w:val="auto"/>
                <w:sz w:val="21"/>
                <w:szCs w:val="21"/>
                <w:u w:val="none" w:color="auto"/>
                <w:lang w:eastAsia="zh-CN"/>
              </w:rPr>
              <w:t>）</w:t>
            </w:r>
            <w:r>
              <w:rPr>
                <w:rFonts w:hint="eastAsia" w:cs="Times New Roman"/>
                <w:color w:val="auto"/>
                <w:sz w:val="21"/>
                <w:szCs w:val="21"/>
                <w:u w:val="none" w:color="auto"/>
              </w:rPr>
              <w:t>紧邻湿地科普宣教与文化展示区</w:t>
            </w:r>
            <w:r>
              <w:rPr>
                <w:rFonts w:hint="eastAsia" w:cs="Times New Roman"/>
                <w:b w:val="0"/>
                <w:bCs w:val="0"/>
                <w:color w:val="auto"/>
                <w:sz w:val="21"/>
                <w:szCs w:val="21"/>
                <w:u w:val="none" w:color="auto"/>
              </w:rPr>
              <w:t>。</w:t>
            </w:r>
          </w:p>
        </w:tc>
      </w:tr>
      <w:tr w14:paraId="19F1DB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3BD8F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管控维度</w:t>
            </w:r>
          </w:p>
        </w:tc>
        <w:tc>
          <w:tcPr>
            <w:tcW w:w="5508" w:type="dxa"/>
            <w:gridSpan w:val="9"/>
            <w:tcBorders>
              <w:tl2br w:val="nil"/>
              <w:tr2bl w:val="nil"/>
            </w:tcBorders>
            <w:noWrap w:val="0"/>
            <w:vAlign w:val="center"/>
          </w:tcPr>
          <w:p w14:paraId="38BC3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管控要求</w:t>
            </w:r>
          </w:p>
        </w:tc>
        <w:tc>
          <w:tcPr>
            <w:tcW w:w="1452" w:type="dxa"/>
            <w:gridSpan w:val="2"/>
            <w:tcBorders>
              <w:tl2br w:val="nil"/>
              <w:tr2bl w:val="nil"/>
            </w:tcBorders>
            <w:noWrap w:val="0"/>
            <w:vAlign w:val="center"/>
          </w:tcPr>
          <w:p w14:paraId="13DCF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符合性分析</w:t>
            </w:r>
          </w:p>
        </w:tc>
        <w:tc>
          <w:tcPr>
            <w:tcW w:w="715" w:type="dxa"/>
            <w:tcBorders>
              <w:tl2br w:val="nil"/>
              <w:tr2bl w:val="nil"/>
            </w:tcBorders>
            <w:noWrap w:val="0"/>
            <w:vAlign w:val="center"/>
          </w:tcPr>
          <w:p w14:paraId="33522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是否相符</w:t>
            </w:r>
          </w:p>
        </w:tc>
      </w:tr>
      <w:tr w14:paraId="3B47B9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12C8A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空间布局约束</w:t>
            </w:r>
          </w:p>
        </w:tc>
        <w:tc>
          <w:tcPr>
            <w:tcW w:w="5508" w:type="dxa"/>
            <w:gridSpan w:val="9"/>
            <w:tcBorders>
              <w:tl2br w:val="nil"/>
              <w:tr2bl w:val="nil"/>
            </w:tcBorders>
            <w:noWrap w:val="0"/>
            <w:vAlign w:val="center"/>
          </w:tcPr>
          <w:p w14:paraId="1494A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rPr>
              <w:t>（1.1）高新区不得引进国家命令淘法和禁止发展的高能耗、高物耗、污染重，不符合产业政策的建设项目。</w:t>
            </w:r>
          </w:p>
          <w:p w14:paraId="4790F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rPr>
              <w:t>（1.2）</w:t>
            </w:r>
            <w:r>
              <w:rPr>
                <w:rFonts w:hint="eastAsia" w:cs="Times New Roman"/>
                <w:b w:val="0"/>
                <w:bCs w:val="0"/>
                <w:color w:val="auto"/>
                <w:sz w:val="21"/>
                <w:szCs w:val="21"/>
                <w:u w:val="none" w:color="auto"/>
                <w:lang w:val="en-US" w:eastAsia="zh-CN"/>
              </w:rPr>
              <w:t>区块一、区块二（新市片区）再生资源回收</w:t>
            </w:r>
            <w:r>
              <w:rPr>
                <w:rFonts w:hint="eastAsia" w:cs="Times New Roman"/>
                <w:b w:val="0"/>
                <w:bCs w:val="0"/>
                <w:color w:val="auto"/>
                <w:sz w:val="21"/>
                <w:szCs w:val="21"/>
                <w:u w:val="none" w:color="auto"/>
              </w:rPr>
              <w:t>利用</w:t>
            </w:r>
            <w:r>
              <w:rPr>
                <w:rFonts w:hint="eastAsia" w:cs="Times New Roman"/>
                <w:b w:val="0"/>
                <w:bCs w:val="0"/>
                <w:color w:val="auto"/>
                <w:sz w:val="21"/>
                <w:szCs w:val="21"/>
                <w:u w:val="none" w:color="auto"/>
                <w:lang w:val="en-US" w:eastAsia="zh-CN"/>
              </w:rPr>
              <w:t>行</w:t>
            </w:r>
            <w:r>
              <w:rPr>
                <w:rFonts w:hint="eastAsia" w:cs="Times New Roman"/>
                <w:b w:val="0"/>
                <w:bCs w:val="0"/>
                <w:color w:val="auto"/>
                <w:sz w:val="21"/>
                <w:szCs w:val="21"/>
                <w:u w:val="none" w:color="auto"/>
              </w:rPr>
              <w:t>业禁止引进不能满足</w:t>
            </w:r>
            <w:r>
              <w:rPr>
                <w:rFonts w:hint="eastAsia" w:cs="Times New Roman"/>
                <w:b w:val="0"/>
                <w:bCs w:val="0"/>
                <w:color w:val="auto"/>
                <w:sz w:val="21"/>
                <w:szCs w:val="21"/>
                <w:u w:val="none" w:color="auto"/>
                <w:lang w:val="en-US" w:eastAsia="zh-CN"/>
              </w:rPr>
              <w:t>最新行业规定和准入</w:t>
            </w:r>
            <w:r>
              <w:rPr>
                <w:rFonts w:hint="eastAsia" w:cs="Times New Roman"/>
                <w:b w:val="0"/>
                <w:bCs w:val="0"/>
                <w:color w:val="auto"/>
                <w:sz w:val="21"/>
                <w:szCs w:val="21"/>
                <w:u w:val="none" w:color="auto"/>
              </w:rPr>
              <w:t>要求的项目。</w:t>
            </w:r>
          </w:p>
          <w:p w14:paraId="49610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rPr>
              <w:t>（1.3）</w:t>
            </w:r>
            <w:r>
              <w:rPr>
                <w:rFonts w:hint="eastAsia" w:cs="Times New Roman"/>
                <w:b w:val="0"/>
                <w:bCs w:val="0"/>
                <w:color w:val="auto"/>
                <w:sz w:val="21"/>
                <w:szCs w:val="21"/>
                <w:u w:val="none" w:color="auto"/>
                <w:lang w:val="en-US" w:eastAsia="zh-CN"/>
              </w:rPr>
              <w:t>区块三（弼时片区）</w:t>
            </w:r>
            <w:r>
              <w:rPr>
                <w:rFonts w:hint="eastAsia" w:cs="Times New Roman"/>
                <w:b w:val="0"/>
                <w:bCs w:val="0"/>
                <w:color w:val="auto"/>
                <w:sz w:val="21"/>
                <w:szCs w:val="21"/>
                <w:u w:val="none" w:color="auto"/>
              </w:rPr>
              <w:t>禁止引进排水涉重金属及持久性有机物的企业，禁止引进电镀、线路板制造等企业，严格限制引进排水量大的企业。</w:t>
            </w:r>
          </w:p>
          <w:p w14:paraId="1FD92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p>
        </w:tc>
        <w:tc>
          <w:tcPr>
            <w:tcW w:w="1452" w:type="dxa"/>
            <w:gridSpan w:val="2"/>
            <w:tcBorders>
              <w:tl2br w:val="nil"/>
              <w:tr2bl w:val="nil"/>
            </w:tcBorders>
            <w:noWrap w:val="0"/>
            <w:vAlign w:val="center"/>
          </w:tcPr>
          <w:p w14:paraId="5BA025A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本项目不属于高能耗、高物耗、污染重的建设项目；</w:t>
            </w:r>
            <w:r>
              <w:rPr>
                <w:rFonts w:hint="default" w:ascii="Times New Roman" w:hAnsi="Times New Roman" w:eastAsia="宋体" w:cs="Times New Roman"/>
                <w:color w:val="auto"/>
                <w:sz w:val="21"/>
                <w:szCs w:val="21"/>
                <w:u w:val="none" w:color="auto"/>
                <w:lang w:val="en-US" w:eastAsia="zh-CN" w:bidi="ar-SA"/>
              </w:rPr>
              <w:t>本项目</w:t>
            </w:r>
            <w:r>
              <w:rPr>
                <w:rFonts w:hint="eastAsia" w:ascii="Times New Roman" w:hAnsi="Times New Roman" w:eastAsia="宋体" w:cs="Times New Roman"/>
                <w:color w:val="auto"/>
                <w:sz w:val="21"/>
                <w:szCs w:val="21"/>
                <w:u w:val="none" w:color="auto"/>
                <w:lang w:val="en-US" w:eastAsia="zh-CN" w:bidi="ar-SA"/>
              </w:rPr>
              <w:t>仅排放生活污水，不涉及重金属及持久性有机物，不属于电镀、线路板制造，排水量较小</w:t>
            </w:r>
            <w:r>
              <w:rPr>
                <w:rFonts w:hint="default" w:ascii="Times New Roman" w:hAnsi="Times New Roman" w:eastAsia="宋体" w:cs="Times New Roman"/>
                <w:color w:val="auto"/>
                <w:sz w:val="21"/>
                <w:szCs w:val="21"/>
                <w:u w:val="none" w:color="auto"/>
                <w:lang w:val="en-US" w:eastAsia="zh-CN" w:bidi="ar-SA"/>
              </w:rPr>
              <w:t>。</w:t>
            </w:r>
          </w:p>
        </w:tc>
        <w:tc>
          <w:tcPr>
            <w:tcW w:w="715" w:type="dxa"/>
            <w:tcBorders>
              <w:tl2br w:val="nil"/>
              <w:tr2bl w:val="nil"/>
            </w:tcBorders>
            <w:noWrap w:val="0"/>
            <w:vAlign w:val="center"/>
          </w:tcPr>
          <w:p w14:paraId="6B7C2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none"/>
                <w:lang w:val="en-US" w:eastAsia="zh-CN"/>
              </w:rPr>
            </w:pPr>
            <w:r>
              <w:rPr>
                <w:rFonts w:hint="eastAsia" w:cs="Times New Roman"/>
                <w:sz w:val="21"/>
                <w:szCs w:val="21"/>
                <w:u w:val="none"/>
                <w:lang w:val="en-US" w:eastAsia="zh-CN"/>
              </w:rPr>
              <w:t>符合</w:t>
            </w:r>
          </w:p>
        </w:tc>
      </w:tr>
      <w:tr w14:paraId="5E865B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045C5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污染物排放管控</w:t>
            </w:r>
          </w:p>
        </w:tc>
        <w:tc>
          <w:tcPr>
            <w:tcW w:w="5508" w:type="dxa"/>
            <w:gridSpan w:val="9"/>
            <w:tcBorders>
              <w:tl2br w:val="nil"/>
              <w:tr2bl w:val="nil"/>
            </w:tcBorders>
            <w:noWrap w:val="0"/>
            <w:vAlign w:val="center"/>
          </w:tcPr>
          <w:p w14:paraId="0D5C3C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（2.1）废水：</w:t>
            </w:r>
          </w:p>
          <w:p w14:paraId="49777B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u w:val="none" w:color="auto"/>
              </w:rPr>
            </w:pP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2.1.1</w:t>
            </w:r>
            <w:r>
              <w:rPr>
                <w:rFonts w:hint="eastAsia" w:cs="Times New Roman"/>
                <w:color w:val="auto"/>
                <w:sz w:val="21"/>
                <w:szCs w:val="21"/>
                <w:u w:val="none" w:color="auto"/>
                <w:lang w:eastAsia="zh-CN"/>
              </w:rPr>
              <w:t>）</w:t>
            </w:r>
            <w:r>
              <w:rPr>
                <w:rFonts w:hint="eastAsia" w:cs="Times New Roman"/>
                <w:color w:val="auto"/>
                <w:sz w:val="21"/>
                <w:szCs w:val="21"/>
                <w:u w:val="none" w:color="auto"/>
              </w:rPr>
              <w:t>区块一、区块二（</w:t>
            </w:r>
            <w:r>
              <w:rPr>
                <w:rFonts w:hint="eastAsia" w:cs="Times New Roman"/>
                <w:color w:val="auto"/>
                <w:sz w:val="21"/>
                <w:szCs w:val="21"/>
                <w:u w:val="none" w:color="auto"/>
                <w:lang w:val="en-US" w:eastAsia="zh-CN"/>
              </w:rPr>
              <w:t>新市片区</w:t>
            </w:r>
            <w:r>
              <w:rPr>
                <w:rFonts w:hint="eastAsia" w:cs="Times New Roman"/>
                <w:color w:val="auto"/>
                <w:sz w:val="21"/>
                <w:szCs w:val="21"/>
                <w:u w:val="none" w:color="auto"/>
              </w:rPr>
              <w:t>）</w:t>
            </w:r>
            <w:r>
              <w:rPr>
                <w:rFonts w:hint="eastAsia" w:cs="Times New Roman"/>
                <w:b w:val="0"/>
                <w:bCs w:val="0"/>
                <w:color w:val="auto"/>
                <w:sz w:val="21"/>
                <w:szCs w:val="21"/>
                <w:u w:val="none" w:color="auto"/>
              </w:rPr>
              <w:t>规划范围内企业一般工业废水、生活污水、重金属污水处理厂尾水、</w:t>
            </w:r>
            <w:r>
              <w:rPr>
                <w:rFonts w:hint="eastAsia" w:cs="Times New Roman"/>
                <w:b w:val="0"/>
                <w:bCs w:val="0"/>
                <w:color w:val="auto"/>
                <w:sz w:val="21"/>
                <w:szCs w:val="21"/>
                <w:u w:val="none" w:color="auto"/>
                <w:lang w:val="en-US" w:eastAsia="zh-CN"/>
              </w:rPr>
              <w:t>高新区</w:t>
            </w:r>
            <w:r>
              <w:rPr>
                <w:rFonts w:hint="eastAsia" w:cs="Times New Roman"/>
                <w:b w:val="0"/>
                <w:bCs w:val="0"/>
                <w:color w:val="auto"/>
                <w:sz w:val="21"/>
                <w:szCs w:val="21"/>
                <w:u w:val="none" w:color="auto"/>
              </w:rPr>
              <w:t>PCB污水处理厂尾水排入湖南汨罗高新技术产业开发区污水处理厂进行处理，处理后</w:t>
            </w:r>
            <w:r>
              <w:rPr>
                <w:rFonts w:hint="eastAsia" w:cs="Times New Roman"/>
                <w:b w:val="0"/>
                <w:bCs w:val="0"/>
                <w:color w:val="auto"/>
                <w:sz w:val="21"/>
                <w:szCs w:val="21"/>
                <w:u w:val="none" w:color="auto"/>
                <w:lang w:val="en-US" w:eastAsia="zh-CN"/>
              </w:rPr>
              <w:t>废水</w:t>
            </w:r>
            <w:r>
              <w:rPr>
                <w:rFonts w:hint="eastAsia" w:cs="Times New Roman"/>
                <w:b w:val="0"/>
                <w:bCs w:val="0"/>
                <w:color w:val="auto"/>
                <w:sz w:val="21"/>
                <w:szCs w:val="21"/>
                <w:u w:val="none" w:color="auto"/>
              </w:rPr>
              <w:t>排</w:t>
            </w:r>
            <w:r>
              <w:rPr>
                <w:rFonts w:hint="eastAsia" w:cs="Times New Roman"/>
                <w:b w:val="0"/>
                <w:bCs w:val="0"/>
                <w:color w:val="auto"/>
                <w:sz w:val="21"/>
                <w:szCs w:val="21"/>
                <w:u w:val="none" w:color="auto"/>
                <w:lang w:val="en-US" w:eastAsia="zh-CN"/>
              </w:rPr>
              <w:t>入</w:t>
            </w:r>
            <w:r>
              <w:rPr>
                <w:rFonts w:hint="eastAsia" w:cs="Times New Roman"/>
                <w:b w:val="0"/>
                <w:bCs w:val="0"/>
                <w:color w:val="auto"/>
                <w:sz w:val="21"/>
                <w:szCs w:val="21"/>
                <w:u w:val="none" w:color="auto"/>
              </w:rPr>
              <w:t>汨罗江。再生塑料产业企业生产废水经预处理后汇入</w:t>
            </w:r>
            <w:r>
              <w:rPr>
                <w:rFonts w:hint="eastAsia" w:cs="Times New Roman"/>
                <w:b w:val="0"/>
                <w:bCs w:val="0"/>
                <w:color w:val="auto"/>
                <w:sz w:val="21"/>
                <w:szCs w:val="21"/>
                <w:u w:val="none" w:color="auto"/>
                <w:lang w:val="en-US" w:eastAsia="zh-CN"/>
              </w:rPr>
              <w:t>高新区</w:t>
            </w:r>
            <w:r>
              <w:rPr>
                <w:rFonts w:hint="eastAsia" w:cs="Times New Roman"/>
                <w:b w:val="0"/>
                <w:bCs w:val="0"/>
                <w:color w:val="auto"/>
                <w:sz w:val="21"/>
                <w:szCs w:val="21"/>
                <w:u w:val="none" w:color="auto"/>
              </w:rPr>
              <w:t>污水处理及中水回用</w:t>
            </w:r>
            <w:r>
              <w:rPr>
                <w:rFonts w:hint="eastAsia" w:cs="Times New Roman"/>
                <w:b w:val="0"/>
                <w:bCs w:val="0"/>
                <w:color w:val="auto"/>
                <w:sz w:val="21"/>
                <w:szCs w:val="21"/>
                <w:u w:val="none" w:color="auto"/>
                <w:lang w:val="en-US" w:eastAsia="zh-CN"/>
              </w:rPr>
              <w:t>工程</w:t>
            </w:r>
            <w:r>
              <w:rPr>
                <w:rFonts w:hint="eastAsia" w:cs="Times New Roman"/>
                <w:b w:val="0"/>
                <w:bCs w:val="0"/>
                <w:color w:val="auto"/>
                <w:sz w:val="21"/>
                <w:szCs w:val="21"/>
                <w:u w:val="none" w:color="auto"/>
              </w:rPr>
              <w:t>处理后全部回用于企业生产。雨水以排洪渠、小溪沟等水体作为最终受纳水体。</w:t>
            </w:r>
          </w:p>
          <w:p w14:paraId="41EBA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u w:val="none" w:color="auto"/>
              </w:rPr>
            </w:pPr>
            <w:r>
              <w:rPr>
                <w:rFonts w:hint="eastAsia" w:cs="Times New Roman"/>
                <w:b w:val="0"/>
                <w:bCs w:val="0"/>
                <w:color w:val="auto"/>
                <w:sz w:val="21"/>
                <w:szCs w:val="21"/>
                <w:u w:val="none" w:color="auto"/>
                <w:lang w:eastAsia="zh-CN"/>
              </w:rPr>
              <w:t>（</w:t>
            </w:r>
            <w:r>
              <w:rPr>
                <w:rFonts w:hint="eastAsia" w:cs="Times New Roman"/>
                <w:b w:val="0"/>
                <w:bCs w:val="0"/>
                <w:color w:val="auto"/>
                <w:sz w:val="21"/>
                <w:szCs w:val="21"/>
                <w:u w:val="none" w:color="auto"/>
                <w:lang w:val="en-US" w:eastAsia="zh-CN"/>
              </w:rPr>
              <w:t>2.1.2</w:t>
            </w:r>
            <w:r>
              <w:rPr>
                <w:rFonts w:hint="eastAsia" w:cs="Times New Roman"/>
                <w:b w:val="0"/>
                <w:bCs w:val="0"/>
                <w:color w:val="auto"/>
                <w:sz w:val="21"/>
                <w:szCs w:val="21"/>
                <w:u w:val="none" w:color="auto"/>
                <w:lang w:eastAsia="zh-CN"/>
              </w:rPr>
              <w:t>）</w:t>
            </w:r>
            <w:r>
              <w:rPr>
                <w:rFonts w:hint="eastAsia" w:cs="Times New Roman"/>
                <w:b w:val="0"/>
                <w:bCs w:val="0"/>
                <w:color w:val="auto"/>
                <w:sz w:val="21"/>
                <w:szCs w:val="21"/>
                <w:u w:val="none" w:color="auto"/>
              </w:rPr>
              <w:t>区块三（弼时片区）排水实施雨污分流，生活污水和工业废水经厂内预处理达到相关标准后进入长沙经开区汨罗产业园污水处理厂处理，达标后排入白沙河。雨水以排洪渠、小溪沟等水体作为最终受纳水体。</w:t>
            </w:r>
          </w:p>
          <w:p w14:paraId="6F6F2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2.2）废气：加强高新区大气污染防控措施，通过产业控制、清洁能源推广等减少气型污染物源头排放量。加强企业管理，对有工艺废气产污节点的企业，须配置废气收集与处理装置，确保达标排放。采取有效措施减少工艺废气的无组织持放，入园企业各生产装置排放的废气须经处理达到相应的排放标准。</w:t>
            </w:r>
          </w:p>
          <w:p w14:paraId="3CACD6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rPr>
              <w:t>（2.3）固体废弃物</w:t>
            </w:r>
            <w:r>
              <w:rPr>
                <w:rFonts w:hint="eastAsia" w:cs="Times New Roman"/>
                <w:color w:val="auto"/>
                <w:sz w:val="21"/>
                <w:szCs w:val="21"/>
                <w:u w:val="none" w:color="auto"/>
                <w:lang w:eastAsia="zh-CN"/>
              </w:rPr>
              <w:t>：</w:t>
            </w:r>
          </w:p>
          <w:p w14:paraId="1B6D9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（2.3.1）做好高新区工业固体废物和生活垃圾的分类收集、转运、综合利用和无害化处理，建立统一的固废收集、贮存、运输，综合利用和安全处置的管理体系。</w:t>
            </w:r>
          </w:p>
          <w:p w14:paraId="117D9C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（2.3.2）推行清洁生产、减少固体废物产生量；加强固体废物的资源化进程，提高固体废物的综合利用率。</w:t>
            </w:r>
          </w:p>
          <w:p w14:paraId="57D48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2.3.3）规范固体废物处理措施，对工业企业产生固体废物特别是危险固废应按国家有关规定综合利用或妥善处置。主管部门以及当地环保部门对进驻的企业进行严格控制，对产生危险废物的企业进行重点监控，危险废物的堆存应严洛执行拍关标准，收集后交由有资质单位或危险废物处置中心处置。</w:t>
            </w:r>
          </w:p>
          <w:p w14:paraId="6CA93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（2.4）高新区内相关行业污染物排放满足《湖南省生态环境厅关于执行污染物特别排放限值(第一批)的公告》中的要求。</w:t>
            </w:r>
          </w:p>
        </w:tc>
        <w:tc>
          <w:tcPr>
            <w:tcW w:w="1452" w:type="dxa"/>
            <w:gridSpan w:val="2"/>
            <w:tcBorders>
              <w:tl2br w:val="nil"/>
              <w:tr2bl w:val="nil"/>
            </w:tcBorders>
            <w:noWrap w:val="0"/>
            <w:vAlign w:val="center"/>
          </w:tcPr>
          <w:p w14:paraId="28D24B56">
            <w:pPr>
              <w:jc w:val="center"/>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1、本项目位于</w:t>
            </w:r>
            <w:r>
              <w:rPr>
                <w:rFonts w:hint="eastAsia"/>
                <w:color w:val="auto"/>
                <w:u w:val="none" w:color="auto"/>
                <w:lang w:val="en-US" w:eastAsia="zh-CN"/>
              </w:rPr>
              <w:t>弼时</w:t>
            </w:r>
            <w:r>
              <w:rPr>
                <w:rFonts w:hint="eastAsia"/>
                <w:color w:val="auto"/>
                <w:u w:val="none" w:color="auto"/>
              </w:rPr>
              <w:t>片区</w:t>
            </w:r>
            <w:r>
              <w:rPr>
                <w:rFonts w:hint="eastAsia" w:ascii="Times New Roman" w:hAnsi="Times New Roman" w:eastAsia="宋体" w:cs="Times New Roman"/>
                <w:color w:val="auto"/>
                <w:sz w:val="21"/>
                <w:szCs w:val="21"/>
                <w:u w:val="none" w:color="auto"/>
                <w:lang w:val="en-US" w:eastAsia="zh-CN" w:bidi="ar-SA"/>
              </w:rPr>
              <w:t>，项目无生产废水产生；</w:t>
            </w:r>
            <w:r>
              <w:rPr>
                <w:rFonts w:hint="eastAsia"/>
                <w:color w:val="auto"/>
                <w:u w:val="none" w:color="auto"/>
                <w:lang w:val="en-US" w:eastAsia="zh-CN"/>
              </w:rPr>
              <w:t>生活污水经化粪池处理后排入长沙经开区汨罗产业园污水处理厂</w:t>
            </w:r>
            <w:r>
              <w:rPr>
                <w:rFonts w:hint="eastAsia" w:ascii="Times New Roman" w:hAnsi="Times New Roman" w:eastAsia="宋体" w:cs="Times New Roman"/>
                <w:color w:val="auto"/>
                <w:sz w:val="21"/>
                <w:szCs w:val="21"/>
                <w:u w:val="none" w:color="auto"/>
                <w:lang w:val="en-US" w:eastAsia="zh-CN" w:bidi="ar-SA"/>
              </w:rPr>
              <w:t>。</w:t>
            </w:r>
          </w:p>
          <w:p w14:paraId="43DCB1FE">
            <w:pPr>
              <w:pStyle w:val="24"/>
              <w:bidi w:val="0"/>
              <w:rPr>
                <w:rFonts w:hint="eastAsia"/>
                <w:color w:val="auto"/>
                <w:u w:val="none" w:color="auto"/>
                <w:lang w:val="en-US" w:eastAsia="zh-CN"/>
              </w:rPr>
            </w:pPr>
            <w:r>
              <w:rPr>
                <w:rFonts w:hint="eastAsia"/>
                <w:color w:val="auto"/>
                <w:u w:val="none" w:color="auto"/>
                <w:lang w:val="en-US" w:eastAsia="zh-CN"/>
              </w:rPr>
              <w:t>2、项目使用清洁能源电能、天然气。项目产生的废气经对应的废气收集和处理装置处理后，均能满足相关排放标准实现达标排放。</w:t>
            </w:r>
          </w:p>
          <w:p w14:paraId="793EAA90">
            <w:pPr>
              <w:pStyle w:val="24"/>
              <w:bidi w:val="0"/>
              <w:rPr>
                <w:rFonts w:hint="eastAsia"/>
                <w:color w:val="auto"/>
                <w:u w:val="none" w:color="auto"/>
                <w:lang w:val="en-US" w:eastAsia="zh-CN"/>
              </w:rPr>
            </w:pPr>
            <w:r>
              <w:rPr>
                <w:rFonts w:hint="eastAsia"/>
                <w:color w:val="auto"/>
                <w:u w:val="none" w:color="auto"/>
                <w:lang w:val="en-US" w:eastAsia="zh-CN"/>
              </w:rPr>
              <w:t>3、项目运行产生的工业固体废物和生活垃圾分类收集、转运、综合利用和无害化处理，危险废物委托有资质单位处置。</w:t>
            </w:r>
          </w:p>
          <w:p w14:paraId="3C1709D2">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4、项目污染物排放均满足相关标准和要求。</w:t>
            </w:r>
          </w:p>
        </w:tc>
        <w:tc>
          <w:tcPr>
            <w:tcW w:w="715" w:type="dxa"/>
            <w:tcBorders>
              <w:tl2br w:val="nil"/>
              <w:tr2bl w:val="nil"/>
            </w:tcBorders>
            <w:noWrap w:val="0"/>
            <w:vAlign w:val="center"/>
          </w:tcPr>
          <w:p w14:paraId="44C42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符合</w:t>
            </w:r>
          </w:p>
        </w:tc>
      </w:tr>
      <w:tr w14:paraId="635B33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6B3CC6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环境风险防控</w:t>
            </w:r>
          </w:p>
        </w:tc>
        <w:tc>
          <w:tcPr>
            <w:tcW w:w="5508" w:type="dxa"/>
            <w:gridSpan w:val="9"/>
            <w:tcBorders>
              <w:tl2br w:val="nil"/>
              <w:tr2bl w:val="nil"/>
            </w:tcBorders>
            <w:noWrap w:val="0"/>
            <w:vAlign w:val="center"/>
          </w:tcPr>
          <w:p w14:paraId="7F4F4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（3.1）高新区各区块须建立健全环境风险防控体系。严格落实汨罗高新技术产业开发区最新的突发环境事件应急预案的相关要求，严防突发环境事件发生，提高应急处置能力。</w:t>
            </w:r>
          </w:p>
          <w:p w14:paraId="3A09D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3.2）高新区各区块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14:paraId="1C8D4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rPr>
              <w:t>（3.3）建设用地土壤风险防控</w:t>
            </w:r>
            <w:r>
              <w:rPr>
                <w:rFonts w:hint="eastAsia" w:cs="Times New Roman"/>
                <w:color w:val="auto"/>
                <w:sz w:val="21"/>
                <w:szCs w:val="21"/>
                <w:u w:val="none" w:color="auto"/>
                <w:lang w:eastAsia="zh-CN"/>
              </w:rPr>
              <w:t>：</w:t>
            </w:r>
          </w:p>
          <w:p w14:paraId="7780A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（3.3.1）有效管控建设用地土壤污染风险。开展重点行业企业用地调查和典型行业周边土壤环境调查，进一步摸清污染地块底数和污染成因。</w:t>
            </w:r>
          </w:p>
          <w:p w14:paraId="0962F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u w:val="none" w:color="auto"/>
              </w:rPr>
            </w:pPr>
            <w:r>
              <w:rPr>
                <w:rFonts w:hint="eastAsia" w:cs="Times New Roman"/>
                <w:color w:val="auto"/>
                <w:sz w:val="21"/>
                <w:szCs w:val="21"/>
                <w:u w:val="none" w:color="auto"/>
              </w:rPr>
              <w:t>（3.3.2）对纳入建设用地土壤污染风险管控和修复名录内的地块，移出名录前，不得核发建设工程规划许可证。对列入优先监管清单的地块，开展土壤污染调查和风险评估，按要求采取风险防控措施。</w:t>
            </w:r>
          </w:p>
        </w:tc>
        <w:tc>
          <w:tcPr>
            <w:tcW w:w="1452" w:type="dxa"/>
            <w:gridSpan w:val="2"/>
            <w:tcBorders>
              <w:tl2br w:val="nil"/>
              <w:tr2bl w:val="nil"/>
            </w:tcBorders>
            <w:noWrap w:val="0"/>
            <w:vAlign w:val="center"/>
          </w:tcPr>
          <w:p w14:paraId="29064C4C">
            <w:pPr>
              <w:widowControl w:val="0"/>
              <w:autoSpaceDE w:val="0"/>
              <w:autoSpaceDN w:val="0"/>
              <w:bidi w:val="0"/>
              <w:ind w:left="0" w:leftChars="0" w:firstLine="0" w:firstLineChars="0"/>
              <w:jc w:val="center"/>
              <w:rPr>
                <w:rFonts w:hint="default" w:ascii="Times New Roman" w:hAnsi="Times New Roman" w:eastAsia="宋体" w:cs="Times New Roman"/>
                <w:color w:val="auto"/>
                <w:kern w:val="0"/>
                <w:sz w:val="21"/>
                <w:szCs w:val="21"/>
                <w:u w:val="none" w:color="auto"/>
                <w:lang w:val="en-US" w:eastAsia="zh-CN" w:bidi="he-IL"/>
              </w:rPr>
            </w:pPr>
            <w:r>
              <w:rPr>
                <w:rFonts w:hint="default" w:ascii="Times New Roman" w:hAnsi="Times New Roman" w:eastAsia="宋体" w:cs="Times New Roman"/>
                <w:color w:val="auto"/>
                <w:sz w:val="21"/>
                <w:szCs w:val="21"/>
                <w:u w:val="none" w:color="auto"/>
                <w:lang w:eastAsia="zh-CN"/>
              </w:rPr>
              <w:t>企业在项目建设运行过程中应加强风险防范措施的落实，储备相应的应急物资。项目</w:t>
            </w:r>
            <w:r>
              <w:rPr>
                <w:rFonts w:hint="eastAsia"/>
                <w:color w:val="auto"/>
                <w:sz w:val="21"/>
                <w:szCs w:val="21"/>
                <w:u w:val="none" w:color="auto"/>
                <w:lang w:val="en-US" w:eastAsia="zh-CN"/>
              </w:rPr>
              <w:t>建设单位</w:t>
            </w:r>
            <w:r>
              <w:rPr>
                <w:rFonts w:hint="eastAsia"/>
                <w:color w:val="auto"/>
                <w:sz w:val="21"/>
                <w:szCs w:val="21"/>
                <w:u w:val="none" w:color="auto"/>
              </w:rPr>
              <w:t>在项目建设</w:t>
            </w:r>
            <w:r>
              <w:rPr>
                <w:rFonts w:hint="eastAsia"/>
                <w:color w:val="auto"/>
                <w:sz w:val="21"/>
                <w:szCs w:val="21"/>
                <w:u w:val="none" w:color="auto"/>
                <w:lang w:val="en-US" w:eastAsia="zh-CN"/>
              </w:rPr>
              <w:t>和运行</w:t>
            </w:r>
            <w:r>
              <w:rPr>
                <w:rFonts w:hint="eastAsia"/>
                <w:color w:val="auto"/>
                <w:sz w:val="21"/>
                <w:szCs w:val="21"/>
                <w:u w:val="none" w:color="auto"/>
              </w:rPr>
              <w:t>过程中应加强风险防范措施的落实，储备相应的应急物资，</w:t>
            </w:r>
            <w:r>
              <w:rPr>
                <w:rFonts w:hint="eastAsia"/>
                <w:color w:val="auto"/>
                <w:sz w:val="21"/>
                <w:szCs w:val="21"/>
                <w:u w:val="none" w:color="auto"/>
                <w:lang w:val="en-US" w:eastAsia="zh-CN"/>
              </w:rPr>
              <w:t>提升企业的环境风险防控和</w:t>
            </w:r>
            <w:r>
              <w:rPr>
                <w:rFonts w:hint="eastAsia"/>
                <w:color w:val="auto"/>
                <w:sz w:val="21"/>
                <w:szCs w:val="21"/>
                <w:u w:val="none" w:color="auto"/>
              </w:rPr>
              <w:t>环境事故应急处置能力</w:t>
            </w:r>
            <w:r>
              <w:rPr>
                <w:rFonts w:hint="default" w:ascii="Times New Roman" w:hAnsi="Times New Roman" w:eastAsia="宋体" w:cs="Times New Roman"/>
                <w:color w:val="auto"/>
                <w:sz w:val="21"/>
                <w:szCs w:val="21"/>
                <w:u w:val="none" w:color="auto"/>
                <w:lang w:eastAsia="zh-CN"/>
              </w:rPr>
              <w:t>，防范环境风险</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项目用地不存在</w:t>
            </w:r>
            <w:r>
              <w:rPr>
                <w:rFonts w:hint="default" w:ascii="Times New Roman" w:hAnsi="Times New Roman" w:eastAsia="宋体" w:cs="Times New Roman"/>
                <w:color w:val="auto"/>
                <w:sz w:val="21"/>
                <w:szCs w:val="21"/>
                <w:u w:val="none" w:color="auto"/>
                <w:lang w:val="en-US" w:eastAsia="zh-CN" w:bidi="ar-SA"/>
              </w:rPr>
              <w:t>土壤污染</w:t>
            </w:r>
            <w:r>
              <w:rPr>
                <w:rFonts w:hint="eastAsia" w:ascii="Times New Roman" w:hAnsi="Times New Roman" w:eastAsia="宋体" w:cs="Times New Roman"/>
                <w:color w:val="auto"/>
                <w:sz w:val="21"/>
                <w:szCs w:val="21"/>
                <w:u w:val="none" w:color="auto"/>
                <w:lang w:val="en-US" w:eastAsia="zh-CN" w:bidi="ar-SA"/>
              </w:rPr>
              <w:t>，项目不属于土壤污染重点行业</w:t>
            </w:r>
            <w:r>
              <w:rPr>
                <w:rFonts w:hint="eastAsia" w:ascii="Times New Roman" w:hAnsi="Times New Roman" w:eastAsia="宋体" w:cs="Times New Roman"/>
                <w:color w:val="auto"/>
                <w:sz w:val="21"/>
                <w:szCs w:val="21"/>
                <w:u w:val="none" w:color="auto"/>
                <w:lang w:eastAsia="zh-CN"/>
              </w:rPr>
              <w:t>。</w:t>
            </w:r>
          </w:p>
        </w:tc>
        <w:tc>
          <w:tcPr>
            <w:tcW w:w="715" w:type="dxa"/>
            <w:tcBorders>
              <w:tl2br w:val="nil"/>
              <w:tr2bl w:val="nil"/>
            </w:tcBorders>
            <w:noWrap w:val="0"/>
            <w:vAlign w:val="center"/>
          </w:tcPr>
          <w:p w14:paraId="1A2AF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符合</w:t>
            </w:r>
          </w:p>
        </w:tc>
      </w:tr>
      <w:tr w14:paraId="6ADFB4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76A05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cs="Times New Roman"/>
                <w:color w:val="auto"/>
                <w:sz w:val="21"/>
                <w:szCs w:val="21"/>
                <w:u w:val="none" w:color="auto"/>
              </w:rPr>
              <w:t>资源开发效率要求</w:t>
            </w:r>
          </w:p>
        </w:tc>
        <w:tc>
          <w:tcPr>
            <w:tcW w:w="5508" w:type="dxa"/>
            <w:gridSpan w:val="9"/>
            <w:tcBorders>
              <w:tl2br w:val="nil"/>
              <w:tr2bl w:val="nil"/>
            </w:tcBorders>
            <w:noWrap w:val="0"/>
            <w:vAlign w:val="center"/>
          </w:tcPr>
          <w:p w14:paraId="2BBF7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4.1）能源：区域内主要消耗的能源种类包括电、天然气，无煤炭消费。2025年区域年综合能耗消费量预测当量值429400吨标煤，区域单位GDP能耗预测值为0.1399吨标煤/万元，“十四五”时期消耗增量当量值控制在186900吨标煤。</w:t>
            </w:r>
          </w:p>
          <w:p w14:paraId="10CEF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rPr>
              <w:t>（4.2）水资源</w:t>
            </w:r>
            <w:r>
              <w:rPr>
                <w:rFonts w:hint="eastAsia" w:cs="Times New Roman"/>
                <w:color w:val="auto"/>
                <w:sz w:val="21"/>
                <w:szCs w:val="21"/>
                <w:u w:val="none" w:color="auto"/>
                <w:lang w:eastAsia="zh-CN"/>
              </w:rPr>
              <w:t>：</w:t>
            </w:r>
          </w:p>
          <w:p w14:paraId="287ED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（4.2.1）强化生产用水管理，大力推广高效冷却、循环用水等节水工艺和技术，支持企业开展节水技术改造。</w:t>
            </w:r>
          </w:p>
          <w:p w14:paraId="52B3CD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（4.2.2）积极推行水循环梯级利用，推动现有企业和高新区开展绿色高质量转型升级和循环化改造，促进企业间串联用水、分质用水，一水多用和循环利用。</w:t>
            </w:r>
          </w:p>
          <w:p w14:paraId="30BED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（4.2.3）2025年，园区指标应符合相应行政区域的管控要求，汨罗市用水总量3.14亿立方米，万元地区生产总值用水量比2020年下降23.18%，万元工业增加值用水量比2020年下降14.06%。</w:t>
            </w:r>
          </w:p>
          <w:p w14:paraId="7D655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4.3）土地资源：在详细规划编制、用地预审与选址、用地报批、土地出让、规划许可、竣工验收等环节，全面推行工业项目建设用地引导指标和工业项目供地负面清单管理。省级园区工业用地固定资产技入强度达到260万元/亩，工业用地地均税收达到13万元/亩。</w:t>
            </w:r>
          </w:p>
        </w:tc>
        <w:tc>
          <w:tcPr>
            <w:tcW w:w="1452" w:type="dxa"/>
            <w:gridSpan w:val="2"/>
            <w:tcBorders>
              <w:tl2br w:val="nil"/>
              <w:tr2bl w:val="nil"/>
            </w:tcBorders>
            <w:noWrap w:val="0"/>
            <w:vAlign w:val="center"/>
          </w:tcPr>
          <w:p w14:paraId="52DEED5C">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项目主要消耗能源为电</w:t>
            </w:r>
            <w:r>
              <w:rPr>
                <w:rFonts w:hint="eastAsia" w:ascii="Times New Roman" w:hAnsi="Times New Roman" w:eastAsia="宋体" w:cs="Times New Roman"/>
                <w:color w:val="auto"/>
                <w:sz w:val="21"/>
                <w:szCs w:val="21"/>
                <w:u w:val="none" w:color="auto"/>
                <w:lang w:val="en-US" w:eastAsia="zh-CN"/>
              </w:rPr>
              <w:t>能、天然气</w:t>
            </w:r>
            <w:r>
              <w:rPr>
                <w:rFonts w:hint="default" w:ascii="Times New Roman" w:hAnsi="Times New Roman" w:eastAsia="宋体" w:cs="Times New Roman"/>
                <w:color w:val="auto"/>
                <w:sz w:val="21"/>
                <w:szCs w:val="21"/>
                <w:u w:val="none" w:color="auto"/>
                <w:lang w:eastAsia="zh-CN"/>
              </w:rPr>
              <w:t>。项目</w:t>
            </w:r>
            <w:r>
              <w:rPr>
                <w:rFonts w:hint="eastAsia" w:ascii="Times New Roman" w:hAnsi="Times New Roman" w:eastAsia="宋体" w:cs="Times New Roman"/>
                <w:color w:val="auto"/>
                <w:sz w:val="21"/>
                <w:szCs w:val="21"/>
                <w:u w:val="none" w:color="auto"/>
                <w:lang w:val="en-US" w:eastAsia="zh-CN"/>
              </w:rPr>
              <w:t>无生产用水；</w:t>
            </w:r>
            <w:r>
              <w:rPr>
                <w:rFonts w:hint="default" w:ascii="Times New Roman" w:hAnsi="Times New Roman" w:eastAsia="宋体" w:cs="Times New Roman"/>
                <w:color w:val="auto"/>
                <w:sz w:val="21"/>
                <w:szCs w:val="21"/>
                <w:u w:val="none" w:color="auto"/>
                <w:lang w:eastAsia="zh-CN"/>
              </w:rPr>
              <w:t>生活用水量不大，水资源消耗量较小。项目已获得土</w:t>
            </w:r>
          </w:p>
          <w:p w14:paraId="718841B2">
            <w:pPr>
              <w:widowControl w:val="0"/>
              <w:autoSpaceDE w:val="0"/>
              <w:autoSpaceDN w:val="0"/>
              <w:bidi w:val="0"/>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地使用权，用地符合规划。</w:t>
            </w:r>
          </w:p>
        </w:tc>
        <w:tc>
          <w:tcPr>
            <w:tcW w:w="715" w:type="dxa"/>
            <w:tcBorders>
              <w:tl2br w:val="nil"/>
              <w:tr2bl w:val="nil"/>
            </w:tcBorders>
            <w:noWrap w:val="0"/>
            <w:vAlign w:val="center"/>
          </w:tcPr>
          <w:p w14:paraId="663E9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w:t>
            </w:r>
          </w:p>
        </w:tc>
      </w:tr>
      <w:tr w14:paraId="45F953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1" w:type="dxa"/>
            <w:bottom w:w="0" w:type="dxa"/>
            <w:right w:w="51" w:type="dxa"/>
          </w:tblCellMar>
        </w:tblPrEx>
        <w:trPr>
          <w:trHeight w:val="340" w:hRule="atLeast"/>
          <w:jc w:val="center"/>
        </w:trPr>
        <w:tc>
          <w:tcPr>
            <w:tcW w:w="733" w:type="dxa"/>
            <w:tcBorders>
              <w:tl2br w:val="nil"/>
              <w:tr2bl w:val="nil"/>
            </w:tcBorders>
            <w:noWrap w:val="0"/>
            <w:vAlign w:val="center"/>
          </w:tcPr>
          <w:p w14:paraId="47826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备注</w:t>
            </w:r>
          </w:p>
        </w:tc>
        <w:tc>
          <w:tcPr>
            <w:tcW w:w="5508" w:type="dxa"/>
            <w:gridSpan w:val="9"/>
            <w:tcBorders>
              <w:tl2br w:val="nil"/>
              <w:tr2bl w:val="nil"/>
            </w:tcBorders>
            <w:noWrap w:val="0"/>
            <w:vAlign w:val="center"/>
          </w:tcPr>
          <w:p w14:paraId="36889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区块一面积</w:t>
            </w:r>
            <w:r>
              <w:rPr>
                <w:rFonts w:hint="eastAsia" w:cs="Times New Roman"/>
                <w:color w:val="auto"/>
                <w:sz w:val="21"/>
                <w:szCs w:val="21"/>
                <w:u w:val="none" w:color="auto"/>
                <w:lang w:val="en-US" w:eastAsia="zh-CN"/>
              </w:rPr>
              <w:t>4.5358</w:t>
            </w:r>
            <w:r>
              <w:rPr>
                <w:rFonts w:hint="eastAsia" w:cs="Times New Roman"/>
                <w:color w:val="auto"/>
                <w:sz w:val="21"/>
                <w:szCs w:val="21"/>
                <w:u w:val="none" w:color="auto"/>
              </w:rPr>
              <w:t>km</w:t>
            </w:r>
            <w:r>
              <w:rPr>
                <w:rFonts w:hint="eastAsia" w:cs="Times New Roman"/>
                <w:color w:val="auto"/>
                <w:sz w:val="21"/>
                <w:szCs w:val="21"/>
                <w:u w:val="none" w:color="auto"/>
                <w:vertAlign w:val="superscript"/>
              </w:rPr>
              <w:t>2</w:t>
            </w:r>
            <w:r>
              <w:rPr>
                <w:rFonts w:hint="eastAsia" w:cs="Times New Roman"/>
                <w:color w:val="auto"/>
                <w:sz w:val="21"/>
                <w:szCs w:val="21"/>
                <w:u w:val="none" w:color="auto"/>
              </w:rPr>
              <w:t>，四至范围：东至</w:t>
            </w:r>
            <w:r>
              <w:rPr>
                <w:rFonts w:hint="eastAsia" w:cs="Times New Roman"/>
                <w:color w:val="auto"/>
                <w:sz w:val="21"/>
                <w:szCs w:val="21"/>
                <w:u w:val="none" w:color="auto"/>
                <w:lang w:val="en-US" w:eastAsia="zh-CN"/>
              </w:rPr>
              <w:t>新市街</w:t>
            </w:r>
            <w:r>
              <w:rPr>
                <w:rFonts w:hint="eastAsia" w:cs="Times New Roman"/>
                <w:color w:val="auto"/>
                <w:sz w:val="21"/>
                <w:szCs w:val="21"/>
                <w:u w:val="none" w:color="auto"/>
              </w:rPr>
              <w:t>，南至</w:t>
            </w:r>
            <w:r>
              <w:rPr>
                <w:rFonts w:hint="eastAsia" w:cs="Times New Roman"/>
                <w:color w:val="auto"/>
                <w:sz w:val="21"/>
                <w:szCs w:val="21"/>
                <w:u w:val="none" w:color="auto"/>
                <w:lang w:val="en-US" w:eastAsia="zh-CN"/>
              </w:rPr>
              <w:t>金塘路</w:t>
            </w:r>
            <w:r>
              <w:rPr>
                <w:rFonts w:hint="eastAsia" w:cs="Times New Roman"/>
                <w:color w:val="auto"/>
                <w:sz w:val="21"/>
                <w:szCs w:val="21"/>
                <w:u w:val="none" w:color="auto"/>
              </w:rPr>
              <w:t>，西至武广高铁，北至</w:t>
            </w:r>
            <w:r>
              <w:rPr>
                <w:rFonts w:hint="eastAsia" w:cs="Times New Roman"/>
                <w:color w:val="auto"/>
                <w:sz w:val="21"/>
                <w:szCs w:val="21"/>
                <w:u w:val="none" w:color="auto"/>
                <w:lang w:eastAsia="zh-CN"/>
              </w:rPr>
              <w:t>汨</w:t>
            </w:r>
            <w:r>
              <w:rPr>
                <w:rFonts w:hint="eastAsia" w:cs="Times New Roman"/>
                <w:color w:val="auto"/>
                <w:sz w:val="21"/>
                <w:szCs w:val="21"/>
                <w:u w:val="none" w:color="auto"/>
              </w:rPr>
              <w:t>江大</w:t>
            </w:r>
            <w:r>
              <w:rPr>
                <w:rFonts w:hint="eastAsia" w:cs="Times New Roman"/>
                <w:color w:val="auto"/>
                <w:sz w:val="21"/>
                <w:szCs w:val="21"/>
                <w:u w:val="none" w:color="auto"/>
                <w:lang w:val="en-US" w:eastAsia="zh-CN"/>
              </w:rPr>
              <w:t>道</w:t>
            </w:r>
            <w:r>
              <w:rPr>
                <w:rFonts w:hint="eastAsia" w:cs="Times New Roman"/>
                <w:color w:val="auto"/>
                <w:sz w:val="21"/>
                <w:szCs w:val="21"/>
                <w:u w:val="none" w:color="auto"/>
              </w:rPr>
              <w:t>；</w:t>
            </w:r>
          </w:p>
          <w:p w14:paraId="28751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区块二面积</w:t>
            </w:r>
            <w:r>
              <w:rPr>
                <w:rFonts w:hint="eastAsia" w:cs="Times New Roman"/>
                <w:color w:val="auto"/>
                <w:sz w:val="21"/>
                <w:szCs w:val="21"/>
                <w:u w:val="none" w:color="auto"/>
                <w:lang w:val="en-US" w:eastAsia="zh-CN"/>
              </w:rPr>
              <w:t>2.1609</w:t>
            </w:r>
            <w:r>
              <w:rPr>
                <w:rFonts w:hint="eastAsia" w:cs="Times New Roman"/>
                <w:color w:val="auto"/>
                <w:sz w:val="21"/>
                <w:szCs w:val="21"/>
                <w:u w:val="none" w:color="auto"/>
              </w:rPr>
              <w:t>km</w:t>
            </w:r>
            <w:r>
              <w:rPr>
                <w:rFonts w:hint="eastAsia" w:cs="Times New Roman"/>
                <w:color w:val="auto"/>
                <w:sz w:val="21"/>
                <w:szCs w:val="21"/>
                <w:u w:val="none" w:color="auto"/>
                <w:vertAlign w:val="superscript"/>
              </w:rPr>
              <w:t>2</w:t>
            </w:r>
            <w:r>
              <w:rPr>
                <w:rFonts w:hint="eastAsia" w:cs="Times New Roman"/>
                <w:color w:val="auto"/>
                <w:sz w:val="21"/>
                <w:szCs w:val="21"/>
                <w:u w:val="none" w:color="auto"/>
              </w:rPr>
              <w:t>，四至范围：东至湄江河，南至</w:t>
            </w:r>
            <w:r>
              <w:rPr>
                <w:rFonts w:hint="eastAsia" w:cs="Times New Roman"/>
                <w:color w:val="auto"/>
                <w:sz w:val="21"/>
                <w:szCs w:val="21"/>
                <w:u w:val="none" w:color="auto"/>
                <w:lang w:val="en-US" w:eastAsia="zh-CN"/>
              </w:rPr>
              <w:t>金塘路</w:t>
            </w:r>
            <w:r>
              <w:rPr>
                <w:rFonts w:hint="eastAsia" w:cs="Times New Roman"/>
                <w:color w:val="auto"/>
                <w:sz w:val="21"/>
                <w:szCs w:val="21"/>
                <w:u w:val="none" w:color="auto"/>
              </w:rPr>
              <w:t>，西至G107国道，北至</w:t>
            </w:r>
            <w:r>
              <w:rPr>
                <w:rFonts w:hint="eastAsia" w:cs="Times New Roman"/>
                <w:color w:val="auto"/>
                <w:sz w:val="21"/>
                <w:szCs w:val="21"/>
                <w:u w:val="none" w:color="auto"/>
                <w:lang w:eastAsia="zh-CN"/>
              </w:rPr>
              <w:t>汨</w:t>
            </w:r>
            <w:r>
              <w:rPr>
                <w:rFonts w:hint="eastAsia" w:cs="Times New Roman"/>
                <w:color w:val="auto"/>
                <w:sz w:val="21"/>
                <w:szCs w:val="21"/>
                <w:u w:val="none" w:color="auto"/>
              </w:rPr>
              <w:t>新大道；</w:t>
            </w:r>
          </w:p>
          <w:p w14:paraId="43DCE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u w:val="none" w:color="auto"/>
              </w:rPr>
            </w:pPr>
            <w:r>
              <w:rPr>
                <w:rFonts w:hint="eastAsia" w:cs="Times New Roman"/>
                <w:color w:val="auto"/>
                <w:sz w:val="21"/>
                <w:szCs w:val="21"/>
                <w:u w:val="none" w:color="auto"/>
              </w:rPr>
              <w:t>区块三面积</w:t>
            </w:r>
            <w:r>
              <w:rPr>
                <w:rFonts w:hint="eastAsia" w:cs="Times New Roman"/>
                <w:color w:val="auto"/>
                <w:sz w:val="21"/>
                <w:szCs w:val="21"/>
                <w:u w:val="none" w:color="auto"/>
                <w:lang w:val="en-US" w:eastAsia="zh-CN"/>
              </w:rPr>
              <w:t>2.8176</w:t>
            </w:r>
            <w:r>
              <w:rPr>
                <w:rFonts w:hint="eastAsia" w:cs="Times New Roman"/>
                <w:color w:val="auto"/>
                <w:sz w:val="21"/>
                <w:szCs w:val="21"/>
                <w:u w:val="none" w:color="auto"/>
              </w:rPr>
              <w:t>km</w:t>
            </w:r>
            <w:r>
              <w:rPr>
                <w:rFonts w:hint="eastAsia" w:cs="Times New Roman"/>
                <w:color w:val="auto"/>
                <w:sz w:val="21"/>
                <w:szCs w:val="21"/>
                <w:u w:val="none" w:color="auto"/>
                <w:vertAlign w:val="superscript"/>
              </w:rPr>
              <w:t>2</w:t>
            </w:r>
            <w:r>
              <w:rPr>
                <w:rFonts w:hint="eastAsia" w:cs="Times New Roman"/>
                <w:color w:val="auto"/>
                <w:sz w:val="21"/>
                <w:szCs w:val="21"/>
                <w:u w:val="none" w:color="auto"/>
              </w:rPr>
              <w:t>，四至范围：东至</w:t>
            </w:r>
            <w:r>
              <w:rPr>
                <w:rFonts w:hint="eastAsia" w:cs="Times New Roman"/>
                <w:color w:val="auto"/>
                <w:sz w:val="21"/>
                <w:szCs w:val="21"/>
                <w:u w:val="none" w:color="auto"/>
                <w:lang w:val="en-US" w:eastAsia="zh-CN"/>
              </w:rPr>
              <w:t>富强路</w:t>
            </w:r>
            <w:r>
              <w:rPr>
                <w:rFonts w:hint="eastAsia" w:cs="Times New Roman"/>
                <w:color w:val="auto"/>
                <w:sz w:val="21"/>
                <w:szCs w:val="21"/>
                <w:u w:val="none" w:color="auto"/>
              </w:rPr>
              <w:t>，南至</w:t>
            </w:r>
            <w:r>
              <w:rPr>
                <w:rFonts w:hint="eastAsia" w:cs="Times New Roman"/>
                <w:color w:val="auto"/>
                <w:sz w:val="21"/>
                <w:szCs w:val="21"/>
                <w:u w:val="none" w:color="auto"/>
                <w:lang w:val="en-US" w:eastAsia="zh-CN"/>
              </w:rPr>
              <w:t>坪上南路</w:t>
            </w:r>
            <w:r>
              <w:rPr>
                <w:rFonts w:hint="eastAsia" w:cs="Times New Roman"/>
                <w:color w:val="auto"/>
                <w:sz w:val="21"/>
                <w:szCs w:val="21"/>
                <w:u w:val="none" w:color="auto"/>
              </w:rPr>
              <w:t>，西至</w:t>
            </w:r>
            <w:r>
              <w:rPr>
                <w:rFonts w:hint="eastAsia" w:cs="Times New Roman"/>
                <w:color w:val="auto"/>
                <w:sz w:val="21"/>
                <w:szCs w:val="21"/>
                <w:u w:val="none" w:color="auto"/>
                <w:lang w:val="en-US" w:eastAsia="zh-CN"/>
              </w:rPr>
              <w:t>坪上路</w:t>
            </w:r>
            <w:r>
              <w:rPr>
                <w:rFonts w:hint="eastAsia" w:cs="Times New Roman"/>
                <w:color w:val="auto"/>
                <w:sz w:val="21"/>
                <w:szCs w:val="21"/>
                <w:u w:val="none" w:color="auto"/>
              </w:rPr>
              <w:t>，北至</w:t>
            </w:r>
            <w:r>
              <w:rPr>
                <w:rFonts w:hint="eastAsia" w:cs="Times New Roman"/>
                <w:color w:val="auto"/>
                <w:sz w:val="21"/>
                <w:szCs w:val="21"/>
                <w:u w:val="none" w:color="auto"/>
                <w:lang w:val="en-US" w:eastAsia="zh-CN"/>
              </w:rPr>
              <w:t>王家园路</w:t>
            </w:r>
            <w:r>
              <w:rPr>
                <w:rFonts w:hint="eastAsia" w:cs="Times New Roman"/>
                <w:color w:val="auto"/>
                <w:sz w:val="21"/>
                <w:szCs w:val="21"/>
                <w:u w:val="none" w:color="auto"/>
              </w:rPr>
              <w:t>。</w:t>
            </w:r>
          </w:p>
        </w:tc>
        <w:tc>
          <w:tcPr>
            <w:tcW w:w="1452" w:type="dxa"/>
            <w:gridSpan w:val="2"/>
            <w:tcBorders>
              <w:tl2br w:val="nil"/>
              <w:tr2bl w:val="nil"/>
            </w:tcBorders>
            <w:noWrap w:val="0"/>
            <w:vAlign w:val="center"/>
          </w:tcPr>
          <w:p w14:paraId="040C6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项目位于弼时片区</w:t>
            </w:r>
            <w:r>
              <w:rPr>
                <w:rFonts w:hint="eastAsia"/>
                <w:color w:val="auto"/>
                <w:sz w:val="21"/>
                <w:szCs w:val="21"/>
                <w:u w:val="none" w:color="auto"/>
                <w:lang w:val="en-US" w:eastAsia="zh-CN"/>
              </w:rPr>
              <w:t>，属于区块三。</w:t>
            </w:r>
          </w:p>
        </w:tc>
        <w:tc>
          <w:tcPr>
            <w:tcW w:w="715" w:type="dxa"/>
            <w:tcBorders>
              <w:tl2br w:val="nil"/>
              <w:tr2bl w:val="nil"/>
            </w:tcBorders>
            <w:noWrap w:val="0"/>
            <w:vAlign w:val="center"/>
          </w:tcPr>
          <w:p w14:paraId="2CFF8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符合</w:t>
            </w:r>
          </w:p>
        </w:tc>
      </w:tr>
    </w:tbl>
    <w:p w14:paraId="3D6E7B6C">
      <w:pPr>
        <w:pStyle w:val="21"/>
        <w:ind w:firstLine="480"/>
        <w:rPr>
          <w:color w:val="auto"/>
          <w:u w:val="none" w:color="auto"/>
        </w:rPr>
      </w:pPr>
      <w:r>
        <w:rPr>
          <w:rFonts w:hint="eastAsia"/>
          <w:color w:val="auto"/>
          <w:u w:val="none" w:color="auto"/>
        </w:rPr>
        <w:t>项目与湖南省生态环境厅《关于公布湖南省生态环境分区管控更新成果（2023版）的公告》中汨罗高新技术产业开发区生态环境准入建议清单相符。</w:t>
      </w:r>
    </w:p>
    <w:p w14:paraId="230C541C">
      <w:pPr>
        <w:pStyle w:val="8"/>
        <w:rPr>
          <w:rFonts w:hint="default" w:ascii="Times New Roman" w:hAnsi="Times New Roman" w:cs="Times New Roman"/>
          <w:color w:val="auto"/>
          <w:u w:val="none" w:color="auto"/>
        </w:rPr>
      </w:pPr>
      <w:bookmarkStart w:id="159" w:name="_Toc11187"/>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环境功能区划适应性分析</w:t>
      </w:r>
      <w:bookmarkEnd w:id="159"/>
    </w:p>
    <w:p w14:paraId="3D88F11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（1）地表水环境</w:t>
      </w:r>
    </w:p>
    <w:p w14:paraId="0A908C0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项目纳污水体</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为</w:t>
      </w:r>
      <w:r>
        <w:rPr>
          <w:rFonts w:hint="eastAsia" w:ascii="Times New Roman" w:hAnsi="Times New Roman" w:cs="Times New Roman"/>
          <w:color w:val="auto"/>
          <w:u w:val="none" w:color="auto"/>
          <w:lang w:val="en-US" w:eastAsia="zh-CN"/>
        </w:rPr>
        <w:t>农</w:t>
      </w:r>
      <w:r>
        <w:rPr>
          <w:rFonts w:hint="default" w:ascii="Times New Roman" w:hAnsi="Times New Roman" w:cs="Times New Roman"/>
          <w:color w:val="auto"/>
          <w:u w:val="none" w:color="auto"/>
        </w:rPr>
        <w:t>业用水区，水质执行《地表水环境质量标准》（GB3838-2002）中Ⅲ类标准。根据引用的《汨罗高新技术产业开发区扩区规划环境影响报告书》中湖南桓泓检测技术有限公司对区域地表水环境质量的补充监测结果，</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各监测断面的所有监测因子均符合《地表水环境质量标准》（GB3838-2002）中的Ⅲ类标准。区域地表水环境仍有一定的纳污容量，因此，本项目的建设符合区域地表水水域功能要求。</w:t>
      </w:r>
    </w:p>
    <w:p w14:paraId="741DB5B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（2）大气环境</w:t>
      </w:r>
    </w:p>
    <w:p w14:paraId="43F8B764">
      <w:pPr>
        <w:pStyle w:val="21"/>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rPr>
        <w:t>本项目评价区环境空气功能属于二类功能区，执行《环境空气质量标准》（GB3095-2012）及其修改单中的二级标准。</w:t>
      </w:r>
      <w:r>
        <w:rPr>
          <w:color w:val="auto"/>
          <w:sz w:val="24"/>
          <w:szCs w:val="24"/>
          <w:u w:val="none" w:color="auto"/>
        </w:rPr>
        <w:t>根据汨罗市202</w:t>
      </w:r>
      <w:r>
        <w:rPr>
          <w:rFonts w:hint="eastAsia"/>
          <w:color w:val="auto"/>
          <w:sz w:val="24"/>
          <w:szCs w:val="24"/>
          <w:u w:val="none" w:color="auto"/>
          <w:lang w:val="en-US" w:eastAsia="zh-CN"/>
        </w:rPr>
        <w:t>4</w:t>
      </w:r>
      <w:r>
        <w:rPr>
          <w:color w:val="auto"/>
          <w:sz w:val="24"/>
          <w:szCs w:val="24"/>
          <w:u w:val="none" w:color="auto"/>
        </w:rPr>
        <w:t>年度环境空气质量统计数据，</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w:t>
      </w:r>
      <w:r>
        <w:rPr>
          <w:rFonts w:hint="eastAsia" w:eastAsia="宋体" w:cs="Times New Roman"/>
          <w:color w:val="auto"/>
          <w:kern w:val="0"/>
          <w:sz w:val="24"/>
          <w:szCs w:val="24"/>
          <w:u w:val="none" w:color="auto"/>
          <w:vertAlign w:val="baseline"/>
          <w:lang w:val="en-US" w:eastAsia="zh-CN" w:bidi="ar"/>
        </w:rPr>
        <w:t>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项目区域大气环境质量为达标区。</w:t>
      </w:r>
      <w:r>
        <w:rPr>
          <w:rFonts w:hint="default" w:ascii="Times New Roman" w:hAnsi="Times New Roman" w:cs="Times New Roman"/>
          <w:color w:val="auto"/>
          <w:u w:val="none" w:color="auto"/>
        </w:rPr>
        <w:t>根据引用的环境空气质量补充监测数据，评价区域内TSP</w:t>
      </w:r>
      <w:r>
        <w:rPr>
          <w:rFonts w:hint="eastAsia" w:ascii="Times New Roman" w:hAnsi="Times New Roman" w:cs="Times New Roman"/>
          <w:color w:val="auto"/>
          <w:u w:val="none" w:color="auto"/>
          <w:lang w:val="en-US" w:eastAsia="zh-CN"/>
        </w:rPr>
        <w:t>满足</w:t>
      </w:r>
      <w:r>
        <w:rPr>
          <w:rFonts w:hint="default" w:ascii="Times New Roman" w:hAnsi="Times New Roman" w:cs="Times New Roman"/>
          <w:color w:val="auto"/>
          <w:u w:val="none" w:color="auto"/>
        </w:rPr>
        <w:t>《环境空气质量标准》（GB3095-2012）及其修改单中的二级标准；非甲烷总烃满足《大气污染物综合排放标准详解》2.0mg/m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的标准；</w:t>
      </w:r>
      <w:r>
        <w:rPr>
          <w:rFonts w:hint="eastAsia" w:ascii="Times New Roman" w:hAnsi="Times New Roman" w:cs="Times New Roman"/>
          <w:color w:val="auto"/>
          <w:u w:val="none" w:color="auto"/>
          <w:lang w:val="en-US" w:eastAsia="zh-CN"/>
        </w:rPr>
        <w:t>TVOC、甲醛满足</w:t>
      </w:r>
      <w:r>
        <w:rPr>
          <w:rFonts w:hint="default" w:ascii="Times New Roman" w:hAnsi="Times New Roman" w:cs="Times New Roman"/>
          <w:color w:val="auto"/>
          <w:u w:val="none" w:color="auto"/>
        </w:rPr>
        <w:t>《环境影响评价技术导则大气环境》（HJ 2.2-2018）附录D. 1限值</w:t>
      </w:r>
      <w:r>
        <w:rPr>
          <w:rFonts w:hint="eastAsia" w:ascii="Times New Roman" w:hAnsi="Times New Roman" w:cs="Times New Roman"/>
          <w:color w:val="auto"/>
          <w:u w:val="none" w:color="auto"/>
          <w:lang w:val="en-US" w:eastAsia="zh-CN"/>
        </w:rPr>
        <w:t>要求</w:t>
      </w:r>
      <w:r>
        <w:rPr>
          <w:rFonts w:hint="default" w:ascii="Times New Roman" w:hAnsi="Times New Roman" w:cs="Times New Roman"/>
          <w:color w:val="auto"/>
          <w:u w:val="none" w:color="auto"/>
        </w:rPr>
        <w:t>。区域大气环境仍有一定的纳污容量，本项目建设符合环境空气功能区划要求。</w:t>
      </w:r>
    </w:p>
    <w:p w14:paraId="6E9D321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（3）声环境</w:t>
      </w:r>
    </w:p>
    <w:p w14:paraId="69DA5519">
      <w:pPr>
        <w:pStyle w:val="21"/>
        <w:ind w:firstLine="480"/>
        <w:rPr>
          <w:rFonts w:hint="default" w:ascii="Times New Roman" w:hAnsi="Times New Roman" w:eastAsia="宋体" w:cs="Times New Roman"/>
          <w:color w:val="auto"/>
          <w:u w:val="none" w:color="auto"/>
          <w:lang w:val="en-US" w:eastAsia="zh-CN"/>
        </w:rPr>
      </w:pPr>
      <w:r>
        <w:rPr>
          <w:color w:val="auto"/>
          <w:u w:val="none" w:color="auto"/>
        </w:rPr>
        <w:t>本项目</w:t>
      </w:r>
      <w:r>
        <w:rPr>
          <w:rFonts w:hint="eastAsia"/>
          <w:color w:val="auto"/>
          <w:u w:val="none" w:color="auto"/>
        </w:rPr>
        <w:t>所在地</w:t>
      </w:r>
      <w:r>
        <w:rPr>
          <w:color w:val="auto"/>
          <w:u w:val="none" w:color="auto"/>
        </w:rPr>
        <w:t>声环境适用《声环境质量标准》（GB3096-2008）中</w:t>
      </w:r>
      <w:r>
        <w:rPr>
          <w:rFonts w:hint="eastAsia"/>
          <w:color w:val="auto"/>
          <w:u w:val="none" w:color="auto"/>
        </w:rPr>
        <w:t>3</w:t>
      </w:r>
      <w:r>
        <w:rPr>
          <w:color w:val="auto"/>
          <w:u w:val="none" w:color="auto"/>
        </w:rPr>
        <w:t>类声环境功能区，执行《声环境质量标准》（GB3096-2008）中的</w:t>
      </w:r>
      <w:r>
        <w:rPr>
          <w:rFonts w:hint="eastAsia"/>
          <w:color w:val="auto"/>
          <w:u w:val="none" w:color="auto"/>
        </w:rPr>
        <w:t>3</w:t>
      </w:r>
      <w:r>
        <w:rPr>
          <w:color w:val="auto"/>
          <w:u w:val="none" w:color="auto"/>
        </w:rPr>
        <w:t>类环境噪声限值</w:t>
      </w:r>
      <w:r>
        <w:rPr>
          <w:rFonts w:hint="eastAsia"/>
          <w:color w:val="auto"/>
          <w:u w:val="none" w:color="auto"/>
          <w:lang w:eastAsia="zh-CN"/>
        </w:rPr>
        <w:t>；</w:t>
      </w:r>
      <w:r>
        <w:rPr>
          <w:rFonts w:hint="eastAsia"/>
          <w:color w:val="auto"/>
          <w:u w:val="none" w:color="auto"/>
          <w:lang w:val="en-US" w:eastAsia="zh-CN"/>
        </w:rPr>
        <w:t>项目厂界200m范围内，东侧G107旁有敏感点，执行</w:t>
      </w:r>
      <w:r>
        <w:rPr>
          <w:color w:val="auto"/>
          <w:u w:val="none" w:color="auto"/>
        </w:rPr>
        <w:t>《声环境质量标准》（GB3096-2008）中的</w:t>
      </w:r>
      <w:r>
        <w:rPr>
          <w:rFonts w:hint="eastAsia"/>
          <w:color w:val="auto"/>
          <w:u w:val="none" w:color="auto"/>
          <w:lang w:val="en-US" w:eastAsia="zh-CN"/>
        </w:rPr>
        <w:t>4a</w:t>
      </w:r>
      <w:r>
        <w:rPr>
          <w:color w:val="auto"/>
          <w:u w:val="none" w:color="auto"/>
        </w:rPr>
        <w:t>类环境噪声限值。根据环评期间的环境噪声现状监测结果，</w:t>
      </w:r>
      <w:r>
        <w:rPr>
          <w:rFonts w:hint="eastAsia"/>
          <w:color w:val="auto"/>
          <w:u w:val="none" w:color="auto"/>
        </w:rPr>
        <w:t>项目</w:t>
      </w:r>
      <w:r>
        <w:rPr>
          <w:color w:val="auto"/>
          <w:u w:val="none" w:color="auto"/>
        </w:rPr>
        <w:t>厂界声环境均可达到《声环境质量标准》（GB3096-2008）中的</w:t>
      </w:r>
      <w:r>
        <w:rPr>
          <w:rFonts w:hint="eastAsia"/>
          <w:color w:val="auto"/>
          <w:u w:val="none" w:color="auto"/>
        </w:rPr>
        <w:t>3</w:t>
      </w:r>
      <w:r>
        <w:rPr>
          <w:color w:val="auto"/>
          <w:u w:val="none" w:color="auto"/>
        </w:rPr>
        <w:t>类环境噪声限值</w:t>
      </w:r>
      <w:r>
        <w:rPr>
          <w:rFonts w:hint="eastAsia"/>
          <w:color w:val="auto"/>
          <w:u w:val="none" w:color="auto"/>
          <w:lang w:eastAsia="zh-CN"/>
        </w:rPr>
        <w:t>，</w:t>
      </w:r>
      <w:r>
        <w:rPr>
          <w:rFonts w:hint="eastAsia"/>
          <w:color w:val="auto"/>
          <w:u w:val="none" w:color="auto"/>
          <w:lang w:val="en-US" w:eastAsia="zh-CN"/>
        </w:rPr>
        <w:t>东侧敏感点可达到4a类</w:t>
      </w:r>
      <w:r>
        <w:rPr>
          <w:color w:val="auto"/>
          <w:u w:val="none" w:color="auto"/>
        </w:rPr>
        <w:t>。</w:t>
      </w:r>
    </w:p>
    <w:p w14:paraId="3499207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（4）地下水环境</w:t>
      </w:r>
    </w:p>
    <w:p w14:paraId="32510ADE">
      <w:pPr>
        <w:pStyle w:val="21"/>
        <w:bidi w:val="0"/>
        <w:rPr>
          <w:rFonts w:hint="eastAsia"/>
          <w:color w:val="auto"/>
          <w:u w:val="none" w:color="auto"/>
          <w:lang w:eastAsia="zh-CN"/>
        </w:rPr>
      </w:pPr>
      <w:r>
        <w:rPr>
          <w:rFonts w:hint="default"/>
          <w:color w:val="auto"/>
          <w:u w:val="none" w:color="auto"/>
        </w:rPr>
        <w:t>项目</w:t>
      </w:r>
      <w:r>
        <w:rPr>
          <w:rFonts w:hint="default"/>
          <w:color w:val="auto"/>
          <w:u w:val="none" w:color="auto"/>
          <w:lang w:eastAsia="zh-CN"/>
        </w:rPr>
        <w:t>区域</w:t>
      </w:r>
      <w:r>
        <w:rPr>
          <w:rFonts w:hint="default"/>
          <w:color w:val="auto"/>
          <w:u w:val="none" w:color="auto"/>
        </w:rPr>
        <w:t>地下水执行《地下水质量标准》（GB14848-2017）中的Ⅲ类标准，项目及评价区域内地下水监测点的各监测因子均能达到《地下水质量标准》（GB/T14848-2017）Ⅲ类水质标准</w:t>
      </w:r>
      <w:r>
        <w:rPr>
          <w:rFonts w:hint="default"/>
          <w:color w:val="auto"/>
          <w:u w:val="none" w:color="auto"/>
          <w:lang w:eastAsia="zh-CN"/>
        </w:rPr>
        <w:t>，区域地下水环境质量现状</w:t>
      </w:r>
      <w:r>
        <w:rPr>
          <w:rFonts w:hint="default"/>
          <w:color w:val="auto"/>
          <w:u w:val="none" w:color="auto"/>
        </w:rPr>
        <w:t>可满足项目建设的需要</w:t>
      </w:r>
      <w:r>
        <w:rPr>
          <w:rFonts w:hint="eastAsia"/>
          <w:color w:val="auto"/>
          <w:u w:val="none" w:color="auto"/>
          <w:lang w:eastAsia="zh-CN"/>
        </w:rPr>
        <w:t>。</w:t>
      </w:r>
    </w:p>
    <w:p w14:paraId="3F1B8020">
      <w:pPr>
        <w:pStyle w:val="21"/>
        <w:numPr>
          <w:ilvl w:val="0"/>
          <w:numId w:val="1"/>
        </w:numPr>
        <w:bidi w:val="0"/>
        <w:rPr>
          <w:rFonts w:hint="eastAsia"/>
          <w:color w:val="auto"/>
          <w:u w:val="none" w:color="auto"/>
          <w:lang w:val="en-US" w:eastAsia="zh-CN"/>
        </w:rPr>
      </w:pPr>
      <w:r>
        <w:rPr>
          <w:rFonts w:hint="eastAsia"/>
          <w:color w:val="auto"/>
          <w:u w:val="none" w:color="auto"/>
          <w:lang w:val="en-US" w:eastAsia="zh-CN"/>
        </w:rPr>
        <w:t>土壤环境</w:t>
      </w:r>
    </w:p>
    <w:p w14:paraId="6C6B3ABD">
      <w:pPr>
        <w:pStyle w:val="21"/>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u w:val="none" w:color="auto"/>
        </w:rPr>
      </w:pPr>
      <w:r>
        <w:rPr>
          <w:rFonts w:hint="eastAsia"/>
          <w:color w:val="auto"/>
          <w:u w:val="none" w:color="auto"/>
          <w:lang w:val="en-US" w:eastAsia="zh-CN"/>
        </w:rPr>
        <w:t>本项目所在地土壤执行《土壤环境质量 建设用地土壤污染风险管控标准（试行）》（GB36600—2018）表1中第二类用地中筛选值要求</w:t>
      </w:r>
      <w:r>
        <w:rPr>
          <w:rFonts w:hint="default"/>
          <w:color w:val="auto"/>
          <w:u w:val="none" w:color="auto"/>
        </w:rPr>
        <w:t>。</w:t>
      </w:r>
    </w:p>
    <w:p w14:paraId="7FF373F4">
      <w:pPr>
        <w:pStyle w:val="8"/>
        <w:rPr>
          <w:rFonts w:hint="default" w:ascii="Times New Roman" w:hAnsi="Times New Roman" w:cs="Times New Roman"/>
          <w:color w:val="auto"/>
          <w:u w:val="none" w:color="auto"/>
        </w:rPr>
      </w:pPr>
      <w:bookmarkStart w:id="160" w:name="_Toc26058"/>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rPr>
        <w:t>项目选址合理性分析</w:t>
      </w:r>
      <w:bookmarkEnd w:id="141"/>
      <w:bookmarkEnd w:id="142"/>
      <w:bookmarkEnd w:id="160"/>
    </w:p>
    <w:p w14:paraId="6EF4797F">
      <w:pPr>
        <w:pStyle w:val="21"/>
        <w:ind w:firstLine="480"/>
        <w:rPr>
          <w:rFonts w:hint="eastAsia"/>
          <w:color w:val="auto"/>
          <w:u w:val="none" w:color="auto"/>
          <w:lang w:val="en-US" w:eastAsia="zh-CN"/>
        </w:rPr>
      </w:pPr>
      <w:r>
        <w:rPr>
          <w:color w:val="auto"/>
          <w:u w:val="none" w:color="auto"/>
        </w:rPr>
        <w:t>本项目位于</w:t>
      </w:r>
      <w:r>
        <w:rPr>
          <w:rFonts w:hint="default" w:ascii="Times New Roman" w:hAnsi="Times New Roman" w:eastAsia="宋体" w:cs="Times New Roman"/>
          <w:color w:val="auto"/>
          <w:sz w:val="24"/>
          <w:u w:val="none" w:color="auto"/>
          <w:lang w:eastAsia="zh-CN"/>
        </w:rPr>
        <w:t>湖南省岳阳市汨罗市湖南汨罗高新技术产业开发区弼时片区大里塘村立新南路，租赁汨罗市乾源碳素材料有限公司场地</w:t>
      </w:r>
      <w:r>
        <w:rPr>
          <w:rFonts w:hint="eastAsia"/>
          <w:color w:val="auto"/>
          <w:u w:val="none" w:color="auto"/>
        </w:rPr>
        <w:t>，不位于生态保护区和水源保护区内，周边没有风景名胜区、生态脆弱区等需要特殊保护的区域。</w:t>
      </w:r>
      <w:r>
        <w:rPr>
          <w:rFonts w:hint="default" w:ascii="Times New Roman" w:hAnsi="Times New Roman" w:eastAsia="宋体" w:cs="Times New Roman"/>
          <w:color w:val="auto"/>
          <w:sz w:val="24"/>
          <w:szCs w:val="24"/>
          <w:u w:val="none" w:color="auto"/>
        </w:rPr>
        <w:t>根据《汨罗高新技术产业开发区控制性详细规划》（2022-2035年）中的土地利用规划图</w:t>
      </w:r>
      <w:r>
        <w:rPr>
          <w:rFonts w:hint="eastAsia"/>
          <w:color w:val="auto"/>
          <w:u w:val="none" w:color="auto"/>
        </w:rPr>
        <w:t>可知，项目所在地规划为</w:t>
      </w:r>
      <w:r>
        <w:rPr>
          <w:rFonts w:hint="eastAsia"/>
          <w:color w:val="auto"/>
          <w:u w:val="none" w:color="auto"/>
          <w:lang w:val="en-US" w:eastAsia="zh-CN"/>
        </w:rPr>
        <w:t>二</w:t>
      </w:r>
      <w:r>
        <w:rPr>
          <w:rFonts w:hint="eastAsia"/>
          <w:color w:val="auto"/>
          <w:u w:val="none" w:color="auto"/>
        </w:rPr>
        <w:t>类工业用地，本项目用地符合</w:t>
      </w:r>
      <w:r>
        <w:rPr>
          <w:rFonts w:hint="eastAsia"/>
          <w:color w:val="auto"/>
          <w:u w:val="none" w:color="auto"/>
          <w:lang w:val="en-US" w:eastAsia="zh-CN"/>
        </w:rPr>
        <w:t>规划要求。</w:t>
      </w:r>
    </w:p>
    <w:p w14:paraId="19867A36">
      <w:pPr>
        <w:pStyle w:val="21"/>
        <w:ind w:firstLine="480"/>
        <w:rPr>
          <w:color w:val="auto"/>
          <w:u w:val="none" w:color="auto"/>
        </w:rPr>
      </w:pPr>
      <w:r>
        <w:rPr>
          <w:color w:val="auto"/>
          <w:u w:val="none" w:color="auto"/>
        </w:rPr>
        <w:t>根据规划，项目周边属于大气环境质量二类区，地表水环境质量III类水体，声环境</w:t>
      </w:r>
      <w:r>
        <w:rPr>
          <w:rFonts w:hint="eastAsia"/>
          <w:color w:val="auto"/>
          <w:u w:val="none" w:color="auto"/>
        </w:rPr>
        <w:t>3</w:t>
      </w:r>
      <w:r>
        <w:rPr>
          <w:color w:val="auto"/>
          <w:u w:val="none" w:color="auto"/>
        </w:rPr>
        <w:t>类功能区。本项目排放一定量的粉尘</w:t>
      </w:r>
      <w:r>
        <w:rPr>
          <w:rFonts w:hint="eastAsia"/>
          <w:color w:val="auto"/>
          <w:u w:val="none" w:color="auto"/>
        </w:rPr>
        <w:t>、</w:t>
      </w:r>
      <w:r>
        <w:rPr>
          <w:color w:val="auto"/>
          <w:u w:val="none" w:color="auto"/>
        </w:rPr>
        <w:t>有机废气</w:t>
      </w:r>
      <w:r>
        <w:rPr>
          <w:rFonts w:hint="eastAsia"/>
          <w:color w:val="auto"/>
          <w:u w:val="none" w:color="auto"/>
          <w:lang w:val="en-US" w:eastAsia="zh-CN"/>
        </w:rPr>
        <w:t>等</w:t>
      </w:r>
      <w:r>
        <w:rPr>
          <w:color w:val="auto"/>
          <w:u w:val="none" w:color="auto"/>
        </w:rPr>
        <w:t>，经过处理后均能达标排放。</w:t>
      </w:r>
      <w:r>
        <w:rPr>
          <w:rFonts w:hint="eastAsia"/>
          <w:color w:val="auto"/>
          <w:u w:val="none" w:color="auto"/>
        </w:rPr>
        <w:t>项目</w:t>
      </w:r>
      <w:r>
        <w:rPr>
          <w:rFonts w:hint="eastAsia"/>
          <w:color w:val="auto"/>
          <w:u w:val="none" w:color="auto"/>
          <w:lang w:val="en-US" w:eastAsia="zh-CN"/>
        </w:rPr>
        <w:t>无生产废水产生</w:t>
      </w:r>
      <w:r>
        <w:rPr>
          <w:rFonts w:hint="eastAsia"/>
          <w:color w:val="auto"/>
          <w:u w:val="none" w:color="auto"/>
        </w:rPr>
        <w:t>，生活污水经化粪池处理后排入</w:t>
      </w:r>
      <w:r>
        <w:rPr>
          <w:rFonts w:hint="eastAsia"/>
          <w:color w:val="auto"/>
          <w:u w:val="none" w:color="auto"/>
          <w:lang w:val="en-US" w:eastAsia="zh-CN"/>
        </w:rPr>
        <w:t>长沙经开区汨罗产业园</w:t>
      </w:r>
      <w:r>
        <w:rPr>
          <w:rFonts w:hint="eastAsia"/>
          <w:color w:val="auto"/>
          <w:u w:val="none" w:color="auto"/>
        </w:rPr>
        <w:t>污水处理厂，污水管网已达项目所在地</w:t>
      </w:r>
      <w:r>
        <w:rPr>
          <w:rFonts w:hint="eastAsia"/>
          <w:color w:val="auto"/>
          <w:u w:val="none" w:color="auto"/>
          <w:lang w:eastAsia="zh-CN"/>
        </w:rPr>
        <w:t>。</w:t>
      </w:r>
      <w:r>
        <w:rPr>
          <w:color w:val="auto"/>
          <w:u w:val="none" w:color="auto"/>
        </w:rPr>
        <w:t>本项目使用的生产设备通过</w:t>
      </w:r>
      <w:r>
        <w:rPr>
          <w:rFonts w:hint="eastAsia"/>
          <w:color w:val="auto"/>
          <w:u w:val="none" w:color="auto"/>
        </w:rPr>
        <w:t>减振</w:t>
      </w:r>
      <w:r>
        <w:rPr>
          <w:color w:val="auto"/>
          <w:u w:val="none" w:color="auto"/>
        </w:rPr>
        <w:t>、隔声等措施可以实现</w:t>
      </w:r>
      <w:r>
        <w:rPr>
          <w:rFonts w:hint="eastAsia"/>
          <w:color w:val="auto"/>
          <w:u w:val="none" w:color="auto"/>
          <w:lang w:val="en-US" w:eastAsia="zh-CN"/>
        </w:rPr>
        <w:t>厂界噪声排放</w:t>
      </w:r>
      <w:r>
        <w:rPr>
          <w:color w:val="auto"/>
          <w:u w:val="none" w:color="auto"/>
        </w:rPr>
        <w:t>满足</w:t>
      </w:r>
      <w:r>
        <w:rPr>
          <w:rFonts w:hint="eastAsia"/>
          <w:color w:val="auto"/>
          <w:u w:val="none" w:color="auto"/>
        </w:rPr>
        <w:t>3</w:t>
      </w:r>
      <w:r>
        <w:rPr>
          <w:color w:val="auto"/>
          <w:u w:val="none" w:color="auto"/>
        </w:rPr>
        <w:t>类功能区要求。</w:t>
      </w:r>
    </w:p>
    <w:p w14:paraId="1D320969">
      <w:pPr>
        <w:pStyle w:val="21"/>
        <w:ind w:firstLine="480"/>
        <w:rPr>
          <w:color w:val="auto"/>
          <w:u w:val="none" w:color="auto"/>
        </w:rPr>
      </w:pPr>
      <w:r>
        <w:rPr>
          <w:rFonts w:hint="eastAsia"/>
          <w:color w:val="auto"/>
          <w:u w:val="none" w:color="auto"/>
          <w:lang w:val="en-US" w:eastAsia="zh-CN"/>
        </w:rPr>
        <w:t>项目属于石墨及碳素制品制造，属于</w:t>
      </w:r>
      <w:r>
        <w:rPr>
          <w:rFonts w:hint="eastAsia" w:ascii="宋体" w:hAnsi="宋体" w:eastAsia="宋体" w:cs="宋体"/>
          <w:color w:val="auto"/>
          <w:sz w:val="24"/>
          <w:szCs w:val="24"/>
          <w:u w:val="none" w:color="auto"/>
        </w:rPr>
        <w:t>先进储能材料产业</w:t>
      </w:r>
      <w:r>
        <w:rPr>
          <w:rFonts w:hint="eastAsia" w:ascii="Times New Roman" w:hAnsi="Times New Roman" w:eastAsia="宋体" w:cs="Times New Roman"/>
          <w:color w:val="auto"/>
          <w:sz w:val="24"/>
          <w:szCs w:val="24"/>
          <w:u w:val="none" w:color="auto"/>
          <w:lang w:val="en-US" w:eastAsia="zh-CN"/>
        </w:rPr>
        <w:t>的配套产业</w:t>
      </w:r>
      <w:r>
        <w:rPr>
          <w:rFonts w:hint="eastAsia" w:ascii="宋体" w:hAnsi="宋体" w:eastAsia="宋体" w:cs="宋体"/>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根据《汨罗高新技术产业开发区扩区规划环境影响报告书》中园区准入要求及园区产业布局规划图，规划弼时片区分为先进装备制造业区、汽车零部件及配件制造区。故本项目虽不属于弼时片区的主导产业，不属于园区的鼓励类，但根据后续分析，也不是限制类、禁止类，即视为允许类，且取得了园区的同意，与弼时片区产业定位不冲突</w:t>
      </w:r>
      <w:r>
        <w:rPr>
          <w:rFonts w:hint="eastAsia"/>
          <w:color w:val="auto"/>
          <w:u w:val="none" w:color="auto"/>
          <w:lang w:val="en-US" w:eastAsia="zh-CN"/>
        </w:rPr>
        <w:t>，项目符合湖南省</w:t>
      </w:r>
      <w:r>
        <w:rPr>
          <w:rFonts w:hint="eastAsia"/>
          <w:u w:val="none" w:color="auto"/>
          <w:lang w:val="en-US" w:eastAsia="zh-CN"/>
        </w:rPr>
        <w:t>生态环境分区管控总体管控要求及园区生态环境准入清单</w:t>
      </w:r>
      <w:r>
        <w:rPr>
          <w:rFonts w:hint="eastAsia"/>
          <w:color w:val="auto"/>
          <w:u w:val="none" w:color="auto"/>
          <w:lang w:val="en-US" w:eastAsia="zh-CN"/>
        </w:rPr>
        <w:t>。</w:t>
      </w:r>
      <w:r>
        <w:rPr>
          <w:rFonts w:hint="eastAsia"/>
          <w:color w:val="auto"/>
          <w:u w:val="none" w:color="auto"/>
          <w:lang w:eastAsia="zh-CN"/>
        </w:rPr>
        <w:t>项目选址周围均为工业企业，无食品加工等对环境要求较高的工业企业，</w:t>
      </w:r>
      <w:r>
        <w:rPr>
          <w:color w:val="auto"/>
          <w:u w:val="none" w:color="auto"/>
        </w:rPr>
        <w:t>因此本项目的选址与所在地的环境功能区划分相容。</w:t>
      </w:r>
    </w:p>
    <w:p w14:paraId="6D706F41">
      <w:pPr>
        <w:pStyle w:val="21"/>
        <w:ind w:firstLine="480"/>
        <w:rPr>
          <w:rFonts w:hint="default" w:ascii="Times New Roman" w:hAnsi="Times New Roman" w:cs="Times New Roman"/>
          <w:color w:val="auto"/>
          <w:u w:val="none" w:color="auto"/>
        </w:rPr>
      </w:pPr>
      <w:r>
        <w:rPr>
          <w:rFonts w:hint="eastAsia" w:eastAsia="宋体"/>
          <w:color w:val="auto"/>
          <w:u w:val="none" w:color="auto"/>
          <w:lang w:val="en-US" w:eastAsia="zh-CN"/>
        </w:rPr>
        <w:t>综上所述</w:t>
      </w:r>
      <w:r>
        <w:rPr>
          <w:rFonts w:hint="eastAsia" w:eastAsia="宋体"/>
          <w:color w:val="auto"/>
          <w:u w:val="none" w:color="auto"/>
          <w:lang w:eastAsia="zh-CN"/>
        </w:rPr>
        <w:t>，从环境保护角度分析，本项目选址是可行的</w:t>
      </w:r>
      <w:r>
        <w:rPr>
          <w:rFonts w:hint="eastAsia"/>
          <w:color w:val="auto"/>
          <w:u w:val="none" w:color="auto"/>
          <w:lang w:eastAsia="zh-CN"/>
        </w:rPr>
        <w:t>。</w:t>
      </w:r>
    </w:p>
    <w:p w14:paraId="74AA6C13">
      <w:pPr>
        <w:pStyle w:val="8"/>
        <w:rPr>
          <w:rFonts w:hint="default" w:ascii="Times New Roman" w:hAnsi="Times New Roman" w:cs="Times New Roman"/>
          <w:color w:val="auto"/>
          <w:u w:val="none" w:color="auto"/>
        </w:rPr>
      </w:pPr>
      <w:bookmarkStart w:id="161" w:name="_Toc21714"/>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rPr>
        <w:t>平面布局合理性分析</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61"/>
    </w:p>
    <w:p w14:paraId="3235901F">
      <w:pPr>
        <w:pStyle w:val="21"/>
        <w:bidi w:val="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zh-CN"/>
        </w:rPr>
        <w:t>项目</w:t>
      </w:r>
      <w:r>
        <w:rPr>
          <w:rFonts w:hint="eastAsia" w:ascii="Times New Roman" w:hAnsi="Times New Roman" w:cs="Times New Roman"/>
          <w:color w:val="auto"/>
          <w:highlight w:val="none"/>
          <w:u w:val="none" w:color="auto"/>
          <w:lang w:val="en-US" w:eastAsia="zh-CN"/>
        </w:rPr>
        <w:t>位于</w:t>
      </w:r>
      <w:r>
        <w:rPr>
          <w:rFonts w:hint="default" w:ascii="Times New Roman" w:hAnsi="Times New Roman" w:eastAsia="宋体" w:cs="Times New Roman"/>
          <w:color w:val="auto"/>
          <w:sz w:val="24"/>
          <w:u w:val="none" w:color="auto"/>
          <w:lang w:eastAsia="zh-CN"/>
        </w:rPr>
        <w:t>湖南省岳阳市汨罗市湖南汨罗高新技术产业开发区弼时片区大里塘村立新南路，租赁汨罗市乾源碳素材料有限公司场地</w:t>
      </w:r>
      <w:r>
        <w:rPr>
          <w:rFonts w:hint="eastAsia" w:ascii="Times New Roman" w:hAnsi="Times New Roman" w:eastAsia="宋体" w:cs="Times New Roman"/>
          <w:color w:val="auto"/>
          <w:sz w:val="24"/>
          <w:u w:val="none" w:color="auto"/>
          <w:lang w:val="en-US" w:eastAsia="zh-CN"/>
        </w:rPr>
        <w:t>进行生产</w:t>
      </w:r>
      <w:r>
        <w:rPr>
          <w:rFonts w:hint="eastAsia" w:ascii="Times New Roman" w:hAnsi="Times New Roman" w:cs="Times New Roman"/>
          <w:color w:val="auto"/>
          <w:highlight w:val="none"/>
          <w:u w:val="none" w:color="auto"/>
          <w:lang w:val="en-US" w:eastAsia="zh-CN"/>
        </w:rPr>
        <w:t>，项目办公依托</w:t>
      </w:r>
      <w:r>
        <w:rPr>
          <w:rFonts w:hint="default"/>
        </w:rPr>
        <w:t>湖南宏翰新能源科技有限公司</w:t>
      </w:r>
      <w:r>
        <w:rPr>
          <w:rFonts w:hint="eastAsia"/>
          <w:lang w:val="en-US" w:eastAsia="zh-CN"/>
        </w:rPr>
        <w:t>现有，本项目不新增</w:t>
      </w:r>
      <w:r>
        <w:rPr>
          <w:rFonts w:hint="eastAsia" w:ascii="Times New Roman" w:hAnsi="Times New Roman" w:cs="Times New Roman"/>
          <w:color w:val="auto"/>
          <w:highlight w:val="none"/>
          <w:u w:val="none" w:color="auto"/>
          <w:lang w:val="en-US" w:eastAsia="zh-CN"/>
        </w:rPr>
        <w:t>。</w:t>
      </w:r>
    </w:p>
    <w:p w14:paraId="680F3EC7">
      <w:pPr>
        <w:pStyle w:val="21"/>
        <w:bidi w:val="0"/>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本项目为新建工程，</w:t>
      </w:r>
      <w:r>
        <w:rPr>
          <w:rFonts w:hint="default" w:ascii="Times New Roman" w:hAnsi="Times New Roman" w:eastAsia="宋体" w:cs="Times New Roman"/>
          <w:color w:val="auto"/>
          <w:sz w:val="24"/>
          <w:u w:val="none" w:color="auto"/>
          <w:lang w:eastAsia="zh-CN"/>
        </w:rPr>
        <w:t>租赁汨罗市乾源碳素材料有限公司场地</w:t>
      </w:r>
      <w:r>
        <w:rPr>
          <w:rFonts w:hint="eastAsia" w:ascii="Times New Roman" w:hAnsi="Times New Roman" w:eastAsia="宋体" w:cs="Times New Roman"/>
          <w:color w:val="auto"/>
          <w:sz w:val="24"/>
          <w:u w:val="none" w:color="auto"/>
          <w:lang w:val="en-US" w:eastAsia="zh-CN"/>
        </w:rPr>
        <w:t>进行生产</w:t>
      </w:r>
      <w:r>
        <w:rPr>
          <w:rFonts w:hint="eastAsia" w:ascii="Times New Roman" w:hAnsi="Times New Roman" w:cs="Times New Roman"/>
          <w:color w:val="auto"/>
          <w:highlight w:val="none"/>
          <w:u w:val="none" w:color="auto"/>
          <w:lang w:val="en-US" w:eastAsia="zh-CN"/>
        </w:rPr>
        <w:t>，项目主要为两栋标准化厂房，在厂房内进行功能分区，1#厂房分别布置原料区、配料区、上料区、混捏区、凉片区、磨粉区、筛分区、液压区1、半成品摆放区1、成品摆放区1、焙烧区1、不合格品区1、配电区、制冷区等主体工程，2#厂房分别布置冷却区、液压区2、半成品摆放区2、成品摆放区2、焙烧区2、不合格品区2等，并配套建设环保工程；1#厂房环保措施布置于厂房外北侧及南侧，2#厂房环保措施布置于厂房外南侧，</w:t>
      </w:r>
      <w:r>
        <w:rPr>
          <w:rFonts w:hint="default" w:ascii="Times New Roman" w:hAnsi="Times New Roman" w:cs="Times New Roman"/>
          <w:color w:val="auto"/>
          <w:highlight w:val="none"/>
          <w:u w:val="none" w:color="auto"/>
        </w:rPr>
        <w:t>本项目拟设置</w:t>
      </w:r>
      <w:r>
        <w:rPr>
          <w:rFonts w:hint="eastAsia"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lang w:eastAsia="zh-CN"/>
        </w:rPr>
        <w:t>根</w:t>
      </w:r>
      <w:r>
        <w:rPr>
          <w:rFonts w:hint="default" w:ascii="Times New Roman" w:hAnsi="Times New Roman" w:cs="Times New Roman"/>
          <w:color w:val="auto"/>
          <w:highlight w:val="none"/>
          <w:u w:val="none" w:color="auto"/>
        </w:rPr>
        <w:t>排气筒，排气筒</w:t>
      </w:r>
      <w:r>
        <w:rPr>
          <w:rFonts w:hint="eastAsia" w:ascii="Times New Roman" w:hAnsi="Times New Roman" w:cs="Times New Roman"/>
          <w:color w:val="auto"/>
          <w:highlight w:val="none"/>
          <w:u w:val="none" w:color="auto"/>
          <w:lang w:val="en-US" w:eastAsia="zh-CN"/>
        </w:rPr>
        <w:t>设置均</w:t>
      </w:r>
      <w:r>
        <w:rPr>
          <w:rFonts w:hint="eastAsia" w:cs="Times New Roman"/>
          <w:color w:val="auto"/>
          <w:highlight w:val="none"/>
          <w:u w:val="none" w:color="auto"/>
          <w:lang w:val="en-US" w:eastAsia="zh-CN"/>
        </w:rPr>
        <w:t>靠近废气处理措施</w:t>
      </w:r>
      <w:r>
        <w:rPr>
          <w:rFonts w:hint="default" w:ascii="Times New Roman" w:hAnsi="Times New Roman" w:cs="Times New Roman"/>
          <w:color w:val="auto"/>
          <w:highlight w:val="none"/>
          <w:u w:val="none" w:color="auto"/>
        </w:rPr>
        <w:t>。</w:t>
      </w:r>
    </w:p>
    <w:p w14:paraId="0AC5FDE8">
      <w:pPr>
        <w:pStyle w:val="21"/>
        <w:bidi w:val="0"/>
        <w:rPr>
          <w:rFonts w:hint="default" w:ascii="Times New Roman" w:hAnsi="Times New Roman" w:cs="Times New Roman"/>
          <w:color w:val="auto"/>
          <w:highlight w:val="none"/>
          <w:u w:val="none" w:color="auto"/>
          <w:lang w:val="zh-CN"/>
        </w:rPr>
      </w:pPr>
      <w:r>
        <w:rPr>
          <w:rFonts w:hint="default" w:ascii="Times New Roman" w:hAnsi="Times New Roman" w:cs="Times New Roman"/>
          <w:color w:val="auto"/>
          <w:highlight w:val="none"/>
          <w:u w:val="none" w:color="auto"/>
        </w:rPr>
        <w:t>根据总平面布置原则，项目总体布局简洁紧凑，土地利用率较高。建、构筑物的布置满足工艺流程的顺畅，便于物流人流畅通的同时，保证了卫生、消防安全要求。本项目的平面设计根据流程和设备运转的要求，按照工艺过程、运转顺序和安全生产的需要布置生产装置，满足了工艺流程的合理顺畅，使生产设备集中布置。综上所述，本项目厂区布局合理。具体详见附</w:t>
      </w:r>
      <w:r>
        <w:rPr>
          <w:rFonts w:hint="default" w:ascii="Times New Roman" w:hAnsi="Times New Roman" w:cs="Times New Roman"/>
          <w:color w:val="auto"/>
          <w:highlight w:val="none"/>
          <w:u w:val="none" w:color="auto"/>
          <w:lang w:eastAsia="zh-CN"/>
        </w:rPr>
        <w:t>图</w:t>
      </w:r>
      <w:r>
        <w:rPr>
          <w:rFonts w:hint="eastAsia"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w:t>
      </w:r>
    </w:p>
    <w:bookmarkEnd w:id="66"/>
    <w:bookmarkEnd w:id="67"/>
    <w:bookmarkEnd w:id="68"/>
    <w:bookmarkEnd w:id="69"/>
    <w:bookmarkEnd w:id="70"/>
    <w:bookmarkEnd w:id="71"/>
    <w:p w14:paraId="059E8980">
      <w:pPr>
        <w:pStyle w:val="7"/>
        <w:bidi w:val="0"/>
        <w:rPr>
          <w:rFonts w:hint="default"/>
          <w:color w:val="auto"/>
          <w:u w:val="none" w:color="auto"/>
        </w:rPr>
      </w:pPr>
      <w:bookmarkStart w:id="162" w:name="_Toc29646_WPSOffice_Level2"/>
      <w:bookmarkStart w:id="163" w:name="_Toc20404"/>
      <w:bookmarkStart w:id="164" w:name="_Toc2042_WPSOffice_Level2"/>
      <w:bookmarkStart w:id="165" w:name="_Toc18157"/>
      <w:bookmarkStart w:id="166" w:name="_Toc32145_WPSOffice_Level2"/>
      <w:bookmarkStart w:id="167" w:name="_Toc14560_WPSOffice_Level2"/>
      <w:bookmarkStart w:id="168" w:name="_Toc21189"/>
      <w:r>
        <w:rPr>
          <w:rFonts w:hint="default"/>
          <w:color w:val="auto"/>
          <w:u w:val="none" w:color="auto"/>
        </w:rPr>
        <w:t>1.</w:t>
      </w:r>
      <w:r>
        <w:rPr>
          <w:rFonts w:hint="eastAsia"/>
          <w:color w:val="auto"/>
          <w:u w:val="none" w:color="auto"/>
          <w:lang w:val="en-US" w:eastAsia="zh-CN"/>
        </w:rPr>
        <w:t>4</w:t>
      </w:r>
      <w:r>
        <w:rPr>
          <w:rFonts w:hint="default"/>
          <w:color w:val="auto"/>
          <w:u w:val="none" w:color="auto"/>
        </w:rPr>
        <w:t>项目特点</w:t>
      </w:r>
      <w:bookmarkEnd w:id="36"/>
      <w:bookmarkEnd w:id="37"/>
      <w:bookmarkEnd w:id="38"/>
      <w:bookmarkEnd w:id="39"/>
      <w:bookmarkEnd w:id="40"/>
      <w:bookmarkEnd w:id="72"/>
      <w:bookmarkEnd w:id="73"/>
      <w:bookmarkEnd w:id="74"/>
      <w:bookmarkEnd w:id="162"/>
      <w:bookmarkEnd w:id="163"/>
      <w:bookmarkEnd w:id="164"/>
      <w:bookmarkEnd w:id="165"/>
      <w:bookmarkEnd w:id="166"/>
      <w:bookmarkEnd w:id="167"/>
      <w:bookmarkEnd w:id="168"/>
    </w:p>
    <w:p w14:paraId="68F55155">
      <w:pPr>
        <w:pStyle w:val="21"/>
        <w:ind w:firstLine="480"/>
        <w:rPr>
          <w:rFonts w:hint="default" w:ascii="Times New Roman" w:hAnsi="Times New Roman" w:eastAsia="宋体" w:cs="Times New Roman"/>
          <w:color w:val="auto"/>
          <w:highlight w:val="none"/>
          <w:u w:val="none" w:color="auto"/>
          <w:lang w:val="en-US" w:eastAsia="zh-CN"/>
        </w:rPr>
      </w:pPr>
      <w:bookmarkStart w:id="169" w:name="_Toc23082_WPSOffice_Level2"/>
      <w:bookmarkStart w:id="170" w:name="_Toc471286041"/>
      <w:bookmarkStart w:id="171" w:name="_Toc481738342"/>
      <w:bookmarkStart w:id="172" w:name="_Toc25222_WPSOffice_Level2"/>
      <w:bookmarkStart w:id="173" w:name="_Toc1051"/>
      <w:bookmarkStart w:id="174" w:name="_Toc32237_WPSOffice_Level2"/>
      <w:bookmarkStart w:id="175" w:name="_Toc24863_WPSOffice_Level2"/>
      <w:bookmarkStart w:id="176" w:name="_Toc8839"/>
      <w:bookmarkStart w:id="177" w:name="_Toc9915_WPSOffice_Level2"/>
      <w:bookmarkStart w:id="178" w:name="_Toc17031_WPSOffice_Level2"/>
      <w:bookmarkStart w:id="179" w:name="_Toc845_WPSOffice_Level2"/>
      <w:bookmarkStart w:id="180" w:name="_Toc8630"/>
      <w:r>
        <w:rPr>
          <w:rFonts w:hint="default" w:ascii="Times New Roman" w:hAnsi="Times New Roman" w:cs="Times New Roman"/>
          <w:b w:val="0"/>
          <w:bCs w:val="0"/>
          <w:color w:val="auto"/>
          <w:highlight w:val="none"/>
          <w:u w:val="none" w:color="auto"/>
        </w:rPr>
        <w:t>①本项目建成后废气主要为粉尘、非甲烷总烃</w:t>
      </w:r>
      <w:r>
        <w:rPr>
          <w:rFonts w:hint="eastAsia" w:ascii="Times New Roman" w:hAnsi="Times New Roman" w:cs="Times New Roman"/>
          <w:b w:val="0"/>
          <w:bCs w:val="0"/>
          <w:color w:val="auto"/>
          <w:highlight w:val="none"/>
          <w:u w:val="none" w:color="auto"/>
          <w:lang w:eastAsia="zh-CN"/>
        </w:rPr>
        <w:t>、</w:t>
      </w:r>
      <w:r>
        <w:rPr>
          <w:rFonts w:hint="eastAsia" w:ascii="Times New Roman" w:hAnsi="Times New Roman" w:cs="Times New Roman"/>
          <w:b w:val="0"/>
          <w:bCs w:val="0"/>
          <w:color w:val="auto"/>
          <w:highlight w:val="none"/>
          <w:u w:val="none" w:color="auto"/>
          <w:lang w:val="en-US" w:eastAsia="zh-CN"/>
        </w:rPr>
        <w:t>二氧化硫、氮氧化物、甲醛、酚类</w:t>
      </w:r>
      <w:r>
        <w:rPr>
          <w:rFonts w:hint="default" w:ascii="Times New Roman" w:hAnsi="Times New Roman" w:cs="Times New Roman"/>
          <w:b w:val="0"/>
          <w:bCs w:val="0"/>
          <w:color w:val="auto"/>
          <w:highlight w:val="none"/>
          <w:u w:val="none" w:color="auto"/>
        </w:rPr>
        <w:t>。</w:t>
      </w:r>
      <w:r>
        <w:rPr>
          <w:rFonts w:hint="eastAsia" w:ascii="Times New Roman" w:hAnsi="Times New Roman" w:cs="Times New Roman"/>
          <w:b w:val="0"/>
          <w:bCs w:val="0"/>
          <w:color w:val="auto"/>
          <w:highlight w:val="none"/>
          <w:u w:val="none" w:color="auto"/>
          <w:lang w:val="en-US" w:eastAsia="zh-CN"/>
        </w:rPr>
        <w:t>加热混捏、冷却、磨粉、混合废气</w:t>
      </w:r>
      <w:r>
        <w:rPr>
          <w:rFonts w:hint="default" w:ascii="Times New Roman" w:hAnsi="Times New Roman" w:cs="Times New Roman"/>
          <w:b w:val="0"/>
          <w:bCs w:val="0"/>
          <w:color w:val="auto"/>
          <w:highlight w:val="none"/>
          <w:u w:val="none" w:color="auto"/>
        </w:rPr>
        <w:t>经过</w:t>
      </w:r>
      <w:r>
        <w:rPr>
          <w:rFonts w:hint="eastAsia" w:ascii="Times New Roman" w:hAnsi="Times New Roman" w:cs="Times New Roman"/>
          <w:b w:val="0"/>
          <w:bCs w:val="0"/>
          <w:color w:val="auto"/>
          <w:highlight w:val="none"/>
          <w:u w:val="none" w:color="auto"/>
          <w:lang w:val="en-US" w:eastAsia="zh-CN"/>
        </w:rPr>
        <w:t>管道</w:t>
      </w:r>
      <w:r>
        <w:rPr>
          <w:rFonts w:hint="default" w:ascii="Times New Roman" w:hAnsi="Times New Roman" w:cs="Times New Roman"/>
          <w:b w:val="0"/>
          <w:bCs w:val="0"/>
          <w:color w:val="auto"/>
          <w:highlight w:val="none"/>
          <w:u w:val="none" w:color="auto"/>
        </w:rPr>
        <w:t>+脉冲式布袋除尘器</w:t>
      </w:r>
      <w:r>
        <w:rPr>
          <w:rFonts w:hint="eastAsia" w:ascii="Times New Roman" w:hAnsi="Times New Roman" w:cs="Times New Roman"/>
          <w:b w:val="0"/>
          <w:bCs w:val="0"/>
          <w:color w:val="auto"/>
          <w:highlight w:val="none"/>
          <w:u w:val="none" w:color="auto"/>
          <w:lang w:val="en-US" w:eastAsia="zh-CN"/>
        </w:rPr>
        <w:t>+活性炭吸附</w:t>
      </w:r>
      <w:r>
        <w:rPr>
          <w:rFonts w:hint="default" w:ascii="Times New Roman" w:hAnsi="Times New Roman" w:cs="Times New Roman"/>
          <w:b w:val="0"/>
          <w:bCs w:val="0"/>
          <w:color w:val="auto"/>
          <w:highlight w:val="none"/>
          <w:u w:val="none" w:color="auto"/>
        </w:rPr>
        <w:t>处理后经一根15m高的排气筒排放（</w:t>
      </w:r>
      <w:r>
        <w:rPr>
          <w:rFonts w:hint="eastAsia" w:ascii="Times New Roman" w:hAnsi="Times New Roman" w:cs="Times New Roman"/>
          <w:b w:val="0"/>
          <w:bCs w:val="0"/>
          <w:color w:val="auto"/>
          <w:highlight w:val="none"/>
          <w:u w:val="none" w:color="auto"/>
          <w:lang w:val="en-US" w:eastAsia="zh-CN"/>
        </w:rPr>
        <w:t>DA001</w:t>
      </w:r>
      <w:r>
        <w:rPr>
          <w:rFonts w:hint="default" w:ascii="Times New Roman" w:hAnsi="Times New Roman" w:cs="Times New Roman"/>
          <w:b w:val="0"/>
          <w:bCs w:val="0"/>
          <w:color w:val="auto"/>
          <w:highlight w:val="none"/>
          <w:u w:val="none" w:color="auto"/>
        </w:rPr>
        <w:t>）。</w:t>
      </w:r>
      <w:r>
        <w:rPr>
          <w:rFonts w:hint="eastAsia" w:ascii="Times New Roman" w:hAnsi="Times New Roman" w:cs="Times New Roman"/>
          <w:b w:val="0"/>
          <w:bCs w:val="0"/>
          <w:color w:val="auto"/>
          <w:highlight w:val="none"/>
          <w:u w:val="none" w:color="auto"/>
          <w:lang w:val="en-US" w:eastAsia="zh-CN"/>
        </w:rPr>
        <w:t>1#厂房焙烧废气</w:t>
      </w:r>
      <w:r>
        <w:rPr>
          <w:rFonts w:hint="default" w:ascii="Times New Roman" w:hAnsi="Times New Roman" w:cs="Times New Roman"/>
          <w:b w:val="0"/>
          <w:bCs w:val="0"/>
          <w:color w:val="auto"/>
          <w:highlight w:val="none"/>
          <w:u w:val="none" w:color="auto"/>
        </w:rPr>
        <w:t>经过</w:t>
      </w:r>
      <w:r>
        <w:rPr>
          <w:rFonts w:hint="eastAsia" w:ascii="Times New Roman" w:hAnsi="Times New Roman" w:cs="Times New Roman"/>
          <w:b w:val="0"/>
          <w:bCs w:val="0"/>
          <w:color w:val="auto"/>
          <w:highlight w:val="none"/>
          <w:u w:val="none" w:color="auto"/>
          <w:lang w:val="en-US" w:eastAsia="zh-CN"/>
        </w:rPr>
        <w:t>焚烧炉1#</w:t>
      </w:r>
      <w:r>
        <w:rPr>
          <w:rFonts w:hint="default" w:ascii="Times New Roman" w:hAnsi="Times New Roman" w:cs="Times New Roman"/>
          <w:b w:val="0"/>
          <w:bCs w:val="0"/>
          <w:color w:val="auto"/>
          <w:highlight w:val="none"/>
          <w:u w:val="none" w:color="auto"/>
        </w:rPr>
        <w:t>+15m高的排气筒排放（</w:t>
      </w:r>
      <w:r>
        <w:rPr>
          <w:rFonts w:hint="eastAsia" w:ascii="Times New Roman" w:hAnsi="Times New Roman" w:cs="Times New Roman"/>
          <w:b w:val="0"/>
          <w:bCs w:val="0"/>
          <w:color w:val="auto"/>
          <w:highlight w:val="none"/>
          <w:u w:val="none" w:color="auto"/>
          <w:lang w:val="en-US" w:eastAsia="zh-CN"/>
        </w:rPr>
        <w:t>DA002</w:t>
      </w:r>
      <w:r>
        <w:rPr>
          <w:rFonts w:hint="default" w:ascii="Times New Roman" w:hAnsi="Times New Roman" w:cs="Times New Roman"/>
          <w:b w:val="0"/>
          <w:bCs w:val="0"/>
          <w:color w:val="auto"/>
          <w:highlight w:val="none"/>
          <w:u w:val="none" w:color="auto"/>
        </w:rPr>
        <w:t>）</w:t>
      </w:r>
      <w:r>
        <w:rPr>
          <w:rFonts w:hint="eastAsia" w:cs="Times New Roman"/>
          <w:b w:val="0"/>
          <w:bCs w:val="0"/>
          <w:color w:val="auto"/>
          <w:highlight w:val="none"/>
          <w:u w:val="none" w:color="auto"/>
          <w:lang w:val="en-US" w:eastAsia="zh-CN"/>
        </w:rPr>
        <w:t>。2</w:t>
      </w:r>
      <w:r>
        <w:rPr>
          <w:rFonts w:hint="eastAsia" w:ascii="Times New Roman" w:hAnsi="Times New Roman" w:cs="Times New Roman"/>
          <w:b w:val="0"/>
          <w:bCs w:val="0"/>
          <w:color w:val="auto"/>
          <w:highlight w:val="none"/>
          <w:u w:val="none" w:color="auto"/>
          <w:lang w:val="en-US" w:eastAsia="zh-CN"/>
        </w:rPr>
        <w:t>#厂房焙烧废气</w:t>
      </w:r>
      <w:r>
        <w:rPr>
          <w:rFonts w:hint="default" w:ascii="Times New Roman" w:hAnsi="Times New Roman" w:cs="Times New Roman"/>
          <w:b w:val="0"/>
          <w:bCs w:val="0"/>
          <w:color w:val="auto"/>
          <w:highlight w:val="none"/>
          <w:u w:val="none" w:color="auto"/>
        </w:rPr>
        <w:t>经过</w:t>
      </w:r>
      <w:r>
        <w:rPr>
          <w:rFonts w:hint="eastAsia" w:ascii="Times New Roman" w:hAnsi="Times New Roman" w:cs="Times New Roman"/>
          <w:b w:val="0"/>
          <w:bCs w:val="0"/>
          <w:color w:val="auto"/>
          <w:highlight w:val="none"/>
          <w:u w:val="none" w:color="auto"/>
          <w:lang w:val="en-US" w:eastAsia="zh-CN"/>
        </w:rPr>
        <w:t>焚烧炉2#</w:t>
      </w:r>
      <w:r>
        <w:rPr>
          <w:rFonts w:hint="default" w:ascii="Times New Roman" w:hAnsi="Times New Roman" w:cs="Times New Roman"/>
          <w:b w:val="0"/>
          <w:bCs w:val="0"/>
          <w:color w:val="auto"/>
          <w:highlight w:val="none"/>
          <w:u w:val="none" w:color="auto"/>
        </w:rPr>
        <w:t>+15m高的排气筒排放（</w:t>
      </w:r>
      <w:r>
        <w:rPr>
          <w:rFonts w:hint="eastAsia" w:ascii="Times New Roman" w:hAnsi="Times New Roman" w:cs="Times New Roman"/>
          <w:b w:val="0"/>
          <w:bCs w:val="0"/>
          <w:color w:val="auto"/>
          <w:highlight w:val="none"/>
          <w:u w:val="none" w:color="auto"/>
          <w:lang w:val="en-US" w:eastAsia="zh-CN"/>
        </w:rPr>
        <w:t>DA003</w:t>
      </w:r>
      <w:r>
        <w:rPr>
          <w:rFonts w:hint="default" w:ascii="Times New Roman" w:hAnsi="Times New Roman" w:cs="Times New Roman"/>
          <w:b w:val="0"/>
          <w:bCs w:val="0"/>
          <w:color w:val="auto"/>
          <w:highlight w:val="none"/>
          <w:u w:val="none" w:color="auto"/>
        </w:rPr>
        <w:t>）</w:t>
      </w:r>
      <w:r>
        <w:rPr>
          <w:rFonts w:hint="eastAsia" w:cs="Times New Roman"/>
          <w:b w:val="0"/>
          <w:bCs w:val="0"/>
          <w:color w:val="auto"/>
          <w:highlight w:val="none"/>
          <w:u w:val="none" w:color="auto"/>
          <w:lang w:val="en-US" w:eastAsia="zh-CN"/>
        </w:rPr>
        <w:t>。</w:t>
      </w:r>
    </w:p>
    <w:p w14:paraId="41EB679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②本项目</w:t>
      </w:r>
      <w:r>
        <w:rPr>
          <w:rFonts w:hint="eastAsia" w:ascii="Times New Roman" w:hAnsi="Times New Roman" w:cs="Times New Roman"/>
          <w:color w:val="auto"/>
          <w:u w:val="none" w:color="auto"/>
          <w:lang w:val="en-US" w:eastAsia="zh-CN"/>
        </w:rPr>
        <w:t>不产生生产废水</w:t>
      </w:r>
      <w:r>
        <w:rPr>
          <w:rFonts w:hint="eastAsia" w:ascii="Times New Roman" w:hAnsi="Times New Roman" w:eastAsia="宋体" w:cs="Times New Roman"/>
          <w:color w:val="auto"/>
          <w:u w:val="none" w:color="auto"/>
          <w:lang w:val="en-US" w:eastAsia="zh-CN"/>
        </w:rPr>
        <w:t>；</w:t>
      </w:r>
      <w:r>
        <w:rPr>
          <w:rFonts w:hint="eastAsia"/>
          <w:color w:val="auto"/>
          <w:u w:val="none" w:color="auto"/>
          <w:lang w:val="en-US" w:eastAsia="zh-CN"/>
        </w:rPr>
        <w:t>生活污水经化粪池处理后排入长沙经开区汨罗产业园污水处理厂。</w:t>
      </w:r>
    </w:p>
    <w:p w14:paraId="79505BF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rPr>
        <w:t>③项目生产过程中的固体废物主要包括一般工业固废：收集的粉尘、不合格品、一般性废包装材料等一般固废；废活性炭、废矿物油</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废液压油、废含油抹布及手套、废油桶</w:t>
      </w:r>
      <w:r>
        <w:rPr>
          <w:rFonts w:hint="default" w:ascii="Times New Roman" w:hAnsi="Times New Roman" w:cs="Times New Roman"/>
          <w:color w:val="auto"/>
          <w:highlight w:val="none"/>
          <w:u w:val="none" w:color="auto"/>
        </w:rPr>
        <w:t>等危险物废物和员工生活垃圾。</w:t>
      </w:r>
    </w:p>
    <w:p w14:paraId="2B7E41B7">
      <w:pPr>
        <w:pStyle w:val="7"/>
        <w:bidi w:val="0"/>
        <w:rPr>
          <w:rFonts w:hint="default"/>
          <w:color w:val="auto"/>
          <w:u w:val="none" w:color="auto"/>
        </w:rPr>
      </w:pPr>
      <w:bookmarkStart w:id="181" w:name="_Toc18238"/>
      <w:bookmarkStart w:id="182" w:name="_Toc441"/>
      <w:bookmarkStart w:id="183" w:name="_Toc20216"/>
      <w:r>
        <w:rPr>
          <w:rFonts w:hint="default"/>
          <w:color w:val="auto"/>
          <w:u w:val="none" w:color="auto"/>
        </w:rPr>
        <w:t>1.</w:t>
      </w:r>
      <w:r>
        <w:rPr>
          <w:rFonts w:hint="eastAsia"/>
          <w:color w:val="auto"/>
          <w:u w:val="none" w:color="auto"/>
          <w:lang w:val="en-US" w:eastAsia="zh-CN"/>
        </w:rPr>
        <w:t>5</w:t>
      </w:r>
      <w:r>
        <w:rPr>
          <w:rFonts w:hint="default"/>
          <w:color w:val="auto"/>
          <w:u w:val="none" w:color="auto"/>
        </w:rPr>
        <w:t>主要环境问题及环境影响</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1519CE6">
      <w:pPr>
        <w:spacing w:line="360" w:lineRule="auto"/>
        <w:ind w:firstLine="434" w:firstLineChars="181"/>
        <w:rPr>
          <w:rFonts w:hint="default" w:ascii="Times New Roman" w:hAnsi="Times New Roman" w:cs="Times New Roman"/>
          <w:color w:val="auto"/>
          <w:kern w:val="0"/>
          <w:sz w:val="24"/>
          <w:u w:val="none" w:color="auto"/>
        </w:rPr>
      </w:pPr>
      <w:bookmarkStart w:id="184" w:name="_Toc15472"/>
      <w:bookmarkStart w:id="185" w:name="_Toc15801_WPSOffice_Level2"/>
      <w:bookmarkStart w:id="186" w:name="_Toc25797_WPSOffice_Level2"/>
      <w:bookmarkStart w:id="187" w:name="_Toc471286042"/>
      <w:bookmarkStart w:id="188" w:name="_Toc17323_WPSOffice_Level2"/>
      <w:bookmarkStart w:id="189" w:name="_Toc22012_WPSOffice_Level2"/>
      <w:bookmarkStart w:id="190" w:name="_Toc4908"/>
      <w:bookmarkStart w:id="191" w:name="_Toc21958"/>
      <w:bookmarkStart w:id="192" w:name="_Toc1338_WPSOffice_Level2"/>
      <w:bookmarkStart w:id="193" w:name="_Toc17753_WPSOffice_Level2"/>
      <w:bookmarkStart w:id="194" w:name="_Toc3129_WPSOffice_Level2"/>
      <w:bookmarkStart w:id="195" w:name="_Toc481738343"/>
      <w:r>
        <w:rPr>
          <w:rFonts w:hint="default" w:ascii="Times New Roman" w:hAnsi="Times New Roman" w:cs="Times New Roman"/>
          <w:color w:val="auto"/>
          <w:kern w:val="0"/>
          <w:sz w:val="24"/>
          <w:u w:val="none" w:color="auto"/>
        </w:rPr>
        <w:t>本项目关注的主要环境问题是：</w:t>
      </w:r>
    </w:p>
    <w:p w14:paraId="17461345">
      <w:pPr>
        <w:spacing w:line="360" w:lineRule="auto"/>
        <w:ind w:firstLine="434" w:firstLineChars="181"/>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①本项目关注项目拟采取的废水、废气、固体废物等污染防治措施的合理性分析，污染物实现稳定达标排放的可行性、可靠性分析。</w:t>
      </w:r>
    </w:p>
    <w:p w14:paraId="5D43EBB7">
      <w:pPr>
        <w:pStyle w:val="21"/>
        <w:bidi w:val="0"/>
        <w:rPr>
          <w:rFonts w:hint="eastAsia" w:eastAsia="宋体"/>
          <w:color w:val="auto"/>
          <w:u w:val="none" w:color="auto"/>
          <w:lang w:eastAsia="zh-CN"/>
        </w:rPr>
      </w:pPr>
      <w:r>
        <w:rPr>
          <w:rFonts w:hint="eastAsia"/>
          <w:color w:val="auto"/>
          <w:u w:val="none" w:color="auto"/>
          <w:lang w:val="en-US" w:eastAsia="zh-CN"/>
        </w:rPr>
        <w:t>②</w:t>
      </w:r>
      <w:r>
        <w:rPr>
          <w:rFonts w:hint="default"/>
          <w:color w:val="auto"/>
          <w:u w:val="none" w:color="auto"/>
        </w:rPr>
        <w:t>关注项目的环境管理工作，提出项目环境管理体系建设的要求和规范</w:t>
      </w:r>
      <w:r>
        <w:rPr>
          <w:rFonts w:hint="eastAsia"/>
          <w:color w:val="auto"/>
          <w:u w:val="none" w:color="auto"/>
          <w:lang w:eastAsia="zh-CN"/>
        </w:rPr>
        <w:t>。</w:t>
      </w:r>
    </w:p>
    <w:p w14:paraId="1718B35F">
      <w:pPr>
        <w:pStyle w:val="7"/>
        <w:bidi w:val="0"/>
        <w:rPr>
          <w:rFonts w:hint="default"/>
          <w:color w:val="auto"/>
          <w:u w:val="none" w:color="auto"/>
        </w:rPr>
      </w:pPr>
      <w:bookmarkStart w:id="196" w:name="_Toc15236"/>
      <w:bookmarkStart w:id="197" w:name="_Toc23342"/>
      <w:bookmarkStart w:id="198" w:name="_Toc12971"/>
      <w:r>
        <w:rPr>
          <w:rFonts w:hint="default"/>
          <w:color w:val="auto"/>
          <w:u w:val="none" w:color="auto"/>
        </w:rPr>
        <w:t>1.</w:t>
      </w:r>
      <w:r>
        <w:rPr>
          <w:rFonts w:hint="eastAsia"/>
          <w:color w:val="auto"/>
          <w:u w:val="none" w:color="auto"/>
          <w:lang w:val="en-US" w:eastAsia="zh-CN"/>
        </w:rPr>
        <w:t>6</w:t>
      </w:r>
      <w:r>
        <w:rPr>
          <w:rFonts w:hint="default"/>
          <w:color w:val="auto"/>
          <w:u w:val="none" w:color="auto"/>
        </w:rPr>
        <w:t>环境影响评价主要结论</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6649ABD">
      <w:pPr>
        <w:pStyle w:val="21"/>
        <w:ind w:firstLine="480"/>
        <w:rPr>
          <w:rFonts w:hint="default" w:ascii="Times New Roman" w:hAnsi="Times New Roman" w:cs="Times New Roman"/>
          <w:color w:val="auto"/>
          <w:u w:val="none" w:color="auto"/>
        </w:rPr>
      </w:pPr>
      <w:bookmarkStart w:id="199" w:name="_Toc59104094"/>
      <w:bookmarkStart w:id="200" w:name="_Toc372124928"/>
      <w:bookmarkStart w:id="201" w:name="_Toc353549397"/>
      <w:bookmarkStart w:id="202" w:name="_Toc9883"/>
      <w:bookmarkStart w:id="203" w:name="_Toc59103487"/>
      <w:bookmarkStart w:id="204" w:name="_Toc59104187"/>
      <w:r>
        <w:rPr>
          <w:rFonts w:hint="default"/>
        </w:rPr>
        <w:t>湖南宏翰新能源科技有限公司</w:t>
      </w:r>
      <w:r>
        <w:rPr>
          <w:rFonts w:hint="eastAsia" w:ascii="Times New Roman" w:hAnsi="Times New Roman" w:cs="Times New Roman"/>
          <w:color w:val="auto"/>
          <w:u w:val="none" w:color="auto"/>
          <w:lang w:val="en-US" w:eastAsia="zh-CN"/>
        </w:rPr>
        <w:t>年产20万套锂电池石墨匣钵项目</w:t>
      </w:r>
      <w:r>
        <w:rPr>
          <w:rFonts w:hint="default" w:ascii="Times New Roman" w:hAnsi="Times New Roman" w:cs="Times New Roman"/>
          <w:color w:val="auto"/>
          <w:u w:val="none" w:color="auto"/>
          <w:lang w:eastAsia="zh-CN"/>
        </w:rPr>
        <w:t>建设符合国家产业政策；项目生产所采用的原料和设备、所采用的生产工艺符合国家现行产业政策，其所采取的污染防治措施可行，建设单位在落实本报告提出的各项环保措施和风险防范措施的情况下，不会对区域环境质量产生明显影响</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环境风险可控</w:t>
      </w:r>
      <w:r>
        <w:rPr>
          <w:rFonts w:hint="default" w:ascii="Times New Roman" w:hAnsi="Times New Roman" w:cs="Times New Roman"/>
          <w:color w:val="auto"/>
          <w:u w:val="none" w:color="auto"/>
          <w:lang w:eastAsia="zh-CN"/>
        </w:rPr>
        <w:t>。从环保角度而言，该项目的建设是可行的。</w:t>
      </w:r>
    </w:p>
    <w:p w14:paraId="6ADD455C">
      <w:pPr>
        <w:pStyle w:val="6"/>
        <w:bidi w:val="0"/>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u w:val="none" w:color="auto"/>
        </w:rPr>
        <w:br w:type="page"/>
      </w:r>
      <w:bookmarkStart w:id="205" w:name="_Toc6529"/>
      <w:bookmarkStart w:id="206" w:name="_Toc5917_WPSOffice_Level1"/>
      <w:bookmarkStart w:id="207" w:name="_Toc17861_WPSOffice_Level1"/>
      <w:bookmarkStart w:id="208" w:name="_Toc22577_WPSOffice_Level1"/>
      <w:bookmarkStart w:id="209" w:name="_Toc23064_WPSOffice_Level1"/>
      <w:bookmarkStart w:id="210" w:name="_Toc27815_WPSOffice_Level1"/>
      <w:bookmarkStart w:id="211" w:name="_Toc14401"/>
      <w:bookmarkStart w:id="212" w:name="_Toc29481"/>
      <w:bookmarkStart w:id="213" w:name="_Toc7140_WPSOffice_Level1"/>
      <w:bookmarkStart w:id="214" w:name="_Toc26328_WPSOffice_Level1"/>
      <w:bookmarkStart w:id="215" w:name="_Toc4740_WPSOffice_Level1"/>
      <w:bookmarkStart w:id="216" w:name="_Toc13685_WPSOffice_Level1"/>
      <w:bookmarkStart w:id="217" w:name="_Toc30946"/>
      <w:bookmarkStart w:id="218" w:name="_Toc27622"/>
      <w:bookmarkStart w:id="219" w:name="_Toc3931"/>
      <w:r>
        <w:rPr>
          <w:rFonts w:hint="default" w:ascii="Times New Roman" w:hAnsi="Times New Roman" w:eastAsia="宋体" w:cs="Times New Roman"/>
          <w:color w:val="auto"/>
          <w:u w:val="none" w:color="auto"/>
        </w:rPr>
        <w:t>2、总则</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C92C23D">
      <w:pPr>
        <w:pStyle w:val="7"/>
        <w:bidi w:val="0"/>
        <w:rPr>
          <w:rFonts w:hint="default"/>
          <w:color w:val="auto"/>
          <w:u w:val="none" w:color="auto"/>
        </w:rPr>
      </w:pPr>
      <w:bookmarkStart w:id="220" w:name="_Toc2329_WPSOffice_Level2"/>
      <w:bookmarkStart w:id="221" w:name="_Toc12201_WPSOffice_Level2"/>
      <w:bookmarkStart w:id="222" w:name="_Toc25220_WPSOffice_Level2"/>
      <w:bookmarkStart w:id="223" w:name="_Toc27554"/>
      <w:bookmarkStart w:id="224" w:name="_Toc22245"/>
      <w:bookmarkStart w:id="225" w:name="_Toc8664_WPSOffice_Level2"/>
      <w:bookmarkStart w:id="226" w:name="_Toc27359"/>
      <w:bookmarkStart w:id="227" w:name="_Toc13978"/>
      <w:bookmarkStart w:id="228" w:name="_Toc21343_WPSOffice_Level2"/>
      <w:bookmarkStart w:id="229" w:name="_Toc458169515"/>
      <w:bookmarkStart w:id="230" w:name="_Toc5222_WPSOffice_Level2"/>
      <w:bookmarkStart w:id="231" w:name="_Toc18671_WPSOffice_Level2"/>
      <w:bookmarkStart w:id="232" w:name="_Toc11591"/>
      <w:bookmarkStart w:id="233" w:name="_Toc14472"/>
      <w:bookmarkStart w:id="234" w:name="_Toc28635"/>
      <w:bookmarkStart w:id="235" w:name="OLE_LINK11"/>
      <w:r>
        <w:rPr>
          <w:rFonts w:hint="default"/>
          <w:color w:val="auto"/>
          <w:u w:val="none" w:color="auto"/>
        </w:rPr>
        <w:t>2.1编制依据</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bookmarkEnd w:id="235"/>
    <w:p w14:paraId="39575AC0">
      <w:pPr>
        <w:pStyle w:val="8"/>
        <w:rPr>
          <w:rFonts w:hint="default" w:ascii="Times New Roman" w:hAnsi="Times New Roman" w:cs="Times New Roman"/>
          <w:color w:val="auto"/>
          <w:u w:val="none" w:color="auto"/>
        </w:rPr>
      </w:pPr>
      <w:bookmarkStart w:id="236" w:name="_Toc270622547"/>
      <w:bookmarkStart w:id="237" w:name="_Toc269630436"/>
      <w:bookmarkStart w:id="238" w:name="_Toc25089"/>
      <w:bookmarkStart w:id="239" w:name="_Toc269630352"/>
      <w:bookmarkStart w:id="240" w:name="_Toc15868"/>
      <w:bookmarkStart w:id="241" w:name="_Toc458169516"/>
      <w:bookmarkStart w:id="242" w:name="_Toc302936678"/>
      <w:bookmarkStart w:id="243" w:name="_Toc29214"/>
      <w:bookmarkStart w:id="244" w:name="_Toc5219"/>
      <w:bookmarkStart w:id="245" w:name="_Toc9010"/>
      <w:bookmarkStart w:id="246" w:name="_Toc6878"/>
      <w:bookmarkStart w:id="247" w:name="_Toc9250"/>
      <w:bookmarkStart w:id="248" w:name="_Toc6685"/>
      <w:bookmarkStart w:id="249" w:name="_Toc26650"/>
      <w:bookmarkStart w:id="250" w:name="_Toc20122"/>
      <w:bookmarkStart w:id="251" w:name="_Toc1742_WPSOffice_Level3"/>
      <w:bookmarkStart w:id="252" w:name="_Toc32124"/>
      <w:bookmarkStart w:id="253" w:name="_Toc17107"/>
      <w:bookmarkStart w:id="254" w:name="_Toc9924"/>
      <w:bookmarkStart w:id="255" w:name="_Toc17678"/>
      <w:bookmarkStart w:id="256" w:name="_Toc20293"/>
      <w:bookmarkStart w:id="257" w:name="_Toc31606_WPSOffice_Level3"/>
      <w:bookmarkStart w:id="258" w:name="_Toc26795"/>
      <w:bookmarkStart w:id="259" w:name="_Toc26217"/>
      <w:bookmarkStart w:id="260" w:name="_Toc19911"/>
      <w:bookmarkStart w:id="261" w:name="_Toc220"/>
      <w:r>
        <w:rPr>
          <w:rFonts w:hint="default" w:ascii="Times New Roman" w:hAnsi="Times New Roman" w:cs="Times New Roman"/>
          <w:color w:val="auto"/>
          <w:u w:val="none" w:color="auto"/>
        </w:rPr>
        <w:t>2.1.1</w:t>
      </w:r>
      <w:bookmarkEnd w:id="236"/>
      <w:bookmarkEnd w:id="237"/>
      <w:bookmarkEnd w:id="238"/>
      <w:bookmarkEnd w:id="239"/>
      <w:bookmarkEnd w:id="240"/>
      <w:bookmarkEnd w:id="241"/>
      <w:bookmarkEnd w:id="242"/>
      <w:r>
        <w:rPr>
          <w:rFonts w:hint="default" w:ascii="Times New Roman" w:hAnsi="Times New Roman" w:cs="Times New Roman"/>
          <w:color w:val="auto"/>
          <w:u w:val="none" w:color="auto"/>
        </w:rPr>
        <w:t>国家法律、法规和政策</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7131DFE">
      <w:pPr>
        <w:pStyle w:val="21"/>
        <w:ind w:firstLine="480"/>
        <w:rPr>
          <w:rFonts w:hint="default" w:ascii="Times New Roman" w:hAnsi="Times New Roman" w:cs="Times New Roman"/>
          <w:color w:val="auto"/>
          <w:u w:val="none" w:color="auto"/>
        </w:rPr>
      </w:pPr>
      <w:bookmarkStart w:id="262" w:name="_Toc12847_WPSOffice_Level3"/>
      <w:bookmarkStart w:id="263" w:name="_Toc11552"/>
      <w:bookmarkStart w:id="264" w:name="_Toc4142"/>
      <w:bookmarkStart w:id="265" w:name="_Toc20610"/>
      <w:bookmarkStart w:id="266" w:name="_Toc8820"/>
      <w:bookmarkStart w:id="267" w:name="_Toc29780"/>
      <w:bookmarkStart w:id="268" w:name="_Toc15139"/>
      <w:bookmarkStart w:id="269" w:name="_Toc10353_WPSOffice_Level3"/>
      <w:bookmarkStart w:id="270" w:name="_Toc29355"/>
      <w:bookmarkStart w:id="271" w:name="_Toc892"/>
      <w:bookmarkStart w:id="272" w:name="_Toc6923"/>
      <w:bookmarkStart w:id="273" w:name="_Toc3210"/>
      <w:bookmarkStart w:id="274" w:name="_Toc20716"/>
      <w:bookmarkStart w:id="275" w:name="_Toc655"/>
      <w:bookmarkStart w:id="276" w:name="_Toc12435"/>
      <w:bookmarkStart w:id="277" w:name="_Toc19688"/>
      <w:bookmarkStart w:id="278" w:name="_Toc269630438"/>
      <w:bookmarkStart w:id="279" w:name="_Toc29169"/>
      <w:bookmarkStart w:id="280" w:name="_Toc458169518"/>
      <w:bookmarkStart w:id="281" w:name="_Toc269630354"/>
      <w:bookmarkStart w:id="282" w:name="_Toc302936680"/>
      <w:bookmarkStart w:id="283" w:name="_Toc270622549"/>
      <w:bookmarkStart w:id="284" w:name="_Toc16491"/>
      <w:r>
        <w:rPr>
          <w:rFonts w:hint="default" w:ascii="Times New Roman" w:hAnsi="Times New Roman" w:cs="Times New Roman"/>
          <w:color w:val="auto"/>
          <w:u w:val="none" w:color="auto"/>
        </w:rPr>
        <w:t>（1）《中华人民共和国环境保护法》，2015年1月1日起实施；</w:t>
      </w:r>
    </w:p>
    <w:p w14:paraId="759E7E3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（2）《中华人民共和国环境影响评价法》，2018年12月29日修订实施；</w:t>
      </w:r>
    </w:p>
    <w:p w14:paraId="64207A7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（3）《中华人民共和国水污染防治法》，2018年1月1日起实施；</w:t>
      </w:r>
    </w:p>
    <w:p w14:paraId="5729236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（4）《中华人民共和国大气污染防治法》，2018年10月26日修订实施；</w:t>
      </w:r>
    </w:p>
    <w:p w14:paraId="53FE6F5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（5）《中华人民共和国固体废物污染环境防治法》，20</w:t>
      </w:r>
      <w:r>
        <w:rPr>
          <w:rFonts w:hint="default" w:ascii="Times New Roman" w:hAnsi="Times New Roman" w:cs="Times New Roman"/>
          <w:color w:val="auto"/>
          <w:u w:val="none" w:color="auto"/>
          <w:lang w:val="en-US" w:eastAsia="zh-CN"/>
        </w:rPr>
        <w:t>20</w:t>
      </w:r>
      <w:r>
        <w:rPr>
          <w:rFonts w:hint="default" w:ascii="Times New Roman" w:hAnsi="Times New Roman" w:cs="Times New Roman"/>
          <w:color w:val="auto"/>
          <w:u w:val="none" w:color="auto"/>
        </w:rPr>
        <w:t>年</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月</w:t>
      </w:r>
      <w:r>
        <w:rPr>
          <w:rFonts w:hint="default" w:ascii="Times New Roman" w:hAnsi="Times New Roman" w:cs="Times New Roman"/>
          <w:color w:val="auto"/>
          <w:u w:val="none" w:color="auto"/>
          <w:lang w:val="en-US" w:eastAsia="zh-CN"/>
        </w:rPr>
        <w:t>29</w:t>
      </w:r>
      <w:r>
        <w:rPr>
          <w:rFonts w:hint="default" w:ascii="Times New Roman" w:hAnsi="Times New Roman" w:cs="Times New Roman"/>
          <w:color w:val="auto"/>
          <w:u w:val="none" w:color="auto"/>
        </w:rPr>
        <w:t>日修正；</w:t>
      </w:r>
    </w:p>
    <w:p w14:paraId="5B0DC3F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（6）《中华人民共和国噪声污染防治法》，2022年6月5日起实施；</w:t>
      </w:r>
    </w:p>
    <w:p w14:paraId="20DAFB4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《中华人民共和国土壤污染防治法》，201</w:t>
      </w:r>
      <w:r>
        <w:rPr>
          <w:rFonts w:hint="default" w:ascii="Times New Roman" w:hAnsi="Times New Roman" w:cs="Times New Roman"/>
          <w:color w:val="auto"/>
          <w:u w:val="none" w:color="auto"/>
          <w:lang w:val="en-US" w:eastAsia="zh-CN"/>
        </w:rPr>
        <w:t>9</w:t>
      </w:r>
      <w:r>
        <w:rPr>
          <w:rFonts w:hint="default" w:ascii="Times New Roman" w:hAnsi="Times New Roman" w:cs="Times New Roman"/>
          <w:color w:val="auto"/>
          <w:u w:val="none" w:color="auto"/>
        </w:rPr>
        <w:t>年</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月</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日修订实施；</w:t>
      </w:r>
    </w:p>
    <w:p w14:paraId="0C951D01">
      <w:pPr>
        <w:pStyle w:val="21"/>
        <w:ind w:firstLine="480"/>
        <w:rPr>
          <w:color w:val="auto"/>
          <w:u w:val="none" w:color="auto"/>
        </w:rPr>
      </w:pPr>
      <w:r>
        <w:rPr>
          <w:color w:val="auto"/>
          <w:u w:val="none" w:color="auto"/>
        </w:rPr>
        <w:t>（8）《中华人民共和国</w:t>
      </w:r>
      <w:r>
        <w:rPr>
          <w:rFonts w:hint="eastAsia"/>
          <w:color w:val="auto"/>
          <w:u w:val="none" w:color="auto"/>
          <w:lang w:eastAsia="zh-CN"/>
        </w:rPr>
        <w:t>长江保护</w:t>
      </w:r>
      <w:r>
        <w:rPr>
          <w:color w:val="auto"/>
          <w:u w:val="none" w:color="auto"/>
        </w:rPr>
        <w:t>法》，20</w:t>
      </w:r>
      <w:r>
        <w:rPr>
          <w:rFonts w:hint="eastAsia"/>
          <w:color w:val="auto"/>
          <w:u w:val="none" w:color="auto"/>
          <w:lang w:val="en-US" w:eastAsia="zh-CN"/>
        </w:rPr>
        <w:t>21</w:t>
      </w:r>
      <w:r>
        <w:rPr>
          <w:color w:val="auto"/>
          <w:u w:val="none" w:color="auto"/>
        </w:rPr>
        <w:t>年</w:t>
      </w:r>
      <w:r>
        <w:rPr>
          <w:rFonts w:hint="eastAsia"/>
          <w:color w:val="auto"/>
          <w:u w:val="none" w:color="auto"/>
          <w:lang w:val="en-US" w:eastAsia="zh-CN"/>
        </w:rPr>
        <w:t>3</w:t>
      </w:r>
      <w:r>
        <w:rPr>
          <w:color w:val="auto"/>
          <w:u w:val="none" w:color="auto"/>
        </w:rPr>
        <w:t>月1日</w:t>
      </w:r>
      <w:r>
        <w:rPr>
          <w:rFonts w:hint="eastAsia"/>
          <w:color w:val="auto"/>
          <w:u w:val="none" w:color="auto"/>
          <w:lang w:eastAsia="zh-CN"/>
        </w:rPr>
        <w:t>起</w:t>
      </w:r>
      <w:r>
        <w:rPr>
          <w:color w:val="auto"/>
          <w:u w:val="none" w:color="auto"/>
        </w:rPr>
        <w:t>实施；</w:t>
      </w:r>
    </w:p>
    <w:p w14:paraId="492BF0BD">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9</w:t>
      </w:r>
      <w:r>
        <w:rPr>
          <w:rFonts w:hint="eastAsia"/>
          <w:color w:val="auto"/>
          <w:u w:val="none" w:color="auto"/>
          <w:lang w:eastAsia="zh-CN"/>
        </w:rPr>
        <w:t>）《</w:t>
      </w:r>
      <w:r>
        <w:rPr>
          <w:color w:val="auto"/>
          <w:u w:val="none" w:color="auto"/>
        </w:rPr>
        <w:t>中华人民共和国循环经济促进法</w:t>
      </w:r>
      <w:r>
        <w:rPr>
          <w:rFonts w:hint="eastAsia"/>
          <w:color w:val="auto"/>
          <w:u w:val="none" w:color="auto"/>
          <w:lang w:eastAsia="zh-CN"/>
        </w:rPr>
        <w:t>》，</w:t>
      </w:r>
      <w:r>
        <w:rPr>
          <w:rFonts w:hint="default"/>
          <w:color w:val="auto"/>
          <w:u w:val="none" w:color="auto"/>
        </w:rPr>
        <w:t>2018</w:t>
      </w:r>
      <w:r>
        <w:rPr>
          <w:rFonts w:hint="eastAsia"/>
          <w:color w:val="auto"/>
          <w:u w:val="none" w:color="auto"/>
          <w:lang w:val="en-US" w:eastAsia="zh-CN"/>
        </w:rPr>
        <w:t>年</w:t>
      </w:r>
      <w:r>
        <w:rPr>
          <w:rFonts w:hint="default"/>
          <w:color w:val="auto"/>
          <w:u w:val="none" w:color="auto"/>
        </w:rPr>
        <w:t>修正</w:t>
      </w:r>
      <w:r>
        <w:rPr>
          <w:rFonts w:hint="eastAsia"/>
          <w:color w:val="auto"/>
          <w:u w:val="none" w:color="auto"/>
          <w:lang w:eastAsia="zh-CN"/>
        </w:rPr>
        <w:t>；</w:t>
      </w:r>
    </w:p>
    <w:p w14:paraId="4ECEE6A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10</w:t>
      </w:r>
      <w:r>
        <w:rPr>
          <w:rFonts w:hint="default" w:ascii="Times New Roman" w:hAnsi="Times New Roman" w:cs="Times New Roman"/>
          <w:color w:val="auto"/>
          <w:u w:val="none" w:color="auto"/>
        </w:rPr>
        <w:t>）《建设项目环境保护管理条例》，（国务院令第682号），2017年</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rPr>
        <w:t>月</w:t>
      </w:r>
      <w:r>
        <w:rPr>
          <w:rFonts w:hint="eastAsia" w:ascii="Times New Roman" w:hAnsi="Times New Roman" w:cs="Times New Roman"/>
          <w:color w:val="auto"/>
          <w:u w:val="none" w:color="auto"/>
          <w:lang w:val="en-US" w:eastAsia="zh-CN"/>
        </w:rPr>
        <w:t>16</w:t>
      </w:r>
      <w:r>
        <w:rPr>
          <w:rFonts w:hint="default" w:ascii="Times New Roman" w:hAnsi="Times New Roman" w:cs="Times New Roman"/>
          <w:color w:val="auto"/>
          <w:u w:val="none" w:color="auto"/>
        </w:rPr>
        <w:t>日修订，2017年10月1日起实施；</w:t>
      </w:r>
    </w:p>
    <w:p w14:paraId="53BDA1F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11</w:t>
      </w:r>
      <w:r>
        <w:rPr>
          <w:rFonts w:hint="default" w:ascii="Times New Roman" w:hAnsi="Times New Roman" w:cs="Times New Roman"/>
          <w:color w:val="auto"/>
          <w:u w:val="none" w:color="auto"/>
        </w:rPr>
        <w:t>）</w:t>
      </w:r>
      <w:r>
        <w:rPr>
          <w:color w:val="auto"/>
          <w:u w:val="none" w:color="auto"/>
        </w:rPr>
        <w:t>《建设项目环境影响评价分类管理名录》，生态环境部第1</w:t>
      </w:r>
      <w:r>
        <w:rPr>
          <w:rFonts w:hint="eastAsia"/>
          <w:color w:val="auto"/>
          <w:u w:val="none" w:color="auto"/>
          <w:lang w:val="en-US" w:eastAsia="zh-CN"/>
        </w:rPr>
        <w:t>6</w:t>
      </w:r>
      <w:r>
        <w:rPr>
          <w:color w:val="auto"/>
          <w:u w:val="none" w:color="auto"/>
        </w:rPr>
        <w:t>号令，20</w:t>
      </w:r>
      <w:r>
        <w:rPr>
          <w:rFonts w:hint="eastAsia"/>
          <w:color w:val="auto"/>
          <w:u w:val="none" w:color="auto"/>
          <w:lang w:val="en-US" w:eastAsia="zh-CN"/>
        </w:rPr>
        <w:t>21</w:t>
      </w:r>
      <w:r>
        <w:rPr>
          <w:color w:val="auto"/>
          <w:u w:val="none" w:color="auto"/>
        </w:rPr>
        <w:t>年</w:t>
      </w:r>
      <w:r>
        <w:rPr>
          <w:rFonts w:hint="eastAsia"/>
          <w:color w:val="auto"/>
          <w:u w:val="none" w:color="auto"/>
          <w:lang w:val="en-US" w:eastAsia="zh-CN"/>
        </w:rPr>
        <w:t>1</w:t>
      </w:r>
      <w:r>
        <w:rPr>
          <w:color w:val="auto"/>
          <w:u w:val="none" w:color="auto"/>
        </w:rPr>
        <w:t>月</w:t>
      </w:r>
      <w:r>
        <w:rPr>
          <w:rFonts w:hint="eastAsia"/>
          <w:color w:val="auto"/>
          <w:u w:val="none" w:color="auto"/>
          <w:lang w:val="en-US" w:eastAsia="zh-CN"/>
        </w:rPr>
        <w:t>1</w:t>
      </w:r>
      <w:r>
        <w:rPr>
          <w:color w:val="auto"/>
          <w:u w:val="none" w:color="auto"/>
        </w:rPr>
        <w:t>日起实施</w:t>
      </w:r>
      <w:r>
        <w:rPr>
          <w:rFonts w:hint="default" w:ascii="Times New Roman" w:hAnsi="Times New Roman" w:cs="Times New Roman"/>
          <w:color w:val="auto"/>
          <w:u w:val="none" w:color="auto"/>
        </w:rPr>
        <w:t>；</w:t>
      </w:r>
    </w:p>
    <w:p w14:paraId="09134BC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1</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）《环境影响评价公众参与办法》，生态环境部第4号令，2019年1月1日公布实施；</w:t>
      </w:r>
    </w:p>
    <w:p w14:paraId="37AD0C7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13</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lang w:eastAsia="zh-CN"/>
        </w:rPr>
        <w:t>年本）》；</w:t>
      </w:r>
    </w:p>
    <w:p w14:paraId="0290E8E6">
      <w:pPr>
        <w:pStyle w:val="21"/>
        <w:ind w:firstLine="48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（14）《环境保护综合名录（2021年版）》；</w:t>
      </w:r>
    </w:p>
    <w:p w14:paraId="2643EC92">
      <w:pPr>
        <w:pStyle w:val="21"/>
        <w:bidi w:val="0"/>
        <w:rPr>
          <w:rFonts w:hint="default"/>
          <w:color w:val="auto"/>
          <w:u w:val="none" w:color="auto"/>
        </w:rPr>
      </w:pPr>
      <w:r>
        <w:rPr>
          <w:color w:val="auto"/>
          <w:u w:val="none" w:color="auto"/>
        </w:rPr>
        <w:t>（</w:t>
      </w:r>
      <w:r>
        <w:rPr>
          <w:rFonts w:hint="eastAsia"/>
          <w:color w:val="auto"/>
          <w:u w:val="none" w:color="auto"/>
          <w:lang w:val="en-US" w:eastAsia="zh-CN"/>
        </w:rPr>
        <w:t>15</w:t>
      </w:r>
      <w:r>
        <w:rPr>
          <w:color w:val="auto"/>
          <w:u w:val="none" w:color="auto"/>
        </w:rPr>
        <w:t>）</w:t>
      </w:r>
      <w:r>
        <w:rPr>
          <w:rFonts w:hint="eastAsia"/>
          <w:color w:val="auto"/>
          <w:u w:val="none" w:color="auto"/>
        </w:rPr>
        <w:t>关于印发《生态环境分区管控管理暂行规定》的通知（环环评〔2024〕41号）</w:t>
      </w:r>
      <w:r>
        <w:rPr>
          <w:color w:val="auto"/>
          <w:u w:val="none" w:color="auto"/>
        </w:rPr>
        <w:t>；</w:t>
      </w:r>
    </w:p>
    <w:p w14:paraId="19630CB5">
      <w:pPr>
        <w:pStyle w:val="21"/>
        <w:bidi w:val="0"/>
        <w:rPr>
          <w:rFonts w:hint="eastAsia"/>
          <w:color w:val="auto"/>
          <w:u w:val="none" w:color="auto"/>
          <w:lang w:eastAsia="zh-CN"/>
        </w:rPr>
      </w:pPr>
      <w:r>
        <w:rPr>
          <w:color w:val="auto"/>
          <w:u w:val="none" w:color="auto"/>
        </w:rPr>
        <w:t>（</w:t>
      </w:r>
      <w:r>
        <w:rPr>
          <w:rFonts w:hint="eastAsia"/>
          <w:color w:val="auto"/>
          <w:u w:val="none" w:color="auto"/>
          <w:lang w:val="en-US" w:eastAsia="zh-CN"/>
        </w:rPr>
        <w:t>16</w:t>
      </w:r>
      <w:r>
        <w:rPr>
          <w:color w:val="auto"/>
          <w:u w:val="none" w:color="auto"/>
        </w:rPr>
        <w:t>）</w:t>
      </w:r>
      <w:r>
        <w:rPr>
          <w:rFonts w:hint="eastAsia"/>
          <w:color w:val="auto"/>
          <w:u w:val="none" w:color="auto"/>
        </w:rPr>
        <w:t>《长江经济带发展负面清单指南（试行，2022年版）》，长江办[2022]7号，2022年1月19号实施</w:t>
      </w:r>
      <w:r>
        <w:rPr>
          <w:rFonts w:hint="eastAsia"/>
          <w:color w:val="auto"/>
          <w:u w:val="none" w:color="auto"/>
          <w:lang w:eastAsia="zh-CN"/>
        </w:rPr>
        <w:t>。</w:t>
      </w:r>
    </w:p>
    <w:p w14:paraId="1C81F51F">
      <w:pPr>
        <w:pStyle w:val="8"/>
        <w:rPr>
          <w:rFonts w:hint="default" w:ascii="Times New Roman" w:hAnsi="Times New Roman" w:cs="Times New Roman"/>
          <w:color w:val="auto"/>
          <w:u w:val="none" w:color="auto"/>
        </w:rPr>
      </w:pPr>
      <w:bookmarkStart w:id="285" w:name="_Toc1955"/>
      <w:bookmarkStart w:id="286" w:name="_Toc10766"/>
      <w:bookmarkStart w:id="287" w:name="_Toc13257"/>
      <w:r>
        <w:rPr>
          <w:rFonts w:hint="default" w:ascii="Times New Roman" w:hAnsi="Times New Roman" w:cs="Times New Roman"/>
          <w:color w:val="auto"/>
          <w:u w:val="none" w:color="auto"/>
        </w:rPr>
        <w:t>2.1.2地方法规、规划</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85"/>
      <w:bookmarkEnd w:id="286"/>
      <w:bookmarkEnd w:id="287"/>
    </w:p>
    <w:p w14:paraId="1A82EDBE">
      <w:pPr>
        <w:pStyle w:val="21"/>
        <w:bidi w:val="0"/>
        <w:rPr>
          <w:rFonts w:hint="default" w:ascii="Times New Roman" w:hAnsi="Times New Roman" w:cs="Times New Roman"/>
          <w:color w:val="auto"/>
          <w:u w:val="none" w:color="auto"/>
        </w:rPr>
      </w:pPr>
      <w:bookmarkStart w:id="288" w:name="_Toc10733_WPSOffice_Level3"/>
      <w:bookmarkStart w:id="289" w:name="_Toc9233_WPSOffice_Level3"/>
      <w:bookmarkStart w:id="290" w:name="_Toc22765"/>
      <w:bookmarkStart w:id="291" w:name="_Toc5332"/>
      <w:bookmarkStart w:id="292" w:name="_Toc10423"/>
      <w:bookmarkStart w:id="293" w:name="_Toc16884"/>
      <w:bookmarkStart w:id="294" w:name="_Toc844"/>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《湖南省主要水系地表水环境功能区划》（DB43/023-2005）；</w:t>
      </w:r>
    </w:p>
    <w:p w14:paraId="475B9B07">
      <w:pPr>
        <w:pStyle w:val="21"/>
        <w:bidi w:val="0"/>
        <w:rPr>
          <w:color w:val="auto"/>
          <w:u w:val="none" w:color="auto"/>
        </w:rPr>
      </w:pPr>
      <w:r>
        <w:rPr>
          <w:color w:val="auto"/>
          <w:u w:val="none" w:color="auto"/>
        </w:rPr>
        <w:t>（</w:t>
      </w:r>
      <w:r>
        <w:rPr>
          <w:rFonts w:hint="eastAsia"/>
          <w:color w:val="auto"/>
          <w:u w:val="none" w:color="auto"/>
          <w:lang w:val="en-US" w:eastAsia="zh-CN"/>
        </w:rPr>
        <w:t>2</w:t>
      </w:r>
      <w:r>
        <w:rPr>
          <w:color w:val="auto"/>
          <w:u w:val="none" w:color="auto"/>
        </w:rPr>
        <w:t>）</w:t>
      </w:r>
      <w:r>
        <w:rPr>
          <w:rFonts w:hint="eastAsia"/>
          <w:color w:val="auto"/>
          <w:u w:val="none" w:color="auto"/>
        </w:rPr>
        <w:t>《湖南省环境保护条例》，湖南省第十四届人民代表大会常务委员会第十三次会议，2024年11月29日修订</w:t>
      </w:r>
      <w:r>
        <w:rPr>
          <w:color w:val="auto"/>
          <w:u w:val="none" w:color="auto"/>
        </w:rPr>
        <w:t>；</w:t>
      </w:r>
    </w:p>
    <w:p w14:paraId="4EBEA47C">
      <w:pPr>
        <w:pStyle w:val="21"/>
        <w:bidi w:val="0"/>
        <w:rPr>
          <w:color w:val="auto"/>
          <w:u w:val="none" w:color="auto"/>
        </w:rPr>
      </w:pPr>
      <w:r>
        <w:rPr>
          <w:color w:val="auto"/>
          <w:u w:val="none" w:color="auto"/>
        </w:rPr>
        <w:t>（</w:t>
      </w:r>
      <w:r>
        <w:rPr>
          <w:rFonts w:hint="eastAsia"/>
          <w:color w:val="auto"/>
          <w:u w:val="none" w:color="auto"/>
          <w:lang w:val="en-US" w:eastAsia="zh-CN"/>
        </w:rPr>
        <w:t>3</w:t>
      </w:r>
      <w:r>
        <w:rPr>
          <w:color w:val="auto"/>
          <w:u w:val="none" w:color="auto"/>
        </w:rPr>
        <w:t>）《关于进一步规范我省固体</w:t>
      </w:r>
      <w:r>
        <w:rPr>
          <w:rFonts w:hint="default" w:ascii="Times New Roman" w:hAnsi="Times New Roman" w:cs="Times New Roman"/>
          <w:color w:val="auto"/>
          <w:u w:val="none" w:color="auto"/>
        </w:rPr>
        <w:t>（危险）</w:t>
      </w:r>
      <w:r>
        <w:rPr>
          <w:color w:val="auto"/>
          <w:u w:val="none" w:color="auto"/>
        </w:rPr>
        <w:t>废物转移管理的通知》）（湘环发[2014]22号）；</w:t>
      </w:r>
    </w:p>
    <w:p w14:paraId="46E92227">
      <w:pPr>
        <w:pStyle w:val="21"/>
        <w:bidi w:val="0"/>
        <w:rPr>
          <w:color w:val="auto"/>
          <w:u w:val="none" w:color="auto"/>
        </w:rPr>
      </w:pPr>
      <w:r>
        <w:rPr>
          <w:color w:val="auto"/>
          <w:u w:val="none" w:color="auto"/>
        </w:rPr>
        <w:t>（</w:t>
      </w:r>
      <w:r>
        <w:rPr>
          <w:rFonts w:hint="eastAsia"/>
          <w:color w:val="auto"/>
          <w:u w:val="none" w:color="auto"/>
          <w:lang w:val="en-US" w:eastAsia="zh-CN"/>
        </w:rPr>
        <w:t>4</w:t>
      </w:r>
      <w:r>
        <w:rPr>
          <w:color w:val="auto"/>
          <w:u w:val="none" w:color="auto"/>
        </w:rPr>
        <w:t>）</w:t>
      </w:r>
      <w:r>
        <w:rPr>
          <w:rFonts w:hint="eastAsia"/>
          <w:color w:val="auto"/>
          <w:u w:val="none" w:color="auto"/>
        </w:rPr>
        <w:t>湖南省人民政府办公厅关于印发《长株潭及传输通道城市环境空气质量达标攻坚行动计划》的通知，湘政办发〔2023〕3号</w:t>
      </w:r>
      <w:r>
        <w:rPr>
          <w:color w:val="auto"/>
          <w:u w:val="none" w:color="auto"/>
        </w:rPr>
        <w:t>；</w:t>
      </w:r>
    </w:p>
    <w:p w14:paraId="7E77E757">
      <w:pPr>
        <w:pStyle w:val="21"/>
        <w:bidi w:val="0"/>
        <w:rPr>
          <w:color w:val="auto"/>
          <w:u w:val="none" w:color="auto"/>
        </w:rPr>
      </w:pPr>
      <w:r>
        <w:rPr>
          <w:color w:val="auto"/>
          <w:u w:val="none" w:color="auto"/>
        </w:rPr>
        <w:t>（</w:t>
      </w:r>
      <w:r>
        <w:rPr>
          <w:rFonts w:hint="eastAsia"/>
          <w:color w:val="auto"/>
          <w:u w:val="none" w:color="auto"/>
          <w:lang w:val="en-US" w:eastAsia="zh-CN"/>
        </w:rPr>
        <w:t>5</w:t>
      </w:r>
      <w:r>
        <w:rPr>
          <w:color w:val="auto"/>
          <w:u w:val="none" w:color="auto"/>
        </w:rPr>
        <w:t>）</w:t>
      </w:r>
      <w:r>
        <w:rPr>
          <w:rFonts w:hint="eastAsia"/>
          <w:color w:val="auto"/>
          <w:u w:val="none" w:color="auto"/>
          <w:lang w:val="en-US" w:eastAsia="zh-CN"/>
        </w:rPr>
        <w:t>湖南省生态环境厅关于公布湖南省生态环境分区管控更新成果（2023版）的公告，湖南省生态环境厅，2024年10月22日；</w:t>
      </w:r>
    </w:p>
    <w:p w14:paraId="4054E6AB">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6</w:t>
      </w:r>
      <w:r>
        <w:rPr>
          <w:rFonts w:hint="eastAsia"/>
          <w:color w:val="auto"/>
          <w:u w:val="none" w:color="auto"/>
          <w:lang w:eastAsia="zh-CN"/>
        </w:rPr>
        <w:t>）《湖南省“十四五”生态环境保护规划》，湘政办发[2021]61号，2021年9月30日实施；</w:t>
      </w:r>
    </w:p>
    <w:p w14:paraId="0EFF8F39">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7</w:t>
      </w:r>
      <w:r>
        <w:rPr>
          <w:rFonts w:hint="eastAsia"/>
          <w:color w:val="auto"/>
          <w:u w:val="none" w:color="auto"/>
          <w:lang w:eastAsia="zh-CN"/>
        </w:rPr>
        <w:t>）《湖南省“两高”项目管理</w:t>
      </w:r>
      <w:r>
        <w:rPr>
          <w:rFonts w:hint="eastAsia"/>
          <w:color w:val="auto"/>
          <w:u w:val="none" w:color="auto"/>
          <w:lang w:val="en-US" w:eastAsia="zh-CN"/>
        </w:rPr>
        <w:t>目录</w:t>
      </w:r>
      <w:r>
        <w:rPr>
          <w:rFonts w:hint="eastAsia"/>
          <w:color w:val="auto"/>
          <w:u w:val="none" w:color="auto"/>
          <w:lang w:eastAsia="zh-CN"/>
        </w:rPr>
        <w:t>》，湘发改环资[2021]</w:t>
      </w:r>
      <w:r>
        <w:rPr>
          <w:rFonts w:hint="eastAsia"/>
          <w:color w:val="auto"/>
          <w:u w:val="none" w:color="auto"/>
          <w:lang w:val="en-US" w:eastAsia="zh-CN"/>
        </w:rPr>
        <w:t>968</w:t>
      </w:r>
      <w:r>
        <w:rPr>
          <w:rFonts w:hint="eastAsia"/>
          <w:color w:val="auto"/>
          <w:u w:val="none" w:color="auto"/>
          <w:lang w:eastAsia="zh-CN"/>
        </w:rPr>
        <w:t>号，2021年</w:t>
      </w:r>
      <w:r>
        <w:rPr>
          <w:rFonts w:hint="eastAsia"/>
          <w:color w:val="auto"/>
          <w:u w:val="none" w:color="auto"/>
          <w:lang w:val="en-US" w:eastAsia="zh-CN"/>
        </w:rPr>
        <w:t>12</w:t>
      </w:r>
      <w:r>
        <w:rPr>
          <w:rFonts w:hint="eastAsia"/>
          <w:color w:val="auto"/>
          <w:u w:val="none" w:color="auto"/>
          <w:lang w:eastAsia="zh-CN"/>
        </w:rPr>
        <w:t>月</w:t>
      </w:r>
      <w:r>
        <w:rPr>
          <w:rFonts w:hint="eastAsia"/>
          <w:color w:val="auto"/>
          <w:u w:val="none" w:color="auto"/>
          <w:lang w:val="en-US" w:eastAsia="zh-CN"/>
        </w:rPr>
        <w:t>16</w:t>
      </w:r>
      <w:r>
        <w:rPr>
          <w:rFonts w:hint="eastAsia"/>
          <w:color w:val="auto"/>
          <w:u w:val="none" w:color="auto"/>
          <w:lang w:eastAsia="zh-CN"/>
        </w:rPr>
        <w:t>日印发；</w:t>
      </w:r>
    </w:p>
    <w:p w14:paraId="4726833C">
      <w:pPr>
        <w:pStyle w:val="21"/>
        <w:bidi w:val="0"/>
        <w:rPr>
          <w:rFonts w:hint="eastAsia"/>
          <w:color w:val="auto"/>
          <w:u w:val="none" w:color="auto"/>
          <w:lang w:eastAsia="zh-CN"/>
        </w:rPr>
      </w:pPr>
      <w:r>
        <w:rPr>
          <w:rFonts w:hint="eastAsia"/>
          <w:color w:val="auto"/>
          <w:u w:val="none" w:color="auto"/>
        </w:rPr>
        <w:t>（</w:t>
      </w:r>
      <w:r>
        <w:rPr>
          <w:rFonts w:hint="eastAsia"/>
          <w:color w:val="auto"/>
          <w:u w:val="none" w:color="auto"/>
          <w:lang w:val="en-US" w:eastAsia="zh-CN"/>
        </w:rPr>
        <w:t>8</w:t>
      </w:r>
      <w:r>
        <w:rPr>
          <w:rFonts w:hint="eastAsia"/>
          <w:color w:val="auto"/>
          <w:u w:val="none" w:color="auto"/>
        </w:rPr>
        <w:t>）《湖南省长江经济带发展负面清单实施细则（试行</w:t>
      </w:r>
      <w:r>
        <w:rPr>
          <w:rFonts w:hint="eastAsia"/>
          <w:color w:val="auto"/>
          <w:u w:val="none" w:color="auto"/>
          <w:lang w:eastAsia="zh-CN"/>
        </w:rPr>
        <w:t>，</w:t>
      </w:r>
      <w:r>
        <w:rPr>
          <w:rFonts w:hint="eastAsia"/>
          <w:color w:val="auto"/>
          <w:u w:val="none" w:color="auto"/>
          <w:lang w:val="en-US" w:eastAsia="zh-CN"/>
        </w:rPr>
        <w:t>2022版</w:t>
      </w:r>
      <w:r>
        <w:rPr>
          <w:rFonts w:hint="eastAsia"/>
          <w:color w:val="auto"/>
          <w:u w:val="none" w:color="auto"/>
        </w:rPr>
        <w:t>）》</w:t>
      </w:r>
      <w:r>
        <w:rPr>
          <w:rFonts w:hint="eastAsia"/>
          <w:color w:val="auto"/>
          <w:u w:val="none" w:color="auto"/>
          <w:lang w:eastAsia="zh-CN"/>
        </w:rPr>
        <w:t>；</w:t>
      </w:r>
    </w:p>
    <w:p w14:paraId="4E66AEB9">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9</w:t>
      </w:r>
      <w:r>
        <w:rPr>
          <w:rFonts w:hint="eastAsia"/>
          <w:color w:val="auto"/>
          <w:u w:val="none" w:color="auto"/>
          <w:lang w:eastAsia="zh-CN"/>
        </w:rPr>
        <w:t>）《湖南省县级以上地表水集中式饮用水水源保护区划定方案的通知》，湘政函［2016］176号，2016年12月30日；</w:t>
      </w:r>
    </w:p>
    <w:p w14:paraId="34115FEE">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10</w:t>
      </w:r>
      <w:r>
        <w:rPr>
          <w:rFonts w:hint="eastAsia"/>
          <w:color w:val="auto"/>
          <w:u w:val="none" w:color="auto"/>
          <w:lang w:eastAsia="zh-CN"/>
        </w:rPr>
        <w:t>）《湖南省人民政府办公厅关于印发</w:t>
      </w:r>
      <w:r>
        <w:rPr>
          <w:rFonts w:hint="eastAsia"/>
          <w:color w:val="auto"/>
          <w:u w:val="none" w:color="auto"/>
          <w:lang w:val="en-US" w:eastAsia="zh-CN"/>
        </w:rPr>
        <w:t>&lt;</w:t>
      </w:r>
      <w:r>
        <w:rPr>
          <w:rFonts w:hint="eastAsia"/>
          <w:color w:val="auto"/>
          <w:u w:val="none" w:color="auto"/>
          <w:lang w:eastAsia="zh-CN"/>
        </w:rPr>
        <w:t>湖南省空气质量持续改善行动计划实施方案</w:t>
      </w:r>
      <w:r>
        <w:rPr>
          <w:rFonts w:hint="eastAsia"/>
          <w:color w:val="auto"/>
          <w:u w:val="none" w:color="auto"/>
          <w:lang w:val="en-US" w:eastAsia="zh-CN"/>
        </w:rPr>
        <w:t>&gt;</w:t>
      </w:r>
      <w:r>
        <w:rPr>
          <w:rFonts w:hint="eastAsia"/>
          <w:color w:val="auto"/>
          <w:u w:val="none" w:color="auto"/>
          <w:lang w:eastAsia="zh-CN"/>
        </w:rPr>
        <w:t>的通知》，湘政办发〔2024〕33号；</w:t>
      </w:r>
    </w:p>
    <w:p w14:paraId="5C07B16D">
      <w:pPr>
        <w:pStyle w:val="21"/>
        <w:bidi w:val="0"/>
        <w:rPr>
          <w:rFonts w:hint="eastAsia"/>
          <w:color w:val="auto"/>
          <w:u w:val="none" w:color="auto"/>
          <w:lang w:eastAsia="zh-CN"/>
        </w:rPr>
      </w:pPr>
      <w:r>
        <w:rPr>
          <w:rFonts w:hint="eastAsia"/>
          <w:color w:val="auto"/>
          <w:u w:val="none" w:color="auto"/>
          <w:lang w:eastAsia="zh-CN"/>
        </w:rPr>
        <w:t>（1</w:t>
      </w:r>
      <w:r>
        <w:rPr>
          <w:rFonts w:hint="eastAsia"/>
          <w:color w:val="auto"/>
          <w:u w:val="none" w:color="auto"/>
          <w:lang w:val="en-US" w:eastAsia="zh-CN"/>
        </w:rPr>
        <w:t>1</w:t>
      </w:r>
      <w:r>
        <w:rPr>
          <w:rFonts w:hint="eastAsia"/>
          <w:color w:val="auto"/>
          <w:u w:val="none" w:color="auto"/>
          <w:lang w:eastAsia="zh-CN"/>
        </w:rPr>
        <w:t>）湖南省大气污染防治“守护蓝天”攻坚行动计划（2023-2025 年）（湘政办发〔2023〕34号）；</w:t>
      </w:r>
    </w:p>
    <w:p w14:paraId="1F2B9C23">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12</w:t>
      </w:r>
      <w:r>
        <w:rPr>
          <w:rFonts w:hint="eastAsia"/>
          <w:color w:val="auto"/>
          <w:u w:val="none" w:color="auto"/>
          <w:lang w:eastAsia="zh-CN"/>
        </w:rPr>
        <w:t>）《岳阳市人民政府办公室关于印发</w:t>
      </w:r>
      <w:r>
        <w:rPr>
          <w:rFonts w:hint="eastAsia"/>
          <w:color w:val="auto"/>
          <w:u w:val="none" w:color="auto"/>
          <w:lang w:val="en-US" w:eastAsia="zh-CN"/>
        </w:rPr>
        <w:t>&lt;</w:t>
      </w:r>
      <w:r>
        <w:rPr>
          <w:rFonts w:hint="eastAsia"/>
          <w:color w:val="auto"/>
          <w:u w:val="none" w:color="auto"/>
          <w:lang w:eastAsia="zh-CN"/>
        </w:rPr>
        <w:t>岳阳市水环境功能区管理规定</w:t>
      </w:r>
      <w:r>
        <w:rPr>
          <w:rFonts w:hint="eastAsia"/>
          <w:color w:val="auto"/>
          <w:u w:val="none" w:color="auto"/>
          <w:lang w:val="en-US" w:eastAsia="zh-CN"/>
        </w:rPr>
        <w:t>&gt;</w:t>
      </w:r>
      <w:r>
        <w:rPr>
          <w:rFonts w:hint="eastAsia"/>
          <w:color w:val="auto"/>
          <w:u w:val="none" w:color="auto"/>
          <w:lang w:eastAsia="zh-CN"/>
        </w:rPr>
        <w:t>和</w:t>
      </w:r>
      <w:r>
        <w:rPr>
          <w:rFonts w:hint="eastAsia"/>
          <w:color w:val="auto"/>
          <w:u w:val="none" w:color="auto"/>
          <w:lang w:val="en-US" w:eastAsia="zh-CN"/>
        </w:rPr>
        <w:t>&lt;</w:t>
      </w:r>
      <w:r>
        <w:rPr>
          <w:rFonts w:hint="eastAsia"/>
          <w:color w:val="auto"/>
          <w:u w:val="none" w:color="auto"/>
          <w:lang w:eastAsia="zh-CN"/>
        </w:rPr>
        <w:t>岳阳市水环境功能区划分</w:t>
      </w:r>
      <w:r>
        <w:rPr>
          <w:rFonts w:hint="eastAsia"/>
          <w:color w:val="auto"/>
          <w:u w:val="none" w:color="auto"/>
          <w:lang w:val="en-US" w:eastAsia="zh-CN"/>
        </w:rPr>
        <w:t>&gt;</w:t>
      </w:r>
      <w:r>
        <w:rPr>
          <w:rFonts w:hint="eastAsia"/>
          <w:color w:val="auto"/>
          <w:u w:val="none" w:color="auto"/>
          <w:lang w:eastAsia="zh-CN"/>
        </w:rPr>
        <w:t>的通知》（岳政办发[2010]30号）；</w:t>
      </w:r>
    </w:p>
    <w:p w14:paraId="02143BE5">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13</w:t>
      </w:r>
      <w:r>
        <w:rPr>
          <w:rFonts w:hint="eastAsia"/>
          <w:color w:val="auto"/>
          <w:u w:val="none" w:color="auto"/>
          <w:lang w:eastAsia="zh-CN"/>
        </w:rPr>
        <w:t>）《湖南省生态环境厅关于印发</w:t>
      </w:r>
      <w:r>
        <w:rPr>
          <w:rFonts w:hint="eastAsia"/>
          <w:color w:val="auto"/>
          <w:u w:val="none" w:color="auto"/>
          <w:lang w:val="en-US" w:eastAsia="zh-CN"/>
        </w:rPr>
        <w:t>&lt;</w:t>
      </w:r>
      <w:r>
        <w:rPr>
          <w:rFonts w:hint="eastAsia"/>
          <w:color w:val="auto"/>
          <w:u w:val="none" w:color="auto"/>
          <w:lang w:eastAsia="zh-CN"/>
        </w:rPr>
        <w:t>湖南省主要污染物排污权有偿使用和交易实施细则</w:t>
      </w:r>
      <w:r>
        <w:rPr>
          <w:rFonts w:hint="eastAsia"/>
          <w:color w:val="auto"/>
          <w:u w:val="none" w:color="auto"/>
          <w:lang w:val="en-US" w:eastAsia="zh-CN"/>
        </w:rPr>
        <w:t>&gt;</w:t>
      </w:r>
      <w:r>
        <w:rPr>
          <w:rFonts w:hint="eastAsia"/>
          <w:color w:val="auto"/>
          <w:u w:val="none" w:color="auto"/>
          <w:lang w:eastAsia="zh-CN"/>
        </w:rPr>
        <w:t>的通知》（湘环发〔2024〕3号）；</w:t>
      </w:r>
    </w:p>
    <w:p w14:paraId="1ED3CAE6">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14</w:t>
      </w:r>
      <w:r>
        <w:rPr>
          <w:rFonts w:hint="eastAsia"/>
          <w:color w:val="auto"/>
          <w:u w:val="none" w:color="auto"/>
          <w:lang w:eastAsia="zh-CN"/>
        </w:rPr>
        <w:t>）《岳阳市生态环境“十四五”规划（2021-2025）》；</w:t>
      </w:r>
    </w:p>
    <w:p w14:paraId="02A2897E">
      <w:pPr>
        <w:pStyle w:val="21"/>
        <w:bidi w:val="0"/>
        <w:rPr>
          <w:rFonts w:hint="eastAsia"/>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15</w:t>
      </w:r>
      <w:r>
        <w:rPr>
          <w:rFonts w:hint="eastAsia"/>
          <w:color w:val="auto"/>
          <w:u w:val="none" w:color="auto"/>
          <w:lang w:eastAsia="zh-CN"/>
        </w:rPr>
        <w:t>）《岳阳市生态环境局关于发布岳阳市生态环境分区管控动态更新成果（2023 年版）的通知》，（岳环发〔2024〕14号）</w:t>
      </w:r>
      <w:r>
        <w:rPr>
          <w:rFonts w:hint="eastAsia"/>
          <w:color w:val="auto"/>
          <w:u w:val="none" w:color="auto"/>
          <w:lang w:val="en-US" w:eastAsia="zh-CN"/>
        </w:rPr>
        <w:t>；</w:t>
      </w:r>
    </w:p>
    <w:p w14:paraId="1327593F">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16</w:t>
      </w:r>
      <w:r>
        <w:rPr>
          <w:rFonts w:hint="eastAsia"/>
          <w:color w:val="auto"/>
          <w:u w:val="none" w:color="auto"/>
          <w:lang w:eastAsia="zh-CN"/>
        </w:rPr>
        <w:t>）《湖南省生态环境厅关于执行污染物特别排放限值（第一批）的公告》，2018年10月29日；</w:t>
      </w:r>
    </w:p>
    <w:p w14:paraId="7355B978">
      <w:pPr>
        <w:pStyle w:val="21"/>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17</w:t>
      </w:r>
      <w:r>
        <w:rPr>
          <w:rFonts w:hint="eastAsia"/>
          <w:color w:val="auto"/>
          <w:u w:val="none" w:color="auto"/>
          <w:lang w:eastAsia="zh-CN"/>
        </w:rPr>
        <w:t>）《湖南省生态环境厅关于执行污染物特别排放限值（第二批）的公告》，</w:t>
      </w:r>
      <w:r>
        <w:rPr>
          <w:rFonts w:hint="eastAsia"/>
          <w:color w:val="auto"/>
          <w:u w:val="none" w:color="auto"/>
          <w:lang w:val="en-US" w:eastAsia="zh-CN"/>
        </w:rPr>
        <w:t>2022年12月30日</w:t>
      </w:r>
      <w:r>
        <w:rPr>
          <w:rFonts w:hint="eastAsia"/>
          <w:color w:val="auto"/>
          <w:u w:val="none" w:color="auto"/>
          <w:lang w:eastAsia="zh-CN"/>
        </w:rPr>
        <w:t>。</w:t>
      </w:r>
    </w:p>
    <w:p w14:paraId="62228E9E">
      <w:pPr>
        <w:pStyle w:val="8"/>
        <w:rPr>
          <w:rFonts w:hint="default" w:ascii="Times New Roman" w:hAnsi="Times New Roman" w:cs="Times New Roman"/>
          <w:color w:val="auto"/>
          <w:u w:val="none" w:color="auto"/>
        </w:rPr>
      </w:pPr>
      <w:bookmarkStart w:id="295" w:name="_Toc14581"/>
      <w:bookmarkStart w:id="296" w:name="_Toc12459"/>
      <w:bookmarkStart w:id="297" w:name="_Toc18801"/>
      <w:bookmarkStart w:id="298" w:name="_Toc20542"/>
      <w:bookmarkStart w:id="299" w:name="_Toc5829"/>
      <w:bookmarkStart w:id="300" w:name="_Toc4881"/>
      <w:bookmarkStart w:id="301" w:name="_Toc21432"/>
      <w:bookmarkStart w:id="302" w:name="_Toc22535"/>
      <w:bookmarkStart w:id="303" w:name="_Toc22694"/>
      <w:bookmarkStart w:id="304" w:name="_Toc29733"/>
      <w:bookmarkStart w:id="305" w:name="_Toc11651"/>
      <w:bookmarkStart w:id="306" w:name="_Toc12520"/>
      <w:r>
        <w:rPr>
          <w:rFonts w:hint="default" w:ascii="Times New Roman" w:hAnsi="Times New Roman" w:cs="Times New Roman"/>
          <w:color w:val="auto"/>
          <w:u w:val="none" w:color="auto"/>
        </w:rPr>
        <w:t>2.1.3相关的技术规范</w:t>
      </w:r>
      <w:bookmarkEnd w:id="278"/>
      <w:bookmarkEnd w:id="279"/>
      <w:bookmarkEnd w:id="280"/>
      <w:bookmarkEnd w:id="281"/>
      <w:bookmarkEnd w:id="282"/>
      <w:bookmarkEnd w:id="283"/>
      <w:bookmarkEnd w:id="28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D19C973">
      <w:pPr>
        <w:pStyle w:val="21"/>
        <w:bidi w:val="0"/>
        <w:rPr>
          <w:rFonts w:hint="default"/>
          <w:color w:val="auto"/>
          <w:u w:val="none" w:color="auto"/>
        </w:rPr>
      </w:pPr>
      <w:bookmarkStart w:id="307" w:name="_Toc5782"/>
      <w:bookmarkStart w:id="308" w:name="_Toc28473"/>
      <w:bookmarkStart w:id="309" w:name="_Toc9205"/>
      <w:bookmarkStart w:id="310" w:name="_Toc26220"/>
      <w:bookmarkStart w:id="311" w:name="_Toc4068"/>
      <w:bookmarkStart w:id="312" w:name="_Toc19051"/>
      <w:bookmarkStart w:id="313" w:name="_Toc25500_WPSOffice_Level3"/>
      <w:bookmarkStart w:id="314" w:name="_Toc5985"/>
      <w:bookmarkStart w:id="315" w:name="_Toc7952_WPSOffice_Level3"/>
      <w:bookmarkStart w:id="316" w:name="_Toc17716"/>
      <w:bookmarkStart w:id="317" w:name="_Toc12764"/>
      <w:bookmarkStart w:id="318" w:name="_Toc16193"/>
      <w:bookmarkStart w:id="319" w:name="_Toc8607"/>
      <w:bookmarkStart w:id="320" w:name="_Toc20007"/>
      <w:bookmarkStart w:id="321" w:name="_Toc29182"/>
      <w:bookmarkStart w:id="322" w:name="_Toc27271"/>
      <w:r>
        <w:rPr>
          <w:rFonts w:hint="default"/>
          <w:color w:val="auto"/>
          <w:u w:val="none" w:color="auto"/>
        </w:rPr>
        <w:t>（1）《建设项目环境影响评价技术导则 总纲》(HJ</w:t>
      </w:r>
      <w:r>
        <w:rPr>
          <w:rFonts w:hint="default"/>
          <w:color w:val="auto"/>
          <w:u w:val="none" w:color="auto"/>
          <w:lang w:val="en-US" w:eastAsia="zh-CN"/>
        </w:rPr>
        <w:t>2.1</w:t>
      </w:r>
      <w:r>
        <w:rPr>
          <w:rFonts w:hint="default"/>
          <w:color w:val="auto"/>
          <w:u w:val="none" w:color="auto"/>
        </w:rPr>
        <w:t>-2016)；</w:t>
      </w:r>
    </w:p>
    <w:p w14:paraId="592F24EA">
      <w:pPr>
        <w:pStyle w:val="21"/>
        <w:bidi w:val="0"/>
        <w:rPr>
          <w:rFonts w:hint="default"/>
          <w:color w:val="auto"/>
          <w:u w:val="none" w:color="auto"/>
        </w:rPr>
      </w:pPr>
      <w:r>
        <w:rPr>
          <w:rFonts w:hint="default"/>
          <w:color w:val="auto"/>
          <w:u w:val="none" w:color="auto"/>
        </w:rPr>
        <w:t>（2）《环境影响评价技术导则 大气环境》(HJ2.2-2018)；</w:t>
      </w:r>
    </w:p>
    <w:p w14:paraId="6DF36B11">
      <w:pPr>
        <w:pStyle w:val="21"/>
        <w:bidi w:val="0"/>
        <w:rPr>
          <w:rFonts w:hint="default"/>
          <w:color w:val="auto"/>
          <w:u w:val="none" w:color="auto"/>
        </w:rPr>
      </w:pPr>
      <w:r>
        <w:rPr>
          <w:rFonts w:hint="default"/>
          <w:color w:val="auto"/>
          <w:u w:val="none" w:color="auto"/>
        </w:rPr>
        <w:t>（3）《环境影响评价技术导则 地表水</w:t>
      </w:r>
      <w:r>
        <w:rPr>
          <w:rFonts w:hint="default"/>
          <w:color w:val="auto"/>
          <w:u w:val="none" w:color="auto"/>
          <w:lang w:eastAsia="zh-CN"/>
        </w:rPr>
        <w:t>环境</w:t>
      </w:r>
      <w:r>
        <w:rPr>
          <w:rFonts w:hint="default"/>
          <w:color w:val="auto"/>
          <w:u w:val="none" w:color="auto"/>
        </w:rPr>
        <w:t>》(HJ2.3-2018)；</w:t>
      </w:r>
    </w:p>
    <w:p w14:paraId="0626199E">
      <w:pPr>
        <w:pStyle w:val="21"/>
        <w:bidi w:val="0"/>
        <w:rPr>
          <w:rFonts w:hint="default"/>
          <w:color w:val="auto"/>
          <w:u w:val="none" w:color="auto"/>
        </w:rPr>
      </w:pPr>
      <w:r>
        <w:rPr>
          <w:rFonts w:hint="default"/>
          <w:color w:val="auto"/>
          <w:u w:val="none" w:color="auto"/>
        </w:rPr>
        <w:t>（4）《环境影响评价技术导则 声环境》(HJ2.4-20</w:t>
      </w:r>
      <w:r>
        <w:rPr>
          <w:rFonts w:hint="eastAsia"/>
          <w:color w:val="auto"/>
          <w:u w:val="none" w:color="auto"/>
          <w:lang w:val="en-US" w:eastAsia="zh-CN"/>
        </w:rPr>
        <w:t>21</w:t>
      </w:r>
      <w:r>
        <w:rPr>
          <w:rFonts w:hint="default"/>
          <w:color w:val="auto"/>
          <w:u w:val="none" w:color="auto"/>
        </w:rPr>
        <w:t>)；</w:t>
      </w:r>
    </w:p>
    <w:p w14:paraId="0CF8D67C">
      <w:pPr>
        <w:pStyle w:val="21"/>
        <w:bidi w:val="0"/>
        <w:rPr>
          <w:rFonts w:hint="default"/>
          <w:color w:val="auto"/>
          <w:u w:val="none" w:color="auto"/>
        </w:rPr>
      </w:pPr>
      <w:r>
        <w:rPr>
          <w:rFonts w:hint="default"/>
          <w:color w:val="auto"/>
          <w:u w:val="none" w:color="auto"/>
        </w:rPr>
        <w:t>（5）《环境影响评价技术导则 地下水环境》（HJ610-2016）</w:t>
      </w:r>
    </w:p>
    <w:p w14:paraId="2D8F6A98">
      <w:pPr>
        <w:pStyle w:val="21"/>
        <w:bidi w:val="0"/>
        <w:rPr>
          <w:rFonts w:hint="default"/>
          <w:color w:val="auto"/>
          <w:u w:val="none" w:color="auto"/>
        </w:rPr>
      </w:pPr>
      <w:r>
        <w:rPr>
          <w:rFonts w:hint="default"/>
          <w:color w:val="auto"/>
          <w:u w:val="none" w:color="auto"/>
          <w:lang w:eastAsia="zh-CN"/>
        </w:rPr>
        <w:t>（</w:t>
      </w:r>
      <w:r>
        <w:rPr>
          <w:rFonts w:hint="default"/>
          <w:color w:val="auto"/>
          <w:u w:val="none" w:color="auto"/>
          <w:lang w:val="en-US" w:eastAsia="zh-CN"/>
        </w:rPr>
        <w:t>6</w:t>
      </w:r>
      <w:r>
        <w:rPr>
          <w:rFonts w:hint="default"/>
          <w:color w:val="auto"/>
          <w:u w:val="none" w:color="auto"/>
          <w:lang w:eastAsia="zh-CN"/>
        </w:rPr>
        <w:t>）</w:t>
      </w:r>
      <w:r>
        <w:rPr>
          <w:rFonts w:hint="default"/>
          <w:color w:val="auto"/>
          <w:u w:val="none" w:color="auto"/>
        </w:rPr>
        <w:t>《环境影响评价技术导则 土壤环境（试行）》（HJ964-2018）</w:t>
      </w:r>
    </w:p>
    <w:p w14:paraId="00596C7A">
      <w:pPr>
        <w:pStyle w:val="21"/>
        <w:bidi w:val="0"/>
        <w:rPr>
          <w:rFonts w:hint="default"/>
          <w:color w:val="auto"/>
          <w:u w:val="none" w:color="auto"/>
        </w:rPr>
      </w:pPr>
      <w:r>
        <w:rPr>
          <w:rFonts w:hint="default"/>
          <w:color w:val="auto"/>
          <w:u w:val="none" w:color="auto"/>
        </w:rPr>
        <w:t>（</w:t>
      </w:r>
      <w:r>
        <w:rPr>
          <w:rFonts w:hint="default"/>
          <w:color w:val="auto"/>
          <w:u w:val="none" w:color="auto"/>
          <w:lang w:val="en-US" w:eastAsia="zh-CN"/>
        </w:rPr>
        <w:t>7</w:t>
      </w:r>
      <w:r>
        <w:rPr>
          <w:rFonts w:hint="default"/>
          <w:color w:val="auto"/>
          <w:u w:val="none" w:color="auto"/>
        </w:rPr>
        <w:t>）《建设项目环境风险评价技术导则》(HJ169-2018)；</w:t>
      </w:r>
    </w:p>
    <w:p w14:paraId="7DF8CABD">
      <w:pPr>
        <w:pStyle w:val="21"/>
        <w:bidi w:val="0"/>
        <w:rPr>
          <w:rFonts w:hint="default"/>
          <w:color w:val="auto"/>
          <w:u w:val="none" w:color="auto"/>
        </w:rPr>
      </w:pPr>
      <w:r>
        <w:rPr>
          <w:rFonts w:hint="default"/>
          <w:color w:val="auto"/>
          <w:u w:val="none" w:color="auto"/>
        </w:rPr>
        <w:t>（</w:t>
      </w:r>
      <w:r>
        <w:rPr>
          <w:rFonts w:hint="default"/>
          <w:color w:val="auto"/>
          <w:u w:val="none" w:color="auto"/>
          <w:lang w:val="en-US" w:eastAsia="zh-CN"/>
        </w:rPr>
        <w:t>8</w:t>
      </w:r>
      <w:r>
        <w:rPr>
          <w:rFonts w:hint="default"/>
          <w:color w:val="auto"/>
          <w:u w:val="none" w:color="auto"/>
        </w:rPr>
        <w:t>）《环境影响评价技术导则 生态影响》(HJ19-2</w:t>
      </w:r>
      <w:r>
        <w:rPr>
          <w:rFonts w:hint="eastAsia"/>
          <w:color w:val="auto"/>
          <w:u w:val="none" w:color="auto"/>
          <w:lang w:val="en-US" w:eastAsia="zh-CN"/>
        </w:rPr>
        <w:t>022</w:t>
      </w:r>
      <w:r>
        <w:rPr>
          <w:rFonts w:hint="default"/>
          <w:color w:val="auto"/>
          <w:u w:val="none" w:color="auto"/>
        </w:rPr>
        <w:t>)；</w:t>
      </w:r>
    </w:p>
    <w:p w14:paraId="4808985E">
      <w:pPr>
        <w:pStyle w:val="21"/>
        <w:bidi w:val="0"/>
        <w:rPr>
          <w:rFonts w:hint="default"/>
          <w:color w:val="auto"/>
          <w:u w:val="none" w:color="auto"/>
          <w:lang w:eastAsia="zh-CN"/>
        </w:rPr>
      </w:pPr>
      <w:r>
        <w:rPr>
          <w:rFonts w:hint="eastAsia"/>
          <w:color w:val="auto"/>
          <w:u w:val="none" w:color="auto"/>
          <w:lang w:eastAsia="zh-CN"/>
        </w:rPr>
        <w:t>（</w:t>
      </w:r>
      <w:r>
        <w:rPr>
          <w:rFonts w:hint="eastAsia"/>
          <w:color w:val="auto"/>
          <w:u w:val="none" w:color="auto"/>
          <w:lang w:val="en-US" w:eastAsia="zh-CN"/>
        </w:rPr>
        <w:t>9</w:t>
      </w:r>
      <w:r>
        <w:rPr>
          <w:rFonts w:hint="eastAsia"/>
          <w:color w:val="auto"/>
          <w:u w:val="none" w:color="auto"/>
          <w:lang w:eastAsia="zh-CN"/>
        </w:rPr>
        <w:t>）</w:t>
      </w:r>
      <w:r>
        <w:rPr>
          <w:rFonts w:hint="default"/>
          <w:color w:val="auto"/>
          <w:u w:val="none" w:color="auto"/>
        </w:rPr>
        <w:t>《国家危险废物名录》</w:t>
      </w:r>
      <w:r>
        <w:rPr>
          <w:rFonts w:hint="eastAsia"/>
          <w:color w:val="auto"/>
          <w:u w:val="none" w:color="auto"/>
          <w:lang w:val="en-US" w:eastAsia="zh-CN"/>
        </w:rPr>
        <w:t>2025版</w:t>
      </w:r>
      <w:r>
        <w:rPr>
          <w:rFonts w:hint="default"/>
          <w:color w:val="auto"/>
          <w:u w:val="none" w:color="auto"/>
        </w:rPr>
        <w:t>；</w:t>
      </w:r>
    </w:p>
    <w:p w14:paraId="0F5C0F2D">
      <w:pPr>
        <w:pStyle w:val="21"/>
        <w:bidi w:val="0"/>
        <w:rPr>
          <w:rFonts w:hint="eastAsia"/>
          <w:color w:val="auto"/>
          <w:u w:val="none" w:color="auto"/>
          <w:lang w:eastAsia="zh-CN"/>
        </w:rPr>
      </w:pPr>
      <w:r>
        <w:rPr>
          <w:rFonts w:hint="default"/>
          <w:color w:val="auto"/>
          <w:u w:val="none" w:color="auto"/>
          <w:lang w:eastAsia="zh-CN"/>
        </w:rPr>
        <w:t>（</w:t>
      </w:r>
      <w:r>
        <w:rPr>
          <w:rFonts w:hint="default"/>
          <w:color w:val="auto"/>
          <w:u w:val="none" w:color="auto"/>
          <w:lang w:val="en-US" w:eastAsia="zh-CN"/>
        </w:rPr>
        <w:t>1</w:t>
      </w:r>
      <w:r>
        <w:rPr>
          <w:rFonts w:hint="eastAsia"/>
          <w:color w:val="auto"/>
          <w:u w:val="none" w:color="auto"/>
          <w:lang w:val="en-US" w:eastAsia="zh-CN"/>
        </w:rPr>
        <w:t>0</w:t>
      </w:r>
      <w:r>
        <w:rPr>
          <w:rFonts w:hint="default"/>
          <w:color w:val="auto"/>
          <w:u w:val="none" w:color="auto"/>
          <w:lang w:eastAsia="zh-CN"/>
        </w:rPr>
        <w:t xml:space="preserve">）《排污许可证申请与核发技术规范 </w:t>
      </w:r>
      <w:r>
        <w:rPr>
          <w:rFonts w:hint="eastAsia"/>
          <w:color w:val="auto"/>
          <w:u w:val="none" w:color="auto"/>
          <w:lang w:val="en-US" w:eastAsia="zh-CN"/>
        </w:rPr>
        <w:t>石墨及其他非金属矿物制品制造</w:t>
      </w:r>
      <w:r>
        <w:rPr>
          <w:rFonts w:hint="default"/>
          <w:color w:val="auto"/>
          <w:u w:val="none" w:color="auto"/>
          <w:lang w:eastAsia="zh-CN"/>
        </w:rPr>
        <w:t>》（HJ1</w:t>
      </w:r>
      <w:r>
        <w:rPr>
          <w:rFonts w:hint="default"/>
          <w:color w:val="auto"/>
          <w:u w:val="none" w:color="auto"/>
          <w:lang w:val="en-US" w:eastAsia="zh-CN"/>
        </w:rPr>
        <w:t>1</w:t>
      </w:r>
      <w:r>
        <w:rPr>
          <w:rFonts w:hint="eastAsia"/>
          <w:color w:val="auto"/>
          <w:u w:val="none" w:color="auto"/>
          <w:lang w:val="en-US" w:eastAsia="zh-CN"/>
        </w:rPr>
        <w:t>19</w:t>
      </w:r>
      <w:r>
        <w:rPr>
          <w:rFonts w:hint="default"/>
          <w:color w:val="auto"/>
          <w:u w:val="none" w:color="auto"/>
          <w:lang w:eastAsia="zh-CN"/>
        </w:rPr>
        <w:t>-20</w:t>
      </w:r>
      <w:r>
        <w:rPr>
          <w:rFonts w:hint="default"/>
          <w:color w:val="auto"/>
          <w:u w:val="none" w:color="auto"/>
          <w:lang w:val="en-US" w:eastAsia="zh-CN"/>
        </w:rPr>
        <w:t>20</w:t>
      </w:r>
      <w:r>
        <w:rPr>
          <w:rFonts w:hint="default"/>
          <w:color w:val="auto"/>
          <w:u w:val="none" w:color="auto"/>
          <w:lang w:eastAsia="zh-CN"/>
        </w:rPr>
        <w:t>）</w:t>
      </w:r>
      <w:r>
        <w:rPr>
          <w:rFonts w:hint="eastAsia"/>
          <w:color w:val="auto"/>
          <w:u w:val="none" w:color="auto"/>
          <w:lang w:eastAsia="zh-CN"/>
        </w:rPr>
        <w:t>；</w:t>
      </w:r>
    </w:p>
    <w:p w14:paraId="4BC38465">
      <w:pPr>
        <w:pStyle w:val="21"/>
        <w:bidi w:val="0"/>
        <w:rPr>
          <w:rFonts w:hint="default"/>
          <w:color w:val="auto"/>
          <w:u w:val="none" w:color="auto"/>
        </w:rPr>
      </w:pP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1</w:t>
      </w:r>
      <w:r>
        <w:rPr>
          <w:rFonts w:hint="default"/>
          <w:color w:val="auto"/>
          <w:u w:val="none" w:color="auto"/>
        </w:rPr>
        <w:t>）</w:t>
      </w:r>
      <w:r>
        <w:rPr>
          <w:rFonts w:hint="eastAsia"/>
          <w:color w:val="auto"/>
          <w:u w:val="none" w:color="auto"/>
          <w:lang w:eastAsia="zh-CN"/>
        </w:rPr>
        <w:t>《</w:t>
      </w:r>
      <w:r>
        <w:rPr>
          <w:rFonts w:hint="default"/>
          <w:color w:val="auto"/>
          <w:u w:val="none" w:color="auto"/>
        </w:rPr>
        <w:t>排污单位自行监测技术指南总则</w:t>
      </w:r>
      <w:r>
        <w:rPr>
          <w:rFonts w:hint="eastAsia"/>
          <w:color w:val="auto"/>
          <w:u w:val="none" w:color="auto"/>
          <w:lang w:eastAsia="zh-CN"/>
        </w:rPr>
        <w:t>》（</w:t>
      </w:r>
      <w:r>
        <w:rPr>
          <w:rFonts w:hint="eastAsia"/>
          <w:color w:val="auto"/>
          <w:u w:val="none" w:color="auto"/>
          <w:lang w:val="en-US" w:eastAsia="zh-CN"/>
        </w:rPr>
        <w:t>HJ819-2017</w:t>
      </w:r>
      <w:r>
        <w:rPr>
          <w:rFonts w:hint="eastAsia"/>
          <w:color w:val="auto"/>
          <w:u w:val="none" w:color="auto"/>
          <w:lang w:eastAsia="zh-CN"/>
        </w:rPr>
        <w:t>）</w:t>
      </w:r>
      <w:r>
        <w:rPr>
          <w:rFonts w:hint="default"/>
          <w:color w:val="auto"/>
          <w:u w:val="none" w:color="auto"/>
        </w:rPr>
        <w:t>；</w:t>
      </w:r>
    </w:p>
    <w:p w14:paraId="2C78B49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eastAsia="zh-CN"/>
        </w:rPr>
        <w:t>《一般工业固体废物贮存和填埋污染控制标准》</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GB18599-2</w:t>
      </w:r>
      <w:r>
        <w:rPr>
          <w:rFonts w:hint="eastAsia" w:ascii="Times New Roman" w:hAnsi="Times New Roman" w:cs="Times New Roman"/>
          <w:color w:val="auto"/>
          <w:u w:val="none" w:color="auto"/>
          <w:lang w:val="en-US" w:eastAsia="zh-CN"/>
        </w:rPr>
        <w:t>020</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eastAsia="zh-CN"/>
        </w:rPr>
        <w:t>；</w:t>
      </w:r>
    </w:p>
    <w:p w14:paraId="57026E82">
      <w:pPr>
        <w:pStyle w:val="21"/>
        <w:ind w:firstLine="480"/>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13</w:t>
      </w:r>
      <w:r>
        <w:rPr>
          <w:rFonts w:hint="default" w:ascii="Times New Roman" w:hAnsi="Times New Roman" w:cs="Times New Roman"/>
          <w:color w:val="auto"/>
          <w:u w:val="none" w:color="auto"/>
        </w:rPr>
        <w:t>）《危险废物贮存污染控制标准》（GB18597-20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eastAsia="zh-CN"/>
        </w:rPr>
        <w:t>；</w:t>
      </w:r>
    </w:p>
    <w:p w14:paraId="7CFCBC26">
      <w:pPr>
        <w:pStyle w:val="21"/>
        <w:ind w:firstLine="480"/>
        <w:rPr>
          <w:rFonts w:hint="eastAsia"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14</w:t>
      </w:r>
      <w:r>
        <w:rPr>
          <w:rFonts w:hint="default" w:ascii="Times New Roman" w:hAnsi="Times New Roman" w:cs="Times New Roman"/>
          <w:color w:val="auto"/>
          <w:u w:val="none" w:color="auto"/>
          <w:lang w:eastAsia="zh-CN"/>
        </w:rPr>
        <w:t>）《挥发性有机物无组织排放控制标准》（GB 37822</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eastAsia="zh-CN"/>
        </w:rPr>
        <w:t>2019）</w:t>
      </w:r>
      <w:r>
        <w:rPr>
          <w:rFonts w:hint="eastAsia" w:ascii="Times New Roman" w:hAnsi="Times New Roman" w:cs="Times New Roman"/>
          <w:color w:val="auto"/>
          <w:u w:val="none" w:color="auto"/>
          <w:lang w:val="en-US" w:eastAsia="zh-CN"/>
        </w:rPr>
        <w:t>；</w:t>
      </w:r>
    </w:p>
    <w:p w14:paraId="555B18BB">
      <w:pPr>
        <w:pStyle w:val="21"/>
        <w:bidi w:val="0"/>
        <w:rPr>
          <w:rFonts w:hint="eastAsia" w:ascii="Times New Roman" w:hAnsi="Times New Roman" w:cs="Times New Roman"/>
          <w:color w:val="auto"/>
          <w:u w:val="none" w:color="auto"/>
          <w:lang w:eastAsia="zh-CN"/>
        </w:rPr>
      </w:pPr>
      <w:r>
        <w:rPr>
          <w:rFonts w:hint="eastAsia"/>
          <w:color w:val="auto"/>
          <w:u w:val="none" w:color="auto"/>
          <w:lang w:eastAsia="zh-CN"/>
        </w:rPr>
        <w:t>（</w:t>
      </w:r>
      <w:r>
        <w:rPr>
          <w:rFonts w:hint="eastAsia"/>
          <w:color w:val="auto"/>
          <w:u w:val="none" w:color="auto"/>
          <w:lang w:val="en-US" w:eastAsia="zh-CN"/>
        </w:rPr>
        <w:t>15</w:t>
      </w:r>
      <w:r>
        <w:rPr>
          <w:rFonts w:hint="eastAsia"/>
          <w:color w:val="auto"/>
          <w:u w:val="none" w:color="auto"/>
          <w:lang w:eastAsia="zh-CN"/>
        </w:rPr>
        <w:t>）</w:t>
      </w:r>
      <w:r>
        <w:rPr>
          <w:rFonts w:hint="default" w:ascii="Times New Roman" w:hAnsi="Times New Roman" w:cs="Times New Roman"/>
          <w:color w:val="auto"/>
          <w:u w:val="none" w:color="auto"/>
        </w:rPr>
        <w:t>《大气污染物综合排放标准》（GB16297-1996）</w:t>
      </w:r>
      <w:r>
        <w:rPr>
          <w:rFonts w:hint="eastAsia" w:ascii="Times New Roman" w:hAnsi="Times New Roman" w:cs="Times New Roman"/>
          <w:color w:val="auto"/>
          <w:u w:val="none" w:color="auto"/>
          <w:lang w:eastAsia="zh-CN"/>
        </w:rPr>
        <w:t>；</w:t>
      </w:r>
    </w:p>
    <w:p w14:paraId="3789E468">
      <w:pPr>
        <w:pStyle w:val="21"/>
        <w:bidi w:val="0"/>
        <w:rPr>
          <w:rFonts w:hint="eastAsia" w:eastAsia="宋体"/>
          <w:color w:val="auto"/>
          <w:u w:val="none" w:color="auto"/>
          <w:lang w:eastAsia="zh-CN"/>
        </w:rPr>
      </w:pPr>
      <w:r>
        <w:rPr>
          <w:rFonts w:hint="eastAsia"/>
          <w:color w:val="auto"/>
          <w:u w:val="none" w:color="auto"/>
          <w:lang w:eastAsia="zh-CN"/>
        </w:rPr>
        <w:t>（</w:t>
      </w:r>
      <w:r>
        <w:rPr>
          <w:rFonts w:hint="eastAsia"/>
          <w:color w:val="auto"/>
          <w:u w:val="none" w:color="auto"/>
          <w:lang w:val="en-US" w:eastAsia="zh-CN"/>
        </w:rPr>
        <w:t>16</w:t>
      </w:r>
      <w:r>
        <w:rPr>
          <w:rFonts w:hint="eastAsia"/>
          <w:color w:val="auto"/>
          <w:u w:val="none" w:color="auto"/>
          <w:lang w:eastAsia="zh-CN"/>
        </w:rPr>
        <w:t>）</w:t>
      </w:r>
      <w:r>
        <w:rPr>
          <w:color w:val="auto"/>
          <w:u w:val="none" w:color="auto"/>
        </w:rPr>
        <w:t>湖南省地方标准《用水定额》（DB43/T388</w:t>
      </w:r>
      <w:r>
        <w:rPr>
          <w:rFonts w:hint="eastAsia"/>
          <w:color w:val="auto"/>
          <w:u w:val="none" w:color="auto"/>
          <w:lang w:val="en-US" w:eastAsia="zh-CN"/>
        </w:rPr>
        <w:t>.3</w:t>
      </w:r>
      <w:r>
        <w:rPr>
          <w:color w:val="auto"/>
          <w:u w:val="none" w:color="auto"/>
        </w:rPr>
        <w:t>-</w:t>
      </w:r>
      <w:r>
        <w:rPr>
          <w:rFonts w:hint="eastAsia"/>
          <w:color w:val="auto"/>
          <w:u w:val="none" w:color="auto"/>
        </w:rPr>
        <w:t>202</w:t>
      </w:r>
      <w:r>
        <w:rPr>
          <w:rFonts w:hint="eastAsia"/>
          <w:color w:val="auto"/>
          <w:u w:val="none" w:color="auto"/>
          <w:lang w:val="en-US" w:eastAsia="zh-CN"/>
        </w:rPr>
        <w:t>5</w:t>
      </w:r>
      <w:r>
        <w:rPr>
          <w:color w:val="auto"/>
          <w:u w:val="none" w:color="auto"/>
        </w:rPr>
        <w:t>）</w:t>
      </w:r>
      <w:r>
        <w:rPr>
          <w:rFonts w:hint="eastAsia"/>
          <w:color w:val="auto"/>
          <w:u w:val="none" w:color="auto"/>
          <w:lang w:eastAsia="zh-CN"/>
        </w:rPr>
        <w:t>。</w:t>
      </w:r>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756A4B2A">
      <w:pPr>
        <w:pStyle w:val="8"/>
        <w:rPr>
          <w:rFonts w:hint="default" w:ascii="Times New Roman" w:hAnsi="Times New Roman" w:cs="Times New Roman"/>
          <w:color w:val="auto"/>
          <w:u w:val="none" w:color="auto"/>
        </w:rPr>
      </w:pPr>
      <w:bookmarkStart w:id="323" w:name="_Toc30225_WPSOffice_Level3"/>
      <w:bookmarkStart w:id="324" w:name="_Toc21589"/>
      <w:bookmarkStart w:id="325" w:name="_Toc28500"/>
      <w:bookmarkStart w:id="326" w:name="_Toc24190"/>
      <w:bookmarkStart w:id="327" w:name="_Toc30287"/>
      <w:bookmarkStart w:id="328" w:name="_Toc32603"/>
      <w:bookmarkStart w:id="329" w:name="_Toc13784_WPSOffice_Level3"/>
      <w:bookmarkStart w:id="330" w:name="_Toc9796"/>
      <w:bookmarkStart w:id="331" w:name="_Toc30446"/>
      <w:bookmarkStart w:id="332" w:name="_Toc28205"/>
      <w:bookmarkStart w:id="333" w:name="_Toc25237"/>
      <w:bookmarkStart w:id="334" w:name="_Toc21304"/>
      <w:bookmarkStart w:id="335" w:name="_Toc16788"/>
      <w:bookmarkStart w:id="336" w:name="_Toc17075"/>
      <w:bookmarkStart w:id="337" w:name="_Toc7249"/>
      <w:bookmarkStart w:id="338" w:name="_Toc25351"/>
      <w:bookmarkStart w:id="339" w:name="_Toc7214"/>
      <w:bookmarkStart w:id="340" w:name="_Toc7903"/>
      <w:bookmarkStart w:id="341" w:name="_Toc24779"/>
      <w:r>
        <w:rPr>
          <w:rFonts w:hint="default" w:ascii="Times New Roman" w:hAnsi="Times New Roman" w:cs="Times New Roman"/>
          <w:color w:val="auto"/>
          <w:u w:val="none" w:color="auto"/>
        </w:rPr>
        <w:t>2.1.</w:t>
      </w:r>
      <w:r>
        <w:rPr>
          <w:rFonts w:hint="eastAsia" w:cs="Times New Roman"/>
          <w:color w:val="auto"/>
          <w:u w:val="none" w:color="auto"/>
          <w:lang w:val="en-US" w:eastAsia="zh-CN"/>
        </w:rPr>
        <w:t>4</w:t>
      </w:r>
      <w:r>
        <w:rPr>
          <w:rFonts w:hint="default" w:ascii="Times New Roman" w:hAnsi="Times New Roman" w:cs="Times New Roman"/>
          <w:color w:val="auto"/>
          <w:u w:val="none" w:color="auto"/>
        </w:rPr>
        <w:t>其他编制依据及工程资料</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7E486961">
      <w:pPr>
        <w:pStyle w:val="21"/>
        <w:numPr>
          <w:ilvl w:val="0"/>
          <w:numId w:val="2"/>
        </w:numPr>
        <w:ind w:firstLine="480"/>
        <w:rPr>
          <w:rFonts w:hint="default" w:ascii="Times New Roman" w:hAnsi="Times New Roman" w:cs="Times New Roman"/>
          <w:color w:val="auto"/>
          <w:u w:val="none" w:color="auto"/>
        </w:rPr>
      </w:pPr>
      <w:bookmarkStart w:id="342" w:name="_Toc3607_WPSOffice_Level2"/>
      <w:bookmarkStart w:id="343" w:name="_Toc11075_WPSOffice_Level2"/>
      <w:bookmarkStart w:id="344" w:name="_Toc4651"/>
      <w:bookmarkStart w:id="345" w:name="_Toc20947"/>
      <w:bookmarkStart w:id="346" w:name="_Toc12776"/>
      <w:bookmarkStart w:id="347" w:name="_Toc27072"/>
      <w:bookmarkStart w:id="348" w:name="_Toc1948_WPSOffice_Level2"/>
      <w:bookmarkStart w:id="349" w:name="_Toc21565_WPSOffice_Level2"/>
      <w:bookmarkStart w:id="350" w:name="_Toc24382_WPSOffice_Level2"/>
      <w:bookmarkStart w:id="351" w:name="_Toc9102_WPSOffice_Level2"/>
      <w:bookmarkStart w:id="352" w:name="_Toc1658_WPSOffice_Level2"/>
      <w:r>
        <w:rPr>
          <w:rFonts w:hint="default" w:ascii="Times New Roman" w:hAnsi="Times New Roman" w:cs="Times New Roman"/>
          <w:color w:val="auto"/>
          <w:u w:val="none" w:color="auto"/>
        </w:rPr>
        <w:t>环评委托书</w:t>
      </w:r>
      <w:r>
        <w:rPr>
          <w:rFonts w:hint="eastAsia" w:ascii="Times New Roman" w:hAnsi="Times New Roman" w:cs="Times New Roman"/>
          <w:color w:val="auto"/>
          <w:u w:val="none" w:color="auto"/>
          <w:lang w:eastAsia="zh-CN"/>
        </w:rPr>
        <w:t>；</w:t>
      </w:r>
    </w:p>
    <w:p w14:paraId="66183321">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标准函</w:t>
      </w:r>
      <w:r>
        <w:rPr>
          <w:rFonts w:hint="eastAsia" w:ascii="Times New Roman" w:hAnsi="Times New Roman" w:cs="Times New Roman"/>
          <w:color w:val="auto"/>
          <w:u w:val="none" w:color="auto"/>
          <w:lang w:eastAsia="zh-CN"/>
        </w:rPr>
        <w:t>；</w:t>
      </w:r>
    </w:p>
    <w:p w14:paraId="5A8E6F24">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《汨罗高新技术产业开发区扩区规划环境影响报告书》；</w:t>
      </w:r>
    </w:p>
    <w:p w14:paraId="0B8AA217">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《湖南省生态环境厅关于&lt;汨罗高新技术产业开发区扩区规划环境影响报告书&gt;审查意见的函》（湘环评函[2024]41号）；</w:t>
      </w:r>
    </w:p>
    <w:p w14:paraId="64AED582">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《汨罗高新技术产业开发区控制性详细规划》（2022-2035年）；</w:t>
      </w:r>
    </w:p>
    <w:p w14:paraId="1D543868">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《湖南汨罗高新技术产业开发区产业发展规划（2022-2027）》；</w:t>
      </w:r>
    </w:p>
    <w:p w14:paraId="0BC4438F">
      <w:pPr>
        <w:pStyle w:val="21"/>
        <w:numPr>
          <w:ilvl w:val="0"/>
          <w:numId w:val="2"/>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企业提供的其他相关资料。</w:t>
      </w:r>
    </w:p>
    <w:p w14:paraId="2609CA29">
      <w:pPr>
        <w:pStyle w:val="7"/>
        <w:bidi w:val="0"/>
        <w:rPr>
          <w:rFonts w:hint="default"/>
          <w:color w:val="auto"/>
          <w:u w:val="none" w:color="auto"/>
        </w:rPr>
      </w:pPr>
      <w:bookmarkStart w:id="353" w:name="_Toc2203"/>
      <w:bookmarkStart w:id="354" w:name="_Toc22812"/>
      <w:bookmarkStart w:id="355" w:name="_Toc24723"/>
      <w:r>
        <w:rPr>
          <w:rFonts w:hint="default"/>
          <w:color w:val="auto"/>
          <w:u w:val="none" w:color="auto"/>
        </w:rPr>
        <w:t>2.2评价因子</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0995C75">
      <w:pPr>
        <w:pStyle w:val="8"/>
        <w:spacing w:line="360" w:lineRule="auto"/>
        <w:rPr>
          <w:rFonts w:hint="default" w:ascii="Times New Roman" w:hAnsi="Times New Roman" w:cs="Times New Roman"/>
          <w:color w:val="auto"/>
          <w:u w:val="none" w:color="auto"/>
        </w:rPr>
      </w:pPr>
      <w:bookmarkStart w:id="356" w:name="_Toc11707"/>
      <w:bookmarkStart w:id="357" w:name="_Toc30144"/>
      <w:bookmarkStart w:id="358" w:name="_Toc8219"/>
      <w:bookmarkStart w:id="359" w:name="_Toc16628_WPSOffice_Level3"/>
      <w:bookmarkStart w:id="360" w:name="_Toc3104"/>
      <w:bookmarkStart w:id="361" w:name="_Toc943"/>
      <w:bookmarkStart w:id="362" w:name="_Toc28968"/>
      <w:bookmarkStart w:id="363" w:name="_Toc8897"/>
      <w:bookmarkStart w:id="364" w:name="_Toc5298"/>
      <w:bookmarkStart w:id="365" w:name="_Toc27742"/>
      <w:bookmarkStart w:id="366" w:name="_Toc4276"/>
      <w:bookmarkStart w:id="367" w:name="_Toc30417"/>
      <w:bookmarkStart w:id="368" w:name="_Toc26241_WPSOffice_Level3"/>
      <w:bookmarkStart w:id="369" w:name="_Toc12824"/>
      <w:bookmarkStart w:id="370" w:name="_Toc29225"/>
      <w:bookmarkStart w:id="371" w:name="_Toc3565"/>
      <w:bookmarkStart w:id="372" w:name="_Toc11973"/>
      <w:bookmarkStart w:id="373" w:name="_Toc11291"/>
      <w:bookmarkStart w:id="374" w:name="_Toc8660"/>
      <w:bookmarkStart w:id="375" w:name="_Toc4239"/>
      <w:bookmarkStart w:id="376" w:name="_Toc25430"/>
      <w:r>
        <w:rPr>
          <w:rFonts w:hint="default" w:ascii="Times New Roman" w:hAnsi="Times New Roman" w:cs="Times New Roman"/>
          <w:color w:val="auto"/>
          <w:u w:val="none" w:color="auto"/>
        </w:rPr>
        <w:t>2.2.1评价因子</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F22FA52">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1、环境影响要素识别</w:t>
      </w:r>
    </w:p>
    <w:p w14:paraId="578C1840">
      <w:pPr>
        <w:pStyle w:val="21"/>
        <w:ind w:firstLine="480"/>
        <w:rPr>
          <w:rFonts w:hint="default" w:ascii="Times New Roman" w:hAnsi="Times New Roman" w:cs="Times New Roman"/>
          <w:color w:val="auto"/>
          <w:kern w:val="0"/>
          <w:u w:val="none" w:color="auto"/>
          <w:lang w:bidi="ar"/>
        </w:rPr>
      </w:pPr>
      <w:r>
        <w:rPr>
          <w:rFonts w:hint="default" w:ascii="Times New Roman" w:hAnsi="Times New Roman" w:cs="Times New Roman"/>
          <w:color w:val="auto"/>
          <w:kern w:val="0"/>
          <w:u w:val="none" w:color="auto"/>
          <w:lang w:bidi="ar"/>
        </w:rPr>
        <w:t>本项目为</w:t>
      </w:r>
      <w:r>
        <w:rPr>
          <w:rFonts w:hint="eastAsia" w:ascii="Times New Roman" w:hAnsi="Times New Roman" w:cs="Times New Roman"/>
          <w:color w:val="auto"/>
          <w:kern w:val="0"/>
          <w:u w:val="none" w:color="auto"/>
          <w:lang w:val="en-US" w:eastAsia="zh-CN" w:bidi="ar"/>
        </w:rPr>
        <w:t>新建</w:t>
      </w:r>
      <w:r>
        <w:rPr>
          <w:rFonts w:hint="default" w:ascii="Times New Roman" w:hAnsi="Times New Roman" w:cs="Times New Roman"/>
          <w:color w:val="auto"/>
          <w:kern w:val="0"/>
          <w:u w:val="none" w:color="auto"/>
          <w:lang w:bidi="ar"/>
        </w:rPr>
        <w:t>项目，项目施工期、运营期会对环境空气、水环境、声环境、 土壤环境等产生一定的影响。根据工程分析及现场勘查情况，确定本项目对周围 环境的影响因素，采用矩阵法进行环境影响识别，见表2.</w:t>
      </w:r>
      <w:r>
        <w:rPr>
          <w:rFonts w:hint="eastAsia" w:ascii="Times New Roman" w:hAnsi="Times New Roman" w:cs="Times New Roman"/>
          <w:color w:val="auto"/>
          <w:kern w:val="0"/>
          <w:u w:val="none" w:color="auto"/>
          <w:lang w:val="en-US" w:eastAsia="zh-CN" w:bidi="ar"/>
        </w:rPr>
        <w:t>2</w:t>
      </w:r>
      <w:r>
        <w:rPr>
          <w:rFonts w:hint="default" w:ascii="Times New Roman" w:hAnsi="Times New Roman" w:cs="Times New Roman"/>
          <w:color w:val="auto"/>
          <w:kern w:val="0"/>
          <w:u w:val="none" w:color="auto"/>
          <w:lang w:bidi="ar"/>
        </w:rPr>
        <w:t>-1。</w:t>
      </w:r>
    </w:p>
    <w:p w14:paraId="75A113E8">
      <w:pPr>
        <w:pStyle w:val="23"/>
        <w:bidi w:val="0"/>
        <w:rPr>
          <w:rFonts w:hint="default"/>
          <w:color w:val="auto"/>
          <w:u w:val="none" w:color="auto"/>
        </w:rPr>
      </w:pPr>
      <w:r>
        <w:rPr>
          <w:rFonts w:hint="default"/>
          <w:color w:val="auto"/>
          <w:u w:val="none" w:color="auto"/>
        </w:rPr>
        <w:t>表2.2-1 项目环境影响因素识别表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5"/>
        <w:gridCol w:w="2836"/>
      </w:tblGrid>
      <w:tr w14:paraId="56624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71A3CEEE">
            <w:pPr>
              <w:pStyle w:val="25"/>
              <w:bidi w:val="0"/>
              <w:rPr>
                <w:rFonts w:hint="default" w:eastAsia="宋体"/>
                <w:color w:val="auto"/>
                <w:u w:val="none" w:color="auto"/>
                <w:lang w:val="en-US" w:eastAsia="zh-CN"/>
              </w:rPr>
            </w:pPr>
            <w:r>
              <w:rPr>
                <w:rFonts w:hint="eastAsia"/>
                <w:color w:val="auto"/>
                <w:u w:val="none" w:color="auto"/>
                <w:lang w:val="en-US" w:eastAsia="zh-CN"/>
              </w:rPr>
              <w:t>环境要素</w:t>
            </w:r>
          </w:p>
        </w:tc>
        <w:tc>
          <w:tcPr>
            <w:tcW w:w="2835" w:type="dxa"/>
            <w:tcBorders>
              <w:tl2br w:val="nil"/>
              <w:tr2bl w:val="nil"/>
            </w:tcBorders>
            <w:noWrap w:val="0"/>
            <w:vAlign w:val="center"/>
          </w:tcPr>
          <w:p w14:paraId="45D3431A">
            <w:pPr>
              <w:pStyle w:val="25"/>
              <w:bidi w:val="0"/>
              <w:rPr>
                <w:rFonts w:hint="eastAsia" w:eastAsia="宋体"/>
                <w:color w:val="auto"/>
                <w:u w:val="none" w:color="auto"/>
                <w:lang w:val="en-US" w:eastAsia="zh-CN"/>
              </w:rPr>
            </w:pPr>
            <w:r>
              <w:rPr>
                <w:rFonts w:hint="eastAsia"/>
                <w:color w:val="auto"/>
                <w:u w:val="none" w:color="auto"/>
                <w:lang w:val="en-US" w:eastAsia="zh-CN"/>
              </w:rPr>
              <w:t>施工期</w:t>
            </w:r>
          </w:p>
        </w:tc>
        <w:tc>
          <w:tcPr>
            <w:tcW w:w="2836" w:type="dxa"/>
            <w:tcBorders>
              <w:tl2br w:val="nil"/>
              <w:tr2bl w:val="nil"/>
            </w:tcBorders>
            <w:noWrap w:val="0"/>
            <w:vAlign w:val="center"/>
          </w:tcPr>
          <w:p w14:paraId="2EC8D540">
            <w:pPr>
              <w:pStyle w:val="25"/>
              <w:bidi w:val="0"/>
              <w:rPr>
                <w:rFonts w:hint="default" w:eastAsia="宋体"/>
                <w:color w:val="auto"/>
                <w:u w:val="none" w:color="auto"/>
                <w:lang w:val="en-US" w:eastAsia="zh-CN"/>
              </w:rPr>
            </w:pPr>
            <w:r>
              <w:rPr>
                <w:rFonts w:hint="eastAsia"/>
                <w:color w:val="auto"/>
                <w:u w:val="none" w:color="auto"/>
                <w:lang w:val="en-US" w:eastAsia="zh-CN"/>
              </w:rPr>
              <w:t>运营期</w:t>
            </w:r>
          </w:p>
        </w:tc>
      </w:tr>
      <w:tr w14:paraId="7F388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46D58E5F">
            <w:pPr>
              <w:pStyle w:val="25"/>
              <w:bidi w:val="0"/>
              <w:rPr>
                <w:rFonts w:hint="default" w:eastAsia="宋体"/>
                <w:color w:val="auto"/>
                <w:u w:val="none" w:color="auto"/>
                <w:lang w:val="en-US" w:eastAsia="zh-CN"/>
              </w:rPr>
            </w:pPr>
            <w:r>
              <w:rPr>
                <w:rFonts w:hint="eastAsia"/>
                <w:color w:val="auto"/>
                <w:u w:val="none" w:color="auto"/>
                <w:lang w:val="en-US" w:eastAsia="zh-CN"/>
              </w:rPr>
              <w:t>环境空气</w:t>
            </w:r>
          </w:p>
        </w:tc>
        <w:tc>
          <w:tcPr>
            <w:tcW w:w="2835" w:type="dxa"/>
            <w:tcBorders>
              <w:tl2br w:val="nil"/>
              <w:tr2bl w:val="nil"/>
            </w:tcBorders>
            <w:noWrap w:val="0"/>
            <w:vAlign w:val="center"/>
          </w:tcPr>
          <w:p w14:paraId="3CE53451">
            <w:pPr>
              <w:pStyle w:val="25"/>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4D03BD89">
            <w:pPr>
              <w:pStyle w:val="25"/>
              <w:bidi w:val="0"/>
              <w:rPr>
                <w:rFonts w:hint="default" w:eastAsia="宋体"/>
                <w:color w:val="auto"/>
                <w:u w:val="none" w:color="auto"/>
                <w:lang w:val="en-US" w:eastAsia="zh-CN"/>
              </w:rPr>
            </w:pPr>
            <w:r>
              <w:rPr>
                <w:rFonts w:hint="eastAsia"/>
                <w:color w:val="auto"/>
                <w:u w:val="none" w:color="auto"/>
                <w:lang w:val="en-US" w:eastAsia="zh-CN"/>
              </w:rPr>
              <w:t>-1CK</w:t>
            </w:r>
          </w:p>
        </w:tc>
      </w:tr>
      <w:tr w14:paraId="5C04C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0BD12D6D">
            <w:pPr>
              <w:pStyle w:val="25"/>
              <w:bidi w:val="0"/>
              <w:rPr>
                <w:rFonts w:hint="eastAsia" w:eastAsia="宋体"/>
                <w:color w:val="auto"/>
                <w:u w:val="none" w:color="auto"/>
                <w:lang w:val="en-US" w:eastAsia="zh-CN"/>
              </w:rPr>
            </w:pPr>
            <w:r>
              <w:rPr>
                <w:rFonts w:hint="eastAsia"/>
                <w:color w:val="auto"/>
                <w:u w:val="none" w:color="auto"/>
                <w:lang w:val="en-US" w:eastAsia="zh-CN"/>
              </w:rPr>
              <w:t>地表水</w:t>
            </w:r>
          </w:p>
        </w:tc>
        <w:tc>
          <w:tcPr>
            <w:tcW w:w="2835" w:type="dxa"/>
            <w:tcBorders>
              <w:tl2br w:val="nil"/>
              <w:tr2bl w:val="nil"/>
            </w:tcBorders>
            <w:noWrap w:val="0"/>
            <w:vAlign w:val="center"/>
          </w:tcPr>
          <w:p w14:paraId="24513B48">
            <w:pPr>
              <w:pStyle w:val="25"/>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021B8BFB">
            <w:pPr>
              <w:pStyle w:val="25"/>
              <w:bidi w:val="0"/>
              <w:rPr>
                <w:rFonts w:hint="default" w:eastAsia="宋体"/>
                <w:color w:val="auto"/>
                <w:u w:val="none" w:color="auto"/>
                <w:lang w:val="en-US" w:eastAsia="zh-CN"/>
              </w:rPr>
            </w:pPr>
            <w:r>
              <w:rPr>
                <w:rFonts w:hint="eastAsia"/>
                <w:color w:val="auto"/>
                <w:u w:val="none" w:color="auto"/>
                <w:lang w:val="en-US" w:eastAsia="zh-CN"/>
              </w:rPr>
              <w:t>-1CK</w:t>
            </w:r>
          </w:p>
        </w:tc>
      </w:tr>
      <w:tr w14:paraId="558B4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0582EAB0">
            <w:pPr>
              <w:pStyle w:val="25"/>
              <w:bidi w:val="0"/>
              <w:rPr>
                <w:rFonts w:hint="eastAsia" w:eastAsia="宋体"/>
                <w:color w:val="auto"/>
                <w:u w:val="none" w:color="auto"/>
                <w:lang w:val="en-US" w:eastAsia="zh-CN"/>
              </w:rPr>
            </w:pPr>
            <w:r>
              <w:rPr>
                <w:rFonts w:hint="eastAsia"/>
                <w:color w:val="auto"/>
                <w:u w:val="none" w:color="auto"/>
                <w:lang w:val="en-US" w:eastAsia="zh-CN"/>
              </w:rPr>
              <w:t>地下水</w:t>
            </w:r>
          </w:p>
        </w:tc>
        <w:tc>
          <w:tcPr>
            <w:tcW w:w="2835" w:type="dxa"/>
            <w:tcBorders>
              <w:tl2br w:val="nil"/>
              <w:tr2bl w:val="nil"/>
            </w:tcBorders>
            <w:noWrap w:val="0"/>
            <w:vAlign w:val="center"/>
          </w:tcPr>
          <w:p w14:paraId="15544B9D">
            <w:pPr>
              <w:pStyle w:val="25"/>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632FE693">
            <w:pPr>
              <w:pStyle w:val="25"/>
              <w:bidi w:val="0"/>
              <w:rPr>
                <w:rFonts w:hint="default" w:eastAsia="宋体"/>
                <w:color w:val="auto"/>
                <w:u w:val="none" w:color="auto"/>
                <w:lang w:val="en-US" w:eastAsia="zh-CN"/>
              </w:rPr>
            </w:pPr>
            <w:r>
              <w:rPr>
                <w:rFonts w:hint="eastAsia"/>
                <w:color w:val="auto"/>
                <w:u w:val="none" w:color="auto"/>
                <w:lang w:val="en-US" w:eastAsia="zh-CN"/>
              </w:rPr>
              <w:t>/</w:t>
            </w:r>
          </w:p>
        </w:tc>
      </w:tr>
      <w:tr w14:paraId="32174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5BBB8068">
            <w:pPr>
              <w:pStyle w:val="25"/>
              <w:bidi w:val="0"/>
              <w:rPr>
                <w:rFonts w:hint="eastAsia" w:eastAsia="宋体"/>
                <w:color w:val="auto"/>
                <w:u w:val="none" w:color="auto"/>
                <w:lang w:val="en-US" w:eastAsia="zh-CN"/>
              </w:rPr>
            </w:pPr>
            <w:r>
              <w:rPr>
                <w:rFonts w:hint="eastAsia"/>
                <w:color w:val="auto"/>
                <w:u w:val="none" w:color="auto"/>
                <w:lang w:val="en-US" w:eastAsia="zh-CN"/>
              </w:rPr>
              <w:t>声环境</w:t>
            </w:r>
          </w:p>
        </w:tc>
        <w:tc>
          <w:tcPr>
            <w:tcW w:w="2835" w:type="dxa"/>
            <w:tcBorders>
              <w:tl2br w:val="nil"/>
              <w:tr2bl w:val="nil"/>
            </w:tcBorders>
            <w:noWrap w:val="0"/>
            <w:vAlign w:val="center"/>
          </w:tcPr>
          <w:p w14:paraId="6FC8A2B0">
            <w:pPr>
              <w:pStyle w:val="25"/>
              <w:bidi w:val="0"/>
              <w:rPr>
                <w:rFonts w:hint="default" w:eastAsia="宋体"/>
                <w:color w:val="auto"/>
                <w:u w:val="none" w:color="auto"/>
                <w:lang w:val="en-US" w:eastAsia="zh-CN"/>
              </w:rPr>
            </w:pPr>
            <w:r>
              <w:rPr>
                <w:rFonts w:hint="eastAsia"/>
                <w:color w:val="auto"/>
                <w:u w:val="none" w:color="auto"/>
                <w:lang w:val="en-US" w:eastAsia="zh-CN"/>
              </w:rPr>
              <w:t>-2DK</w:t>
            </w:r>
          </w:p>
        </w:tc>
        <w:tc>
          <w:tcPr>
            <w:tcW w:w="2836" w:type="dxa"/>
            <w:tcBorders>
              <w:tl2br w:val="nil"/>
              <w:tr2bl w:val="nil"/>
            </w:tcBorders>
            <w:noWrap w:val="0"/>
            <w:vAlign w:val="center"/>
          </w:tcPr>
          <w:p w14:paraId="234654F6">
            <w:pPr>
              <w:pStyle w:val="25"/>
              <w:bidi w:val="0"/>
              <w:rPr>
                <w:rFonts w:hint="default" w:eastAsia="宋体"/>
                <w:color w:val="auto"/>
                <w:u w:val="none" w:color="auto"/>
                <w:lang w:val="en-US" w:eastAsia="zh-CN"/>
              </w:rPr>
            </w:pPr>
            <w:r>
              <w:rPr>
                <w:rFonts w:hint="eastAsia"/>
                <w:color w:val="auto"/>
                <w:u w:val="none" w:color="auto"/>
                <w:lang w:val="en-US" w:eastAsia="zh-CN"/>
              </w:rPr>
              <w:t>-1CK</w:t>
            </w:r>
          </w:p>
        </w:tc>
      </w:tr>
      <w:tr w14:paraId="1A50D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193CF9DC">
            <w:pPr>
              <w:pStyle w:val="25"/>
              <w:bidi w:val="0"/>
              <w:rPr>
                <w:rFonts w:hint="default"/>
                <w:color w:val="auto"/>
                <w:u w:val="none" w:color="auto"/>
                <w:lang w:val="en-US" w:eastAsia="zh-CN"/>
              </w:rPr>
            </w:pPr>
            <w:r>
              <w:rPr>
                <w:rFonts w:hint="eastAsia"/>
                <w:color w:val="auto"/>
                <w:u w:val="none" w:color="auto"/>
                <w:lang w:val="en-US" w:eastAsia="zh-CN"/>
              </w:rPr>
              <w:t>土壤环境</w:t>
            </w:r>
          </w:p>
        </w:tc>
        <w:tc>
          <w:tcPr>
            <w:tcW w:w="2835" w:type="dxa"/>
            <w:tcBorders>
              <w:tl2br w:val="nil"/>
              <w:tr2bl w:val="nil"/>
            </w:tcBorders>
            <w:noWrap w:val="0"/>
            <w:vAlign w:val="center"/>
          </w:tcPr>
          <w:p w14:paraId="0F643918">
            <w:pPr>
              <w:pStyle w:val="25"/>
              <w:bidi w:val="0"/>
              <w:rPr>
                <w:rFonts w:hint="default"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7E06F5B3">
            <w:pPr>
              <w:pStyle w:val="25"/>
              <w:bidi w:val="0"/>
              <w:rPr>
                <w:rFonts w:hint="eastAsia" w:eastAsia="宋体"/>
                <w:color w:val="auto"/>
                <w:u w:val="none" w:color="auto"/>
                <w:lang w:val="en-US" w:eastAsia="zh-CN"/>
              </w:rPr>
            </w:pPr>
            <w:r>
              <w:rPr>
                <w:rFonts w:hint="eastAsia"/>
                <w:color w:val="auto"/>
                <w:u w:val="none" w:color="auto"/>
                <w:lang w:val="en-US" w:eastAsia="zh-CN"/>
              </w:rPr>
              <w:t>/</w:t>
            </w:r>
          </w:p>
        </w:tc>
      </w:tr>
      <w:tr w14:paraId="0173F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6FCE6C13">
            <w:pPr>
              <w:pStyle w:val="25"/>
              <w:bidi w:val="0"/>
              <w:rPr>
                <w:rFonts w:hint="default"/>
                <w:color w:val="auto"/>
                <w:u w:val="none" w:color="auto"/>
                <w:lang w:val="en-US" w:eastAsia="zh-CN"/>
              </w:rPr>
            </w:pPr>
            <w:r>
              <w:rPr>
                <w:rFonts w:hint="eastAsia"/>
                <w:color w:val="auto"/>
                <w:u w:val="none" w:color="auto"/>
                <w:lang w:val="en-US" w:eastAsia="zh-CN"/>
              </w:rPr>
              <w:t>环境风险</w:t>
            </w:r>
          </w:p>
        </w:tc>
        <w:tc>
          <w:tcPr>
            <w:tcW w:w="2835" w:type="dxa"/>
            <w:tcBorders>
              <w:tl2br w:val="nil"/>
              <w:tr2bl w:val="nil"/>
            </w:tcBorders>
            <w:noWrap w:val="0"/>
            <w:vAlign w:val="center"/>
          </w:tcPr>
          <w:p w14:paraId="7A4E1CDA">
            <w:pPr>
              <w:pStyle w:val="25"/>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5255B4D3">
            <w:pPr>
              <w:pStyle w:val="25"/>
              <w:bidi w:val="0"/>
              <w:rPr>
                <w:rFonts w:hint="default" w:eastAsia="宋体"/>
                <w:color w:val="auto"/>
                <w:u w:val="none" w:color="auto"/>
                <w:lang w:val="en-US" w:eastAsia="zh-CN"/>
              </w:rPr>
            </w:pPr>
            <w:r>
              <w:rPr>
                <w:rFonts w:hint="eastAsia"/>
                <w:color w:val="auto"/>
                <w:u w:val="none" w:color="auto"/>
                <w:lang w:val="en-US" w:eastAsia="zh-CN"/>
              </w:rPr>
              <w:t>-1CK</w:t>
            </w:r>
          </w:p>
        </w:tc>
      </w:tr>
      <w:tr w14:paraId="0B94D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12A84A8C">
            <w:pPr>
              <w:pStyle w:val="25"/>
              <w:bidi w:val="0"/>
              <w:rPr>
                <w:rFonts w:hint="default"/>
                <w:color w:val="auto"/>
                <w:u w:val="none" w:color="auto"/>
                <w:lang w:val="en-US" w:eastAsia="zh-CN"/>
              </w:rPr>
            </w:pPr>
            <w:r>
              <w:rPr>
                <w:rFonts w:hint="eastAsia"/>
                <w:color w:val="auto"/>
                <w:u w:val="none" w:color="auto"/>
                <w:lang w:val="en-US" w:eastAsia="zh-CN"/>
              </w:rPr>
              <w:t>生态</w:t>
            </w:r>
          </w:p>
        </w:tc>
        <w:tc>
          <w:tcPr>
            <w:tcW w:w="2835" w:type="dxa"/>
            <w:tcBorders>
              <w:tl2br w:val="nil"/>
              <w:tr2bl w:val="nil"/>
            </w:tcBorders>
            <w:noWrap w:val="0"/>
            <w:vAlign w:val="center"/>
          </w:tcPr>
          <w:p w14:paraId="254BFF7C">
            <w:pPr>
              <w:pStyle w:val="25"/>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022BB4CD">
            <w:pPr>
              <w:pStyle w:val="25"/>
              <w:bidi w:val="0"/>
              <w:rPr>
                <w:rFonts w:hint="eastAsia" w:eastAsia="宋体"/>
                <w:color w:val="auto"/>
                <w:u w:val="none" w:color="auto"/>
                <w:lang w:val="en-US" w:eastAsia="zh-CN"/>
              </w:rPr>
            </w:pPr>
            <w:r>
              <w:rPr>
                <w:rFonts w:hint="eastAsia"/>
                <w:color w:val="auto"/>
                <w:u w:val="none" w:color="auto"/>
                <w:lang w:val="en-US" w:eastAsia="zh-CN"/>
              </w:rPr>
              <w:t>/</w:t>
            </w:r>
          </w:p>
        </w:tc>
      </w:tr>
      <w:tr w14:paraId="4F054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1FA8F7B4">
            <w:pPr>
              <w:pStyle w:val="25"/>
              <w:bidi w:val="0"/>
              <w:rPr>
                <w:rFonts w:hint="default"/>
                <w:color w:val="auto"/>
                <w:u w:val="none" w:color="auto"/>
                <w:lang w:val="en-US" w:eastAsia="zh-CN"/>
              </w:rPr>
            </w:pPr>
            <w:r>
              <w:rPr>
                <w:rFonts w:hint="eastAsia"/>
                <w:color w:val="auto"/>
                <w:u w:val="none" w:color="auto"/>
                <w:lang w:val="en-US" w:eastAsia="zh-CN"/>
              </w:rPr>
              <w:t>人群健康</w:t>
            </w:r>
          </w:p>
        </w:tc>
        <w:tc>
          <w:tcPr>
            <w:tcW w:w="2835" w:type="dxa"/>
            <w:tcBorders>
              <w:tl2br w:val="nil"/>
              <w:tr2bl w:val="nil"/>
            </w:tcBorders>
            <w:noWrap w:val="0"/>
            <w:vAlign w:val="center"/>
          </w:tcPr>
          <w:p w14:paraId="377E3E6A">
            <w:pPr>
              <w:pStyle w:val="25"/>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19D7E87C">
            <w:pPr>
              <w:pStyle w:val="25"/>
              <w:bidi w:val="0"/>
              <w:rPr>
                <w:rFonts w:hint="default" w:eastAsia="宋体"/>
                <w:color w:val="auto"/>
                <w:u w:val="none" w:color="auto"/>
                <w:lang w:val="en-US" w:eastAsia="zh-CN"/>
              </w:rPr>
            </w:pPr>
            <w:r>
              <w:rPr>
                <w:rFonts w:hint="eastAsia"/>
                <w:color w:val="auto"/>
                <w:u w:val="none" w:color="auto"/>
                <w:lang w:val="en-US" w:eastAsia="zh-CN"/>
              </w:rPr>
              <w:t>-1CK</w:t>
            </w:r>
          </w:p>
        </w:tc>
      </w:tr>
      <w:tr w14:paraId="2FB11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3B809247">
            <w:pPr>
              <w:pStyle w:val="25"/>
              <w:bidi w:val="0"/>
              <w:rPr>
                <w:rFonts w:hint="default"/>
                <w:color w:val="auto"/>
                <w:u w:val="none" w:color="auto"/>
                <w:lang w:val="en-US" w:eastAsia="zh-CN"/>
              </w:rPr>
            </w:pPr>
            <w:r>
              <w:rPr>
                <w:rFonts w:hint="eastAsia"/>
                <w:color w:val="auto"/>
                <w:u w:val="none" w:color="auto"/>
                <w:lang w:val="en-US" w:eastAsia="zh-CN"/>
              </w:rPr>
              <w:t>水土保持</w:t>
            </w:r>
          </w:p>
        </w:tc>
        <w:tc>
          <w:tcPr>
            <w:tcW w:w="2835" w:type="dxa"/>
            <w:tcBorders>
              <w:tl2br w:val="nil"/>
              <w:tr2bl w:val="nil"/>
            </w:tcBorders>
            <w:noWrap w:val="0"/>
            <w:vAlign w:val="center"/>
          </w:tcPr>
          <w:p w14:paraId="01812E83">
            <w:pPr>
              <w:pStyle w:val="25"/>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223D8149">
            <w:pPr>
              <w:pStyle w:val="25"/>
              <w:bidi w:val="0"/>
              <w:rPr>
                <w:rFonts w:hint="eastAsia" w:eastAsia="宋体"/>
                <w:color w:val="auto"/>
                <w:u w:val="none" w:color="auto"/>
                <w:lang w:val="en-US" w:eastAsia="zh-CN"/>
              </w:rPr>
            </w:pPr>
            <w:r>
              <w:rPr>
                <w:rFonts w:hint="eastAsia"/>
                <w:color w:val="auto"/>
                <w:u w:val="none" w:color="auto"/>
                <w:lang w:val="en-US" w:eastAsia="zh-CN"/>
              </w:rPr>
              <w:t>/</w:t>
            </w:r>
          </w:p>
        </w:tc>
      </w:tr>
      <w:tr w14:paraId="4A373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7A906D5C">
            <w:pPr>
              <w:pStyle w:val="25"/>
              <w:bidi w:val="0"/>
              <w:rPr>
                <w:rFonts w:hint="default"/>
                <w:color w:val="auto"/>
                <w:u w:val="none" w:color="auto"/>
                <w:lang w:val="en-US" w:eastAsia="zh-CN"/>
              </w:rPr>
            </w:pPr>
            <w:r>
              <w:rPr>
                <w:rFonts w:hint="eastAsia"/>
                <w:color w:val="auto"/>
                <w:u w:val="none" w:color="auto"/>
                <w:lang w:val="en-US" w:eastAsia="zh-CN"/>
              </w:rPr>
              <w:t>社会经济</w:t>
            </w:r>
          </w:p>
        </w:tc>
        <w:tc>
          <w:tcPr>
            <w:tcW w:w="2835" w:type="dxa"/>
            <w:tcBorders>
              <w:tl2br w:val="nil"/>
              <w:tr2bl w:val="nil"/>
            </w:tcBorders>
            <w:noWrap w:val="0"/>
            <w:vAlign w:val="center"/>
          </w:tcPr>
          <w:p w14:paraId="52B57140">
            <w:pPr>
              <w:pStyle w:val="25"/>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0DD3C7B2">
            <w:pPr>
              <w:pStyle w:val="25"/>
              <w:bidi w:val="0"/>
              <w:rPr>
                <w:rFonts w:hint="default" w:eastAsia="宋体"/>
                <w:color w:val="auto"/>
                <w:u w:val="none" w:color="auto"/>
                <w:lang w:val="en-US" w:eastAsia="zh-CN"/>
              </w:rPr>
            </w:pPr>
            <w:r>
              <w:rPr>
                <w:rFonts w:hint="eastAsia"/>
                <w:color w:val="auto"/>
                <w:u w:val="none" w:color="auto"/>
                <w:lang w:val="en-US" w:eastAsia="zh-CN"/>
              </w:rPr>
              <w:t>+2CK</w:t>
            </w:r>
          </w:p>
        </w:tc>
      </w:tr>
      <w:tr w14:paraId="392E9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3"/>
            <w:tcBorders>
              <w:tl2br w:val="nil"/>
              <w:tr2bl w:val="nil"/>
            </w:tcBorders>
            <w:noWrap w:val="0"/>
            <w:vAlign w:val="center"/>
          </w:tcPr>
          <w:p w14:paraId="7FF2B4FF">
            <w:pPr>
              <w:pStyle w:val="25"/>
              <w:bidi w:val="0"/>
              <w:rPr>
                <w:rFonts w:hint="eastAsia"/>
                <w:color w:val="auto"/>
                <w:u w:val="none" w:color="auto"/>
                <w:lang w:val="en-US" w:eastAsia="zh-CN"/>
              </w:rPr>
            </w:pPr>
            <w:r>
              <w:rPr>
                <w:rFonts w:hint="eastAsia"/>
                <w:color w:val="auto"/>
                <w:u w:val="none" w:color="auto"/>
                <w:lang w:val="en-US" w:eastAsia="zh-CN"/>
              </w:rPr>
              <w:t>注：表中数字表示影响程度：3-重大影响、2-中等影响；1-轻微影响；“+”为正面影响、“-” 为负面影响；“C”表示长期影响、“D”表示短期影响；“K”表示可逆影响“B”表示不可逆影响。</w:t>
            </w:r>
          </w:p>
        </w:tc>
      </w:tr>
    </w:tbl>
    <w:p w14:paraId="38458076">
      <w:pPr>
        <w:spacing w:line="360" w:lineRule="auto"/>
        <w:ind w:firstLine="480" w:firstLineChars="200"/>
        <w:rPr>
          <w:rFonts w:hint="default" w:ascii="Times New Roman" w:hAnsi="Times New Roman" w:cs="Times New Roman"/>
          <w:bCs/>
          <w:color w:val="auto"/>
          <w:kern w:val="0"/>
          <w:u w:val="none" w:color="auto"/>
        </w:rPr>
      </w:pPr>
      <w:r>
        <w:rPr>
          <w:rFonts w:hint="default" w:ascii="Times New Roman" w:hAnsi="Times New Roman" w:cs="Times New Roman"/>
          <w:bCs/>
          <w:color w:val="auto"/>
          <w:kern w:val="0"/>
          <w:sz w:val="24"/>
          <w:u w:val="none" w:color="auto"/>
          <w:lang w:bidi="ar"/>
        </w:rPr>
        <w:t>综合分析认为：</w:t>
      </w:r>
    </w:p>
    <w:p w14:paraId="4A3F2338">
      <w:pPr>
        <w:numPr>
          <w:ilvl w:val="0"/>
          <w:numId w:val="3"/>
        </w:numPr>
        <w:spacing w:line="360" w:lineRule="auto"/>
        <w:ind w:firstLine="480" w:firstLineChars="200"/>
        <w:rPr>
          <w:rFonts w:hint="default" w:ascii="Times New Roman" w:hAnsi="Times New Roman" w:cs="Times New Roman"/>
          <w:bCs/>
          <w:color w:val="auto"/>
          <w:kern w:val="0"/>
          <w:sz w:val="24"/>
          <w:u w:val="none" w:color="auto"/>
          <w:lang w:bidi="ar"/>
        </w:rPr>
      </w:pPr>
      <w:r>
        <w:rPr>
          <w:rFonts w:hint="default" w:ascii="Times New Roman" w:hAnsi="Times New Roman" w:cs="Times New Roman"/>
          <w:bCs/>
          <w:color w:val="auto"/>
          <w:kern w:val="0"/>
          <w:sz w:val="24"/>
          <w:u w:val="none" w:color="auto"/>
          <w:lang w:bidi="ar"/>
        </w:rPr>
        <w:t>本工程</w:t>
      </w:r>
      <w:r>
        <w:rPr>
          <w:rFonts w:hint="default" w:ascii="Times New Roman" w:hAnsi="Times New Roman" w:cs="Times New Roman"/>
          <w:bCs/>
          <w:color w:val="auto"/>
          <w:kern w:val="0"/>
          <w:sz w:val="24"/>
          <w:u w:val="none" w:color="auto"/>
          <w:lang w:eastAsia="zh-CN" w:bidi="ar"/>
        </w:rPr>
        <w:t>运营</w:t>
      </w:r>
      <w:r>
        <w:rPr>
          <w:rFonts w:hint="default" w:ascii="Times New Roman" w:hAnsi="Times New Roman" w:cs="Times New Roman"/>
          <w:bCs/>
          <w:color w:val="auto"/>
          <w:kern w:val="0"/>
          <w:sz w:val="24"/>
          <w:u w:val="none" w:color="auto"/>
          <w:lang w:bidi="ar"/>
        </w:rPr>
        <w:t>后，对区域的劳动就业和经济发展呈有利影响。</w:t>
      </w:r>
    </w:p>
    <w:p w14:paraId="17043740">
      <w:pPr>
        <w:numPr>
          <w:ilvl w:val="0"/>
          <w:numId w:val="3"/>
        </w:numPr>
        <w:spacing w:line="360" w:lineRule="auto"/>
        <w:ind w:firstLine="480" w:firstLineChars="200"/>
        <w:rPr>
          <w:rFonts w:hint="default" w:ascii="Times New Roman" w:hAnsi="Times New Roman" w:eastAsia="宋体" w:cs="Times New Roman"/>
          <w:bCs/>
          <w:color w:val="auto"/>
          <w:kern w:val="0"/>
          <w:sz w:val="24"/>
          <w:u w:val="none" w:color="auto"/>
          <w:lang w:eastAsia="zh-CN" w:bidi="ar"/>
        </w:rPr>
      </w:pPr>
      <w:r>
        <w:rPr>
          <w:rFonts w:hint="default" w:ascii="Times New Roman" w:hAnsi="Times New Roman" w:cs="Times New Roman"/>
          <w:bCs/>
          <w:color w:val="auto"/>
          <w:kern w:val="0"/>
          <w:sz w:val="24"/>
          <w:u w:val="none" w:color="auto"/>
          <w:lang w:bidi="ar"/>
        </w:rPr>
        <w:t>本项目</w:t>
      </w:r>
      <w:r>
        <w:rPr>
          <w:rFonts w:hint="default" w:ascii="Times New Roman" w:hAnsi="Times New Roman" w:cs="Times New Roman"/>
          <w:bCs/>
          <w:color w:val="auto"/>
          <w:kern w:val="0"/>
          <w:sz w:val="24"/>
          <w:u w:val="none" w:color="auto"/>
          <w:lang w:eastAsia="zh-CN" w:bidi="ar"/>
        </w:rPr>
        <w:t>利用</w:t>
      </w:r>
      <w:r>
        <w:rPr>
          <w:rFonts w:hint="default" w:ascii="Times New Roman" w:hAnsi="Times New Roman" w:cs="Times New Roman"/>
          <w:bCs/>
          <w:color w:val="auto"/>
          <w:kern w:val="0"/>
          <w:sz w:val="24"/>
          <w:u w:val="none" w:color="auto"/>
          <w:lang w:bidi="ar"/>
        </w:rPr>
        <w:t>现有场地进行建设。施工期主要表现在对自然环境要素产生一定程度的负面影响，主要环境影响因素为环境空气、声环境，均随着施工期的结束而消失</w:t>
      </w:r>
      <w:r>
        <w:rPr>
          <w:rFonts w:hint="default" w:ascii="Times New Roman" w:hAnsi="Times New Roman" w:cs="Times New Roman"/>
          <w:bCs/>
          <w:color w:val="auto"/>
          <w:kern w:val="0"/>
          <w:sz w:val="24"/>
          <w:u w:val="none" w:color="auto"/>
          <w:lang w:eastAsia="zh-CN" w:bidi="ar"/>
        </w:rPr>
        <w:t>。</w:t>
      </w:r>
    </w:p>
    <w:p w14:paraId="43056AA6">
      <w:pPr>
        <w:spacing w:line="360" w:lineRule="auto"/>
        <w:ind w:firstLine="480" w:firstLineChars="200"/>
        <w:rPr>
          <w:rFonts w:hint="default" w:ascii="Times New Roman" w:hAnsi="Times New Roman" w:cs="Times New Roman"/>
          <w:bCs/>
          <w:color w:val="auto"/>
          <w:kern w:val="0"/>
          <w:sz w:val="24"/>
          <w:u w:val="none" w:color="auto"/>
          <w:lang w:bidi="ar"/>
        </w:rPr>
      </w:pPr>
      <w:r>
        <w:rPr>
          <w:rFonts w:hint="default" w:ascii="Times New Roman" w:hAnsi="Times New Roman" w:cs="Times New Roman"/>
          <w:bCs/>
          <w:color w:val="auto"/>
          <w:kern w:val="0"/>
          <w:sz w:val="24"/>
          <w:u w:val="none" w:color="auto"/>
          <w:lang w:bidi="ar"/>
        </w:rPr>
        <w:t>（3）营运期的主要环境影响：废气排放对环境空气质量的影响；废水对水环境质量的影响；生产设备运转等产生的噪声对环境的影响。</w:t>
      </w:r>
    </w:p>
    <w:p w14:paraId="23C17041">
      <w:pPr>
        <w:pStyle w:val="21"/>
        <w:ind w:firstLine="482"/>
        <w:rPr>
          <w:rFonts w:hint="default" w:ascii="Times New Roman" w:hAnsi="Times New Roman" w:cs="Times New Roman"/>
          <w:color w:val="auto"/>
          <w:u w:val="none" w:color="auto"/>
        </w:rPr>
      </w:pPr>
      <w:r>
        <w:rPr>
          <w:rFonts w:hint="default" w:ascii="Times New Roman" w:hAnsi="Times New Roman" w:cs="Times New Roman"/>
          <w:b/>
          <w:bCs/>
          <w:color w:val="auto"/>
          <w:u w:val="none" w:color="auto"/>
        </w:rPr>
        <w:t>2、污染因子筛选</w:t>
      </w:r>
    </w:p>
    <w:p w14:paraId="3E9FE85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废气污染</w:t>
      </w:r>
      <w:r>
        <w:rPr>
          <w:rFonts w:hint="eastAsia" w:ascii="Times New Roman" w:hAnsi="Times New Roman" w:cs="Times New Roman"/>
          <w:color w:val="auto"/>
          <w:u w:val="none" w:color="auto"/>
          <w:lang w:val="en-US" w:eastAsia="zh-CN"/>
        </w:rPr>
        <w:t>物</w:t>
      </w:r>
      <w:r>
        <w:rPr>
          <w:rFonts w:hint="default" w:ascii="Times New Roman" w:hAnsi="Times New Roman" w:cs="Times New Roman"/>
          <w:color w:val="auto"/>
          <w:u w:val="none" w:color="auto"/>
        </w:rPr>
        <w:t>为：项目生产装置在正常运行情况下产生的</w:t>
      </w:r>
      <w:r>
        <w:rPr>
          <w:rFonts w:hint="eastAsia" w:ascii="Times New Roman" w:hAnsi="Times New Roman" w:cs="Times New Roman"/>
          <w:color w:val="auto"/>
          <w:u w:val="none" w:color="auto"/>
          <w:lang w:val="en-US" w:eastAsia="zh-CN"/>
        </w:rPr>
        <w:t>颗粒物</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非甲烷总烃</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甲醛、酚类</w:t>
      </w:r>
      <w:r>
        <w:rPr>
          <w:rFonts w:hint="default" w:ascii="Times New Roman" w:hAnsi="Times New Roman" w:cs="Times New Roman"/>
          <w:color w:val="auto"/>
          <w:u w:val="none" w:color="auto"/>
        </w:rPr>
        <w:t>。</w:t>
      </w:r>
    </w:p>
    <w:p w14:paraId="29C0B084">
      <w:pPr>
        <w:pStyle w:val="21"/>
        <w:ind w:firstLine="48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废水污染物为：生活污水。</w:t>
      </w:r>
    </w:p>
    <w:p w14:paraId="56D8AD3E">
      <w:pPr>
        <w:pStyle w:val="21"/>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固体废物主要来源：（1）职工办公</w:t>
      </w:r>
      <w:bookmarkStart w:id="377" w:name="OLE_LINK58"/>
      <w:r>
        <w:rPr>
          <w:rFonts w:hint="default" w:ascii="Times New Roman" w:hAnsi="Times New Roman" w:cs="Times New Roman"/>
          <w:color w:val="auto"/>
          <w:highlight w:val="none"/>
          <w:u w:val="none" w:color="auto"/>
        </w:rPr>
        <w:t>生活垃圾</w:t>
      </w:r>
      <w:bookmarkEnd w:id="377"/>
      <w:r>
        <w:rPr>
          <w:rFonts w:hint="default" w:ascii="Times New Roman" w:hAnsi="Times New Roman" w:cs="Times New Roman"/>
          <w:color w:val="auto"/>
          <w:highlight w:val="none"/>
          <w:u w:val="none" w:color="auto"/>
        </w:rPr>
        <w:t>；（</w:t>
      </w:r>
      <w:r>
        <w:rPr>
          <w:rFonts w:hint="eastAsia"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w:t>
      </w:r>
      <w:r>
        <w:rPr>
          <w:rFonts w:hint="eastAsia" w:ascii="Times New Roman" w:hAnsi="Times New Roman" w:cs="Times New Roman"/>
          <w:color w:val="auto"/>
          <w:kern w:val="2"/>
          <w:szCs w:val="24"/>
          <w:highlight w:val="none"/>
          <w:u w:val="none" w:color="auto"/>
          <w:lang w:val="en-US" w:eastAsia="zh-CN"/>
        </w:rPr>
        <w:t>废弃包装物、收集的粉尘、不合格品等</w:t>
      </w:r>
      <w:r>
        <w:rPr>
          <w:rFonts w:hint="default" w:ascii="Times New Roman" w:hAnsi="Times New Roman" w:cs="Times New Roman"/>
          <w:color w:val="auto"/>
          <w:highlight w:val="none"/>
          <w:u w:val="none" w:color="auto"/>
        </w:rPr>
        <w:t>；（</w:t>
      </w:r>
      <w:r>
        <w:rPr>
          <w:rFonts w:hint="eastAsia"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）危险废物</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如废活性炭</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废矿物油等</w:t>
      </w:r>
      <w:r>
        <w:rPr>
          <w:rFonts w:hint="default" w:ascii="Times New Roman" w:hAnsi="Times New Roman" w:cs="Times New Roman"/>
          <w:color w:val="auto"/>
          <w:highlight w:val="none"/>
          <w:u w:val="none" w:color="auto"/>
        </w:rPr>
        <w:t>。</w:t>
      </w:r>
    </w:p>
    <w:p w14:paraId="79A02E2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噪声污染源：项目噪声主要来自于较大功率的机械设备，如</w:t>
      </w:r>
      <w:r>
        <w:rPr>
          <w:rFonts w:hint="eastAsia" w:ascii="Times New Roman" w:hAnsi="Times New Roman" w:cs="Times New Roman"/>
          <w:color w:val="auto"/>
          <w:u w:val="none" w:color="auto"/>
          <w:lang w:val="en-US" w:eastAsia="zh-CN"/>
        </w:rPr>
        <w:t>风</w:t>
      </w:r>
      <w:r>
        <w:rPr>
          <w:rFonts w:hint="default" w:ascii="Times New Roman" w:hAnsi="Times New Roman" w:cs="Times New Roman"/>
          <w:color w:val="auto"/>
          <w:u w:val="none" w:color="auto"/>
        </w:rPr>
        <w:t>机等。</w:t>
      </w:r>
    </w:p>
    <w:p w14:paraId="16EA0FE2">
      <w:pPr>
        <w:spacing w:line="360" w:lineRule="auto"/>
        <w:ind w:firstLine="482" w:firstLineChars="200"/>
        <w:rPr>
          <w:rFonts w:hint="default" w:ascii="Times New Roman" w:hAnsi="Times New Roman" w:cs="Times New Roman"/>
          <w:b/>
          <w:color w:val="auto"/>
          <w:kern w:val="0"/>
          <w:sz w:val="24"/>
          <w:u w:val="none" w:color="auto"/>
          <w:lang w:bidi="ar"/>
        </w:rPr>
      </w:pPr>
      <w:r>
        <w:rPr>
          <w:rFonts w:hint="default" w:ascii="Times New Roman" w:hAnsi="Times New Roman" w:cs="Times New Roman"/>
          <w:b/>
          <w:color w:val="auto"/>
          <w:kern w:val="0"/>
          <w:sz w:val="24"/>
          <w:u w:val="none" w:color="auto"/>
          <w:lang w:bidi="ar"/>
        </w:rPr>
        <w:t>3</w:t>
      </w:r>
      <w:r>
        <w:rPr>
          <w:rFonts w:hint="default" w:ascii="Times New Roman" w:hAnsi="Times New Roman" w:cs="Times New Roman"/>
          <w:b/>
          <w:bCs/>
          <w:color w:val="auto"/>
          <w:sz w:val="24"/>
          <w:u w:val="none" w:color="auto"/>
        </w:rPr>
        <w:t>、评价因子</w:t>
      </w:r>
    </w:p>
    <w:p w14:paraId="7313FA5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根据工程分析，结合环境影响因素的识别，确定本次评价工作的评价因子如</w:t>
      </w:r>
      <w:r>
        <w:rPr>
          <w:rFonts w:hint="default" w:ascii="Times New Roman" w:hAnsi="Times New Roman" w:cs="Times New Roman"/>
          <w:color w:val="auto"/>
          <w:u w:val="none" w:color="auto"/>
          <w:lang w:eastAsia="zh-CN"/>
        </w:rPr>
        <w:t>下</w:t>
      </w:r>
      <w:r>
        <w:rPr>
          <w:rFonts w:hint="default" w:ascii="Times New Roman" w:hAnsi="Times New Roman" w:cs="Times New Roman"/>
          <w:color w:val="auto"/>
          <w:u w:val="none" w:color="auto"/>
        </w:rPr>
        <w:t>表所示。通过项目运营期产生的污染源和影响分析，根据项目所在地的环境特征和环保目标与功能等级及敏感程度，并参照环境影响识别结果，筛选出评价因子，详见下表2.2-</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p>
    <w:p w14:paraId="530070D9">
      <w:pPr>
        <w:pStyle w:val="23"/>
        <w:bidi w:val="0"/>
        <w:rPr>
          <w:rFonts w:hint="default"/>
          <w:color w:val="auto"/>
          <w:u w:val="none" w:color="auto"/>
        </w:rPr>
      </w:pPr>
      <w:r>
        <w:rPr>
          <w:rFonts w:hint="default"/>
          <w:color w:val="auto"/>
          <w:u w:val="none" w:color="auto"/>
        </w:rPr>
        <w:t>表2.2-</w:t>
      </w:r>
      <w:r>
        <w:rPr>
          <w:rFonts w:hint="eastAsia"/>
          <w:color w:val="auto"/>
          <w:u w:val="none" w:color="auto"/>
          <w:lang w:val="en-US" w:eastAsia="zh-CN"/>
        </w:rPr>
        <w:t>2</w:t>
      </w:r>
      <w:r>
        <w:rPr>
          <w:rFonts w:hint="default"/>
          <w:color w:val="auto"/>
          <w:u w:val="none" w:color="auto"/>
        </w:rPr>
        <w:t xml:space="preserve"> 评价因子筛选</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7402"/>
      </w:tblGrid>
      <w:tr w14:paraId="714E7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tcBorders>
              <w:top w:val="single" w:color="auto" w:sz="12" w:space="0"/>
              <w:left w:val="single" w:color="auto" w:sz="12" w:space="0"/>
              <w:bottom w:val="single" w:color="auto" w:sz="6" w:space="0"/>
              <w:right w:val="single" w:color="auto" w:sz="6" w:space="0"/>
            </w:tcBorders>
            <w:noWrap w:val="0"/>
            <w:vAlign w:val="center"/>
          </w:tcPr>
          <w:p w14:paraId="55ECC2BF">
            <w:pPr>
              <w:pStyle w:val="25"/>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评价要素</w:t>
            </w:r>
          </w:p>
        </w:tc>
        <w:tc>
          <w:tcPr>
            <w:tcW w:w="7402" w:type="dxa"/>
            <w:tcBorders>
              <w:top w:val="single" w:color="auto" w:sz="12" w:space="0"/>
              <w:left w:val="single" w:color="auto" w:sz="6" w:space="0"/>
              <w:bottom w:val="single" w:color="auto" w:sz="6" w:space="0"/>
              <w:right w:val="single" w:color="auto" w:sz="12" w:space="0"/>
            </w:tcBorders>
            <w:noWrap w:val="0"/>
            <w:vAlign w:val="center"/>
          </w:tcPr>
          <w:p w14:paraId="25859B5E">
            <w:pPr>
              <w:pStyle w:val="25"/>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评价因子</w:t>
            </w:r>
          </w:p>
        </w:tc>
      </w:tr>
      <w:tr w14:paraId="02A61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3EDFD901">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1620E2B9">
            <w:pPr>
              <w:pStyle w:val="25"/>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环境质量现状评价因子：</w:t>
            </w:r>
            <w:r>
              <w:rPr>
                <w:rFonts w:hint="default" w:ascii="Times New Roman" w:hAnsi="Times New Roman" w:cs="Times New Roman"/>
                <w:color w:val="auto"/>
                <w:kern w:val="2"/>
                <w:szCs w:val="21"/>
                <w:highlight w:val="none"/>
                <w:u w:val="none" w:color="auto"/>
              </w:rPr>
              <w:t>SO</w:t>
            </w:r>
            <w:r>
              <w:rPr>
                <w:rFonts w:hint="default" w:ascii="Times New Roman" w:hAnsi="Times New Roman" w:cs="Times New Roman"/>
                <w:color w:val="auto"/>
                <w:kern w:val="2"/>
                <w:szCs w:val="21"/>
                <w:highlight w:val="none"/>
                <w:u w:val="none" w:color="auto"/>
                <w:vertAlign w:val="subscript"/>
              </w:rPr>
              <w:t>2</w:t>
            </w:r>
            <w:r>
              <w:rPr>
                <w:rFonts w:hint="default" w:ascii="Times New Roman" w:hAnsi="Times New Roman" w:cs="Times New Roman"/>
                <w:color w:val="auto"/>
                <w:kern w:val="2"/>
                <w:szCs w:val="21"/>
                <w:highlight w:val="none"/>
                <w:u w:val="none" w:color="auto"/>
              </w:rPr>
              <w:t>、NO</w:t>
            </w:r>
            <w:r>
              <w:rPr>
                <w:rFonts w:hint="default" w:ascii="Times New Roman" w:hAnsi="Times New Roman" w:cs="Times New Roman"/>
                <w:color w:val="auto"/>
                <w:kern w:val="2"/>
                <w:szCs w:val="21"/>
                <w:highlight w:val="none"/>
                <w:u w:val="none" w:color="auto"/>
                <w:vertAlign w:val="subscript"/>
              </w:rPr>
              <w:t>2</w:t>
            </w:r>
            <w:r>
              <w:rPr>
                <w:rFonts w:hint="default" w:ascii="Times New Roman" w:hAnsi="Times New Roman" w:cs="Times New Roman"/>
                <w:color w:val="auto"/>
                <w:highlight w:val="none"/>
                <w:u w:val="none" w:color="auto"/>
              </w:rPr>
              <w:t>、CO、O</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10</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2.5</w:t>
            </w:r>
            <w:r>
              <w:rPr>
                <w:rFonts w:hint="default" w:ascii="Times New Roman" w:hAnsi="Times New Roman" w:cs="Times New Roman"/>
                <w:color w:val="auto"/>
                <w:highlight w:val="none"/>
                <w:u w:val="none" w:color="auto"/>
                <w:vertAlign w:val="baseline"/>
                <w:lang w:eastAsia="zh-CN"/>
              </w:rPr>
              <w:t>、</w:t>
            </w:r>
            <w:r>
              <w:rPr>
                <w:rFonts w:hint="default" w:ascii="Times New Roman" w:hAnsi="Times New Roman" w:cs="Times New Roman"/>
                <w:color w:val="auto"/>
                <w:highlight w:val="none"/>
                <w:u w:val="none" w:color="auto"/>
                <w:vertAlign w:val="baseline"/>
                <w:lang w:val="en-US" w:eastAsia="zh-CN"/>
              </w:rPr>
              <w:t>TSP、</w:t>
            </w:r>
            <w:r>
              <w:rPr>
                <w:rFonts w:hint="eastAsia" w:ascii="Times New Roman" w:hAnsi="Times New Roman" w:cs="Times New Roman"/>
                <w:color w:val="auto"/>
                <w:highlight w:val="none"/>
                <w:u w:val="none" w:color="auto"/>
                <w:vertAlign w:val="baseline"/>
                <w:lang w:val="en-US" w:eastAsia="zh-CN"/>
              </w:rPr>
              <w:t>非甲烷总烃、</w:t>
            </w:r>
            <w:r>
              <w:rPr>
                <w:rFonts w:hint="default" w:ascii="Times New Roman" w:hAnsi="Times New Roman" w:cs="Times New Roman"/>
                <w:color w:val="auto"/>
                <w:highlight w:val="none"/>
                <w:u w:val="none" w:color="auto"/>
                <w:vertAlign w:val="baseline"/>
                <w:lang w:val="en-US" w:eastAsia="zh-CN"/>
              </w:rPr>
              <w:t>TVOC</w:t>
            </w:r>
            <w:r>
              <w:rPr>
                <w:rFonts w:hint="eastAsia" w:ascii="Times New Roman" w:hAnsi="Times New Roman" w:cs="Times New Roman"/>
                <w:color w:val="auto"/>
                <w:highlight w:val="none"/>
                <w:u w:val="none" w:color="auto"/>
                <w:vertAlign w:val="baseline"/>
                <w:lang w:val="en-US" w:eastAsia="zh-CN"/>
              </w:rPr>
              <w:t>、甲醛</w:t>
            </w:r>
          </w:p>
        </w:tc>
      </w:tr>
      <w:tr w14:paraId="03B3C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0B4BB042">
            <w:pPr>
              <w:pStyle w:val="25"/>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5303C662">
            <w:pPr>
              <w:pStyle w:val="25"/>
              <w:rPr>
                <w:rFonts w:hint="eastAsia"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eastAsia" w:cs="Times New Roman"/>
                <w:color w:val="auto"/>
                <w:highlight w:val="none"/>
                <w:u w:val="none" w:color="auto"/>
                <w:lang w:val="pt-BR" w:eastAsia="zh-CN"/>
              </w:rPr>
              <w:t>：</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10</w:t>
            </w:r>
            <w:r>
              <w:rPr>
                <w:rFonts w:hint="default" w:ascii="Times New Roman" w:hAnsi="Times New Roman" w:cs="Times New Roman"/>
                <w:color w:val="auto"/>
                <w:highlight w:val="none"/>
                <w:u w:val="none" w:color="auto"/>
                <w:lang w:val="pt-BR" w:eastAsia="zh-CN"/>
              </w:rPr>
              <w:t>、</w:t>
            </w:r>
            <w:r>
              <w:rPr>
                <w:rFonts w:hint="eastAsia" w:cs="Times New Roman"/>
                <w:color w:val="auto"/>
                <w:highlight w:val="none"/>
                <w:u w:val="none" w:color="auto"/>
                <w:lang w:val="en-US" w:eastAsia="zh-CN"/>
              </w:rPr>
              <w:t>TSP、</w:t>
            </w:r>
            <w:r>
              <w:rPr>
                <w:rFonts w:hint="default" w:ascii="Times New Roman" w:hAnsi="Times New Roman" w:cs="Times New Roman"/>
                <w:color w:val="auto"/>
                <w:highlight w:val="none"/>
                <w:u w:val="none" w:color="auto"/>
                <w:vertAlign w:val="baseline"/>
                <w:lang w:val="en-US" w:eastAsia="zh-CN"/>
              </w:rPr>
              <w:t>TVOC</w:t>
            </w:r>
            <w:r>
              <w:rPr>
                <w:rFonts w:hint="eastAsia" w:ascii="Times New Roman" w:hAnsi="Times New Roman" w:cs="Times New Roman"/>
                <w:color w:val="auto"/>
                <w:highlight w:val="none"/>
                <w:u w:val="none" w:color="auto"/>
                <w:vertAlign w:val="baseline"/>
                <w:lang w:val="en-US" w:eastAsia="zh-CN"/>
              </w:rPr>
              <w:t>、非甲烷总烃、甲醛、</w:t>
            </w:r>
            <w:r>
              <w:rPr>
                <w:rFonts w:hint="default" w:ascii="Times New Roman" w:hAnsi="Times New Roman" w:cs="Times New Roman"/>
                <w:color w:val="auto"/>
                <w:kern w:val="2"/>
                <w:szCs w:val="21"/>
                <w:highlight w:val="none"/>
                <w:u w:val="none" w:color="auto"/>
              </w:rPr>
              <w:t>SO</w:t>
            </w:r>
            <w:r>
              <w:rPr>
                <w:rFonts w:hint="default" w:ascii="Times New Roman" w:hAnsi="Times New Roman" w:cs="Times New Roman"/>
                <w:color w:val="auto"/>
                <w:kern w:val="2"/>
                <w:szCs w:val="21"/>
                <w:highlight w:val="none"/>
                <w:u w:val="none" w:color="auto"/>
                <w:vertAlign w:val="subscript"/>
              </w:rPr>
              <w:t>2</w:t>
            </w:r>
            <w:r>
              <w:rPr>
                <w:rFonts w:hint="default" w:ascii="Times New Roman" w:hAnsi="Times New Roman" w:cs="Times New Roman"/>
                <w:color w:val="auto"/>
                <w:kern w:val="2"/>
                <w:szCs w:val="21"/>
                <w:highlight w:val="none"/>
                <w:u w:val="none" w:color="auto"/>
              </w:rPr>
              <w:t>、NO</w:t>
            </w:r>
            <w:r>
              <w:rPr>
                <w:rFonts w:hint="eastAsia" w:ascii="Times New Roman" w:hAnsi="Times New Roman" w:cs="Times New Roman"/>
                <w:color w:val="auto"/>
                <w:kern w:val="2"/>
                <w:szCs w:val="21"/>
                <w:highlight w:val="none"/>
                <w:u w:val="none" w:color="auto"/>
                <w:lang w:val="en-US" w:eastAsia="zh-CN"/>
              </w:rPr>
              <w:t>x</w:t>
            </w:r>
          </w:p>
        </w:tc>
      </w:tr>
      <w:tr w14:paraId="3F145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3DC19745">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5C088D73">
            <w:pPr>
              <w:pStyle w:val="25"/>
              <w:rPr>
                <w:rFonts w:hint="eastAsia"/>
                <w:color w:val="auto"/>
                <w:highlight w:val="none"/>
                <w:u w:val="none" w:color="auto"/>
                <w:lang w:val="en-US" w:eastAsia="zh-CN"/>
              </w:rPr>
            </w:pPr>
            <w:r>
              <w:rPr>
                <w:rFonts w:hint="default" w:ascii="Times New Roman" w:hAnsi="Times New Roman" w:cs="Times New Roman"/>
                <w:color w:val="auto"/>
                <w:highlight w:val="none"/>
                <w:u w:val="none" w:color="auto"/>
                <w:lang w:val="pt-BR"/>
              </w:rPr>
              <w:t>环境质量现状评价因子：</w:t>
            </w:r>
            <w:r>
              <w:rPr>
                <w:rFonts w:hint="eastAsia"/>
                <w:color w:val="auto"/>
                <w:highlight w:val="none"/>
                <w:u w:val="none" w:color="auto"/>
                <w:lang w:val="en-US" w:eastAsia="zh-CN"/>
              </w:rPr>
              <w:t>pH、SS、溶解氧、高锰酸盐指数、CODcr、BOD</w:t>
            </w:r>
            <w:r>
              <w:rPr>
                <w:rFonts w:hint="eastAsia"/>
                <w:color w:val="auto"/>
                <w:highlight w:val="none"/>
                <w:u w:val="none" w:color="auto"/>
                <w:vertAlign w:val="subscript"/>
                <w:lang w:val="en-US" w:eastAsia="zh-CN"/>
              </w:rPr>
              <w:t>5</w:t>
            </w:r>
            <w:r>
              <w:rPr>
                <w:rFonts w:hint="eastAsia"/>
                <w:color w:val="auto"/>
                <w:highlight w:val="none"/>
                <w:u w:val="none" w:color="auto"/>
                <w:lang w:val="en-US" w:eastAsia="zh-CN"/>
              </w:rPr>
              <w:t>、</w:t>
            </w:r>
          </w:p>
          <w:p w14:paraId="6DA4B923">
            <w:pPr>
              <w:pStyle w:val="25"/>
              <w:rPr>
                <w:rFonts w:hint="eastAsia"/>
                <w:color w:val="auto"/>
                <w:highlight w:val="none"/>
                <w:u w:val="none" w:color="auto"/>
                <w:lang w:val="en-US" w:eastAsia="zh-CN"/>
              </w:rPr>
            </w:pPr>
            <w:r>
              <w:rPr>
                <w:rFonts w:hint="eastAsia"/>
                <w:color w:val="auto"/>
                <w:highlight w:val="none"/>
                <w:u w:val="none" w:color="auto"/>
                <w:lang w:val="en-US" w:eastAsia="zh-CN"/>
              </w:rPr>
              <w:t>NH</w:t>
            </w:r>
            <w:r>
              <w:rPr>
                <w:rFonts w:hint="eastAsia"/>
                <w:color w:val="auto"/>
                <w:highlight w:val="none"/>
                <w:u w:val="none" w:color="auto"/>
                <w:vertAlign w:val="subscript"/>
                <w:lang w:val="en-US" w:eastAsia="zh-CN"/>
              </w:rPr>
              <w:t>3</w:t>
            </w:r>
            <w:r>
              <w:rPr>
                <w:rFonts w:hint="eastAsia"/>
                <w:color w:val="auto"/>
                <w:highlight w:val="none"/>
                <w:u w:val="none" w:color="auto"/>
                <w:lang w:val="en-US" w:eastAsia="zh-CN"/>
              </w:rPr>
              <w:t>-N、总磷、总氮、总铜、总锌、挥发酚、石油类、氟化物、氰化物、铅、</w:t>
            </w:r>
          </w:p>
          <w:p w14:paraId="1236A158">
            <w:pPr>
              <w:pStyle w:val="25"/>
              <w:rPr>
                <w:rFonts w:hint="default" w:ascii="Times New Roman" w:hAnsi="Times New Roman" w:cs="Times New Roman"/>
                <w:color w:val="auto"/>
                <w:highlight w:val="none"/>
                <w:u w:val="none" w:color="auto"/>
              </w:rPr>
            </w:pPr>
            <w:r>
              <w:rPr>
                <w:rFonts w:hint="eastAsia"/>
                <w:color w:val="auto"/>
                <w:highlight w:val="none"/>
                <w:u w:val="none" w:color="auto"/>
                <w:lang w:val="en-US" w:eastAsia="zh-CN"/>
              </w:rPr>
              <w:t>镉、汞、砷、六价铬、镍、钴、锰、锑、铊、粪大肠菌群、硫化物</w:t>
            </w:r>
          </w:p>
        </w:tc>
      </w:tr>
      <w:tr w14:paraId="1EF03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6AA39539">
            <w:pPr>
              <w:pStyle w:val="25"/>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6973DED2">
            <w:pPr>
              <w:pStyle w:val="25"/>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default" w:ascii="Times New Roman" w:hAnsi="Times New Roman" w:cs="Times New Roman"/>
                <w:color w:val="auto"/>
                <w:highlight w:val="none"/>
                <w:u w:val="none" w:color="auto"/>
                <w:lang w:val="en-US" w:eastAsia="zh-CN"/>
              </w:rPr>
              <w:t>/</w:t>
            </w:r>
          </w:p>
        </w:tc>
      </w:tr>
      <w:tr w14:paraId="29E0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right w:val="single" w:color="auto" w:sz="6" w:space="0"/>
            </w:tcBorders>
            <w:noWrap w:val="0"/>
            <w:vAlign w:val="center"/>
          </w:tcPr>
          <w:p w14:paraId="77E89886">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2E7353D6">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pt-BR"/>
              </w:rPr>
              <w:t>环境质量现状评价因子：</w:t>
            </w:r>
            <w:r>
              <w:rPr>
                <w:rFonts w:hint="default" w:ascii="Times New Roman" w:hAnsi="Times New Roman" w:eastAsia="宋体" w:cs="Times New Roman"/>
                <w:color w:val="auto"/>
                <w:kern w:val="2"/>
                <w:sz w:val="21"/>
                <w:szCs w:val="21"/>
                <w:lang w:val="en-US" w:eastAsia="zh-CN" w:bidi="ar-SA"/>
              </w:rPr>
              <w:t>水位、K</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、Na</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、Ca</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、Mg</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、HCO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、氯化物（以Cl</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计）、硫酸盐（以SO</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计）、pH值、溶解性总固体、总硬度、耗氧量（CODMn法）、硝酸盐、亚硝酸盐、氨氮</w:t>
            </w:r>
            <w:r>
              <w:rPr>
                <w:rFonts w:hint="eastAsia" w:ascii="Times New Roman" w:hAnsi="Times New Roman" w:eastAsia="宋体" w:cs="Times New Roman"/>
                <w:color w:val="auto"/>
                <w:kern w:val="2"/>
                <w:sz w:val="21"/>
                <w:szCs w:val="21"/>
                <w:lang w:val="en-US" w:eastAsia="zh-CN" w:bidi="ar-SA"/>
              </w:rPr>
              <w:t>、</w:t>
            </w:r>
            <w:r>
              <w:rPr>
                <w:rFonts w:hint="eastAsia"/>
                <w:lang w:val="en-US" w:eastAsia="zh-CN"/>
              </w:rPr>
              <w:t>挥发酚</w:t>
            </w:r>
          </w:p>
        </w:tc>
      </w:tr>
      <w:tr w14:paraId="4632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auto" w:sz="12" w:space="0"/>
              <w:bottom w:val="single" w:color="auto" w:sz="6" w:space="0"/>
              <w:right w:val="single" w:color="auto" w:sz="6" w:space="0"/>
            </w:tcBorders>
            <w:noWrap w:val="0"/>
            <w:vAlign w:val="center"/>
          </w:tcPr>
          <w:p w14:paraId="3F443E8C">
            <w:pPr>
              <w:pStyle w:val="25"/>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70AB7498">
            <w:pPr>
              <w:pStyle w:val="25"/>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eastAsia" w:cs="Times New Roman"/>
                <w:color w:val="auto"/>
                <w:highlight w:val="none"/>
                <w:u w:val="none" w:color="auto"/>
                <w:lang w:val="en-US" w:eastAsia="zh-CN"/>
              </w:rPr>
              <w:t>/</w:t>
            </w:r>
          </w:p>
        </w:tc>
      </w:tr>
      <w:tr w14:paraId="1D947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3BD4569B">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16AED5F9">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pt-BR"/>
              </w:rPr>
              <w:t>环境质量</w:t>
            </w:r>
            <w:r>
              <w:rPr>
                <w:rFonts w:hint="default" w:ascii="Times New Roman" w:hAnsi="Times New Roman" w:cs="Times New Roman"/>
                <w:color w:val="auto"/>
                <w:highlight w:val="none"/>
                <w:u w:val="none" w:color="auto"/>
              </w:rPr>
              <w:t>现状评价因子：昼间、夜间等效连续A声级</w:t>
            </w:r>
          </w:p>
        </w:tc>
      </w:tr>
      <w:tr w14:paraId="5FC85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06112347">
            <w:pPr>
              <w:pStyle w:val="25"/>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31C7F6FC">
            <w:pPr>
              <w:pStyle w:val="25"/>
              <w:rPr>
                <w:rFonts w:hint="default" w:ascii="Times New Roman" w:hAnsi="Times New Roman" w:cs="Times New Roman"/>
                <w:color w:val="auto"/>
                <w:highlight w:val="none"/>
                <w:u w:val="none" w:color="auto"/>
                <w:lang w:val="pt-BR"/>
              </w:rPr>
            </w:pPr>
            <w:r>
              <w:rPr>
                <w:rFonts w:hint="default" w:ascii="Times New Roman" w:hAnsi="Times New Roman" w:cs="Times New Roman"/>
                <w:color w:val="auto"/>
                <w:highlight w:val="none"/>
                <w:u w:val="none" w:color="auto"/>
                <w:lang w:val="pt-BR"/>
              </w:rPr>
              <w:t>影响预测因子：</w:t>
            </w:r>
            <w:r>
              <w:rPr>
                <w:rFonts w:hint="default" w:ascii="Times New Roman" w:hAnsi="Times New Roman" w:cs="Times New Roman"/>
                <w:color w:val="auto"/>
                <w:highlight w:val="none"/>
                <w:u w:val="none" w:color="auto"/>
              </w:rPr>
              <w:t>昼间、夜间等效连续A声级</w:t>
            </w:r>
          </w:p>
        </w:tc>
      </w:tr>
      <w:tr w14:paraId="693B6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tcBorders>
              <w:top w:val="single" w:color="auto" w:sz="6" w:space="0"/>
              <w:left w:val="single" w:color="auto" w:sz="12" w:space="0"/>
              <w:bottom w:val="single" w:color="auto" w:sz="12" w:space="0"/>
              <w:right w:val="single" w:color="auto" w:sz="6" w:space="0"/>
            </w:tcBorders>
            <w:noWrap w:val="0"/>
            <w:vAlign w:val="center"/>
          </w:tcPr>
          <w:p w14:paraId="0BB77A18">
            <w:pPr>
              <w:pStyle w:val="25"/>
              <w:rPr>
                <w:rFonts w:hint="default" w:ascii="Times New Roman" w:hAnsi="Times New Roman" w:cs="Times New Roman"/>
                <w:color w:val="auto"/>
                <w:highlight w:val="none"/>
                <w:u w:val="none" w:color="auto"/>
              </w:rPr>
            </w:pPr>
            <w:r>
              <w:rPr>
                <w:rFonts w:hint="default" w:ascii="Times New Roman" w:hAnsi="Times New Roman" w:cs="Times New Roman"/>
                <w:color w:val="auto"/>
                <w:kern w:val="2"/>
                <w:szCs w:val="24"/>
                <w:highlight w:val="none"/>
                <w:u w:val="none" w:color="auto"/>
                <w:lang w:val="en-US" w:eastAsia="zh-CN"/>
              </w:rPr>
              <w:t>固体废物</w:t>
            </w:r>
          </w:p>
        </w:tc>
        <w:tc>
          <w:tcPr>
            <w:tcW w:w="7402" w:type="dxa"/>
            <w:tcBorders>
              <w:top w:val="single" w:color="auto" w:sz="6" w:space="0"/>
              <w:left w:val="single" w:color="auto" w:sz="6" w:space="0"/>
              <w:bottom w:val="single" w:color="auto" w:sz="12" w:space="0"/>
              <w:right w:val="single" w:color="auto" w:sz="12" w:space="0"/>
            </w:tcBorders>
            <w:noWrap w:val="0"/>
            <w:vAlign w:val="center"/>
          </w:tcPr>
          <w:p w14:paraId="4E7534D8">
            <w:pPr>
              <w:pStyle w:val="25"/>
              <w:rPr>
                <w:rFonts w:hint="default" w:ascii="Times New Roman" w:hAnsi="Times New Roman" w:cs="Times New Roman"/>
                <w:color w:val="auto"/>
                <w:highlight w:val="none"/>
                <w:u w:val="none" w:color="auto"/>
                <w:lang w:val="pt-BR"/>
              </w:rPr>
            </w:pPr>
            <w:r>
              <w:rPr>
                <w:rFonts w:hint="default" w:ascii="Times New Roman" w:hAnsi="Times New Roman" w:cs="Times New Roman"/>
                <w:color w:val="auto"/>
                <w:szCs w:val="21"/>
                <w:highlight w:val="none"/>
                <w:u w:val="none" w:color="auto"/>
                <w:lang w:val="en-US" w:eastAsia="zh-CN"/>
              </w:rPr>
              <w:t>污染源评价因子：</w:t>
            </w:r>
            <w:r>
              <w:rPr>
                <w:rFonts w:hint="default" w:ascii="Times New Roman" w:hAnsi="Times New Roman" w:cs="Times New Roman"/>
                <w:color w:val="auto"/>
                <w:kern w:val="2"/>
                <w:szCs w:val="24"/>
                <w:highlight w:val="none"/>
                <w:u w:val="none" w:color="auto"/>
                <w:lang w:val="en-US" w:eastAsia="zh-CN"/>
              </w:rPr>
              <w:t>一般工业固废、危险废物</w:t>
            </w:r>
          </w:p>
        </w:tc>
      </w:tr>
    </w:tbl>
    <w:p w14:paraId="1655F4A3">
      <w:pPr>
        <w:pStyle w:val="8"/>
        <w:rPr>
          <w:rFonts w:hint="default" w:ascii="Times New Roman" w:hAnsi="Times New Roman" w:cs="Times New Roman"/>
          <w:color w:val="auto"/>
          <w:u w:val="none" w:color="auto"/>
        </w:rPr>
      </w:pPr>
      <w:bookmarkStart w:id="378" w:name="_Toc15283"/>
      <w:bookmarkStart w:id="379" w:name="_Toc6642"/>
      <w:bookmarkStart w:id="380" w:name="_Toc5304"/>
      <w:bookmarkStart w:id="381" w:name="_Toc15657"/>
      <w:bookmarkStart w:id="382" w:name="_Toc97"/>
      <w:bookmarkStart w:id="383" w:name="_Toc11421"/>
      <w:bookmarkStart w:id="384" w:name="_Toc32676"/>
      <w:bookmarkStart w:id="385" w:name="_Toc7620"/>
      <w:bookmarkStart w:id="386" w:name="_Toc17858"/>
      <w:bookmarkStart w:id="387" w:name="_Toc7138"/>
      <w:bookmarkStart w:id="388" w:name="_Toc7728"/>
      <w:bookmarkStart w:id="389" w:name="_Toc19848_WPSOffice_Level3"/>
      <w:bookmarkStart w:id="390" w:name="_Toc27643"/>
      <w:bookmarkStart w:id="391" w:name="_Toc3067"/>
      <w:bookmarkStart w:id="392" w:name="_Toc18424_WPSOffice_Level3"/>
      <w:bookmarkStart w:id="393" w:name="_Toc26818"/>
      <w:bookmarkStart w:id="394" w:name="_Toc13645"/>
      <w:bookmarkStart w:id="395" w:name="_Toc30104"/>
      <w:bookmarkStart w:id="396" w:name="_Toc872"/>
      <w:bookmarkStart w:id="397" w:name="_Toc20593"/>
      <w:bookmarkStart w:id="398" w:name="_Toc32689"/>
      <w:r>
        <w:rPr>
          <w:rFonts w:hint="default" w:ascii="Times New Roman" w:hAnsi="Times New Roman" w:cs="Times New Roman"/>
          <w:color w:val="auto"/>
          <w:u w:val="none" w:color="auto"/>
        </w:rPr>
        <w:t>2.2.2环境功能区划</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0C70F6C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根据项目区域功能调查和</w:t>
      </w:r>
      <w:r>
        <w:rPr>
          <w:rFonts w:hint="default" w:ascii="Times New Roman" w:hAnsi="Times New Roman" w:cs="Times New Roman"/>
          <w:color w:val="auto"/>
          <w:u w:val="none" w:color="auto"/>
          <w:lang w:eastAsia="zh-CN"/>
        </w:rPr>
        <w:t>岳阳市生态环境局汨罗分局</w:t>
      </w:r>
      <w:r>
        <w:rPr>
          <w:rFonts w:hint="default" w:ascii="Times New Roman" w:hAnsi="Times New Roman" w:cs="Times New Roman"/>
          <w:color w:val="auto"/>
          <w:u w:val="none" w:color="auto"/>
        </w:rPr>
        <w:t>对本项目执行标准的批复，本项目环境功能区划如下。</w:t>
      </w:r>
    </w:p>
    <w:p w14:paraId="3CE9BAC8">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（1）环境空气功能区划</w:t>
      </w:r>
    </w:p>
    <w:p w14:paraId="62CB49E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项目所在区域环境空气质量执行《环境空气质量标准》（GB3095-2012）</w:t>
      </w:r>
      <w:r>
        <w:rPr>
          <w:rFonts w:hint="eastAsia" w:ascii="Times New Roman" w:hAnsi="Times New Roman" w:cs="Times New Roman"/>
          <w:color w:val="auto"/>
          <w:u w:val="none" w:color="auto"/>
          <w:lang w:val="en-US" w:eastAsia="zh-CN"/>
        </w:rPr>
        <w:t>及其修改单</w:t>
      </w:r>
      <w:r>
        <w:rPr>
          <w:rFonts w:hint="default" w:ascii="Times New Roman" w:hAnsi="Times New Roman" w:cs="Times New Roman"/>
          <w:color w:val="auto"/>
          <w:u w:val="none" w:color="auto"/>
        </w:rPr>
        <w:t>中二类区标准。</w:t>
      </w:r>
    </w:p>
    <w:p w14:paraId="2004F6B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（2）地表水功能区划</w:t>
      </w:r>
    </w:p>
    <w:p w14:paraId="5CDCB33C">
      <w:pPr>
        <w:pStyle w:val="21"/>
        <w:bidi w:val="0"/>
        <w:rPr>
          <w:rFonts w:hint="eastAsia" w:eastAsia="宋体"/>
          <w:color w:val="auto"/>
          <w:u w:val="none" w:color="auto"/>
          <w:lang w:val="en-US" w:eastAsia="zh-CN"/>
        </w:rPr>
      </w:pPr>
      <w:r>
        <w:rPr>
          <w:rFonts w:hint="eastAsia"/>
          <w:color w:val="auto"/>
          <w:u w:val="none" w:color="auto"/>
        </w:rPr>
        <w:t>项目所在地为工业园区，不在集中式饮用水水源保护区范围内，周边区域地表水水体有</w:t>
      </w:r>
      <w:r>
        <w:rPr>
          <w:rFonts w:hint="eastAsia"/>
          <w:color w:val="auto"/>
          <w:u w:val="none" w:color="auto"/>
          <w:lang w:val="en-US" w:eastAsia="zh-CN"/>
        </w:rPr>
        <w:t>白沙河</w:t>
      </w:r>
      <w:r>
        <w:rPr>
          <w:rFonts w:hint="eastAsia"/>
          <w:color w:val="auto"/>
          <w:u w:val="none" w:color="auto"/>
        </w:rPr>
        <w:t>。</w:t>
      </w:r>
      <w:r>
        <w:rPr>
          <w:rFonts w:hint="eastAsia"/>
          <w:color w:val="auto"/>
          <w:u w:val="none" w:color="auto"/>
          <w:lang w:val="en-US" w:eastAsia="zh-CN"/>
        </w:rPr>
        <w:t>白沙河</w:t>
      </w:r>
      <w:r>
        <w:rPr>
          <w:rFonts w:hint="eastAsia"/>
          <w:color w:val="auto"/>
          <w:u w:val="none" w:color="auto"/>
        </w:rPr>
        <w:t>为</w:t>
      </w:r>
      <w:r>
        <w:rPr>
          <w:rFonts w:hint="eastAsia"/>
          <w:color w:val="auto"/>
          <w:u w:val="none" w:color="auto"/>
          <w:lang w:val="en-US" w:eastAsia="zh-CN"/>
        </w:rPr>
        <w:t>农</w:t>
      </w:r>
      <w:r>
        <w:rPr>
          <w:rFonts w:hint="eastAsia"/>
          <w:color w:val="auto"/>
          <w:u w:val="none" w:color="auto"/>
        </w:rPr>
        <w:t>业用水区，水质执行《地表水环境质量标准》（GB3838-2002）中Ⅲ类标准</w:t>
      </w:r>
      <w:r>
        <w:rPr>
          <w:rFonts w:hint="eastAsia"/>
          <w:color w:val="auto"/>
          <w:u w:val="none" w:color="auto"/>
          <w:lang w:eastAsia="zh-CN"/>
        </w:rPr>
        <w:t>。</w:t>
      </w:r>
    </w:p>
    <w:p w14:paraId="7E02CAB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（3）地下水环境功能区划</w:t>
      </w:r>
    </w:p>
    <w:p w14:paraId="4853317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项目所在区域地下水主要功能为工、农业用水，地下水环境质量执行《地下水质量标准》（GB/T14848-2017）Ⅲ类标准。</w:t>
      </w:r>
    </w:p>
    <w:p w14:paraId="4CB03BF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（4）声环境功能区划</w:t>
      </w:r>
    </w:p>
    <w:p w14:paraId="26B05F4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本项目位于</w:t>
      </w:r>
      <w:r>
        <w:rPr>
          <w:rFonts w:hint="eastAsia" w:ascii="Times New Roman" w:hAnsi="Times New Roman" w:cs="Times New Roman"/>
          <w:color w:val="auto"/>
          <w:u w:val="none" w:color="auto"/>
          <w:lang w:val="en-US" w:eastAsia="zh-CN"/>
        </w:rPr>
        <w:t>工业园区</w:t>
      </w:r>
      <w:r>
        <w:rPr>
          <w:rFonts w:hint="default" w:ascii="Times New Roman" w:hAnsi="Times New Roman" w:cs="Times New Roman"/>
          <w:color w:val="auto"/>
          <w:u w:val="none" w:color="auto"/>
        </w:rPr>
        <w:t>，项目所在区域声环境执行《声环境质量标准》（GB3096-2008）的</w:t>
      </w:r>
      <w:r>
        <w:rPr>
          <w:rFonts w:hint="eastAsia" w:cs="Times New Roman"/>
          <w:color w:val="auto"/>
          <w:u w:val="none" w:color="auto"/>
          <w:lang w:val="en-US" w:eastAsia="zh-CN"/>
        </w:rPr>
        <w:t>3</w:t>
      </w:r>
      <w:r>
        <w:rPr>
          <w:rFonts w:hint="default" w:ascii="Times New Roman" w:hAnsi="Times New Roman" w:cs="Times New Roman"/>
          <w:color w:val="auto"/>
          <w:u w:val="none" w:color="auto"/>
        </w:rPr>
        <w:t>类标准</w:t>
      </w:r>
      <w:r>
        <w:rPr>
          <w:rFonts w:hint="eastAsia" w:ascii="Times New Roman" w:hAnsi="Times New Roman" w:cs="Times New Roman"/>
          <w:color w:val="auto"/>
          <w:u w:val="none" w:color="auto"/>
          <w:lang w:eastAsia="zh-CN"/>
        </w:rPr>
        <w:t>，</w:t>
      </w:r>
      <w:r>
        <w:rPr>
          <w:rFonts w:hint="eastAsia"/>
          <w:color w:val="auto"/>
          <w:u w:val="none" w:color="auto"/>
          <w:lang w:val="en-US" w:eastAsia="zh-CN"/>
        </w:rPr>
        <w:t>国道G107两侧35m范围区域执行</w:t>
      </w:r>
      <w:r>
        <w:rPr>
          <w:color w:val="auto"/>
          <w:u w:val="none" w:color="auto"/>
        </w:rPr>
        <w:t>《声环境质量标准》（GB3096-2008）表1中的</w:t>
      </w:r>
      <w:r>
        <w:rPr>
          <w:rFonts w:hint="eastAsia"/>
          <w:color w:val="auto"/>
          <w:u w:val="none" w:color="auto"/>
          <w:lang w:val="en-US" w:eastAsia="zh-CN"/>
        </w:rPr>
        <w:t>4a类标准</w:t>
      </w:r>
      <w:r>
        <w:rPr>
          <w:rFonts w:hint="eastAsia"/>
          <w:color w:val="auto"/>
          <w:u w:val="none" w:color="auto"/>
          <w:lang w:val="en-US" w:eastAsia="zh-CN"/>
        </w:rPr>
        <w:tab/>
      </w:r>
      <w:r>
        <w:rPr>
          <w:rFonts w:hint="default" w:ascii="Times New Roman" w:hAnsi="Times New Roman" w:cs="Times New Roman"/>
          <w:color w:val="auto"/>
          <w:u w:val="none" w:color="auto"/>
        </w:rPr>
        <w:t>。</w:t>
      </w:r>
    </w:p>
    <w:p w14:paraId="30CA54E8">
      <w:pPr>
        <w:pStyle w:val="23"/>
        <w:bidi w:val="0"/>
        <w:rPr>
          <w:rFonts w:hint="default"/>
          <w:color w:val="auto"/>
          <w:u w:val="none" w:color="auto"/>
        </w:rPr>
      </w:pPr>
      <w:r>
        <w:rPr>
          <w:rFonts w:hint="default"/>
          <w:color w:val="auto"/>
          <w:u w:val="none" w:color="auto"/>
        </w:rPr>
        <w:t>表2.2-</w:t>
      </w:r>
      <w:r>
        <w:rPr>
          <w:rFonts w:hint="eastAsia"/>
          <w:color w:val="auto"/>
          <w:u w:val="none" w:color="auto"/>
          <w:lang w:val="en-US" w:eastAsia="zh-CN"/>
        </w:rPr>
        <w:t>3</w:t>
      </w:r>
      <w:r>
        <w:rPr>
          <w:rFonts w:hint="default"/>
          <w:color w:val="auto"/>
          <w:u w:val="none" w:color="auto"/>
        </w:rPr>
        <w:t xml:space="preserve"> 项目拟选址环境功能属性</w:t>
      </w:r>
    </w:p>
    <w:bookmarkEnd w:id="397"/>
    <w:bookmarkEnd w:id="398"/>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805"/>
        <w:gridCol w:w="2430"/>
        <w:gridCol w:w="2617"/>
      </w:tblGrid>
      <w:tr w14:paraId="7E340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4A54B5BB">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bookmarkStart w:id="399" w:name="_Toc28753_WPSOffice_Level3"/>
            <w:bookmarkStart w:id="400" w:name="_Toc32379"/>
            <w:bookmarkStart w:id="401" w:name="_Toc29162"/>
            <w:bookmarkStart w:id="402" w:name="_Toc31649"/>
            <w:bookmarkStart w:id="403" w:name="_Toc18642"/>
            <w:bookmarkStart w:id="404" w:name="_Toc6371"/>
            <w:bookmarkStart w:id="405" w:name="_Toc26440"/>
            <w:bookmarkStart w:id="406" w:name="_Toc24067"/>
            <w:bookmarkStart w:id="407" w:name="_Toc16113_WPSOffice_Level3"/>
            <w:bookmarkStart w:id="408" w:name="_Toc12305"/>
            <w:bookmarkStart w:id="409" w:name="_Toc11346_WPSOffice_Level3"/>
            <w:bookmarkStart w:id="410" w:name="_Toc18715_WPSOffice_Level3"/>
            <w:r>
              <w:rPr>
                <w:rFonts w:ascii="Times New Roman" w:hAnsi="Times New Roman" w:eastAsia="宋体" w:cs="Times New Roman"/>
                <w:b/>
                <w:bCs/>
                <w:color w:val="auto"/>
                <w:kern w:val="2"/>
                <w:sz w:val="21"/>
                <w:szCs w:val="24"/>
                <w:highlight w:val="none"/>
                <w:u w:val="none" w:color="auto"/>
                <w:lang w:val="en-US" w:eastAsia="zh-CN" w:bidi="ar-SA"/>
              </w:rPr>
              <w:t>编号</w:t>
            </w:r>
          </w:p>
        </w:tc>
        <w:tc>
          <w:tcPr>
            <w:tcW w:w="2805" w:type="dxa"/>
            <w:noWrap w:val="0"/>
            <w:vAlign w:val="center"/>
          </w:tcPr>
          <w:p w14:paraId="20FA1BE5">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项目</w:t>
            </w:r>
          </w:p>
        </w:tc>
        <w:tc>
          <w:tcPr>
            <w:tcW w:w="5047" w:type="dxa"/>
            <w:gridSpan w:val="2"/>
            <w:noWrap w:val="0"/>
            <w:vAlign w:val="center"/>
          </w:tcPr>
          <w:p w14:paraId="73B615E5">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功能属性及执行标准</w:t>
            </w:r>
          </w:p>
        </w:tc>
      </w:tr>
      <w:tr w14:paraId="4CCAB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restart"/>
            <w:noWrap w:val="0"/>
            <w:vAlign w:val="center"/>
          </w:tcPr>
          <w:p w14:paraId="3B17423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w:t>
            </w:r>
          </w:p>
        </w:tc>
        <w:tc>
          <w:tcPr>
            <w:tcW w:w="2805" w:type="dxa"/>
            <w:noWrap w:val="0"/>
            <w:vAlign w:val="center"/>
          </w:tcPr>
          <w:p w14:paraId="1AD83E2A">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地表水环境功能区</w:t>
            </w:r>
          </w:p>
        </w:tc>
        <w:tc>
          <w:tcPr>
            <w:tcW w:w="2430" w:type="dxa"/>
            <w:noWrap w:val="0"/>
            <w:vAlign w:val="center"/>
          </w:tcPr>
          <w:p w14:paraId="6973436A">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color w:val="auto"/>
                <w:u w:val="none" w:color="auto"/>
                <w:lang w:val="en-US" w:eastAsia="zh-CN"/>
              </w:rPr>
              <w:t>白沙河</w:t>
            </w:r>
            <w:r>
              <w:rPr>
                <w:rFonts w:hint="eastAsia"/>
                <w:color w:val="auto"/>
                <w:u w:val="none" w:color="auto"/>
              </w:rPr>
              <w:t>，</w:t>
            </w:r>
            <w:r>
              <w:rPr>
                <w:rFonts w:hint="eastAsia"/>
                <w:color w:val="auto"/>
                <w:u w:val="none" w:color="auto"/>
                <w:lang w:val="en-US" w:eastAsia="zh-CN"/>
              </w:rPr>
              <w:t>农</w:t>
            </w:r>
            <w:r>
              <w:rPr>
                <w:rFonts w:hint="eastAsia"/>
                <w:color w:val="auto"/>
                <w:u w:val="none" w:color="auto"/>
              </w:rPr>
              <w:t>业用水区</w:t>
            </w:r>
          </w:p>
        </w:tc>
        <w:tc>
          <w:tcPr>
            <w:tcW w:w="2617" w:type="dxa"/>
            <w:noWrap w:val="0"/>
            <w:vAlign w:val="center"/>
          </w:tcPr>
          <w:p w14:paraId="6290397A">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《地表水环境质量标准》（GB3838-2002）Ⅲ类</w:t>
            </w:r>
          </w:p>
        </w:tc>
      </w:tr>
      <w:tr w14:paraId="6273A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continue"/>
            <w:noWrap w:val="0"/>
            <w:vAlign w:val="center"/>
          </w:tcPr>
          <w:p w14:paraId="78DC6D09">
            <w:pPr>
              <w:widowControl w:val="0"/>
              <w:jc w:val="center"/>
              <w:rPr>
                <w:rFonts w:ascii="Times New Roman" w:hAnsi="Times New Roman" w:eastAsia="宋体" w:cs="Times New Roman"/>
                <w:color w:val="auto"/>
                <w:kern w:val="2"/>
                <w:sz w:val="21"/>
                <w:szCs w:val="24"/>
                <w:highlight w:val="none"/>
                <w:u w:val="none" w:color="auto"/>
                <w:lang w:val="en-US" w:eastAsia="zh-CN" w:bidi="ar-SA"/>
              </w:rPr>
            </w:pPr>
          </w:p>
        </w:tc>
        <w:tc>
          <w:tcPr>
            <w:tcW w:w="2805" w:type="dxa"/>
            <w:noWrap w:val="0"/>
            <w:vAlign w:val="center"/>
          </w:tcPr>
          <w:p w14:paraId="643A573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地下水环境功能区</w:t>
            </w:r>
          </w:p>
        </w:tc>
        <w:tc>
          <w:tcPr>
            <w:tcW w:w="2430" w:type="dxa"/>
            <w:noWrap w:val="0"/>
            <w:vAlign w:val="center"/>
          </w:tcPr>
          <w:p w14:paraId="5041402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color w:val="auto"/>
                <w:u w:val="none" w:color="auto"/>
              </w:rPr>
              <w:t>地下水，工、农业用水区</w:t>
            </w:r>
          </w:p>
        </w:tc>
        <w:tc>
          <w:tcPr>
            <w:tcW w:w="2617" w:type="dxa"/>
            <w:noWrap w:val="0"/>
            <w:vAlign w:val="center"/>
          </w:tcPr>
          <w:p w14:paraId="27CAD56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《地下水质量标准》（GB/T14848-2017）Ⅲ类</w:t>
            </w:r>
          </w:p>
        </w:tc>
      </w:tr>
      <w:tr w14:paraId="09B13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3D7A9A4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2</w:t>
            </w:r>
          </w:p>
        </w:tc>
        <w:tc>
          <w:tcPr>
            <w:tcW w:w="2805" w:type="dxa"/>
            <w:noWrap w:val="0"/>
            <w:vAlign w:val="center"/>
          </w:tcPr>
          <w:p w14:paraId="27F1088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环境空气质量功能区</w:t>
            </w:r>
          </w:p>
        </w:tc>
        <w:tc>
          <w:tcPr>
            <w:tcW w:w="5047" w:type="dxa"/>
            <w:gridSpan w:val="2"/>
            <w:noWrap w:val="0"/>
            <w:vAlign w:val="center"/>
          </w:tcPr>
          <w:p w14:paraId="4523BC8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二类区，执行《环境空气质量标准》（GB3095-2012）</w:t>
            </w:r>
          </w:p>
          <w:p w14:paraId="1085F97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中的二级标准</w:t>
            </w:r>
          </w:p>
        </w:tc>
      </w:tr>
      <w:tr w14:paraId="33BC7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190E28C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3</w:t>
            </w:r>
          </w:p>
        </w:tc>
        <w:tc>
          <w:tcPr>
            <w:tcW w:w="2805" w:type="dxa"/>
            <w:noWrap w:val="0"/>
            <w:vAlign w:val="center"/>
          </w:tcPr>
          <w:p w14:paraId="6EA0CFC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声环境功能区</w:t>
            </w:r>
          </w:p>
        </w:tc>
        <w:tc>
          <w:tcPr>
            <w:tcW w:w="5047" w:type="dxa"/>
            <w:gridSpan w:val="2"/>
            <w:noWrap w:val="0"/>
            <w:vAlign w:val="center"/>
          </w:tcPr>
          <w:p w14:paraId="5EEC0AB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区域声环境执行《声环境质量标准》（GB3096-2008）</w:t>
            </w:r>
          </w:p>
          <w:p w14:paraId="1DFC39C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中的</w:t>
            </w:r>
            <w:r>
              <w:rPr>
                <w:rFonts w:hint="eastAsia" w:ascii="Times New Roman" w:hAnsi="Times New Roman" w:eastAsia="宋体" w:cs="Times New Roman"/>
                <w:color w:val="auto"/>
                <w:kern w:val="2"/>
                <w:sz w:val="21"/>
                <w:szCs w:val="24"/>
                <w:highlight w:val="none"/>
                <w:u w:val="none" w:color="auto"/>
                <w:lang w:val="en-US" w:eastAsia="zh-CN" w:bidi="ar-SA"/>
              </w:rPr>
              <w:t>3</w:t>
            </w:r>
            <w:r>
              <w:rPr>
                <w:rFonts w:ascii="Times New Roman" w:hAnsi="Times New Roman" w:eastAsia="宋体" w:cs="Times New Roman"/>
                <w:color w:val="auto"/>
                <w:kern w:val="2"/>
                <w:sz w:val="21"/>
                <w:szCs w:val="24"/>
                <w:highlight w:val="none"/>
                <w:u w:val="none" w:color="auto"/>
                <w:lang w:val="en-US" w:eastAsia="zh-CN" w:bidi="ar-SA"/>
              </w:rPr>
              <w:t>类</w:t>
            </w:r>
            <w:r>
              <w:rPr>
                <w:rFonts w:hint="eastAsia" w:ascii="Times New Roman" w:hAnsi="Times New Roman" w:eastAsia="宋体" w:cs="Times New Roman"/>
                <w:color w:val="auto"/>
                <w:kern w:val="2"/>
                <w:sz w:val="21"/>
                <w:szCs w:val="24"/>
                <w:highlight w:val="none"/>
                <w:u w:val="none" w:color="auto"/>
                <w:lang w:val="en-US" w:eastAsia="zh-CN" w:bidi="ar-SA"/>
              </w:rPr>
              <w:t>、4a类</w:t>
            </w:r>
            <w:r>
              <w:rPr>
                <w:rFonts w:ascii="Times New Roman" w:hAnsi="Times New Roman" w:eastAsia="宋体" w:cs="Times New Roman"/>
                <w:color w:val="auto"/>
                <w:kern w:val="2"/>
                <w:sz w:val="21"/>
                <w:szCs w:val="24"/>
                <w:highlight w:val="none"/>
                <w:u w:val="none" w:color="auto"/>
                <w:lang w:val="en-US" w:eastAsia="zh-CN" w:bidi="ar-SA"/>
              </w:rPr>
              <w:t>标准</w:t>
            </w:r>
          </w:p>
        </w:tc>
      </w:tr>
      <w:tr w14:paraId="40D3A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27ABC32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4</w:t>
            </w:r>
          </w:p>
        </w:tc>
        <w:tc>
          <w:tcPr>
            <w:tcW w:w="2805" w:type="dxa"/>
            <w:noWrap w:val="0"/>
            <w:vAlign w:val="center"/>
          </w:tcPr>
          <w:p w14:paraId="416654A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是否基本农田保护区</w:t>
            </w:r>
          </w:p>
        </w:tc>
        <w:tc>
          <w:tcPr>
            <w:tcW w:w="5047" w:type="dxa"/>
            <w:gridSpan w:val="2"/>
            <w:noWrap w:val="0"/>
            <w:vAlign w:val="center"/>
          </w:tcPr>
          <w:p w14:paraId="7F963B3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369C4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6C45801C">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5</w:t>
            </w:r>
          </w:p>
        </w:tc>
        <w:tc>
          <w:tcPr>
            <w:tcW w:w="2805" w:type="dxa"/>
            <w:noWrap w:val="0"/>
            <w:vAlign w:val="center"/>
          </w:tcPr>
          <w:p w14:paraId="4B8BA11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是否森林、公园</w:t>
            </w:r>
          </w:p>
        </w:tc>
        <w:tc>
          <w:tcPr>
            <w:tcW w:w="5047" w:type="dxa"/>
            <w:gridSpan w:val="2"/>
            <w:noWrap w:val="0"/>
            <w:vAlign w:val="center"/>
          </w:tcPr>
          <w:p w14:paraId="424ABE1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02602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68EF93A8">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6</w:t>
            </w:r>
          </w:p>
        </w:tc>
        <w:tc>
          <w:tcPr>
            <w:tcW w:w="2805" w:type="dxa"/>
            <w:noWrap w:val="0"/>
            <w:vAlign w:val="center"/>
          </w:tcPr>
          <w:p w14:paraId="78183A2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是否生态功能保护区</w:t>
            </w:r>
          </w:p>
        </w:tc>
        <w:tc>
          <w:tcPr>
            <w:tcW w:w="5047" w:type="dxa"/>
            <w:gridSpan w:val="2"/>
            <w:noWrap w:val="0"/>
            <w:vAlign w:val="center"/>
          </w:tcPr>
          <w:p w14:paraId="54C9BA5C">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28044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1B64138C">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7</w:t>
            </w:r>
          </w:p>
        </w:tc>
        <w:tc>
          <w:tcPr>
            <w:tcW w:w="2805" w:type="dxa"/>
            <w:noWrap w:val="0"/>
            <w:vAlign w:val="center"/>
          </w:tcPr>
          <w:p w14:paraId="6D465F8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是否水土流失重点防治区</w:t>
            </w:r>
          </w:p>
        </w:tc>
        <w:tc>
          <w:tcPr>
            <w:tcW w:w="5047" w:type="dxa"/>
            <w:gridSpan w:val="2"/>
            <w:noWrap w:val="0"/>
            <w:vAlign w:val="center"/>
          </w:tcPr>
          <w:p w14:paraId="06C95A4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3F30F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797D312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8</w:t>
            </w:r>
          </w:p>
        </w:tc>
        <w:tc>
          <w:tcPr>
            <w:tcW w:w="2805" w:type="dxa"/>
            <w:noWrap w:val="0"/>
            <w:vAlign w:val="center"/>
          </w:tcPr>
          <w:p w14:paraId="5C4F14C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是否人口密集区</w:t>
            </w:r>
          </w:p>
        </w:tc>
        <w:tc>
          <w:tcPr>
            <w:tcW w:w="5047" w:type="dxa"/>
            <w:gridSpan w:val="2"/>
            <w:noWrap w:val="0"/>
            <w:vAlign w:val="center"/>
          </w:tcPr>
          <w:p w14:paraId="6DB3633A">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6364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7551AE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9</w:t>
            </w:r>
          </w:p>
        </w:tc>
        <w:tc>
          <w:tcPr>
            <w:tcW w:w="2805" w:type="dxa"/>
            <w:noWrap w:val="0"/>
            <w:vAlign w:val="center"/>
          </w:tcPr>
          <w:p w14:paraId="2D9E851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是否重点文物保护单位</w:t>
            </w:r>
          </w:p>
        </w:tc>
        <w:tc>
          <w:tcPr>
            <w:tcW w:w="5047" w:type="dxa"/>
            <w:gridSpan w:val="2"/>
            <w:noWrap w:val="0"/>
            <w:vAlign w:val="center"/>
          </w:tcPr>
          <w:p w14:paraId="4B14648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169F7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23AE4208">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10</w:t>
            </w:r>
          </w:p>
        </w:tc>
        <w:tc>
          <w:tcPr>
            <w:tcW w:w="2805" w:type="dxa"/>
            <w:noWrap w:val="0"/>
            <w:vAlign w:val="center"/>
          </w:tcPr>
          <w:p w14:paraId="19E1E63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是否三河、三湖、两控区</w:t>
            </w:r>
          </w:p>
        </w:tc>
        <w:tc>
          <w:tcPr>
            <w:tcW w:w="5047" w:type="dxa"/>
            <w:gridSpan w:val="2"/>
            <w:noWrap w:val="0"/>
            <w:vAlign w:val="center"/>
          </w:tcPr>
          <w:p w14:paraId="60D9D72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是（两控区）</w:t>
            </w:r>
          </w:p>
        </w:tc>
      </w:tr>
      <w:tr w14:paraId="1CF5F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7543A44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11</w:t>
            </w:r>
          </w:p>
        </w:tc>
        <w:tc>
          <w:tcPr>
            <w:tcW w:w="2805" w:type="dxa"/>
            <w:noWrap w:val="0"/>
            <w:vAlign w:val="center"/>
          </w:tcPr>
          <w:p w14:paraId="0C9A52B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是否属于饮用水源保护区</w:t>
            </w:r>
          </w:p>
        </w:tc>
        <w:tc>
          <w:tcPr>
            <w:tcW w:w="5047" w:type="dxa"/>
            <w:gridSpan w:val="2"/>
            <w:noWrap w:val="0"/>
            <w:vAlign w:val="center"/>
          </w:tcPr>
          <w:p w14:paraId="6A303E7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503B4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16F9B39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12</w:t>
            </w:r>
          </w:p>
        </w:tc>
        <w:tc>
          <w:tcPr>
            <w:tcW w:w="2805" w:type="dxa"/>
            <w:noWrap w:val="0"/>
            <w:vAlign w:val="center"/>
          </w:tcPr>
          <w:p w14:paraId="16EDD41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是否污水处理厂集水范围</w:t>
            </w:r>
          </w:p>
        </w:tc>
        <w:tc>
          <w:tcPr>
            <w:tcW w:w="5047" w:type="dxa"/>
            <w:gridSpan w:val="2"/>
            <w:noWrap w:val="0"/>
            <w:vAlign w:val="center"/>
          </w:tcPr>
          <w:p w14:paraId="4775B8A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是</w:t>
            </w:r>
            <w:r>
              <w:rPr>
                <w:color w:val="auto"/>
                <w:u w:val="none" w:color="auto"/>
              </w:rPr>
              <w:t>（</w:t>
            </w:r>
            <w:r>
              <w:rPr>
                <w:rFonts w:hint="eastAsia"/>
                <w:color w:val="auto"/>
                <w:u w:val="none" w:color="auto"/>
                <w:lang w:val="en-US" w:eastAsia="zh-CN"/>
              </w:rPr>
              <w:t>长沙经开区汨罗产业园</w:t>
            </w:r>
            <w:r>
              <w:rPr>
                <w:rFonts w:hint="eastAsia"/>
                <w:color w:val="auto"/>
                <w:u w:val="none" w:color="auto"/>
              </w:rPr>
              <w:t>污水处理厂</w:t>
            </w:r>
            <w:r>
              <w:rPr>
                <w:color w:val="auto"/>
                <w:u w:val="none" w:color="auto"/>
              </w:rPr>
              <w:t>）</w:t>
            </w:r>
          </w:p>
        </w:tc>
      </w:tr>
      <w:tr w14:paraId="6D2A7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5F9DBA5D">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13</w:t>
            </w:r>
          </w:p>
        </w:tc>
        <w:tc>
          <w:tcPr>
            <w:tcW w:w="2805" w:type="dxa"/>
            <w:noWrap w:val="0"/>
            <w:vAlign w:val="center"/>
          </w:tcPr>
          <w:p w14:paraId="119322B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是否属于生态敏感与脆弱区</w:t>
            </w:r>
          </w:p>
        </w:tc>
        <w:tc>
          <w:tcPr>
            <w:tcW w:w="5047" w:type="dxa"/>
            <w:gridSpan w:val="2"/>
            <w:noWrap w:val="0"/>
            <w:vAlign w:val="center"/>
          </w:tcPr>
          <w:p w14:paraId="3219E418">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bl>
    <w:p w14:paraId="33A8D16B">
      <w:pPr>
        <w:pStyle w:val="8"/>
        <w:bidi w:val="0"/>
        <w:rPr>
          <w:rFonts w:hint="default" w:ascii="Times New Roman" w:hAnsi="Times New Roman" w:cs="Times New Roman"/>
          <w:color w:val="auto"/>
          <w:u w:val="none" w:color="auto"/>
        </w:rPr>
      </w:pPr>
      <w:bookmarkStart w:id="411" w:name="_Toc27400"/>
      <w:bookmarkStart w:id="412" w:name="_Toc9122"/>
      <w:bookmarkStart w:id="413" w:name="_Toc24079"/>
      <w:r>
        <w:rPr>
          <w:rFonts w:hint="default" w:ascii="Times New Roman" w:hAnsi="Times New Roman" w:cs="Times New Roman"/>
          <w:color w:val="auto"/>
          <w:u w:val="none" w:color="auto"/>
        </w:rPr>
        <w:t>2.2.3评价标准</w:t>
      </w:r>
      <w:bookmarkEnd w:id="399"/>
      <w:bookmarkEnd w:id="400"/>
      <w:bookmarkEnd w:id="401"/>
      <w:bookmarkEnd w:id="402"/>
      <w:bookmarkEnd w:id="403"/>
      <w:bookmarkEnd w:id="404"/>
      <w:bookmarkEnd w:id="405"/>
      <w:bookmarkEnd w:id="406"/>
      <w:bookmarkEnd w:id="407"/>
      <w:bookmarkEnd w:id="408"/>
      <w:bookmarkEnd w:id="411"/>
      <w:bookmarkEnd w:id="412"/>
      <w:bookmarkEnd w:id="413"/>
    </w:p>
    <w:p w14:paraId="275DC482">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1、环境质量标准</w:t>
      </w:r>
      <w:bookmarkEnd w:id="409"/>
      <w:bookmarkEnd w:id="410"/>
    </w:p>
    <w:p w14:paraId="77FD4298">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（1）空气环境：SO</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、NO</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10</w:t>
      </w:r>
      <w:r>
        <w:rPr>
          <w:rFonts w:hint="default" w:ascii="Times New Roman" w:hAnsi="Times New Roman" w:cs="Times New Roman"/>
          <w:color w:val="auto"/>
          <w:u w:val="none" w:color="auto"/>
        </w:rPr>
        <w:t>、CO、O</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2.5</w:t>
      </w:r>
      <w:r>
        <w:rPr>
          <w:rFonts w:hint="default" w:ascii="Times New Roman" w:hAnsi="Times New Roman" w:cs="Times New Roman"/>
          <w:color w:val="auto"/>
          <w:u w:val="none" w:color="auto"/>
          <w:vertAlign w:val="baseline"/>
          <w:lang w:eastAsia="zh-CN"/>
        </w:rPr>
        <w:t>、</w:t>
      </w:r>
      <w:r>
        <w:rPr>
          <w:rFonts w:hint="default" w:ascii="Times New Roman" w:hAnsi="Times New Roman" w:cs="Times New Roman"/>
          <w:color w:val="auto"/>
          <w:u w:val="none" w:color="auto"/>
          <w:vertAlign w:val="baseline"/>
          <w:lang w:val="en-US" w:eastAsia="zh-CN"/>
        </w:rPr>
        <w:t>TSP执行</w:t>
      </w:r>
      <w:r>
        <w:rPr>
          <w:rFonts w:hint="default" w:ascii="Times New Roman" w:hAnsi="Times New Roman" w:cs="Times New Roman"/>
          <w:color w:val="auto"/>
          <w:u w:val="none" w:color="auto"/>
        </w:rPr>
        <w:t>《环境空气质量标准》（GB3095-2012）中的二级标准</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eastAsia="zh-CN"/>
        </w:rPr>
        <w:t>TVOC</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甲醛</w:t>
      </w:r>
      <w:r>
        <w:rPr>
          <w:rFonts w:hint="default" w:ascii="Times New Roman" w:hAnsi="Times New Roman" w:cs="Times New Roman"/>
          <w:color w:val="auto"/>
          <w:u w:val="none" w:color="auto"/>
          <w:lang w:eastAsia="zh-CN"/>
        </w:rPr>
        <w:t>执行《环境影响评价技术导则 大气环境》（HJ2.2-2018）附录D中表D.1相应的标准</w:t>
      </w:r>
      <w:r>
        <w:rPr>
          <w:rFonts w:hint="eastAsia" w:ascii="Times New Roman" w:hAnsi="Times New Roman" w:cs="Times New Roman"/>
          <w:color w:val="auto"/>
          <w:u w:val="none" w:color="auto"/>
          <w:lang w:eastAsia="zh-CN"/>
        </w:rPr>
        <w:t>；</w:t>
      </w:r>
      <w:r>
        <w:rPr>
          <w:rFonts w:hint="default" w:ascii="Times New Roman" w:hAnsi="Times New Roman" w:eastAsia="宋体" w:cs="Times New Roman"/>
          <w:color w:val="auto"/>
          <w:u w:val="none" w:color="auto"/>
          <w:lang w:eastAsia="zh-CN"/>
        </w:rPr>
        <w:t>非甲烷总烃参照执行原国家环境保护局科技标准司的《大气污染物综合排放标准详解》中的环境质量标准一次浓度（其中一次值为2.0mg/m</w:t>
      </w:r>
      <w:r>
        <w:rPr>
          <w:rFonts w:hint="default" w:ascii="Times New Roman" w:hAnsi="Times New Roman" w:eastAsia="宋体" w:cs="Times New Roman"/>
          <w:color w:val="auto"/>
          <w:u w:val="none" w:color="auto"/>
          <w:vertAlign w:val="superscript"/>
          <w:lang w:eastAsia="zh-CN"/>
        </w:rPr>
        <w:t>3</w:t>
      </w:r>
      <w:r>
        <w:rPr>
          <w:rFonts w:hint="default" w:ascii="Times New Roman" w:hAnsi="Times New Roman" w:eastAsia="宋体" w:cs="Times New Roman"/>
          <w:color w:val="auto"/>
          <w:u w:val="none" w:color="auto"/>
          <w:lang w:eastAsia="zh-CN"/>
        </w:rPr>
        <w:t>）</w:t>
      </w:r>
      <w:r>
        <w:rPr>
          <w:rFonts w:hint="default" w:ascii="Times New Roman" w:hAnsi="Times New Roman" w:cs="Times New Roman"/>
          <w:color w:val="auto"/>
          <w:u w:val="none" w:color="auto"/>
          <w:lang w:eastAsia="zh-CN"/>
        </w:rPr>
        <w:t>。</w:t>
      </w:r>
    </w:p>
    <w:p w14:paraId="0B5F1016">
      <w:pPr>
        <w:pStyle w:val="23"/>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表2.</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 xml:space="preserve"> 环境空气</w:t>
      </w:r>
      <w:r>
        <w:rPr>
          <w:rFonts w:hint="eastAsia" w:cs="Times New Roman"/>
          <w:color w:val="auto"/>
          <w:u w:val="none" w:color="auto"/>
          <w:lang w:val="en-US" w:eastAsia="zh-CN"/>
        </w:rPr>
        <w:t>污染物</w:t>
      </w:r>
      <w:r>
        <w:rPr>
          <w:rFonts w:hint="default" w:ascii="Times New Roman" w:hAnsi="Times New Roman" w:cs="Times New Roman"/>
          <w:color w:val="auto"/>
          <w:u w:val="none" w:color="auto"/>
        </w:rPr>
        <w:t>质量标准（单位：</w:t>
      </w:r>
      <w:r>
        <w:rPr>
          <w:rFonts w:hint="default" w:ascii="Times New Roman" w:hAnsi="Times New Roman" w:cs="Times New Roman"/>
          <w:color w:val="auto"/>
          <w:u w:val="none" w:color="auto"/>
          <w:lang w:val="en-US" w:eastAsia="zh-CN"/>
        </w:rPr>
        <w:t>μ</w:t>
      </w:r>
      <w:r>
        <w:rPr>
          <w:rFonts w:hint="default" w:ascii="Times New Roman" w:hAnsi="Times New Roman" w:cs="Times New Roman"/>
          <w:color w:val="auto"/>
          <w:u w:val="none" w:color="auto"/>
        </w:rPr>
        <w:t>g/m³）</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72"/>
        <w:gridCol w:w="1803"/>
        <w:gridCol w:w="1796"/>
        <w:gridCol w:w="1793"/>
      </w:tblGrid>
      <w:tr w14:paraId="07C78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vMerge w:val="restart"/>
            <w:tcBorders>
              <w:tl2br w:val="nil"/>
              <w:tr2bl w:val="nil"/>
            </w:tcBorders>
            <w:noWrap w:val="0"/>
            <w:vAlign w:val="center"/>
          </w:tcPr>
          <w:p w14:paraId="291A3AC6">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污染物名称</w:t>
            </w:r>
          </w:p>
        </w:tc>
        <w:tc>
          <w:tcPr>
            <w:tcW w:w="7164" w:type="dxa"/>
            <w:gridSpan w:val="4"/>
            <w:tcBorders>
              <w:tl2br w:val="nil"/>
              <w:tr2bl w:val="nil"/>
            </w:tcBorders>
            <w:noWrap w:val="0"/>
            <w:vAlign w:val="center"/>
          </w:tcPr>
          <w:p w14:paraId="782A8CDB">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标准限值</w:t>
            </w:r>
          </w:p>
        </w:tc>
      </w:tr>
      <w:tr w14:paraId="68702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vMerge w:val="continue"/>
            <w:tcBorders>
              <w:tl2br w:val="nil"/>
              <w:tr2bl w:val="nil"/>
            </w:tcBorders>
            <w:noWrap w:val="0"/>
            <w:vAlign w:val="center"/>
          </w:tcPr>
          <w:p w14:paraId="2920D9D6">
            <w:pPr>
              <w:pStyle w:val="25"/>
              <w:rPr>
                <w:rFonts w:hint="default" w:ascii="Times New Roman" w:hAnsi="Times New Roman" w:cs="Times New Roman"/>
                <w:b/>
                <w:bCs/>
                <w:color w:val="auto"/>
                <w:u w:val="none" w:color="auto"/>
              </w:rPr>
            </w:pPr>
          </w:p>
        </w:tc>
        <w:tc>
          <w:tcPr>
            <w:tcW w:w="1772" w:type="dxa"/>
            <w:tcBorders>
              <w:tl2br w:val="nil"/>
              <w:tr2bl w:val="nil"/>
            </w:tcBorders>
            <w:noWrap w:val="0"/>
            <w:vAlign w:val="center"/>
          </w:tcPr>
          <w:p w14:paraId="6889C8F0">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1小时平均</w:t>
            </w:r>
          </w:p>
        </w:tc>
        <w:tc>
          <w:tcPr>
            <w:tcW w:w="1803" w:type="dxa"/>
            <w:tcBorders>
              <w:tl2br w:val="nil"/>
              <w:tr2bl w:val="nil"/>
            </w:tcBorders>
            <w:noWrap w:val="0"/>
            <w:vAlign w:val="center"/>
          </w:tcPr>
          <w:p w14:paraId="38D6A7B7">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日平均</w:t>
            </w:r>
          </w:p>
        </w:tc>
        <w:tc>
          <w:tcPr>
            <w:tcW w:w="1796" w:type="dxa"/>
            <w:tcBorders>
              <w:tl2br w:val="nil"/>
              <w:tr2bl w:val="nil"/>
            </w:tcBorders>
            <w:noWrap w:val="0"/>
            <w:vAlign w:val="center"/>
          </w:tcPr>
          <w:p w14:paraId="04D036AC">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sz w:val="21"/>
                <w:szCs w:val="21"/>
                <w:u w:val="none" w:color="auto"/>
              </w:rPr>
              <w:t>8小时均值</w:t>
            </w:r>
          </w:p>
        </w:tc>
        <w:tc>
          <w:tcPr>
            <w:tcW w:w="1793" w:type="dxa"/>
            <w:tcBorders>
              <w:tl2br w:val="nil"/>
              <w:tr2bl w:val="nil"/>
            </w:tcBorders>
            <w:noWrap w:val="0"/>
            <w:vAlign w:val="center"/>
          </w:tcPr>
          <w:p w14:paraId="3E88BFDF">
            <w:pPr>
              <w:pStyle w:val="25"/>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cs="Times New Roman"/>
                <w:b/>
                <w:bCs/>
                <w:color w:val="auto"/>
                <w:sz w:val="21"/>
                <w:szCs w:val="21"/>
                <w:u w:val="none" w:color="auto"/>
                <w:lang w:eastAsia="zh-CN"/>
              </w:rPr>
              <w:t>年均值</w:t>
            </w:r>
          </w:p>
        </w:tc>
      </w:tr>
      <w:tr w14:paraId="5E9BE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2CD3EC87">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SO</w:t>
            </w:r>
            <w:r>
              <w:rPr>
                <w:rFonts w:hint="default" w:ascii="Times New Roman" w:hAnsi="Times New Roman" w:cs="Times New Roman"/>
                <w:color w:val="auto"/>
                <w:u w:val="none" w:color="auto"/>
                <w:vertAlign w:val="subscript"/>
              </w:rPr>
              <w:t>2</w:t>
            </w:r>
          </w:p>
        </w:tc>
        <w:tc>
          <w:tcPr>
            <w:tcW w:w="1772" w:type="dxa"/>
            <w:tcBorders>
              <w:tl2br w:val="nil"/>
              <w:tr2bl w:val="nil"/>
            </w:tcBorders>
            <w:noWrap w:val="0"/>
            <w:vAlign w:val="center"/>
          </w:tcPr>
          <w:p w14:paraId="17F539D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500</w:t>
            </w:r>
          </w:p>
        </w:tc>
        <w:tc>
          <w:tcPr>
            <w:tcW w:w="1803" w:type="dxa"/>
            <w:tcBorders>
              <w:tl2br w:val="nil"/>
              <w:tr2bl w:val="nil"/>
            </w:tcBorders>
            <w:noWrap w:val="0"/>
            <w:vAlign w:val="center"/>
          </w:tcPr>
          <w:p w14:paraId="0C0F9D2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1796" w:type="dxa"/>
            <w:tcBorders>
              <w:tl2br w:val="nil"/>
              <w:tr2bl w:val="nil"/>
            </w:tcBorders>
            <w:noWrap w:val="0"/>
            <w:vAlign w:val="center"/>
          </w:tcPr>
          <w:p w14:paraId="350DD963">
            <w:pPr>
              <w:pStyle w:val="25"/>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7DB30EE4">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60</w:t>
            </w:r>
          </w:p>
        </w:tc>
      </w:tr>
      <w:tr w14:paraId="555F8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02AB8AA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NO</w:t>
            </w:r>
            <w:r>
              <w:rPr>
                <w:rFonts w:hint="default" w:ascii="Times New Roman" w:hAnsi="Times New Roman" w:cs="Times New Roman"/>
                <w:color w:val="auto"/>
                <w:u w:val="none" w:color="auto"/>
                <w:vertAlign w:val="subscript"/>
              </w:rPr>
              <w:t>2</w:t>
            </w:r>
          </w:p>
        </w:tc>
        <w:tc>
          <w:tcPr>
            <w:tcW w:w="1772" w:type="dxa"/>
            <w:tcBorders>
              <w:tl2br w:val="nil"/>
              <w:tr2bl w:val="nil"/>
            </w:tcBorders>
            <w:noWrap w:val="0"/>
            <w:vAlign w:val="center"/>
          </w:tcPr>
          <w:p w14:paraId="18D8C29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1803" w:type="dxa"/>
            <w:tcBorders>
              <w:tl2br w:val="nil"/>
              <w:tr2bl w:val="nil"/>
            </w:tcBorders>
            <w:noWrap w:val="0"/>
            <w:vAlign w:val="center"/>
          </w:tcPr>
          <w:p w14:paraId="736798A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80</w:t>
            </w:r>
          </w:p>
        </w:tc>
        <w:tc>
          <w:tcPr>
            <w:tcW w:w="1796" w:type="dxa"/>
            <w:tcBorders>
              <w:tl2br w:val="nil"/>
              <w:tr2bl w:val="nil"/>
            </w:tcBorders>
            <w:noWrap w:val="0"/>
            <w:vAlign w:val="center"/>
          </w:tcPr>
          <w:p w14:paraId="27BBE929">
            <w:pPr>
              <w:pStyle w:val="25"/>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27D0C7AF">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40</w:t>
            </w:r>
          </w:p>
        </w:tc>
      </w:tr>
      <w:tr w14:paraId="6797F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596F5B5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10</w:t>
            </w:r>
          </w:p>
        </w:tc>
        <w:tc>
          <w:tcPr>
            <w:tcW w:w="1772" w:type="dxa"/>
            <w:tcBorders>
              <w:tl2br w:val="nil"/>
              <w:tr2bl w:val="nil"/>
            </w:tcBorders>
            <w:noWrap w:val="0"/>
            <w:vAlign w:val="center"/>
          </w:tcPr>
          <w:p w14:paraId="46011D0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1803" w:type="dxa"/>
            <w:tcBorders>
              <w:tl2br w:val="nil"/>
              <w:tr2bl w:val="nil"/>
            </w:tcBorders>
            <w:noWrap w:val="0"/>
            <w:vAlign w:val="center"/>
          </w:tcPr>
          <w:p w14:paraId="09CCAEBF">
            <w:pPr>
              <w:pStyle w:val="25"/>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val="en-US" w:eastAsia="zh-CN"/>
              </w:rPr>
              <w:t>150</w:t>
            </w:r>
          </w:p>
        </w:tc>
        <w:tc>
          <w:tcPr>
            <w:tcW w:w="1796" w:type="dxa"/>
            <w:tcBorders>
              <w:tl2br w:val="nil"/>
              <w:tr2bl w:val="nil"/>
            </w:tcBorders>
            <w:noWrap w:val="0"/>
            <w:vAlign w:val="center"/>
          </w:tcPr>
          <w:p w14:paraId="0F5BF9A0">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63CACDCD">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70</w:t>
            </w:r>
          </w:p>
        </w:tc>
      </w:tr>
      <w:tr w14:paraId="5BAA9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31437DAB">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lang w:val="en-US" w:eastAsia="zh-CN"/>
              </w:rPr>
              <w:t>2.5</w:t>
            </w:r>
          </w:p>
        </w:tc>
        <w:tc>
          <w:tcPr>
            <w:tcW w:w="1772" w:type="dxa"/>
            <w:tcBorders>
              <w:tl2br w:val="nil"/>
              <w:tr2bl w:val="nil"/>
            </w:tcBorders>
            <w:noWrap w:val="0"/>
            <w:vAlign w:val="center"/>
          </w:tcPr>
          <w:p w14:paraId="637A6C00">
            <w:pPr>
              <w:pStyle w:val="25"/>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803" w:type="dxa"/>
            <w:tcBorders>
              <w:tl2br w:val="nil"/>
              <w:tr2bl w:val="nil"/>
            </w:tcBorders>
            <w:noWrap w:val="0"/>
            <w:vAlign w:val="center"/>
          </w:tcPr>
          <w:p w14:paraId="3D370DCD">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75</w:t>
            </w:r>
          </w:p>
        </w:tc>
        <w:tc>
          <w:tcPr>
            <w:tcW w:w="1796" w:type="dxa"/>
            <w:tcBorders>
              <w:tl2br w:val="nil"/>
              <w:tr2bl w:val="nil"/>
            </w:tcBorders>
            <w:noWrap w:val="0"/>
            <w:vAlign w:val="center"/>
          </w:tcPr>
          <w:p w14:paraId="285A869F">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27ED417D">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35</w:t>
            </w:r>
          </w:p>
        </w:tc>
      </w:tr>
      <w:tr w14:paraId="3018B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6D54760A">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C</w:t>
            </w:r>
            <w:r>
              <w:rPr>
                <w:rFonts w:hint="default" w:ascii="Times New Roman" w:hAnsi="Times New Roman" w:cs="Times New Roman"/>
                <w:color w:val="auto"/>
                <w:sz w:val="21"/>
                <w:szCs w:val="21"/>
                <w:u w:val="none" w:color="auto"/>
              </w:rPr>
              <w:t>O</w:t>
            </w:r>
          </w:p>
        </w:tc>
        <w:tc>
          <w:tcPr>
            <w:tcW w:w="1772" w:type="dxa"/>
            <w:tcBorders>
              <w:tl2br w:val="nil"/>
              <w:tr2bl w:val="nil"/>
            </w:tcBorders>
            <w:noWrap w:val="0"/>
            <w:vAlign w:val="center"/>
          </w:tcPr>
          <w:p w14:paraId="54E8ECC0">
            <w:pPr>
              <w:pStyle w:val="25"/>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10000</w:t>
            </w:r>
          </w:p>
        </w:tc>
        <w:tc>
          <w:tcPr>
            <w:tcW w:w="1803" w:type="dxa"/>
            <w:tcBorders>
              <w:tl2br w:val="nil"/>
              <w:tr2bl w:val="nil"/>
            </w:tcBorders>
            <w:noWrap w:val="0"/>
            <w:vAlign w:val="center"/>
          </w:tcPr>
          <w:p w14:paraId="4B44C242">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4000</w:t>
            </w:r>
          </w:p>
        </w:tc>
        <w:tc>
          <w:tcPr>
            <w:tcW w:w="1796" w:type="dxa"/>
            <w:tcBorders>
              <w:tl2br w:val="nil"/>
              <w:tr2bl w:val="nil"/>
            </w:tcBorders>
            <w:noWrap w:val="0"/>
            <w:vAlign w:val="center"/>
          </w:tcPr>
          <w:p w14:paraId="7F874B42">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50100704">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2948B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691AE768">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O</w:t>
            </w:r>
            <w:r>
              <w:rPr>
                <w:rFonts w:hint="default" w:ascii="Times New Roman" w:hAnsi="Times New Roman" w:cs="Times New Roman"/>
                <w:color w:val="auto"/>
                <w:sz w:val="21"/>
                <w:szCs w:val="21"/>
                <w:u w:val="none" w:color="auto"/>
                <w:vertAlign w:val="subscript"/>
                <w:lang w:val="en-US" w:eastAsia="zh-CN"/>
              </w:rPr>
              <w:t>3</w:t>
            </w:r>
          </w:p>
        </w:tc>
        <w:tc>
          <w:tcPr>
            <w:tcW w:w="1772" w:type="dxa"/>
            <w:tcBorders>
              <w:tl2br w:val="nil"/>
              <w:tr2bl w:val="nil"/>
            </w:tcBorders>
            <w:noWrap w:val="0"/>
            <w:vAlign w:val="center"/>
          </w:tcPr>
          <w:p w14:paraId="499E370B">
            <w:pPr>
              <w:pStyle w:val="25"/>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200</w:t>
            </w:r>
          </w:p>
        </w:tc>
        <w:tc>
          <w:tcPr>
            <w:tcW w:w="1803" w:type="dxa"/>
            <w:tcBorders>
              <w:tl2br w:val="nil"/>
              <w:tr2bl w:val="nil"/>
            </w:tcBorders>
            <w:noWrap w:val="0"/>
            <w:vAlign w:val="center"/>
          </w:tcPr>
          <w:p w14:paraId="7268517C">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4D988F61">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160</w:t>
            </w:r>
          </w:p>
        </w:tc>
        <w:tc>
          <w:tcPr>
            <w:tcW w:w="1793" w:type="dxa"/>
            <w:tcBorders>
              <w:tl2br w:val="nil"/>
              <w:tr2bl w:val="nil"/>
            </w:tcBorders>
            <w:noWrap w:val="0"/>
            <w:vAlign w:val="center"/>
          </w:tcPr>
          <w:p w14:paraId="60FAB05D">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181F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2583E3AC">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TSP</w:t>
            </w:r>
          </w:p>
        </w:tc>
        <w:tc>
          <w:tcPr>
            <w:tcW w:w="1772" w:type="dxa"/>
            <w:tcBorders>
              <w:tl2br w:val="nil"/>
              <w:tr2bl w:val="nil"/>
            </w:tcBorders>
            <w:noWrap w:val="0"/>
            <w:vAlign w:val="center"/>
          </w:tcPr>
          <w:p w14:paraId="0CAFC6C2">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803" w:type="dxa"/>
            <w:tcBorders>
              <w:tl2br w:val="nil"/>
              <w:tr2bl w:val="nil"/>
            </w:tcBorders>
            <w:noWrap w:val="0"/>
            <w:vAlign w:val="center"/>
          </w:tcPr>
          <w:p w14:paraId="3B7F2949">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300</w:t>
            </w:r>
          </w:p>
        </w:tc>
        <w:tc>
          <w:tcPr>
            <w:tcW w:w="1796" w:type="dxa"/>
            <w:tcBorders>
              <w:tl2br w:val="nil"/>
              <w:tr2bl w:val="nil"/>
            </w:tcBorders>
            <w:noWrap w:val="0"/>
            <w:vAlign w:val="center"/>
          </w:tcPr>
          <w:p w14:paraId="3EC31EE5">
            <w:pPr>
              <w:pStyle w:val="25"/>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1EF74CD0">
            <w:pPr>
              <w:pStyle w:val="25"/>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200</w:t>
            </w:r>
          </w:p>
        </w:tc>
      </w:tr>
      <w:tr w14:paraId="2F81A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5DB8AA7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非甲烷总烃</w:t>
            </w:r>
          </w:p>
        </w:tc>
        <w:tc>
          <w:tcPr>
            <w:tcW w:w="1772" w:type="dxa"/>
            <w:tcBorders>
              <w:tl2br w:val="nil"/>
              <w:tr2bl w:val="nil"/>
            </w:tcBorders>
            <w:noWrap w:val="0"/>
            <w:vAlign w:val="center"/>
          </w:tcPr>
          <w:p w14:paraId="1DFF8DE9">
            <w:pPr>
              <w:pStyle w:val="25"/>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olor w:val="auto"/>
                <w:u w:val="none" w:color="auto"/>
              </w:rPr>
              <w:t>2000（一次浓度限值）</w:t>
            </w:r>
          </w:p>
        </w:tc>
        <w:tc>
          <w:tcPr>
            <w:tcW w:w="1803" w:type="dxa"/>
            <w:tcBorders>
              <w:tl2br w:val="nil"/>
              <w:tr2bl w:val="nil"/>
            </w:tcBorders>
            <w:noWrap w:val="0"/>
            <w:vAlign w:val="center"/>
          </w:tcPr>
          <w:p w14:paraId="36CF4E3A">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4BC0F286">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3D9A64DB">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w:t>
            </w:r>
          </w:p>
        </w:tc>
      </w:tr>
      <w:tr w14:paraId="6DB7F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4A27F2F9">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TVOC</w:t>
            </w:r>
          </w:p>
        </w:tc>
        <w:tc>
          <w:tcPr>
            <w:tcW w:w="1772" w:type="dxa"/>
            <w:tcBorders>
              <w:tl2br w:val="nil"/>
              <w:tr2bl w:val="nil"/>
            </w:tcBorders>
            <w:noWrap w:val="0"/>
            <w:vAlign w:val="center"/>
          </w:tcPr>
          <w:p w14:paraId="26585EF2">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803" w:type="dxa"/>
            <w:tcBorders>
              <w:tl2br w:val="nil"/>
              <w:tr2bl w:val="nil"/>
            </w:tcBorders>
            <w:noWrap w:val="0"/>
            <w:vAlign w:val="center"/>
          </w:tcPr>
          <w:p w14:paraId="185C6B27">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05B5BEB1">
            <w:pPr>
              <w:pStyle w:val="25"/>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600</w:t>
            </w:r>
          </w:p>
        </w:tc>
        <w:tc>
          <w:tcPr>
            <w:tcW w:w="1793" w:type="dxa"/>
            <w:tcBorders>
              <w:tl2br w:val="nil"/>
              <w:tr2bl w:val="nil"/>
            </w:tcBorders>
            <w:noWrap w:val="0"/>
            <w:vAlign w:val="center"/>
          </w:tcPr>
          <w:p w14:paraId="15AFE421">
            <w:pPr>
              <w:pStyle w:val="25"/>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36151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0351F151">
            <w:pPr>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甲醛</w:t>
            </w:r>
          </w:p>
        </w:tc>
        <w:tc>
          <w:tcPr>
            <w:tcW w:w="1772" w:type="dxa"/>
            <w:tcBorders>
              <w:tl2br w:val="nil"/>
              <w:tr2bl w:val="nil"/>
            </w:tcBorders>
            <w:noWrap w:val="0"/>
            <w:vAlign w:val="center"/>
          </w:tcPr>
          <w:p w14:paraId="7681AD38">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50</w:t>
            </w:r>
          </w:p>
        </w:tc>
        <w:tc>
          <w:tcPr>
            <w:tcW w:w="1803" w:type="dxa"/>
            <w:tcBorders>
              <w:tl2br w:val="nil"/>
              <w:tr2bl w:val="nil"/>
            </w:tcBorders>
            <w:noWrap w:val="0"/>
            <w:vAlign w:val="center"/>
          </w:tcPr>
          <w:p w14:paraId="5CE366A3">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7A46F318">
            <w:pPr>
              <w:pStyle w:val="25"/>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6E853211">
            <w:pPr>
              <w:pStyle w:val="25"/>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r>
    </w:tbl>
    <w:p w14:paraId="3CA9686F">
      <w:pPr>
        <w:pStyle w:val="21"/>
        <w:numPr>
          <w:ilvl w:val="0"/>
          <w:numId w:val="4"/>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w:t>
      </w:r>
      <w:r>
        <w:rPr>
          <w:rFonts w:hint="default" w:ascii="Times New Roman" w:hAnsi="Times New Roman" w:cs="Times New Roman"/>
          <w:color w:val="auto"/>
          <w:u w:val="none" w:color="auto"/>
          <w:lang w:eastAsia="zh-CN"/>
        </w:rPr>
        <w:t>表</w:t>
      </w:r>
      <w:r>
        <w:rPr>
          <w:rFonts w:hint="default" w:ascii="Times New Roman" w:hAnsi="Times New Roman" w:cs="Times New Roman"/>
          <w:color w:val="auto"/>
          <w:u w:val="none" w:color="auto"/>
        </w:rPr>
        <w:t>水环境：</w:t>
      </w:r>
      <w:r>
        <w:rPr>
          <w:color w:val="auto"/>
          <w:u w:val="none" w:color="auto"/>
        </w:rPr>
        <w:t>本项目纳污水体为</w:t>
      </w:r>
      <w:r>
        <w:rPr>
          <w:rFonts w:hint="eastAsia"/>
          <w:color w:val="auto"/>
          <w:u w:val="none" w:color="auto"/>
          <w:lang w:val="en-US" w:eastAsia="zh-CN"/>
        </w:rPr>
        <w:t>白沙河</w:t>
      </w:r>
      <w:r>
        <w:rPr>
          <w:rFonts w:hint="eastAsia"/>
          <w:color w:val="auto"/>
          <w:u w:val="none" w:color="auto"/>
          <w:lang w:eastAsia="zh-CN"/>
        </w:rPr>
        <w:t>，</w:t>
      </w:r>
      <w:r>
        <w:rPr>
          <w:rFonts w:hint="eastAsia"/>
          <w:color w:val="auto"/>
          <w:u w:val="none" w:color="auto"/>
        </w:rPr>
        <w:t>根据《湖南省主要地表水系水环境功能区划》（DB43/023-2005），</w:t>
      </w:r>
      <w:r>
        <w:rPr>
          <w:rFonts w:hint="eastAsia"/>
          <w:color w:val="auto"/>
          <w:u w:val="none" w:color="auto"/>
          <w:lang w:val="en-US" w:eastAsia="zh-CN"/>
        </w:rPr>
        <w:t>白沙河</w:t>
      </w:r>
      <w:r>
        <w:rPr>
          <w:rFonts w:hint="eastAsia"/>
          <w:color w:val="auto"/>
          <w:u w:val="none" w:color="auto"/>
        </w:rPr>
        <w:t>地表水环境质量执行《地表水环境质量标准》(GB3838-2002)中</w:t>
      </w:r>
      <w:r>
        <w:rPr>
          <w:rFonts w:hint="default" w:ascii="Times New Roman" w:hAnsi="Times New Roman" w:cs="Times New Roman"/>
          <w:color w:val="auto"/>
          <w:u w:val="none" w:color="auto"/>
        </w:rPr>
        <w:t>Ⅲ</w:t>
      </w:r>
      <w:r>
        <w:rPr>
          <w:rFonts w:hint="eastAsia"/>
          <w:color w:val="auto"/>
          <w:u w:val="none" w:color="auto"/>
        </w:rPr>
        <w:t>类。</w:t>
      </w:r>
    </w:p>
    <w:p w14:paraId="260813F6">
      <w:pPr>
        <w:pStyle w:val="23"/>
        <w:bidi w:val="0"/>
        <w:rPr>
          <w:rFonts w:hint="eastAsia" w:eastAsia="宋体"/>
          <w:color w:val="auto"/>
          <w:u w:val="none" w:color="auto"/>
          <w:lang w:eastAsia="zh-CN"/>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5</w:t>
      </w:r>
      <w:r>
        <w:rPr>
          <w:rFonts w:hint="default"/>
          <w:color w:val="auto"/>
          <w:u w:val="none" w:color="auto"/>
        </w:rPr>
        <w:t xml:space="preserve"> 地表水环境质量标准</w:t>
      </w:r>
      <w:bookmarkStart w:id="414" w:name="_Toc293492841"/>
    </w:p>
    <w:bookmarkEnd w:id="414"/>
    <w:tbl>
      <w:tblPr>
        <w:tblStyle w:val="16"/>
        <w:tblW w:w="50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9"/>
        <w:gridCol w:w="1981"/>
        <w:gridCol w:w="1541"/>
        <w:gridCol w:w="3575"/>
      </w:tblGrid>
      <w:tr w14:paraId="2EF5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17B33DB6">
            <w:pPr>
              <w:pStyle w:val="25"/>
              <w:rPr>
                <w:rFonts w:hint="default" w:ascii="Times New Roman" w:hAnsi="Times New Roman" w:cs="Times New Roman"/>
                <w:b/>
                <w:bCs/>
                <w:color w:val="auto"/>
                <w:kern w:val="2"/>
                <w:szCs w:val="24"/>
                <w:highlight w:val="none"/>
                <w:u w:val="none" w:color="auto"/>
                <w:lang w:val="en-US" w:eastAsia="zh-CN"/>
              </w:rPr>
            </w:pPr>
            <w:r>
              <w:rPr>
                <w:rFonts w:hint="default" w:ascii="Times New Roman" w:hAnsi="Times New Roman" w:cs="Times New Roman"/>
                <w:b/>
                <w:bCs/>
                <w:color w:val="auto"/>
                <w:kern w:val="2"/>
                <w:szCs w:val="24"/>
                <w:highlight w:val="none"/>
                <w:u w:val="none" w:color="auto"/>
                <w:lang w:val="en-US" w:eastAsia="zh-CN"/>
              </w:rPr>
              <w:t>序号</w:t>
            </w:r>
          </w:p>
        </w:tc>
        <w:tc>
          <w:tcPr>
            <w:tcW w:w="1974" w:type="dxa"/>
            <w:noWrap w:val="0"/>
            <w:vAlign w:val="center"/>
          </w:tcPr>
          <w:p w14:paraId="2822997E">
            <w:pPr>
              <w:pStyle w:val="25"/>
              <w:rPr>
                <w:rFonts w:hint="default" w:ascii="Times New Roman" w:hAnsi="Times New Roman" w:cs="Times New Roman"/>
                <w:b/>
                <w:bCs/>
                <w:color w:val="auto"/>
                <w:kern w:val="2"/>
                <w:szCs w:val="24"/>
                <w:highlight w:val="none"/>
                <w:u w:val="none" w:color="auto"/>
                <w:lang w:val="en-US" w:eastAsia="zh-CN"/>
              </w:rPr>
            </w:pPr>
            <w:r>
              <w:rPr>
                <w:rFonts w:hint="default" w:ascii="Times New Roman" w:hAnsi="Times New Roman" w:cs="Times New Roman"/>
                <w:b/>
                <w:bCs/>
                <w:color w:val="auto"/>
                <w:kern w:val="2"/>
                <w:szCs w:val="24"/>
                <w:highlight w:val="none"/>
                <w:u w:val="none" w:color="auto"/>
                <w:lang w:val="en-US" w:eastAsia="zh-CN"/>
              </w:rPr>
              <w:t>项目</w:t>
            </w:r>
          </w:p>
        </w:tc>
        <w:tc>
          <w:tcPr>
            <w:tcW w:w="1536" w:type="dxa"/>
            <w:noWrap w:val="0"/>
            <w:vAlign w:val="center"/>
          </w:tcPr>
          <w:p w14:paraId="5C0F73A5">
            <w:pPr>
              <w:pStyle w:val="25"/>
              <w:rPr>
                <w:rFonts w:hint="default" w:ascii="Times New Roman" w:hAnsi="Times New Roman" w:cs="Times New Roman"/>
                <w:b/>
                <w:bCs/>
                <w:color w:val="auto"/>
                <w:kern w:val="2"/>
                <w:szCs w:val="24"/>
                <w:highlight w:val="none"/>
                <w:u w:val="none" w:color="auto"/>
                <w:lang w:val="en-US" w:eastAsia="zh-CN"/>
              </w:rPr>
            </w:pPr>
            <w:r>
              <w:rPr>
                <w:rFonts w:hint="eastAsia" w:ascii="Times New Roman" w:hAnsi="Times New Roman" w:cs="Times New Roman"/>
                <w:b/>
                <w:bCs/>
                <w:color w:val="auto"/>
                <w:kern w:val="2"/>
                <w:szCs w:val="24"/>
                <w:highlight w:val="none"/>
                <w:u w:val="none" w:color="auto"/>
                <w:lang w:val="en-US" w:eastAsia="zh-CN"/>
              </w:rPr>
              <w:t>单位</w:t>
            </w:r>
          </w:p>
        </w:tc>
        <w:tc>
          <w:tcPr>
            <w:tcW w:w="3562" w:type="dxa"/>
            <w:noWrap w:val="0"/>
            <w:vAlign w:val="center"/>
          </w:tcPr>
          <w:p w14:paraId="7B7000BC">
            <w:pPr>
              <w:pStyle w:val="25"/>
              <w:rPr>
                <w:rFonts w:hint="default" w:ascii="Times New Roman" w:hAnsi="Times New Roman" w:cs="Times New Roman"/>
                <w:b/>
                <w:bCs/>
                <w:color w:val="auto"/>
                <w:kern w:val="2"/>
                <w:szCs w:val="24"/>
                <w:highlight w:val="none"/>
                <w:u w:val="none" w:color="auto"/>
                <w:lang w:val="en-US" w:eastAsia="zh-CN"/>
              </w:rPr>
            </w:pPr>
            <w:r>
              <w:rPr>
                <w:rFonts w:hint="eastAsia"/>
                <w:b/>
                <w:bCs/>
                <w:color w:val="auto"/>
                <w:u w:val="none" w:color="auto"/>
              </w:rPr>
              <w:t>（GB3838-2002）中Ⅲ类标准</w:t>
            </w:r>
          </w:p>
        </w:tc>
      </w:tr>
      <w:tr w14:paraId="4B10E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297F196">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1</w:t>
            </w:r>
          </w:p>
        </w:tc>
        <w:tc>
          <w:tcPr>
            <w:tcW w:w="1974" w:type="dxa"/>
            <w:noWrap w:val="0"/>
            <w:vAlign w:val="center"/>
          </w:tcPr>
          <w:p w14:paraId="68D9A23D">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color w:val="auto"/>
                <w:u w:val="none" w:color="auto"/>
              </w:rPr>
              <w:t>pH</w:t>
            </w:r>
          </w:p>
        </w:tc>
        <w:tc>
          <w:tcPr>
            <w:tcW w:w="1536" w:type="dxa"/>
            <w:noWrap w:val="0"/>
            <w:vAlign w:val="center"/>
          </w:tcPr>
          <w:p w14:paraId="01029026">
            <w:pPr>
              <w:pStyle w:val="32"/>
              <w:bidi w:val="0"/>
              <w:rPr>
                <w:rFonts w:hint="eastAsia" w:eastAsia="宋体"/>
                <w:color w:val="auto"/>
                <w:u w:val="none" w:color="auto"/>
                <w:lang w:val="en-US" w:eastAsia="zh-CN"/>
              </w:rPr>
            </w:pPr>
            <w:r>
              <w:rPr>
                <w:rFonts w:hint="eastAsia"/>
                <w:color w:val="auto"/>
                <w:u w:val="none" w:color="auto"/>
                <w:lang w:val="en-US" w:eastAsia="zh-CN"/>
              </w:rPr>
              <w:t>无量纲</w:t>
            </w:r>
          </w:p>
        </w:tc>
        <w:tc>
          <w:tcPr>
            <w:tcW w:w="3562" w:type="dxa"/>
            <w:noWrap w:val="0"/>
            <w:vAlign w:val="center"/>
          </w:tcPr>
          <w:p w14:paraId="41EC130B">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color w:val="auto"/>
                <w:u w:val="none" w:color="auto"/>
              </w:rPr>
              <w:t>6~9</w:t>
            </w:r>
          </w:p>
        </w:tc>
      </w:tr>
      <w:tr w14:paraId="008C7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4DE8C9C">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2</w:t>
            </w:r>
          </w:p>
        </w:tc>
        <w:tc>
          <w:tcPr>
            <w:tcW w:w="1974" w:type="dxa"/>
            <w:noWrap w:val="0"/>
            <w:vAlign w:val="center"/>
          </w:tcPr>
          <w:p w14:paraId="6D60817D">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溶解氧</w:t>
            </w:r>
          </w:p>
        </w:tc>
        <w:tc>
          <w:tcPr>
            <w:tcW w:w="1536" w:type="dxa"/>
            <w:noWrap w:val="0"/>
            <w:vAlign w:val="center"/>
          </w:tcPr>
          <w:p w14:paraId="6017795F">
            <w:pPr>
              <w:pStyle w:val="32"/>
              <w:bidi w:val="0"/>
              <w:rPr>
                <w:rFonts w:hint="eastAsia" w:eastAsia="宋体"/>
                <w:color w:val="auto"/>
                <w:u w:val="none" w:color="auto"/>
                <w:lang w:val="en-US" w:eastAsia="zh-CN"/>
              </w:rPr>
            </w:pPr>
            <w:r>
              <w:rPr>
                <w:rFonts w:hint="eastAsia"/>
                <w:color w:val="auto"/>
                <w:u w:val="none" w:color="auto"/>
                <w:lang w:val="en-US" w:eastAsia="zh-CN"/>
              </w:rPr>
              <w:t>mg/L</w:t>
            </w:r>
          </w:p>
        </w:tc>
        <w:tc>
          <w:tcPr>
            <w:tcW w:w="3562" w:type="dxa"/>
            <w:noWrap w:val="0"/>
            <w:vAlign w:val="center"/>
          </w:tcPr>
          <w:p w14:paraId="3D3A034A">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≥5</w:t>
            </w:r>
          </w:p>
        </w:tc>
      </w:tr>
      <w:tr w14:paraId="21C03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7C7129D">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3</w:t>
            </w:r>
          </w:p>
        </w:tc>
        <w:tc>
          <w:tcPr>
            <w:tcW w:w="1974" w:type="dxa"/>
            <w:noWrap w:val="0"/>
            <w:vAlign w:val="center"/>
          </w:tcPr>
          <w:p w14:paraId="0818515B">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总氮</w:t>
            </w:r>
          </w:p>
        </w:tc>
        <w:tc>
          <w:tcPr>
            <w:tcW w:w="1536" w:type="dxa"/>
            <w:noWrap w:val="0"/>
            <w:vAlign w:val="center"/>
          </w:tcPr>
          <w:p w14:paraId="50BC5AC9">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32E71A65">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1EAD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12B15886">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4</w:t>
            </w:r>
          </w:p>
        </w:tc>
        <w:tc>
          <w:tcPr>
            <w:tcW w:w="1974" w:type="dxa"/>
            <w:noWrap w:val="0"/>
            <w:vAlign w:val="center"/>
          </w:tcPr>
          <w:p w14:paraId="58E4F905">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CODcr</w:t>
            </w:r>
          </w:p>
        </w:tc>
        <w:tc>
          <w:tcPr>
            <w:tcW w:w="1536" w:type="dxa"/>
            <w:noWrap w:val="0"/>
            <w:vAlign w:val="center"/>
          </w:tcPr>
          <w:p w14:paraId="4FBAD185">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155EC2D4">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≤20</w:t>
            </w:r>
          </w:p>
        </w:tc>
      </w:tr>
      <w:tr w14:paraId="7755B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9D356BB">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5</w:t>
            </w:r>
          </w:p>
        </w:tc>
        <w:tc>
          <w:tcPr>
            <w:tcW w:w="1974" w:type="dxa"/>
            <w:noWrap w:val="0"/>
            <w:vAlign w:val="center"/>
          </w:tcPr>
          <w:p w14:paraId="4D4D4D05">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BOD</w:t>
            </w:r>
            <w:r>
              <w:rPr>
                <w:rFonts w:hint="eastAsia" w:cs="Times New Roman"/>
                <w:color w:val="auto"/>
                <w:kern w:val="2"/>
                <w:sz w:val="21"/>
                <w:szCs w:val="24"/>
                <w:highlight w:val="none"/>
                <w:u w:val="none" w:color="auto"/>
                <w:vertAlign w:val="subscript"/>
                <w:lang w:val="en-US" w:eastAsia="zh-CN" w:bidi="ar-SA"/>
              </w:rPr>
              <w:t>5</w:t>
            </w:r>
          </w:p>
        </w:tc>
        <w:tc>
          <w:tcPr>
            <w:tcW w:w="1536" w:type="dxa"/>
            <w:noWrap w:val="0"/>
            <w:vAlign w:val="center"/>
          </w:tcPr>
          <w:p w14:paraId="67C49057">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4111A00E">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≤4</w:t>
            </w:r>
          </w:p>
        </w:tc>
      </w:tr>
      <w:tr w14:paraId="762DB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DBDDF56">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6</w:t>
            </w:r>
          </w:p>
        </w:tc>
        <w:tc>
          <w:tcPr>
            <w:tcW w:w="1974" w:type="dxa"/>
            <w:noWrap w:val="0"/>
            <w:vAlign w:val="center"/>
          </w:tcPr>
          <w:p w14:paraId="0C60D61F">
            <w:pPr>
              <w:pStyle w:val="32"/>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氨氮</w:t>
            </w:r>
          </w:p>
        </w:tc>
        <w:tc>
          <w:tcPr>
            <w:tcW w:w="1536" w:type="dxa"/>
            <w:noWrap w:val="0"/>
            <w:vAlign w:val="center"/>
          </w:tcPr>
          <w:p w14:paraId="0991C9A3">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6DFE5F9E">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3BCF8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A4AE31A">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7</w:t>
            </w:r>
          </w:p>
        </w:tc>
        <w:tc>
          <w:tcPr>
            <w:tcW w:w="1974" w:type="dxa"/>
            <w:noWrap w:val="0"/>
            <w:vAlign w:val="center"/>
          </w:tcPr>
          <w:p w14:paraId="24FD21EE">
            <w:pPr>
              <w:pStyle w:val="32"/>
              <w:bidi w:val="0"/>
              <w:rPr>
                <w:rFonts w:hint="eastAsia" w:eastAsia="宋体"/>
                <w:color w:val="auto"/>
                <w:u w:val="none" w:color="auto"/>
                <w:lang w:val="en-US" w:eastAsia="zh-CN"/>
              </w:rPr>
            </w:pPr>
            <w:r>
              <w:rPr>
                <w:rFonts w:hint="eastAsia"/>
                <w:color w:val="auto"/>
                <w:u w:val="none" w:color="auto"/>
                <w:lang w:val="en-US" w:eastAsia="zh-CN"/>
              </w:rPr>
              <w:t>石油类</w:t>
            </w:r>
          </w:p>
        </w:tc>
        <w:tc>
          <w:tcPr>
            <w:tcW w:w="1536" w:type="dxa"/>
            <w:noWrap w:val="0"/>
            <w:vAlign w:val="center"/>
          </w:tcPr>
          <w:p w14:paraId="0CEE82FC">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1FA35F1B">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43308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B7C6FF9">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8</w:t>
            </w:r>
          </w:p>
        </w:tc>
        <w:tc>
          <w:tcPr>
            <w:tcW w:w="1974" w:type="dxa"/>
            <w:noWrap w:val="0"/>
            <w:vAlign w:val="center"/>
          </w:tcPr>
          <w:p w14:paraId="6D13BE21">
            <w:pPr>
              <w:pStyle w:val="32"/>
              <w:bidi w:val="0"/>
              <w:rPr>
                <w:rFonts w:hint="eastAsia" w:eastAsia="宋体"/>
                <w:color w:val="auto"/>
                <w:u w:val="none" w:color="auto"/>
                <w:lang w:val="en-US" w:eastAsia="zh-CN"/>
              </w:rPr>
            </w:pPr>
            <w:r>
              <w:rPr>
                <w:rFonts w:hint="eastAsia"/>
                <w:color w:val="auto"/>
                <w:u w:val="none" w:color="auto"/>
                <w:lang w:val="en-US" w:eastAsia="zh-CN"/>
              </w:rPr>
              <w:t>总磷</w:t>
            </w:r>
          </w:p>
        </w:tc>
        <w:tc>
          <w:tcPr>
            <w:tcW w:w="1536" w:type="dxa"/>
            <w:noWrap w:val="0"/>
            <w:vAlign w:val="center"/>
          </w:tcPr>
          <w:p w14:paraId="6E06F1D0">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4BB7914E">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≤0.2</w:t>
            </w:r>
          </w:p>
        </w:tc>
      </w:tr>
      <w:tr w14:paraId="661C4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1EFD1F0">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9</w:t>
            </w:r>
          </w:p>
        </w:tc>
        <w:tc>
          <w:tcPr>
            <w:tcW w:w="1974" w:type="dxa"/>
            <w:noWrap w:val="0"/>
            <w:vAlign w:val="center"/>
          </w:tcPr>
          <w:p w14:paraId="3DA8493B">
            <w:pPr>
              <w:pStyle w:val="32"/>
              <w:bidi w:val="0"/>
              <w:rPr>
                <w:rFonts w:hint="eastAsia" w:eastAsia="宋体"/>
                <w:color w:val="auto"/>
                <w:u w:val="none" w:color="auto"/>
                <w:lang w:val="en-US" w:eastAsia="zh-CN"/>
              </w:rPr>
            </w:pPr>
            <w:r>
              <w:rPr>
                <w:rFonts w:hint="eastAsia"/>
                <w:color w:val="auto"/>
                <w:u w:val="none" w:color="auto"/>
                <w:lang w:val="en-US" w:eastAsia="zh-CN"/>
              </w:rPr>
              <w:t>铜</w:t>
            </w:r>
          </w:p>
        </w:tc>
        <w:tc>
          <w:tcPr>
            <w:tcW w:w="1536" w:type="dxa"/>
            <w:noWrap w:val="0"/>
            <w:vAlign w:val="center"/>
          </w:tcPr>
          <w:p w14:paraId="68D395E8">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6F6C0AD6">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38161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0BB00751">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10</w:t>
            </w:r>
          </w:p>
        </w:tc>
        <w:tc>
          <w:tcPr>
            <w:tcW w:w="1974" w:type="dxa"/>
            <w:noWrap w:val="0"/>
            <w:vAlign w:val="center"/>
          </w:tcPr>
          <w:p w14:paraId="41A6C77A">
            <w:pPr>
              <w:pStyle w:val="32"/>
              <w:bidi w:val="0"/>
              <w:rPr>
                <w:rFonts w:hint="eastAsia" w:eastAsia="宋体"/>
                <w:color w:val="auto"/>
                <w:u w:val="none" w:color="auto"/>
                <w:lang w:val="en-US" w:eastAsia="zh-CN"/>
              </w:rPr>
            </w:pPr>
            <w:r>
              <w:rPr>
                <w:rFonts w:hint="eastAsia"/>
                <w:color w:val="auto"/>
                <w:u w:val="none" w:color="auto"/>
                <w:lang w:val="en-US" w:eastAsia="zh-CN"/>
              </w:rPr>
              <w:t>铅</w:t>
            </w:r>
          </w:p>
        </w:tc>
        <w:tc>
          <w:tcPr>
            <w:tcW w:w="1536" w:type="dxa"/>
            <w:noWrap w:val="0"/>
            <w:vAlign w:val="center"/>
          </w:tcPr>
          <w:p w14:paraId="48B8866E">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13346C8E">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59E3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2468EB7">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11</w:t>
            </w:r>
          </w:p>
        </w:tc>
        <w:tc>
          <w:tcPr>
            <w:tcW w:w="1974" w:type="dxa"/>
            <w:noWrap w:val="0"/>
            <w:vAlign w:val="center"/>
          </w:tcPr>
          <w:p w14:paraId="2F36FE3E">
            <w:pPr>
              <w:pStyle w:val="32"/>
              <w:bidi w:val="0"/>
              <w:rPr>
                <w:rFonts w:hint="eastAsia" w:eastAsia="宋体"/>
                <w:color w:val="auto"/>
                <w:u w:val="none" w:color="auto"/>
                <w:lang w:val="en-US" w:eastAsia="zh-CN"/>
              </w:rPr>
            </w:pPr>
            <w:r>
              <w:rPr>
                <w:rFonts w:hint="eastAsia"/>
                <w:color w:val="auto"/>
                <w:u w:val="none" w:color="auto"/>
                <w:lang w:val="en-US" w:eastAsia="zh-CN"/>
              </w:rPr>
              <w:t>镉</w:t>
            </w:r>
          </w:p>
        </w:tc>
        <w:tc>
          <w:tcPr>
            <w:tcW w:w="1536" w:type="dxa"/>
            <w:noWrap w:val="0"/>
            <w:vAlign w:val="center"/>
          </w:tcPr>
          <w:p w14:paraId="62551BF2">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621A4F59">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≤0.005</w:t>
            </w:r>
          </w:p>
        </w:tc>
      </w:tr>
      <w:tr w14:paraId="24679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613522E">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12</w:t>
            </w:r>
          </w:p>
        </w:tc>
        <w:tc>
          <w:tcPr>
            <w:tcW w:w="1974" w:type="dxa"/>
            <w:noWrap w:val="0"/>
            <w:vAlign w:val="center"/>
          </w:tcPr>
          <w:p w14:paraId="025518E0">
            <w:pPr>
              <w:pStyle w:val="32"/>
              <w:bidi w:val="0"/>
              <w:rPr>
                <w:rFonts w:hint="eastAsia" w:eastAsia="宋体"/>
                <w:color w:val="auto"/>
                <w:u w:val="none" w:color="auto"/>
                <w:lang w:val="en-US" w:eastAsia="zh-CN"/>
              </w:rPr>
            </w:pPr>
            <w:r>
              <w:rPr>
                <w:rFonts w:hint="eastAsia"/>
                <w:color w:val="auto"/>
                <w:u w:val="none" w:color="auto"/>
                <w:lang w:val="en-US" w:eastAsia="zh-CN"/>
              </w:rPr>
              <w:t>砷</w:t>
            </w:r>
          </w:p>
        </w:tc>
        <w:tc>
          <w:tcPr>
            <w:tcW w:w="1536" w:type="dxa"/>
            <w:noWrap w:val="0"/>
            <w:vAlign w:val="center"/>
          </w:tcPr>
          <w:p w14:paraId="7B812925">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210BFA81">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30D90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9A1F67C">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13</w:t>
            </w:r>
          </w:p>
        </w:tc>
        <w:tc>
          <w:tcPr>
            <w:tcW w:w="1974" w:type="dxa"/>
            <w:noWrap w:val="0"/>
            <w:vAlign w:val="center"/>
          </w:tcPr>
          <w:p w14:paraId="777242FE">
            <w:pPr>
              <w:pStyle w:val="32"/>
              <w:bidi w:val="0"/>
              <w:rPr>
                <w:rFonts w:hint="eastAsia" w:eastAsia="宋体"/>
                <w:color w:val="auto"/>
                <w:u w:val="none" w:color="auto"/>
                <w:lang w:val="en-US" w:eastAsia="zh-CN"/>
              </w:rPr>
            </w:pPr>
            <w:r>
              <w:rPr>
                <w:rFonts w:hint="eastAsia"/>
                <w:color w:val="auto"/>
                <w:u w:val="none" w:color="auto"/>
                <w:lang w:val="en-US" w:eastAsia="zh-CN"/>
              </w:rPr>
              <w:t>汞</w:t>
            </w:r>
          </w:p>
        </w:tc>
        <w:tc>
          <w:tcPr>
            <w:tcW w:w="1536" w:type="dxa"/>
            <w:noWrap w:val="0"/>
            <w:vAlign w:val="center"/>
          </w:tcPr>
          <w:p w14:paraId="1E2499BF">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7F6E18A8">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≤0.0001</w:t>
            </w:r>
          </w:p>
        </w:tc>
      </w:tr>
      <w:tr w14:paraId="1D0AD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BDB037A">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14</w:t>
            </w:r>
          </w:p>
        </w:tc>
        <w:tc>
          <w:tcPr>
            <w:tcW w:w="1974" w:type="dxa"/>
            <w:noWrap w:val="0"/>
            <w:vAlign w:val="center"/>
          </w:tcPr>
          <w:p w14:paraId="4E71B303">
            <w:pPr>
              <w:pStyle w:val="32"/>
              <w:bidi w:val="0"/>
              <w:rPr>
                <w:rFonts w:hint="default" w:eastAsia="宋体"/>
                <w:color w:val="auto"/>
                <w:u w:val="none" w:color="auto"/>
                <w:lang w:val="en-US" w:eastAsia="zh-CN"/>
              </w:rPr>
            </w:pPr>
            <w:r>
              <w:rPr>
                <w:rFonts w:hint="eastAsia"/>
                <w:color w:val="auto"/>
                <w:u w:val="none" w:color="auto"/>
                <w:lang w:val="en-US" w:eastAsia="zh-CN"/>
              </w:rPr>
              <w:t>镍</w:t>
            </w:r>
          </w:p>
        </w:tc>
        <w:tc>
          <w:tcPr>
            <w:tcW w:w="1536" w:type="dxa"/>
            <w:noWrap w:val="0"/>
            <w:vAlign w:val="center"/>
          </w:tcPr>
          <w:p w14:paraId="0BFAD2D2">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56C8469F">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≤0.02</w:t>
            </w:r>
          </w:p>
        </w:tc>
      </w:tr>
      <w:tr w14:paraId="77411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EF3BF2B">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15</w:t>
            </w:r>
          </w:p>
        </w:tc>
        <w:tc>
          <w:tcPr>
            <w:tcW w:w="1974" w:type="dxa"/>
            <w:noWrap w:val="0"/>
            <w:vAlign w:val="center"/>
          </w:tcPr>
          <w:p w14:paraId="298D0969">
            <w:pPr>
              <w:pStyle w:val="32"/>
              <w:bidi w:val="0"/>
              <w:rPr>
                <w:rFonts w:hint="eastAsia" w:eastAsia="宋体"/>
                <w:color w:val="auto"/>
                <w:u w:val="none" w:color="auto"/>
                <w:lang w:val="en-US" w:eastAsia="zh-CN"/>
              </w:rPr>
            </w:pPr>
            <w:r>
              <w:rPr>
                <w:rFonts w:hint="eastAsia"/>
                <w:color w:val="auto"/>
                <w:u w:val="none" w:color="auto"/>
                <w:lang w:val="en-US" w:eastAsia="zh-CN"/>
              </w:rPr>
              <w:t>六价铬</w:t>
            </w:r>
          </w:p>
        </w:tc>
        <w:tc>
          <w:tcPr>
            <w:tcW w:w="1536" w:type="dxa"/>
            <w:noWrap w:val="0"/>
            <w:vAlign w:val="center"/>
          </w:tcPr>
          <w:p w14:paraId="2D64EA07">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75D2E54D">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51875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5BDB316">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16</w:t>
            </w:r>
          </w:p>
        </w:tc>
        <w:tc>
          <w:tcPr>
            <w:tcW w:w="1974" w:type="dxa"/>
            <w:noWrap w:val="0"/>
            <w:vAlign w:val="center"/>
          </w:tcPr>
          <w:p w14:paraId="3C896CE9">
            <w:pPr>
              <w:pStyle w:val="32"/>
              <w:bidi w:val="0"/>
              <w:rPr>
                <w:rFonts w:hint="eastAsia" w:eastAsia="宋体"/>
                <w:color w:val="auto"/>
                <w:u w:val="none" w:color="auto"/>
                <w:lang w:val="en-US" w:eastAsia="zh-CN"/>
              </w:rPr>
            </w:pPr>
            <w:r>
              <w:rPr>
                <w:rFonts w:hint="eastAsia"/>
                <w:color w:val="auto"/>
                <w:u w:val="none" w:color="auto"/>
                <w:lang w:val="en-US" w:eastAsia="zh-CN"/>
              </w:rPr>
              <w:t>锌</w:t>
            </w:r>
          </w:p>
        </w:tc>
        <w:tc>
          <w:tcPr>
            <w:tcW w:w="1536" w:type="dxa"/>
            <w:noWrap w:val="0"/>
            <w:vAlign w:val="center"/>
          </w:tcPr>
          <w:p w14:paraId="7D0118A9">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47D112B2">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3D3DF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A2BCCEC">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17</w:t>
            </w:r>
          </w:p>
        </w:tc>
        <w:tc>
          <w:tcPr>
            <w:tcW w:w="1974" w:type="dxa"/>
            <w:noWrap w:val="0"/>
            <w:vAlign w:val="center"/>
          </w:tcPr>
          <w:p w14:paraId="41C86C87">
            <w:pPr>
              <w:pStyle w:val="32"/>
              <w:bidi w:val="0"/>
              <w:rPr>
                <w:rFonts w:hint="eastAsia" w:eastAsia="宋体"/>
                <w:color w:val="auto"/>
                <w:u w:val="none" w:color="auto"/>
                <w:lang w:val="en-US" w:eastAsia="zh-CN"/>
              </w:rPr>
            </w:pPr>
            <w:r>
              <w:rPr>
                <w:rFonts w:hint="eastAsia"/>
                <w:color w:val="auto"/>
                <w:u w:val="none" w:color="auto"/>
                <w:lang w:val="en-US" w:eastAsia="zh-CN"/>
              </w:rPr>
              <w:t>钴</w:t>
            </w:r>
          </w:p>
        </w:tc>
        <w:tc>
          <w:tcPr>
            <w:tcW w:w="1536" w:type="dxa"/>
            <w:noWrap w:val="0"/>
            <w:vAlign w:val="center"/>
          </w:tcPr>
          <w:p w14:paraId="478A5753">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4355EBBD">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35E7A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099B3E2E">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18</w:t>
            </w:r>
          </w:p>
        </w:tc>
        <w:tc>
          <w:tcPr>
            <w:tcW w:w="1974" w:type="dxa"/>
            <w:noWrap w:val="0"/>
            <w:vAlign w:val="center"/>
          </w:tcPr>
          <w:p w14:paraId="56A15F1D">
            <w:pPr>
              <w:pStyle w:val="32"/>
              <w:bidi w:val="0"/>
              <w:rPr>
                <w:rFonts w:hint="eastAsia" w:eastAsia="宋体"/>
                <w:color w:val="auto"/>
                <w:u w:val="none" w:color="auto"/>
                <w:lang w:val="en-US" w:eastAsia="zh-CN"/>
              </w:rPr>
            </w:pPr>
            <w:r>
              <w:rPr>
                <w:rFonts w:hint="eastAsia"/>
                <w:color w:val="auto"/>
                <w:u w:val="none" w:color="auto"/>
                <w:lang w:val="en-US" w:eastAsia="zh-CN"/>
              </w:rPr>
              <w:t>锰</w:t>
            </w:r>
          </w:p>
        </w:tc>
        <w:tc>
          <w:tcPr>
            <w:tcW w:w="1536" w:type="dxa"/>
            <w:noWrap w:val="0"/>
            <w:vAlign w:val="center"/>
          </w:tcPr>
          <w:p w14:paraId="4F16989F">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1924F515">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≤0.1</w:t>
            </w:r>
          </w:p>
        </w:tc>
      </w:tr>
      <w:tr w14:paraId="171B3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D577C3A">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19</w:t>
            </w:r>
          </w:p>
        </w:tc>
        <w:tc>
          <w:tcPr>
            <w:tcW w:w="1974" w:type="dxa"/>
            <w:noWrap w:val="0"/>
            <w:vAlign w:val="center"/>
          </w:tcPr>
          <w:p w14:paraId="16D356CA">
            <w:pPr>
              <w:pStyle w:val="32"/>
              <w:bidi w:val="0"/>
              <w:rPr>
                <w:rFonts w:hint="eastAsia" w:eastAsia="宋体"/>
                <w:color w:val="auto"/>
                <w:u w:val="none" w:color="auto"/>
                <w:lang w:val="en-US" w:eastAsia="zh-CN"/>
              </w:rPr>
            </w:pPr>
            <w:r>
              <w:rPr>
                <w:rFonts w:hint="eastAsia"/>
                <w:color w:val="auto"/>
                <w:u w:val="none" w:color="auto"/>
                <w:lang w:val="en-US" w:eastAsia="zh-CN"/>
              </w:rPr>
              <w:t>锑</w:t>
            </w:r>
          </w:p>
        </w:tc>
        <w:tc>
          <w:tcPr>
            <w:tcW w:w="1536" w:type="dxa"/>
            <w:noWrap w:val="0"/>
            <w:vAlign w:val="center"/>
          </w:tcPr>
          <w:p w14:paraId="5AD95D3F">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7C4D4C0B">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≤0.005</w:t>
            </w:r>
          </w:p>
        </w:tc>
      </w:tr>
      <w:tr w14:paraId="14824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041C2E5B">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20</w:t>
            </w:r>
          </w:p>
        </w:tc>
        <w:tc>
          <w:tcPr>
            <w:tcW w:w="1974" w:type="dxa"/>
            <w:noWrap w:val="0"/>
            <w:vAlign w:val="center"/>
          </w:tcPr>
          <w:p w14:paraId="2758B259">
            <w:pPr>
              <w:pStyle w:val="32"/>
              <w:bidi w:val="0"/>
              <w:rPr>
                <w:rFonts w:hint="eastAsia" w:eastAsia="宋体"/>
                <w:color w:val="auto"/>
                <w:u w:val="none" w:color="auto"/>
                <w:lang w:val="en-US" w:eastAsia="zh-CN"/>
              </w:rPr>
            </w:pPr>
            <w:r>
              <w:rPr>
                <w:rFonts w:hint="eastAsia"/>
                <w:color w:val="auto"/>
                <w:u w:val="none" w:color="auto"/>
                <w:lang w:val="en-US" w:eastAsia="zh-CN"/>
              </w:rPr>
              <w:t>铊</w:t>
            </w:r>
          </w:p>
        </w:tc>
        <w:tc>
          <w:tcPr>
            <w:tcW w:w="1536" w:type="dxa"/>
            <w:noWrap w:val="0"/>
            <w:vAlign w:val="center"/>
          </w:tcPr>
          <w:p w14:paraId="42033F6C">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09F28A51">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≤0.0001</w:t>
            </w:r>
          </w:p>
        </w:tc>
      </w:tr>
      <w:tr w14:paraId="4929E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002F76E7">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21</w:t>
            </w:r>
          </w:p>
        </w:tc>
        <w:tc>
          <w:tcPr>
            <w:tcW w:w="1974" w:type="dxa"/>
            <w:noWrap w:val="0"/>
            <w:vAlign w:val="center"/>
          </w:tcPr>
          <w:p w14:paraId="48BF6482">
            <w:pPr>
              <w:pStyle w:val="32"/>
              <w:bidi w:val="0"/>
              <w:rPr>
                <w:rFonts w:hint="default" w:eastAsia="宋体"/>
                <w:color w:val="auto"/>
                <w:u w:val="none" w:color="auto"/>
                <w:lang w:val="en-US" w:eastAsia="zh-CN"/>
              </w:rPr>
            </w:pPr>
            <w:r>
              <w:rPr>
                <w:rFonts w:hint="eastAsia"/>
                <w:color w:val="auto"/>
                <w:u w:val="none" w:color="auto"/>
                <w:lang w:val="en-US" w:eastAsia="zh-CN"/>
              </w:rPr>
              <w:t>粪大肠菌群</w:t>
            </w:r>
          </w:p>
        </w:tc>
        <w:tc>
          <w:tcPr>
            <w:tcW w:w="1536" w:type="dxa"/>
            <w:noWrap w:val="0"/>
            <w:vAlign w:val="center"/>
          </w:tcPr>
          <w:p w14:paraId="62A412FC">
            <w:pPr>
              <w:pStyle w:val="32"/>
              <w:bidi w:val="0"/>
              <w:rPr>
                <w:color w:val="auto"/>
                <w:u w:val="none" w:color="auto"/>
              </w:rPr>
            </w:pPr>
            <w:r>
              <w:rPr>
                <w:rFonts w:hint="eastAsia"/>
                <w:color w:val="auto"/>
                <w:u w:val="none" w:color="auto"/>
                <w:lang w:val="en-US" w:eastAsia="zh-CN"/>
              </w:rPr>
              <w:t>个/L</w:t>
            </w:r>
          </w:p>
        </w:tc>
        <w:tc>
          <w:tcPr>
            <w:tcW w:w="3562" w:type="dxa"/>
            <w:noWrap w:val="0"/>
            <w:vAlign w:val="center"/>
          </w:tcPr>
          <w:p w14:paraId="13E3F1C0">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≤10000</w:t>
            </w:r>
          </w:p>
        </w:tc>
      </w:tr>
      <w:tr w14:paraId="44FF8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DCD72F9">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22</w:t>
            </w:r>
          </w:p>
        </w:tc>
        <w:tc>
          <w:tcPr>
            <w:tcW w:w="1974" w:type="dxa"/>
            <w:noWrap w:val="0"/>
            <w:vAlign w:val="center"/>
          </w:tcPr>
          <w:p w14:paraId="020D3A66">
            <w:pPr>
              <w:pStyle w:val="32"/>
              <w:bidi w:val="0"/>
              <w:rPr>
                <w:rFonts w:hint="eastAsia" w:eastAsia="宋体"/>
                <w:color w:val="auto"/>
                <w:u w:val="none" w:color="auto"/>
                <w:lang w:val="en-US" w:eastAsia="zh-CN"/>
              </w:rPr>
            </w:pPr>
            <w:r>
              <w:rPr>
                <w:rFonts w:hint="eastAsia"/>
                <w:color w:val="auto"/>
                <w:u w:val="none" w:color="auto"/>
                <w:lang w:val="en-US" w:eastAsia="zh-CN"/>
              </w:rPr>
              <w:t>硫化物</w:t>
            </w:r>
          </w:p>
        </w:tc>
        <w:tc>
          <w:tcPr>
            <w:tcW w:w="1536" w:type="dxa"/>
            <w:noWrap w:val="0"/>
            <w:vAlign w:val="center"/>
          </w:tcPr>
          <w:p w14:paraId="042FF908">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0A9ECFCE">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≤0.2</w:t>
            </w:r>
          </w:p>
        </w:tc>
      </w:tr>
      <w:tr w14:paraId="7FF54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57B50EB">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23</w:t>
            </w:r>
          </w:p>
        </w:tc>
        <w:tc>
          <w:tcPr>
            <w:tcW w:w="1974" w:type="dxa"/>
            <w:noWrap w:val="0"/>
            <w:vAlign w:val="center"/>
          </w:tcPr>
          <w:p w14:paraId="34F4D770">
            <w:pPr>
              <w:pStyle w:val="32"/>
              <w:bidi w:val="0"/>
              <w:rPr>
                <w:rFonts w:hint="default" w:eastAsia="宋体"/>
                <w:color w:val="auto"/>
                <w:u w:val="none" w:color="auto"/>
                <w:lang w:val="en-US" w:eastAsia="zh-CN"/>
              </w:rPr>
            </w:pPr>
            <w:r>
              <w:rPr>
                <w:rFonts w:hint="eastAsia"/>
                <w:color w:val="auto"/>
                <w:u w:val="none" w:color="auto"/>
                <w:lang w:val="en-US" w:eastAsia="zh-CN"/>
              </w:rPr>
              <w:t>高锰酸盐指数</w:t>
            </w:r>
          </w:p>
        </w:tc>
        <w:tc>
          <w:tcPr>
            <w:tcW w:w="1536" w:type="dxa"/>
            <w:noWrap w:val="0"/>
            <w:vAlign w:val="center"/>
          </w:tcPr>
          <w:p w14:paraId="5DA4FC87">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5F8357A3">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≤6</w:t>
            </w:r>
          </w:p>
        </w:tc>
      </w:tr>
      <w:tr w14:paraId="0C8EB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1FA7CADE">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24</w:t>
            </w:r>
          </w:p>
        </w:tc>
        <w:tc>
          <w:tcPr>
            <w:tcW w:w="1974" w:type="dxa"/>
            <w:noWrap w:val="0"/>
            <w:vAlign w:val="center"/>
          </w:tcPr>
          <w:p w14:paraId="402B1771">
            <w:pPr>
              <w:pStyle w:val="32"/>
              <w:bidi w:val="0"/>
              <w:rPr>
                <w:rFonts w:hint="eastAsia" w:eastAsia="宋体"/>
                <w:color w:val="auto"/>
                <w:u w:val="none" w:color="auto"/>
                <w:lang w:val="en-US" w:eastAsia="zh-CN"/>
              </w:rPr>
            </w:pPr>
            <w:r>
              <w:rPr>
                <w:rFonts w:hint="eastAsia"/>
                <w:color w:val="auto"/>
                <w:u w:val="none" w:color="auto"/>
                <w:lang w:val="en-US" w:eastAsia="zh-CN"/>
              </w:rPr>
              <w:t>氯化物</w:t>
            </w:r>
          </w:p>
        </w:tc>
        <w:tc>
          <w:tcPr>
            <w:tcW w:w="1536" w:type="dxa"/>
            <w:noWrap w:val="0"/>
            <w:vAlign w:val="center"/>
          </w:tcPr>
          <w:p w14:paraId="02A7D0DD">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4B425F60">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≤1.0</w:t>
            </w:r>
          </w:p>
        </w:tc>
      </w:tr>
      <w:tr w14:paraId="17EBF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3C07523">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25</w:t>
            </w:r>
          </w:p>
        </w:tc>
        <w:tc>
          <w:tcPr>
            <w:tcW w:w="1974" w:type="dxa"/>
            <w:noWrap w:val="0"/>
            <w:vAlign w:val="center"/>
          </w:tcPr>
          <w:p w14:paraId="053245B5">
            <w:pPr>
              <w:pStyle w:val="32"/>
              <w:bidi w:val="0"/>
              <w:rPr>
                <w:rFonts w:hint="eastAsia" w:eastAsia="宋体"/>
                <w:color w:val="auto"/>
                <w:u w:val="none" w:color="auto"/>
                <w:lang w:val="en-US" w:eastAsia="zh-CN"/>
              </w:rPr>
            </w:pPr>
            <w:r>
              <w:rPr>
                <w:rFonts w:hint="eastAsia"/>
                <w:color w:val="auto"/>
                <w:u w:val="none" w:color="auto"/>
                <w:lang w:val="en-US" w:eastAsia="zh-CN"/>
              </w:rPr>
              <w:t>氰化物</w:t>
            </w:r>
          </w:p>
        </w:tc>
        <w:tc>
          <w:tcPr>
            <w:tcW w:w="1536" w:type="dxa"/>
            <w:noWrap w:val="0"/>
            <w:vAlign w:val="center"/>
          </w:tcPr>
          <w:p w14:paraId="3245CB14">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69E2B0E7">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≤0.2</w:t>
            </w:r>
          </w:p>
        </w:tc>
      </w:tr>
      <w:tr w14:paraId="19AB4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0617FD3">
            <w:pPr>
              <w:pStyle w:val="25"/>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26</w:t>
            </w:r>
          </w:p>
        </w:tc>
        <w:tc>
          <w:tcPr>
            <w:tcW w:w="1974" w:type="dxa"/>
            <w:noWrap w:val="0"/>
            <w:vAlign w:val="center"/>
          </w:tcPr>
          <w:p w14:paraId="36FEE657">
            <w:pPr>
              <w:pStyle w:val="32"/>
              <w:bidi w:val="0"/>
              <w:rPr>
                <w:rFonts w:hint="eastAsia" w:eastAsia="宋体"/>
                <w:color w:val="auto"/>
                <w:u w:val="none" w:color="auto"/>
                <w:lang w:val="en-US" w:eastAsia="zh-CN"/>
              </w:rPr>
            </w:pPr>
            <w:r>
              <w:rPr>
                <w:rFonts w:hint="eastAsia"/>
                <w:color w:val="auto"/>
                <w:u w:val="none" w:color="auto"/>
                <w:lang w:val="en-US" w:eastAsia="zh-CN"/>
              </w:rPr>
              <w:t>挥发酚</w:t>
            </w:r>
          </w:p>
        </w:tc>
        <w:tc>
          <w:tcPr>
            <w:tcW w:w="1536" w:type="dxa"/>
            <w:noWrap w:val="0"/>
            <w:vAlign w:val="center"/>
          </w:tcPr>
          <w:p w14:paraId="5729B702">
            <w:pPr>
              <w:pStyle w:val="32"/>
              <w:bidi w:val="0"/>
              <w:rPr>
                <w:color w:val="auto"/>
                <w:u w:val="none" w:color="auto"/>
              </w:rPr>
            </w:pPr>
            <w:r>
              <w:rPr>
                <w:rFonts w:hint="eastAsia"/>
                <w:color w:val="auto"/>
                <w:u w:val="none" w:color="auto"/>
                <w:lang w:val="en-US" w:eastAsia="zh-CN"/>
              </w:rPr>
              <w:t>mg/L</w:t>
            </w:r>
          </w:p>
        </w:tc>
        <w:tc>
          <w:tcPr>
            <w:tcW w:w="3562" w:type="dxa"/>
            <w:noWrap w:val="0"/>
            <w:vAlign w:val="center"/>
          </w:tcPr>
          <w:p w14:paraId="37014A39">
            <w:pPr>
              <w:pStyle w:val="32"/>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≤0.005</w:t>
            </w:r>
          </w:p>
        </w:tc>
      </w:tr>
    </w:tbl>
    <w:p w14:paraId="2FEB9016">
      <w:pPr>
        <w:pStyle w:val="21"/>
        <w:numPr>
          <w:ilvl w:val="0"/>
          <w:numId w:val="5"/>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w:t>
      </w:r>
      <w:r>
        <w:rPr>
          <w:color w:val="auto"/>
          <w:u w:val="none" w:color="auto"/>
        </w:rPr>
        <w:t>本项目</w:t>
      </w:r>
      <w:r>
        <w:rPr>
          <w:rFonts w:hint="eastAsia"/>
          <w:color w:val="auto"/>
          <w:u w:val="none" w:color="auto"/>
          <w:lang w:eastAsia="zh-CN"/>
        </w:rPr>
        <w:t>位于</w:t>
      </w:r>
      <w:r>
        <w:rPr>
          <w:color w:val="auto"/>
          <w:u w:val="none" w:color="auto"/>
        </w:rPr>
        <w:t>工业集中区</w:t>
      </w:r>
      <w:r>
        <w:rPr>
          <w:rFonts w:hint="eastAsia"/>
          <w:color w:val="auto"/>
          <w:u w:val="none" w:color="auto"/>
        </w:rPr>
        <w:t>，</w:t>
      </w:r>
      <w:r>
        <w:rPr>
          <w:rFonts w:hint="eastAsia"/>
          <w:color w:val="auto"/>
          <w:u w:val="none" w:color="auto"/>
          <w:lang w:eastAsia="zh-CN"/>
        </w:rPr>
        <w:t>项目所在区域</w:t>
      </w:r>
      <w:r>
        <w:rPr>
          <w:color w:val="auto"/>
          <w:u w:val="none" w:color="auto"/>
        </w:rPr>
        <w:t>执行《声环境质量标准》（GB3096-2008）表1中的</w:t>
      </w:r>
      <w:r>
        <w:rPr>
          <w:rFonts w:hint="eastAsia"/>
          <w:color w:val="auto"/>
          <w:u w:val="none" w:color="auto"/>
        </w:rPr>
        <w:t>3</w:t>
      </w:r>
      <w:r>
        <w:rPr>
          <w:color w:val="auto"/>
          <w:u w:val="none" w:color="auto"/>
        </w:rPr>
        <w:t>类标准</w:t>
      </w:r>
      <w:r>
        <w:rPr>
          <w:rFonts w:hint="default" w:ascii="Times New Roman" w:hAnsi="Times New Roman" w:cs="Times New Roman"/>
          <w:color w:val="auto"/>
          <w:u w:val="none" w:color="auto"/>
        </w:rPr>
        <w:t>。</w:t>
      </w:r>
      <w:r>
        <w:rPr>
          <w:rFonts w:hint="eastAsia"/>
          <w:color w:val="auto"/>
          <w:u w:val="none" w:color="auto"/>
          <w:lang w:val="en-US" w:eastAsia="zh-CN"/>
        </w:rPr>
        <w:t>国道G107两侧35m范围区域执行</w:t>
      </w:r>
      <w:r>
        <w:rPr>
          <w:color w:val="auto"/>
          <w:u w:val="none" w:color="auto"/>
        </w:rPr>
        <w:t>《声环境质量标准》（GB3096-2008）表1中的</w:t>
      </w:r>
      <w:r>
        <w:rPr>
          <w:rFonts w:hint="eastAsia"/>
          <w:color w:val="auto"/>
          <w:u w:val="none" w:color="auto"/>
          <w:lang w:val="en-US" w:eastAsia="zh-CN"/>
        </w:rPr>
        <w:t>4a类标准</w:t>
      </w:r>
      <w:r>
        <w:rPr>
          <w:rFonts w:hint="default" w:ascii="Times New Roman" w:hAnsi="Times New Roman" w:cs="Times New Roman"/>
          <w:color w:val="auto"/>
          <w:u w:val="none" w:color="auto"/>
        </w:rPr>
        <w:t>。</w:t>
      </w:r>
    </w:p>
    <w:p w14:paraId="3C838C4B">
      <w:pPr>
        <w:pStyle w:val="23"/>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6</w:t>
      </w:r>
      <w:r>
        <w:rPr>
          <w:rFonts w:hint="default"/>
          <w:color w:val="auto"/>
          <w:u w:val="none" w:color="auto"/>
        </w:rPr>
        <w:t xml:space="preserve"> 声环境质量评价标准</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9"/>
        <w:gridCol w:w="941"/>
        <w:gridCol w:w="1039"/>
        <w:gridCol w:w="4895"/>
      </w:tblGrid>
      <w:tr w14:paraId="7162DD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vMerge w:val="restart"/>
            <w:noWrap w:val="0"/>
            <w:vAlign w:val="center"/>
          </w:tcPr>
          <w:p w14:paraId="34B5ABEA">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区域</w:t>
            </w:r>
          </w:p>
        </w:tc>
        <w:tc>
          <w:tcPr>
            <w:tcW w:w="1980" w:type="dxa"/>
            <w:gridSpan w:val="2"/>
            <w:noWrap w:val="0"/>
            <w:vAlign w:val="center"/>
          </w:tcPr>
          <w:p w14:paraId="7B0FC665">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标准值（dB</w:t>
            </w:r>
            <w:r>
              <w:rPr>
                <w:rFonts w:hint="default" w:ascii="Times New Roman" w:hAnsi="Times New Roman" w:cs="Times New Roman"/>
                <w:b/>
                <w:bCs/>
                <w:color w:val="auto"/>
                <w:u w:val="none" w:color="auto"/>
                <w:lang w:eastAsia="zh-CN"/>
              </w:rPr>
              <w:t>（</w:t>
            </w:r>
            <w:r>
              <w:rPr>
                <w:rFonts w:hint="default" w:ascii="Times New Roman" w:hAnsi="Times New Roman" w:cs="Times New Roman"/>
                <w:b/>
                <w:bCs/>
                <w:color w:val="auto"/>
                <w:u w:val="none" w:color="auto"/>
              </w:rPr>
              <w:t>A</w:t>
            </w:r>
            <w:r>
              <w:rPr>
                <w:rFonts w:hint="default" w:ascii="Times New Roman" w:hAnsi="Times New Roman" w:cs="Times New Roman"/>
                <w:b/>
                <w:bCs/>
                <w:color w:val="auto"/>
                <w:u w:val="none" w:color="auto"/>
                <w:lang w:eastAsia="zh-CN"/>
              </w:rPr>
              <w:t>）</w:t>
            </w:r>
            <w:r>
              <w:rPr>
                <w:rFonts w:hint="default" w:ascii="Times New Roman" w:hAnsi="Times New Roman" w:cs="Times New Roman"/>
                <w:b/>
                <w:bCs/>
                <w:color w:val="auto"/>
                <w:u w:val="none" w:color="auto"/>
              </w:rPr>
              <w:t>）</w:t>
            </w:r>
          </w:p>
        </w:tc>
        <w:tc>
          <w:tcPr>
            <w:tcW w:w="4895" w:type="dxa"/>
            <w:vMerge w:val="restart"/>
            <w:noWrap w:val="0"/>
            <w:vAlign w:val="center"/>
          </w:tcPr>
          <w:p w14:paraId="361F84DE">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评价标准</w:t>
            </w:r>
          </w:p>
        </w:tc>
      </w:tr>
      <w:tr w14:paraId="603EEB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vMerge w:val="continue"/>
            <w:noWrap w:val="0"/>
            <w:vAlign w:val="center"/>
          </w:tcPr>
          <w:p w14:paraId="54025371">
            <w:pPr>
              <w:pStyle w:val="25"/>
              <w:rPr>
                <w:rFonts w:hint="default" w:ascii="Times New Roman" w:hAnsi="Times New Roman" w:cs="Times New Roman"/>
                <w:b/>
                <w:bCs/>
                <w:color w:val="auto"/>
                <w:u w:val="none" w:color="auto"/>
              </w:rPr>
            </w:pPr>
          </w:p>
        </w:tc>
        <w:tc>
          <w:tcPr>
            <w:tcW w:w="941" w:type="dxa"/>
            <w:noWrap w:val="0"/>
            <w:vAlign w:val="center"/>
          </w:tcPr>
          <w:p w14:paraId="3D5C4094">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1039" w:type="dxa"/>
            <w:noWrap w:val="0"/>
            <w:vAlign w:val="center"/>
          </w:tcPr>
          <w:p w14:paraId="7A3E33D7">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c>
          <w:tcPr>
            <w:tcW w:w="4895" w:type="dxa"/>
            <w:vMerge w:val="continue"/>
            <w:noWrap w:val="0"/>
            <w:vAlign w:val="center"/>
          </w:tcPr>
          <w:p w14:paraId="76DD01D9">
            <w:pPr>
              <w:pStyle w:val="25"/>
              <w:rPr>
                <w:rFonts w:hint="default" w:ascii="Times New Roman" w:hAnsi="Times New Roman" w:cs="Times New Roman"/>
                <w:b/>
                <w:bCs/>
                <w:color w:val="auto"/>
                <w:u w:val="none" w:color="auto"/>
              </w:rPr>
            </w:pPr>
          </w:p>
        </w:tc>
      </w:tr>
      <w:tr w14:paraId="515FA7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noWrap w:val="0"/>
            <w:vAlign w:val="center"/>
          </w:tcPr>
          <w:p w14:paraId="3AC9246A">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项目所在区域</w:t>
            </w:r>
          </w:p>
        </w:tc>
        <w:tc>
          <w:tcPr>
            <w:tcW w:w="941" w:type="dxa"/>
            <w:noWrap w:val="0"/>
            <w:vAlign w:val="center"/>
          </w:tcPr>
          <w:p w14:paraId="5540B82D">
            <w:pPr>
              <w:pStyle w:val="25"/>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65</w:t>
            </w:r>
          </w:p>
        </w:tc>
        <w:tc>
          <w:tcPr>
            <w:tcW w:w="1039" w:type="dxa"/>
            <w:noWrap w:val="0"/>
            <w:vAlign w:val="center"/>
          </w:tcPr>
          <w:p w14:paraId="120ABB00">
            <w:pPr>
              <w:pStyle w:val="25"/>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55</w:t>
            </w:r>
          </w:p>
        </w:tc>
        <w:tc>
          <w:tcPr>
            <w:tcW w:w="4895" w:type="dxa"/>
            <w:noWrap w:val="0"/>
            <w:vAlign w:val="center"/>
          </w:tcPr>
          <w:p w14:paraId="39B8C4F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《声环境质量标准》（GB3096-2008）表1中</w:t>
            </w:r>
            <w:r>
              <w:rPr>
                <w:rFonts w:hint="eastAsia" w:cs="Times New Roman"/>
                <w:color w:val="auto"/>
                <w:u w:val="none" w:color="auto"/>
                <w:lang w:val="en-US" w:eastAsia="zh-CN"/>
              </w:rPr>
              <w:t>3</w:t>
            </w:r>
            <w:r>
              <w:rPr>
                <w:rFonts w:hint="default" w:ascii="Times New Roman" w:hAnsi="Times New Roman" w:cs="Times New Roman"/>
                <w:color w:val="auto"/>
                <w:u w:val="none" w:color="auto"/>
              </w:rPr>
              <w:t>类</w:t>
            </w:r>
          </w:p>
        </w:tc>
      </w:tr>
      <w:tr w14:paraId="0A20B2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noWrap w:val="0"/>
            <w:vAlign w:val="center"/>
          </w:tcPr>
          <w:p w14:paraId="5FD1F592">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国道G107两侧35m区域</w:t>
            </w:r>
          </w:p>
        </w:tc>
        <w:tc>
          <w:tcPr>
            <w:tcW w:w="941" w:type="dxa"/>
            <w:noWrap w:val="0"/>
            <w:vAlign w:val="center"/>
          </w:tcPr>
          <w:p w14:paraId="3E05E6B2">
            <w:pPr>
              <w:pStyle w:val="25"/>
              <w:rPr>
                <w:rFonts w:hint="default" w:cs="Times New Roman"/>
                <w:color w:val="auto"/>
                <w:u w:val="none" w:color="auto"/>
                <w:lang w:val="en-US" w:eastAsia="zh-CN"/>
              </w:rPr>
            </w:pPr>
            <w:r>
              <w:rPr>
                <w:rFonts w:hint="eastAsia" w:cs="Times New Roman"/>
                <w:color w:val="auto"/>
                <w:u w:val="none" w:color="auto"/>
                <w:lang w:val="en-US" w:eastAsia="zh-CN"/>
              </w:rPr>
              <w:t>70</w:t>
            </w:r>
          </w:p>
        </w:tc>
        <w:tc>
          <w:tcPr>
            <w:tcW w:w="1039" w:type="dxa"/>
            <w:noWrap w:val="0"/>
            <w:vAlign w:val="center"/>
          </w:tcPr>
          <w:p w14:paraId="1A200E8B">
            <w:pPr>
              <w:pStyle w:val="25"/>
              <w:rPr>
                <w:rFonts w:hint="default" w:cs="Times New Roman"/>
                <w:color w:val="auto"/>
                <w:u w:val="none" w:color="auto"/>
                <w:lang w:val="en-US" w:eastAsia="zh-CN"/>
              </w:rPr>
            </w:pPr>
            <w:r>
              <w:rPr>
                <w:rFonts w:hint="eastAsia" w:cs="Times New Roman"/>
                <w:color w:val="auto"/>
                <w:u w:val="none" w:color="auto"/>
                <w:lang w:val="en-US" w:eastAsia="zh-CN"/>
              </w:rPr>
              <w:t>55</w:t>
            </w:r>
          </w:p>
        </w:tc>
        <w:tc>
          <w:tcPr>
            <w:tcW w:w="4895" w:type="dxa"/>
            <w:noWrap w:val="0"/>
            <w:vAlign w:val="center"/>
          </w:tcPr>
          <w:p w14:paraId="4EFF1E0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《声环境质量标准》（GB3096-2008）表1中</w:t>
            </w:r>
            <w:r>
              <w:rPr>
                <w:rFonts w:hint="eastAsia" w:ascii="Times New Roman" w:hAnsi="Times New Roman" w:cs="Times New Roman"/>
                <w:color w:val="auto"/>
                <w:u w:val="none" w:color="auto"/>
                <w:lang w:val="en-US" w:eastAsia="zh-CN"/>
              </w:rPr>
              <w:t>4a</w:t>
            </w:r>
            <w:r>
              <w:rPr>
                <w:rFonts w:hint="default" w:ascii="Times New Roman" w:hAnsi="Times New Roman" w:cs="Times New Roman"/>
                <w:color w:val="auto"/>
                <w:u w:val="none" w:color="auto"/>
              </w:rPr>
              <w:t>类</w:t>
            </w:r>
          </w:p>
        </w:tc>
      </w:tr>
    </w:tbl>
    <w:p w14:paraId="6717456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（4）地下水环境：项目所在地地下水执行《地下水质量标准》（GB/T14848-2017）III类标准。</w:t>
      </w:r>
    </w:p>
    <w:p w14:paraId="77D17B3B">
      <w:pPr>
        <w:pStyle w:val="23"/>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7</w:t>
      </w:r>
      <w:r>
        <w:rPr>
          <w:rFonts w:hint="default"/>
          <w:color w:val="auto"/>
          <w:u w:val="none" w:color="auto"/>
        </w:rPr>
        <w:t xml:space="preserve"> 地下水环境质量标准</w:t>
      </w:r>
      <w:r>
        <w:rPr>
          <w:rFonts w:hint="default"/>
          <w:color w:val="auto"/>
          <w:u w:val="none" w:color="auto"/>
          <w:lang w:eastAsia="zh-CN"/>
        </w:rPr>
        <w:t>（</w:t>
      </w:r>
      <w:r>
        <w:rPr>
          <w:rFonts w:hint="default"/>
          <w:color w:val="auto"/>
          <w:u w:val="none" w:color="auto"/>
        </w:rPr>
        <w:t>摘录</w:t>
      </w:r>
      <w:r>
        <w:rPr>
          <w:rFonts w:hint="default"/>
          <w:color w:val="auto"/>
          <w:u w:val="none" w:color="auto"/>
          <w:lang w:eastAsia="zh-CN"/>
        </w:rPr>
        <w:t>）</w:t>
      </w:r>
      <w:r>
        <w:rPr>
          <w:rFonts w:hint="default"/>
          <w:color w:val="auto"/>
          <w:u w:val="none" w:color="auto"/>
        </w:rPr>
        <w:t>，单位：mg/L</w:t>
      </w:r>
    </w:p>
    <w:tbl>
      <w:tblPr>
        <w:tblStyle w:val="16"/>
        <w:tblW w:w="508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917"/>
        <w:gridCol w:w="1480"/>
        <w:gridCol w:w="867"/>
        <w:gridCol w:w="1795"/>
        <w:gridCol w:w="1483"/>
      </w:tblGrid>
      <w:tr w14:paraId="57B78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587D987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highlight w:val="none"/>
                <w:u w:val="none" w:color="auto"/>
                <w:lang w:val="en-US" w:eastAsia="zh-CN"/>
              </w:rPr>
            </w:pPr>
            <w:r>
              <w:rPr>
                <w:rFonts w:hint="eastAsia"/>
                <w:color w:val="auto"/>
                <w:highlight w:val="none"/>
                <w:u w:val="none" w:color="auto"/>
                <w:lang w:val="en-US" w:eastAsia="zh-CN"/>
              </w:rPr>
              <w:t>序号</w:t>
            </w:r>
          </w:p>
        </w:tc>
        <w:tc>
          <w:tcPr>
            <w:tcW w:w="1910" w:type="dxa"/>
            <w:noWrap w:val="0"/>
            <w:vAlign w:val="center"/>
          </w:tcPr>
          <w:p w14:paraId="4B192DB9">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21"/>
                <w:highlight w:val="none"/>
                <w:u w:val="none" w:color="auto"/>
                <w:lang w:val="en-US" w:eastAsia="zh-CN" w:bidi="ar-SA"/>
              </w:rPr>
            </w:pPr>
            <w:r>
              <w:rPr>
                <w:color w:val="auto"/>
                <w:highlight w:val="none"/>
                <w:u w:val="none" w:color="auto"/>
              </w:rPr>
              <w:t>名称</w:t>
            </w:r>
          </w:p>
        </w:tc>
        <w:tc>
          <w:tcPr>
            <w:tcW w:w="1475" w:type="dxa"/>
            <w:noWrap w:val="0"/>
            <w:vAlign w:val="center"/>
          </w:tcPr>
          <w:p w14:paraId="6B3A65B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标准值</w:t>
            </w:r>
          </w:p>
        </w:tc>
        <w:tc>
          <w:tcPr>
            <w:tcW w:w="865" w:type="dxa"/>
            <w:noWrap w:val="0"/>
            <w:vAlign w:val="center"/>
          </w:tcPr>
          <w:p w14:paraId="5E76512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highlight w:val="none"/>
                <w:u w:val="none" w:color="auto"/>
                <w:lang w:val="en-US" w:eastAsia="zh-CN"/>
              </w:rPr>
            </w:pPr>
            <w:r>
              <w:rPr>
                <w:rFonts w:hint="eastAsia"/>
                <w:color w:val="auto"/>
                <w:highlight w:val="none"/>
                <w:u w:val="none" w:color="auto"/>
                <w:lang w:val="en-US" w:eastAsia="zh-CN"/>
              </w:rPr>
              <w:t>序号</w:t>
            </w:r>
          </w:p>
        </w:tc>
        <w:tc>
          <w:tcPr>
            <w:tcW w:w="1789" w:type="dxa"/>
            <w:noWrap w:val="0"/>
            <w:vAlign w:val="center"/>
          </w:tcPr>
          <w:p w14:paraId="1ACCE73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21"/>
                <w:highlight w:val="none"/>
                <w:u w:val="none" w:color="auto"/>
                <w:lang w:val="en-US" w:eastAsia="zh-CN" w:bidi="ar-SA"/>
              </w:rPr>
            </w:pPr>
            <w:r>
              <w:rPr>
                <w:color w:val="auto"/>
                <w:highlight w:val="none"/>
                <w:u w:val="none" w:color="auto"/>
              </w:rPr>
              <w:t>名称</w:t>
            </w:r>
          </w:p>
        </w:tc>
        <w:tc>
          <w:tcPr>
            <w:tcW w:w="1478" w:type="dxa"/>
            <w:noWrap w:val="0"/>
            <w:vAlign w:val="center"/>
          </w:tcPr>
          <w:p w14:paraId="2C65F38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标准值</w:t>
            </w:r>
          </w:p>
        </w:tc>
      </w:tr>
      <w:tr w14:paraId="54B96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089DE34E">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highlight w:val="none"/>
                <w:u w:val="none" w:color="auto"/>
                <w:lang w:val="en-US" w:eastAsia="zh-CN"/>
              </w:rPr>
            </w:pPr>
            <w:r>
              <w:rPr>
                <w:rFonts w:hint="eastAsia"/>
                <w:color w:val="auto"/>
                <w:highlight w:val="none"/>
                <w:u w:val="none" w:color="auto"/>
                <w:lang w:val="en-US" w:eastAsia="zh-CN"/>
              </w:rPr>
              <w:t>1</w:t>
            </w:r>
          </w:p>
        </w:tc>
        <w:tc>
          <w:tcPr>
            <w:tcW w:w="1910" w:type="dxa"/>
            <w:noWrap w:val="0"/>
            <w:vAlign w:val="center"/>
          </w:tcPr>
          <w:p w14:paraId="7FD91C5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K</w:t>
            </w:r>
            <w:r>
              <w:rPr>
                <w:rFonts w:hint="eastAsia"/>
                <w:color w:val="auto"/>
                <w:u w:val="none" w:color="auto"/>
                <w:vertAlign w:val="superscript"/>
                <w:lang w:val="en-US" w:eastAsia="zh-CN"/>
              </w:rPr>
              <w:t>+</w:t>
            </w:r>
          </w:p>
        </w:tc>
        <w:tc>
          <w:tcPr>
            <w:tcW w:w="1475" w:type="dxa"/>
            <w:noWrap w:val="0"/>
            <w:vAlign w:val="center"/>
          </w:tcPr>
          <w:p w14:paraId="411699B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none" w:color="auto"/>
              </w:rPr>
            </w:pPr>
            <w:r>
              <w:rPr>
                <w:rFonts w:hint="eastAsia"/>
                <w:color w:val="auto"/>
                <w:u w:val="none" w:color="auto"/>
                <w:lang w:val="en-US" w:eastAsia="zh-CN"/>
              </w:rPr>
              <w:t>/</w:t>
            </w:r>
          </w:p>
        </w:tc>
        <w:tc>
          <w:tcPr>
            <w:tcW w:w="865" w:type="dxa"/>
            <w:noWrap w:val="0"/>
            <w:vAlign w:val="center"/>
          </w:tcPr>
          <w:p w14:paraId="6D05A29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9</w:t>
            </w:r>
          </w:p>
        </w:tc>
        <w:tc>
          <w:tcPr>
            <w:tcW w:w="1789" w:type="dxa"/>
            <w:noWrap w:val="0"/>
            <w:vAlign w:val="center"/>
          </w:tcPr>
          <w:p w14:paraId="4788EF1F">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pH</w:t>
            </w:r>
          </w:p>
        </w:tc>
        <w:tc>
          <w:tcPr>
            <w:tcW w:w="1478" w:type="dxa"/>
            <w:noWrap w:val="0"/>
            <w:vAlign w:val="center"/>
          </w:tcPr>
          <w:p w14:paraId="6BF6ED2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6.5~8.5</w:t>
            </w:r>
          </w:p>
        </w:tc>
      </w:tr>
      <w:tr w14:paraId="625C93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710A415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2</w:t>
            </w:r>
          </w:p>
        </w:tc>
        <w:tc>
          <w:tcPr>
            <w:tcW w:w="1910" w:type="dxa"/>
            <w:noWrap w:val="0"/>
            <w:vAlign w:val="center"/>
          </w:tcPr>
          <w:p w14:paraId="6421DAD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Na</w:t>
            </w:r>
            <w:r>
              <w:rPr>
                <w:rFonts w:hint="eastAsia"/>
                <w:color w:val="auto"/>
                <w:u w:val="none" w:color="auto"/>
                <w:vertAlign w:val="superscript"/>
                <w:lang w:val="en-US" w:eastAsia="zh-CN"/>
              </w:rPr>
              <w:t>+</w:t>
            </w:r>
          </w:p>
        </w:tc>
        <w:tc>
          <w:tcPr>
            <w:tcW w:w="1475" w:type="dxa"/>
            <w:noWrap w:val="0"/>
            <w:vAlign w:val="center"/>
          </w:tcPr>
          <w:p w14:paraId="4448ED9E">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200</w:t>
            </w:r>
          </w:p>
        </w:tc>
        <w:tc>
          <w:tcPr>
            <w:tcW w:w="865" w:type="dxa"/>
            <w:noWrap w:val="0"/>
            <w:vAlign w:val="center"/>
          </w:tcPr>
          <w:p w14:paraId="389F61C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10</w:t>
            </w:r>
          </w:p>
        </w:tc>
        <w:tc>
          <w:tcPr>
            <w:tcW w:w="1789" w:type="dxa"/>
            <w:noWrap w:val="0"/>
            <w:vAlign w:val="center"/>
          </w:tcPr>
          <w:p w14:paraId="25C17E8F">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溶解性总固体</w:t>
            </w:r>
          </w:p>
        </w:tc>
        <w:tc>
          <w:tcPr>
            <w:tcW w:w="1478" w:type="dxa"/>
            <w:noWrap w:val="0"/>
            <w:vAlign w:val="center"/>
          </w:tcPr>
          <w:p w14:paraId="59547035">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1000</w:t>
            </w:r>
          </w:p>
        </w:tc>
      </w:tr>
      <w:tr w14:paraId="1E06B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935" w:type="dxa"/>
            <w:noWrap w:val="0"/>
            <w:vAlign w:val="center"/>
          </w:tcPr>
          <w:p w14:paraId="45D1096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3</w:t>
            </w:r>
          </w:p>
        </w:tc>
        <w:tc>
          <w:tcPr>
            <w:tcW w:w="1910" w:type="dxa"/>
            <w:noWrap w:val="0"/>
            <w:vAlign w:val="center"/>
          </w:tcPr>
          <w:p w14:paraId="2856649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Ca</w:t>
            </w:r>
            <w:r>
              <w:rPr>
                <w:rFonts w:hint="eastAsia"/>
                <w:color w:val="auto"/>
                <w:u w:val="none" w:color="auto"/>
                <w:vertAlign w:val="superscript"/>
                <w:lang w:val="en-US" w:eastAsia="zh-CN"/>
              </w:rPr>
              <w:t>2+</w:t>
            </w:r>
          </w:p>
        </w:tc>
        <w:tc>
          <w:tcPr>
            <w:tcW w:w="1475" w:type="dxa"/>
            <w:noWrap w:val="0"/>
            <w:vAlign w:val="center"/>
          </w:tcPr>
          <w:p w14:paraId="4C2D4FC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2A78365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11</w:t>
            </w:r>
          </w:p>
        </w:tc>
        <w:tc>
          <w:tcPr>
            <w:tcW w:w="1789" w:type="dxa"/>
            <w:noWrap w:val="0"/>
            <w:vAlign w:val="center"/>
          </w:tcPr>
          <w:p w14:paraId="1093822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总硬度</w:t>
            </w:r>
          </w:p>
        </w:tc>
        <w:tc>
          <w:tcPr>
            <w:tcW w:w="1478" w:type="dxa"/>
            <w:noWrap w:val="0"/>
            <w:vAlign w:val="center"/>
          </w:tcPr>
          <w:p w14:paraId="54568C8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450</w:t>
            </w:r>
          </w:p>
        </w:tc>
      </w:tr>
      <w:tr w14:paraId="353D1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51258BDD">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4</w:t>
            </w:r>
          </w:p>
        </w:tc>
        <w:tc>
          <w:tcPr>
            <w:tcW w:w="1910" w:type="dxa"/>
            <w:noWrap w:val="0"/>
            <w:vAlign w:val="center"/>
          </w:tcPr>
          <w:p w14:paraId="6782F28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Mg</w:t>
            </w:r>
            <w:r>
              <w:rPr>
                <w:rFonts w:hint="eastAsia"/>
                <w:color w:val="auto"/>
                <w:u w:val="none" w:color="auto"/>
                <w:vertAlign w:val="superscript"/>
                <w:lang w:val="en-US" w:eastAsia="zh-CN"/>
              </w:rPr>
              <w:t>2+</w:t>
            </w:r>
          </w:p>
        </w:tc>
        <w:tc>
          <w:tcPr>
            <w:tcW w:w="1475" w:type="dxa"/>
            <w:noWrap w:val="0"/>
            <w:vAlign w:val="center"/>
          </w:tcPr>
          <w:p w14:paraId="5126255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6B4E072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12</w:t>
            </w:r>
          </w:p>
        </w:tc>
        <w:tc>
          <w:tcPr>
            <w:tcW w:w="1789" w:type="dxa"/>
            <w:noWrap w:val="0"/>
            <w:vAlign w:val="center"/>
          </w:tcPr>
          <w:p w14:paraId="661573B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高猛酸盐指数</w:t>
            </w:r>
          </w:p>
        </w:tc>
        <w:tc>
          <w:tcPr>
            <w:tcW w:w="1478" w:type="dxa"/>
            <w:noWrap w:val="0"/>
            <w:vAlign w:val="center"/>
          </w:tcPr>
          <w:p w14:paraId="6EBF6265">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3</w:t>
            </w:r>
          </w:p>
        </w:tc>
      </w:tr>
      <w:tr w14:paraId="4F0F09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2568602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5</w:t>
            </w:r>
          </w:p>
        </w:tc>
        <w:tc>
          <w:tcPr>
            <w:tcW w:w="1910" w:type="dxa"/>
            <w:noWrap w:val="0"/>
            <w:vAlign w:val="center"/>
          </w:tcPr>
          <w:p w14:paraId="13FC1A2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CO</w:t>
            </w:r>
            <w:r>
              <w:rPr>
                <w:rFonts w:hint="eastAsia"/>
                <w:color w:val="auto"/>
                <w:u w:val="none" w:color="auto"/>
                <w:vertAlign w:val="subscript"/>
                <w:lang w:val="en-US" w:eastAsia="zh-CN"/>
              </w:rPr>
              <w:t>3</w:t>
            </w:r>
            <w:r>
              <w:rPr>
                <w:rFonts w:hint="eastAsia"/>
                <w:color w:val="auto"/>
                <w:u w:val="none" w:color="auto"/>
                <w:vertAlign w:val="superscript"/>
                <w:lang w:val="en-US" w:eastAsia="zh-CN"/>
              </w:rPr>
              <w:t>2-</w:t>
            </w:r>
          </w:p>
        </w:tc>
        <w:tc>
          <w:tcPr>
            <w:tcW w:w="1475" w:type="dxa"/>
            <w:noWrap w:val="0"/>
            <w:vAlign w:val="center"/>
          </w:tcPr>
          <w:p w14:paraId="0753A236">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025F93A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13</w:t>
            </w:r>
          </w:p>
        </w:tc>
        <w:tc>
          <w:tcPr>
            <w:tcW w:w="1789" w:type="dxa"/>
            <w:noWrap w:val="0"/>
            <w:vAlign w:val="center"/>
          </w:tcPr>
          <w:p w14:paraId="344F13B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硝酸盐</w:t>
            </w:r>
          </w:p>
        </w:tc>
        <w:tc>
          <w:tcPr>
            <w:tcW w:w="1478" w:type="dxa"/>
            <w:noWrap w:val="0"/>
            <w:vAlign w:val="center"/>
          </w:tcPr>
          <w:p w14:paraId="5458528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20</w:t>
            </w:r>
          </w:p>
        </w:tc>
      </w:tr>
      <w:tr w14:paraId="4D0767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5" w:type="dxa"/>
            <w:noWrap w:val="0"/>
            <w:vAlign w:val="center"/>
          </w:tcPr>
          <w:p w14:paraId="59AFB97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1"/>
                <w:highlight w:val="none"/>
                <w:u w:val="none" w:color="auto"/>
                <w:lang w:val="en-US" w:eastAsia="zh-CN" w:bidi="ar-SA"/>
              </w:rPr>
            </w:pPr>
            <w:r>
              <w:rPr>
                <w:rFonts w:hint="eastAsia" w:ascii="Times New Roman" w:hAnsi="Times New Roman" w:eastAsia="宋体"/>
                <w:color w:val="auto"/>
                <w:sz w:val="21"/>
                <w:highlight w:val="none"/>
                <w:u w:val="none" w:color="auto"/>
                <w:lang w:val="en-US" w:eastAsia="zh-CN" w:bidi="ar-SA"/>
              </w:rPr>
              <w:t>6</w:t>
            </w:r>
          </w:p>
        </w:tc>
        <w:tc>
          <w:tcPr>
            <w:tcW w:w="1910" w:type="dxa"/>
            <w:noWrap w:val="0"/>
            <w:vAlign w:val="center"/>
          </w:tcPr>
          <w:p w14:paraId="67CF323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HCO</w:t>
            </w:r>
            <w:r>
              <w:rPr>
                <w:rFonts w:hint="eastAsia"/>
                <w:color w:val="auto"/>
                <w:u w:val="none" w:color="auto"/>
                <w:vertAlign w:val="subscript"/>
                <w:lang w:val="en-US" w:eastAsia="zh-CN"/>
              </w:rPr>
              <w:t>3</w:t>
            </w:r>
            <w:r>
              <w:rPr>
                <w:rFonts w:hint="eastAsia"/>
                <w:color w:val="auto"/>
                <w:u w:val="none" w:color="auto"/>
                <w:vertAlign w:val="superscript"/>
                <w:lang w:val="en-US" w:eastAsia="zh-CN"/>
              </w:rPr>
              <w:t>-</w:t>
            </w:r>
          </w:p>
        </w:tc>
        <w:tc>
          <w:tcPr>
            <w:tcW w:w="1475" w:type="dxa"/>
            <w:noWrap w:val="0"/>
            <w:vAlign w:val="center"/>
          </w:tcPr>
          <w:p w14:paraId="641C837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0E18913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14</w:t>
            </w:r>
          </w:p>
        </w:tc>
        <w:tc>
          <w:tcPr>
            <w:tcW w:w="1789" w:type="dxa"/>
            <w:noWrap w:val="0"/>
            <w:vAlign w:val="center"/>
          </w:tcPr>
          <w:p w14:paraId="1F8B138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亚硝酸盐</w:t>
            </w:r>
          </w:p>
        </w:tc>
        <w:tc>
          <w:tcPr>
            <w:tcW w:w="1478" w:type="dxa"/>
            <w:noWrap w:val="0"/>
            <w:vAlign w:val="center"/>
          </w:tcPr>
          <w:p w14:paraId="0E6BEEE1">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1</w:t>
            </w:r>
          </w:p>
        </w:tc>
      </w:tr>
      <w:tr w14:paraId="75F4B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14B5FAA1">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7</w:t>
            </w:r>
          </w:p>
        </w:tc>
        <w:tc>
          <w:tcPr>
            <w:tcW w:w="1910" w:type="dxa"/>
            <w:noWrap w:val="0"/>
            <w:vAlign w:val="center"/>
          </w:tcPr>
          <w:p w14:paraId="4D219F1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Cl</w:t>
            </w:r>
            <w:r>
              <w:rPr>
                <w:rFonts w:hint="eastAsia"/>
                <w:color w:val="auto"/>
                <w:u w:val="none" w:color="auto"/>
                <w:vertAlign w:val="superscript"/>
                <w:lang w:val="en-US" w:eastAsia="zh-CN"/>
              </w:rPr>
              <w:t>-</w:t>
            </w:r>
          </w:p>
        </w:tc>
        <w:tc>
          <w:tcPr>
            <w:tcW w:w="1475" w:type="dxa"/>
            <w:noWrap w:val="0"/>
            <w:vAlign w:val="center"/>
          </w:tcPr>
          <w:p w14:paraId="6C29B85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250</w:t>
            </w:r>
          </w:p>
        </w:tc>
        <w:tc>
          <w:tcPr>
            <w:tcW w:w="865" w:type="dxa"/>
            <w:noWrap w:val="0"/>
            <w:vAlign w:val="center"/>
          </w:tcPr>
          <w:p w14:paraId="1C35B17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15</w:t>
            </w:r>
          </w:p>
        </w:tc>
        <w:tc>
          <w:tcPr>
            <w:tcW w:w="1789" w:type="dxa"/>
            <w:noWrap w:val="0"/>
            <w:vAlign w:val="center"/>
          </w:tcPr>
          <w:p w14:paraId="62A4F866">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氨氮</w:t>
            </w:r>
          </w:p>
        </w:tc>
        <w:tc>
          <w:tcPr>
            <w:tcW w:w="1478" w:type="dxa"/>
            <w:noWrap w:val="0"/>
            <w:vAlign w:val="center"/>
          </w:tcPr>
          <w:p w14:paraId="0609E827">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华康简宋"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0.5</w:t>
            </w:r>
          </w:p>
        </w:tc>
      </w:tr>
      <w:tr w14:paraId="1285A1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1514B801">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8</w:t>
            </w:r>
          </w:p>
        </w:tc>
        <w:tc>
          <w:tcPr>
            <w:tcW w:w="1910" w:type="dxa"/>
            <w:noWrap w:val="0"/>
            <w:vAlign w:val="center"/>
          </w:tcPr>
          <w:p w14:paraId="0117E87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SO</w:t>
            </w:r>
            <w:r>
              <w:rPr>
                <w:rFonts w:hint="eastAsia"/>
                <w:color w:val="auto"/>
                <w:u w:val="none" w:color="auto"/>
                <w:vertAlign w:val="subscript"/>
                <w:lang w:val="en-US" w:eastAsia="zh-CN"/>
              </w:rPr>
              <w:t>4</w:t>
            </w:r>
            <w:r>
              <w:rPr>
                <w:rFonts w:hint="eastAsia"/>
                <w:color w:val="auto"/>
                <w:u w:val="none" w:color="auto"/>
                <w:vertAlign w:val="superscript"/>
                <w:lang w:val="en-US" w:eastAsia="zh-CN"/>
              </w:rPr>
              <w:t>2-</w:t>
            </w:r>
          </w:p>
        </w:tc>
        <w:tc>
          <w:tcPr>
            <w:tcW w:w="1475" w:type="dxa"/>
            <w:noWrap w:val="0"/>
            <w:vAlign w:val="center"/>
          </w:tcPr>
          <w:p w14:paraId="2DB7E35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250</w:t>
            </w:r>
          </w:p>
        </w:tc>
        <w:tc>
          <w:tcPr>
            <w:tcW w:w="865" w:type="dxa"/>
            <w:noWrap w:val="0"/>
            <w:vAlign w:val="center"/>
          </w:tcPr>
          <w:p w14:paraId="6699F115">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16</w:t>
            </w:r>
          </w:p>
        </w:tc>
        <w:tc>
          <w:tcPr>
            <w:tcW w:w="1789" w:type="dxa"/>
            <w:noWrap w:val="0"/>
            <w:vAlign w:val="center"/>
          </w:tcPr>
          <w:p w14:paraId="6D7D3608">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挥发酚</w:t>
            </w:r>
          </w:p>
        </w:tc>
        <w:tc>
          <w:tcPr>
            <w:tcW w:w="1478" w:type="dxa"/>
            <w:noWrap w:val="0"/>
            <w:vAlign w:val="center"/>
          </w:tcPr>
          <w:p w14:paraId="377C0F7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pacing w:val="6"/>
                <w:kern w:val="24"/>
                <w:sz w:val="21"/>
                <w:szCs w:val="21"/>
                <w:highlight w:val="none"/>
                <w:u w:val="none" w:color="auto"/>
                <w:lang w:val="en-US" w:eastAsia="zh-CN" w:bidi="ar-SA"/>
              </w:rPr>
              <w:t>0.002</w:t>
            </w:r>
          </w:p>
        </w:tc>
      </w:tr>
    </w:tbl>
    <w:p w14:paraId="413BE53A">
      <w:pPr>
        <w:pStyle w:val="35"/>
        <w:ind w:firstLine="480"/>
        <w:rPr>
          <w:color w:val="000000"/>
          <w:u w:val="none" w:color="auto"/>
        </w:rPr>
      </w:pPr>
      <w:bookmarkStart w:id="415" w:name="_Toc20844_WPSOffice_Level3"/>
      <w:bookmarkStart w:id="416" w:name="_Toc22991_WPSOffice_Level3"/>
      <w:r>
        <w:rPr>
          <w:rFonts w:hint="eastAsia" w:ascii="Times New Roman" w:hAnsi="Times New Roman" w:cs="Times New Roman"/>
          <w:b w:val="0"/>
          <w:bCs w:val="0"/>
          <w:color w:val="auto"/>
          <w:u w:val="none" w:color="auto"/>
          <w:lang w:eastAsia="zh-CN"/>
        </w:rPr>
        <w:t>（</w:t>
      </w:r>
      <w:r>
        <w:rPr>
          <w:rFonts w:hint="eastAsia" w:ascii="Times New Roman" w:hAnsi="Times New Roman" w:cs="Times New Roman"/>
          <w:b w:val="0"/>
          <w:bCs w:val="0"/>
          <w:color w:val="auto"/>
          <w:u w:val="none" w:color="auto"/>
          <w:lang w:val="en-US" w:eastAsia="zh-CN"/>
        </w:rPr>
        <w:t>5</w:t>
      </w:r>
      <w:r>
        <w:rPr>
          <w:rFonts w:hint="eastAsia" w:ascii="Times New Roman" w:hAnsi="Times New Roman" w:cs="Times New Roman"/>
          <w:b w:val="0"/>
          <w:bCs w:val="0"/>
          <w:color w:val="auto"/>
          <w:u w:val="none" w:color="auto"/>
          <w:lang w:eastAsia="zh-CN"/>
        </w:rPr>
        <w:t>）</w:t>
      </w:r>
      <w:r>
        <w:rPr>
          <w:rFonts w:hint="eastAsia" w:ascii="Times New Roman" w:hAnsi="Times New Roman" w:cs="Times New Roman"/>
          <w:b w:val="0"/>
          <w:bCs w:val="0"/>
          <w:color w:val="auto"/>
          <w:u w:val="none" w:color="auto"/>
          <w:lang w:val="en-US" w:eastAsia="zh-CN"/>
        </w:rPr>
        <w:t>土壤环境：</w:t>
      </w:r>
      <w:r>
        <w:rPr>
          <w:color w:val="000000"/>
          <w:u w:val="none" w:color="auto"/>
        </w:rPr>
        <w:t>项目所在地为工业用地</w:t>
      </w:r>
      <w:r>
        <w:rPr>
          <w:rFonts w:hint="eastAsia"/>
          <w:color w:val="000000"/>
          <w:u w:val="none" w:color="auto"/>
          <w:lang w:eastAsia="zh-CN"/>
        </w:rPr>
        <w:t>，</w:t>
      </w:r>
      <w:r>
        <w:rPr>
          <w:color w:val="000000"/>
          <w:u w:val="none" w:color="auto"/>
        </w:rPr>
        <w:t>评价区</w:t>
      </w:r>
      <w:r>
        <w:rPr>
          <w:rFonts w:hint="eastAsia"/>
          <w:color w:val="000000"/>
          <w:u w:val="none" w:color="auto"/>
          <w:lang w:val="en-US" w:eastAsia="zh-CN"/>
        </w:rPr>
        <w:t>范围内工业用地等第二类建设</w:t>
      </w:r>
      <w:r>
        <w:rPr>
          <w:color w:val="000000"/>
          <w:u w:val="none" w:color="auto"/>
        </w:rPr>
        <w:t>用地执行《土壤环境质量建设用地土壤污染风险管控标准（试行）》（GB36600-2008）表1第二类用地中的筛选值标准。</w:t>
      </w:r>
    </w:p>
    <w:p w14:paraId="5FA0C87C">
      <w:pPr>
        <w:pStyle w:val="36"/>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w:t>
      </w:r>
      <w:r>
        <w:rPr>
          <w:rFonts w:hint="eastAsia" w:ascii="Times New Roman" w:hAnsi="Times New Roman" w:eastAsia="宋体" w:cs="Times New Roman"/>
          <w:b/>
          <w:bCs/>
          <w:color w:val="auto"/>
          <w:kern w:val="2"/>
          <w:sz w:val="21"/>
          <w:szCs w:val="21"/>
          <w:u w:val="none" w:color="auto"/>
          <w:lang w:val="en-US" w:eastAsia="zh-CN" w:bidi="ar-SA"/>
        </w:rPr>
        <w:t xml:space="preserve">2.2-8 </w:t>
      </w:r>
      <w:r>
        <w:rPr>
          <w:rFonts w:hint="default" w:ascii="Times New Roman" w:hAnsi="Times New Roman" w:eastAsia="宋体" w:cs="Times New Roman"/>
          <w:b/>
          <w:bCs/>
          <w:color w:val="auto"/>
          <w:kern w:val="2"/>
          <w:sz w:val="21"/>
          <w:szCs w:val="21"/>
          <w:u w:val="none" w:color="auto"/>
          <w:lang w:val="en-US" w:eastAsia="zh-CN" w:bidi="ar-SA"/>
        </w:rPr>
        <w:t>建设用地土壤环境质量标准（摘录），单位：mg/kg</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3255"/>
        <w:gridCol w:w="1919"/>
        <w:gridCol w:w="2348"/>
      </w:tblGrid>
      <w:tr w14:paraId="04E54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tblHeader/>
          <w:jc w:val="center"/>
        </w:trPr>
        <w:tc>
          <w:tcPr>
            <w:tcW w:w="585" w:type="pct"/>
            <w:vMerge w:val="restart"/>
            <w:noWrap w:val="0"/>
            <w:vAlign w:val="center"/>
          </w:tcPr>
          <w:p w14:paraId="121E308E">
            <w:pPr>
              <w:pStyle w:val="37"/>
              <w:rPr>
                <w:color w:val="000000"/>
                <w:u w:val="none" w:color="auto"/>
              </w:rPr>
            </w:pPr>
            <w:r>
              <w:rPr>
                <w:color w:val="000000"/>
                <w:u w:val="none" w:color="auto"/>
              </w:rPr>
              <w:t>序号</w:t>
            </w:r>
          </w:p>
        </w:tc>
        <w:tc>
          <w:tcPr>
            <w:tcW w:w="1910" w:type="pct"/>
            <w:vMerge w:val="restart"/>
            <w:noWrap w:val="0"/>
            <w:vAlign w:val="center"/>
          </w:tcPr>
          <w:p w14:paraId="453C0534">
            <w:pPr>
              <w:pStyle w:val="37"/>
              <w:rPr>
                <w:color w:val="000000"/>
                <w:u w:val="none" w:color="auto"/>
              </w:rPr>
            </w:pPr>
            <w:r>
              <w:rPr>
                <w:color w:val="000000"/>
                <w:u w:val="none" w:color="auto"/>
              </w:rPr>
              <w:t>污染物项目</w:t>
            </w:r>
          </w:p>
        </w:tc>
        <w:tc>
          <w:tcPr>
            <w:tcW w:w="1126" w:type="pct"/>
            <w:noWrap w:val="0"/>
            <w:vAlign w:val="center"/>
          </w:tcPr>
          <w:p w14:paraId="31435923">
            <w:pPr>
              <w:pStyle w:val="37"/>
              <w:rPr>
                <w:color w:val="000000"/>
                <w:u w:val="none" w:color="auto"/>
              </w:rPr>
            </w:pPr>
            <w:r>
              <w:rPr>
                <w:rFonts w:hint="eastAsia"/>
                <w:color w:val="000000"/>
                <w:u w:val="none" w:color="auto"/>
                <w:lang w:val="en-US" w:eastAsia="zh-CN"/>
              </w:rPr>
              <w:t>筛选</w:t>
            </w:r>
            <w:r>
              <w:rPr>
                <w:color w:val="000000"/>
                <w:u w:val="none" w:color="auto"/>
              </w:rPr>
              <w:t>值</w:t>
            </w:r>
          </w:p>
        </w:tc>
        <w:tc>
          <w:tcPr>
            <w:tcW w:w="1378" w:type="pct"/>
            <w:vMerge w:val="restart"/>
            <w:noWrap w:val="0"/>
            <w:vAlign w:val="center"/>
          </w:tcPr>
          <w:p w14:paraId="4D7DDCF1">
            <w:pPr>
              <w:pStyle w:val="37"/>
              <w:rPr>
                <w:color w:val="000000"/>
                <w:u w:val="none" w:color="auto"/>
              </w:rPr>
            </w:pPr>
            <w:r>
              <w:rPr>
                <w:color w:val="000000"/>
                <w:u w:val="none" w:color="auto"/>
              </w:rPr>
              <w:t>标准来源</w:t>
            </w:r>
          </w:p>
        </w:tc>
      </w:tr>
      <w:tr w14:paraId="277A5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tblHeader/>
          <w:jc w:val="center"/>
        </w:trPr>
        <w:tc>
          <w:tcPr>
            <w:tcW w:w="585" w:type="pct"/>
            <w:vMerge w:val="continue"/>
            <w:noWrap w:val="0"/>
            <w:vAlign w:val="center"/>
          </w:tcPr>
          <w:p w14:paraId="0543F88C">
            <w:pPr>
              <w:pStyle w:val="37"/>
              <w:rPr>
                <w:color w:val="000000"/>
                <w:u w:val="none" w:color="auto"/>
              </w:rPr>
            </w:pPr>
          </w:p>
        </w:tc>
        <w:tc>
          <w:tcPr>
            <w:tcW w:w="1910" w:type="pct"/>
            <w:vMerge w:val="continue"/>
            <w:noWrap w:val="0"/>
            <w:vAlign w:val="center"/>
          </w:tcPr>
          <w:p w14:paraId="7F0DCC56">
            <w:pPr>
              <w:pStyle w:val="37"/>
              <w:rPr>
                <w:color w:val="000000"/>
                <w:u w:val="none" w:color="auto"/>
              </w:rPr>
            </w:pPr>
          </w:p>
        </w:tc>
        <w:tc>
          <w:tcPr>
            <w:tcW w:w="1126" w:type="pct"/>
            <w:noWrap w:val="0"/>
            <w:vAlign w:val="center"/>
          </w:tcPr>
          <w:p w14:paraId="7577F3BB">
            <w:pPr>
              <w:pStyle w:val="37"/>
              <w:rPr>
                <w:rFonts w:ascii="Times New Roman" w:hAnsi="Times New Roman" w:eastAsia="宋体"/>
                <w:color w:val="000000"/>
                <w:kern w:val="2"/>
                <w:sz w:val="21"/>
                <w:szCs w:val="21"/>
                <w:u w:val="none" w:color="auto"/>
                <w:lang w:val="en-US" w:eastAsia="zh-CN" w:bidi="ar-SA"/>
              </w:rPr>
            </w:pPr>
            <w:r>
              <w:rPr>
                <w:color w:val="000000"/>
                <w:u w:val="none" w:color="auto"/>
              </w:rPr>
              <w:t>第二类用地</w:t>
            </w:r>
          </w:p>
        </w:tc>
        <w:tc>
          <w:tcPr>
            <w:tcW w:w="1378" w:type="pct"/>
            <w:vMerge w:val="continue"/>
            <w:noWrap w:val="0"/>
            <w:vAlign w:val="center"/>
          </w:tcPr>
          <w:p w14:paraId="6F9638BC">
            <w:pPr>
              <w:pStyle w:val="37"/>
              <w:rPr>
                <w:color w:val="000000"/>
                <w:u w:val="none" w:color="auto"/>
              </w:rPr>
            </w:pPr>
          </w:p>
        </w:tc>
      </w:tr>
      <w:tr w14:paraId="4E97C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tblHeader/>
          <w:jc w:val="center"/>
        </w:trPr>
        <w:tc>
          <w:tcPr>
            <w:tcW w:w="3621" w:type="pct"/>
            <w:gridSpan w:val="3"/>
            <w:noWrap w:val="0"/>
            <w:vAlign w:val="center"/>
          </w:tcPr>
          <w:p w14:paraId="0BD2BF7B">
            <w:pPr>
              <w:pStyle w:val="37"/>
              <w:rPr>
                <w:rFonts w:hint="default" w:eastAsia="宋体"/>
                <w:color w:val="000000"/>
                <w:u w:val="none" w:color="auto"/>
                <w:lang w:val="en-US" w:eastAsia="zh-CN"/>
              </w:rPr>
            </w:pPr>
            <w:r>
              <w:rPr>
                <w:rFonts w:hint="eastAsia"/>
                <w:color w:val="000000"/>
                <w:u w:val="none" w:color="auto"/>
                <w:lang w:val="en-US" w:eastAsia="zh-CN"/>
              </w:rPr>
              <w:t>重金属和无机物</w:t>
            </w:r>
          </w:p>
        </w:tc>
        <w:tc>
          <w:tcPr>
            <w:tcW w:w="1378" w:type="pct"/>
            <w:vMerge w:val="restart"/>
            <w:noWrap w:val="0"/>
            <w:vAlign w:val="center"/>
          </w:tcPr>
          <w:p w14:paraId="591DEE45">
            <w:pPr>
              <w:pStyle w:val="37"/>
              <w:rPr>
                <w:color w:val="000000"/>
                <w:u w:val="none" w:color="auto"/>
              </w:rPr>
            </w:pPr>
            <w:r>
              <w:rPr>
                <w:color w:val="000000"/>
                <w:u w:val="none" w:color="auto"/>
              </w:rPr>
              <w:t>《土壤环境质量建设用地土壤污染风险管控标准》（GB36600-2018）（本项目执行筛选值标准）</w:t>
            </w:r>
          </w:p>
        </w:tc>
      </w:tr>
      <w:tr w14:paraId="49BE3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7CD01DA3">
            <w:pPr>
              <w:pStyle w:val="37"/>
              <w:rPr>
                <w:color w:val="000000"/>
                <w:u w:val="none" w:color="auto"/>
              </w:rPr>
            </w:pPr>
            <w:r>
              <w:rPr>
                <w:color w:val="000000"/>
                <w:u w:val="none" w:color="auto"/>
              </w:rPr>
              <w:t>1</w:t>
            </w:r>
          </w:p>
        </w:tc>
        <w:tc>
          <w:tcPr>
            <w:tcW w:w="1910" w:type="pct"/>
            <w:noWrap w:val="0"/>
            <w:vAlign w:val="center"/>
          </w:tcPr>
          <w:p w14:paraId="14CA5B48">
            <w:pPr>
              <w:pStyle w:val="37"/>
              <w:rPr>
                <w:color w:val="000000"/>
                <w:u w:val="none" w:color="auto"/>
              </w:rPr>
            </w:pPr>
            <w:r>
              <w:rPr>
                <w:color w:val="000000"/>
                <w:u w:val="none" w:color="auto"/>
              </w:rPr>
              <w:t>砷</w:t>
            </w:r>
          </w:p>
        </w:tc>
        <w:tc>
          <w:tcPr>
            <w:tcW w:w="1126" w:type="pct"/>
            <w:noWrap w:val="0"/>
            <w:vAlign w:val="center"/>
          </w:tcPr>
          <w:p w14:paraId="155D26DB">
            <w:pPr>
              <w:pStyle w:val="37"/>
              <w:rPr>
                <w:rFonts w:ascii="Times New Roman" w:hAnsi="Times New Roman" w:eastAsia="宋体"/>
                <w:color w:val="000000"/>
                <w:kern w:val="2"/>
                <w:sz w:val="21"/>
                <w:szCs w:val="21"/>
                <w:u w:val="none" w:color="auto"/>
                <w:lang w:val="en-US" w:eastAsia="zh-CN" w:bidi="ar-SA"/>
              </w:rPr>
            </w:pPr>
            <w:r>
              <w:rPr>
                <w:color w:val="000000"/>
                <w:u w:val="none" w:color="auto"/>
              </w:rPr>
              <w:t>60</w:t>
            </w:r>
          </w:p>
        </w:tc>
        <w:tc>
          <w:tcPr>
            <w:tcW w:w="1378" w:type="pct"/>
            <w:vMerge w:val="continue"/>
            <w:noWrap w:val="0"/>
            <w:vAlign w:val="center"/>
          </w:tcPr>
          <w:p w14:paraId="38D1A1E4">
            <w:pPr>
              <w:pStyle w:val="37"/>
              <w:rPr>
                <w:color w:val="000000"/>
                <w:u w:val="none" w:color="auto"/>
              </w:rPr>
            </w:pPr>
          </w:p>
        </w:tc>
      </w:tr>
      <w:tr w14:paraId="7C4ED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0B660977">
            <w:pPr>
              <w:pStyle w:val="37"/>
              <w:rPr>
                <w:color w:val="000000"/>
                <w:u w:val="none" w:color="auto"/>
              </w:rPr>
            </w:pPr>
            <w:r>
              <w:rPr>
                <w:color w:val="000000"/>
                <w:u w:val="none" w:color="auto"/>
              </w:rPr>
              <w:t>2</w:t>
            </w:r>
          </w:p>
        </w:tc>
        <w:tc>
          <w:tcPr>
            <w:tcW w:w="1910" w:type="pct"/>
            <w:noWrap w:val="0"/>
            <w:vAlign w:val="center"/>
          </w:tcPr>
          <w:p w14:paraId="21CE2C96">
            <w:pPr>
              <w:pStyle w:val="37"/>
              <w:rPr>
                <w:color w:val="000000"/>
                <w:u w:val="none" w:color="auto"/>
              </w:rPr>
            </w:pPr>
            <w:r>
              <w:rPr>
                <w:color w:val="000000"/>
                <w:u w:val="none" w:color="auto"/>
              </w:rPr>
              <w:t>镉</w:t>
            </w:r>
          </w:p>
        </w:tc>
        <w:tc>
          <w:tcPr>
            <w:tcW w:w="1126" w:type="pct"/>
            <w:noWrap w:val="0"/>
            <w:vAlign w:val="center"/>
          </w:tcPr>
          <w:p w14:paraId="633024AA">
            <w:pPr>
              <w:pStyle w:val="37"/>
              <w:rPr>
                <w:rFonts w:ascii="Times New Roman" w:hAnsi="Times New Roman" w:eastAsia="宋体"/>
                <w:color w:val="000000"/>
                <w:kern w:val="2"/>
                <w:sz w:val="21"/>
                <w:szCs w:val="21"/>
                <w:u w:val="none" w:color="auto"/>
                <w:lang w:val="en-US" w:eastAsia="zh-CN" w:bidi="ar-SA"/>
              </w:rPr>
            </w:pPr>
            <w:r>
              <w:rPr>
                <w:color w:val="000000"/>
                <w:u w:val="none" w:color="auto"/>
              </w:rPr>
              <w:t>65</w:t>
            </w:r>
          </w:p>
        </w:tc>
        <w:tc>
          <w:tcPr>
            <w:tcW w:w="1378" w:type="pct"/>
            <w:vMerge w:val="continue"/>
            <w:noWrap w:val="0"/>
            <w:vAlign w:val="center"/>
          </w:tcPr>
          <w:p w14:paraId="46BB609B">
            <w:pPr>
              <w:pStyle w:val="37"/>
              <w:rPr>
                <w:color w:val="000000"/>
                <w:u w:val="none" w:color="auto"/>
              </w:rPr>
            </w:pPr>
          </w:p>
        </w:tc>
      </w:tr>
      <w:tr w14:paraId="192F4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58FC79F8">
            <w:pPr>
              <w:pStyle w:val="37"/>
              <w:rPr>
                <w:color w:val="000000"/>
                <w:u w:val="none" w:color="auto"/>
              </w:rPr>
            </w:pPr>
            <w:r>
              <w:rPr>
                <w:color w:val="000000"/>
                <w:u w:val="none" w:color="auto"/>
              </w:rPr>
              <w:t>3</w:t>
            </w:r>
          </w:p>
        </w:tc>
        <w:tc>
          <w:tcPr>
            <w:tcW w:w="1910" w:type="pct"/>
            <w:noWrap w:val="0"/>
            <w:vAlign w:val="center"/>
          </w:tcPr>
          <w:p w14:paraId="324AC20F">
            <w:pPr>
              <w:pStyle w:val="37"/>
              <w:rPr>
                <w:color w:val="000000"/>
                <w:u w:val="none" w:color="auto"/>
              </w:rPr>
            </w:pPr>
            <w:r>
              <w:rPr>
                <w:color w:val="000000"/>
                <w:u w:val="none" w:color="auto"/>
              </w:rPr>
              <w:t>铬（六价）</w:t>
            </w:r>
          </w:p>
        </w:tc>
        <w:tc>
          <w:tcPr>
            <w:tcW w:w="1126" w:type="pct"/>
            <w:noWrap w:val="0"/>
            <w:vAlign w:val="center"/>
          </w:tcPr>
          <w:p w14:paraId="45427D2A">
            <w:pPr>
              <w:pStyle w:val="37"/>
              <w:rPr>
                <w:rFonts w:ascii="Times New Roman" w:hAnsi="Times New Roman" w:eastAsia="宋体"/>
                <w:color w:val="000000"/>
                <w:kern w:val="2"/>
                <w:sz w:val="21"/>
                <w:szCs w:val="21"/>
                <w:u w:val="none" w:color="auto"/>
                <w:lang w:val="en-US" w:eastAsia="zh-CN" w:bidi="ar-SA"/>
              </w:rPr>
            </w:pPr>
            <w:r>
              <w:rPr>
                <w:color w:val="000000"/>
                <w:u w:val="none" w:color="auto"/>
              </w:rPr>
              <w:t>5.7</w:t>
            </w:r>
          </w:p>
        </w:tc>
        <w:tc>
          <w:tcPr>
            <w:tcW w:w="1378" w:type="pct"/>
            <w:vMerge w:val="continue"/>
            <w:noWrap w:val="0"/>
            <w:vAlign w:val="center"/>
          </w:tcPr>
          <w:p w14:paraId="0E13870F">
            <w:pPr>
              <w:pStyle w:val="37"/>
              <w:rPr>
                <w:color w:val="000000"/>
                <w:u w:val="none" w:color="auto"/>
              </w:rPr>
            </w:pPr>
          </w:p>
        </w:tc>
      </w:tr>
      <w:tr w14:paraId="317A4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05192244">
            <w:pPr>
              <w:pStyle w:val="37"/>
              <w:rPr>
                <w:color w:val="000000"/>
                <w:u w:val="none" w:color="auto"/>
              </w:rPr>
            </w:pPr>
            <w:r>
              <w:rPr>
                <w:color w:val="000000"/>
                <w:u w:val="none" w:color="auto"/>
              </w:rPr>
              <w:t>4</w:t>
            </w:r>
          </w:p>
        </w:tc>
        <w:tc>
          <w:tcPr>
            <w:tcW w:w="1910" w:type="pct"/>
            <w:noWrap w:val="0"/>
            <w:vAlign w:val="center"/>
          </w:tcPr>
          <w:p w14:paraId="137BC6AC">
            <w:pPr>
              <w:pStyle w:val="37"/>
              <w:rPr>
                <w:color w:val="000000"/>
                <w:u w:val="none" w:color="auto"/>
              </w:rPr>
            </w:pPr>
            <w:r>
              <w:rPr>
                <w:color w:val="000000"/>
                <w:u w:val="none" w:color="auto"/>
              </w:rPr>
              <w:t>铜</w:t>
            </w:r>
          </w:p>
        </w:tc>
        <w:tc>
          <w:tcPr>
            <w:tcW w:w="1126" w:type="pct"/>
            <w:noWrap w:val="0"/>
            <w:vAlign w:val="center"/>
          </w:tcPr>
          <w:p w14:paraId="25D8AFA2">
            <w:pPr>
              <w:pStyle w:val="37"/>
              <w:rPr>
                <w:rFonts w:ascii="Times New Roman" w:hAnsi="Times New Roman" w:eastAsia="宋体"/>
                <w:color w:val="000000"/>
                <w:kern w:val="2"/>
                <w:sz w:val="21"/>
                <w:szCs w:val="21"/>
                <w:u w:val="none" w:color="auto"/>
                <w:lang w:val="en-US" w:eastAsia="zh-CN" w:bidi="ar-SA"/>
              </w:rPr>
            </w:pPr>
            <w:r>
              <w:rPr>
                <w:color w:val="000000"/>
                <w:u w:val="none" w:color="auto"/>
              </w:rPr>
              <w:t>18000</w:t>
            </w:r>
          </w:p>
        </w:tc>
        <w:tc>
          <w:tcPr>
            <w:tcW w:w="1378" w:type="pct"/>
            <w:vMerge w:val="continue"/>
            <w:noWrap w:val="0"/>
            <w:vAlign w:val="center"/>
          </w:tcPr>
          <w:p w14:paraId="1E6252FC">
            <w:pPr>
              <w:pStyle w:val="37"/>
              <w:rPr>
                <w:color w:val="000000"/>
                <w:u w:val="none" w:color="auto"/>
              </w:rPr>
            </w:pPr>
          </w:p>
        </w:tc>
      </w:tr>
      <w:tr w14:paraId="74394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416F1FC9">
            <w:pPr>
              <w:pStyle w:val="37"/>
              <w:rPr>
                <w:color w:val="000000"/>
                <w:u w:val="none" w:color="auto"/>
              </w:rPr>
            </w:pPr>
            <w:r>
              <w:rPr>
                <w:color w:val="000000"/>
                <w:u w:val="none" w:color="auto"/>
              </w:rPr>
              <w:t>5</w:t>
            </w:r>
          </w:p>
        </w:tc>
        <w:tc>
          <w:tcPr>
            <w:tcW w:w="1910" w:type="pct"/>
            <w:noWrap w:val="0"/>
            <w:vAlign w:val="center"/>
          </w:tcPr>
          <w:p w14:paraId="06CD6DA9">
            <w:pPr>
              <w:pStyle w:val="37"/>
              <w:rPr>
                <w:color w:val="000000"/>
                <w:u w:val="none" w:color="auto"/>
              </w:rPr>
            </w:pPr>
            <w:r>
              <w:rPr>
                <w:color w:val="000000"/>
                <w:u w:val="none" w:color="auto"/>
              </w:rPr>
              <w:t>铅</w:t>
            </w:r>
          </w:p>
        </w:tc>
        <w:tc>
          <w:tcPr>
            <w:tcW w:w="1126" w:type="pct"/>
            <w:noWrap w:val="0"/>
            <w:vAlign w:val="center"/>
          </w:tcPr>
          <w:p w14:paraId="4215B9CD">
            <w:pPr>
              <w:pStyle w:val="37"/>
              <w:rPr>
                <w:rFonts w:ascii="Times New Roman" w:hAnsi="Times New Roman" w:eastAsia="宋体"/>
                <w:color w:val="000000"/>
                <w:kern w:val="2"/>
                <w:sz w:val="21"/>
                <w:szCs w:val="21"/>
                <w:u w:val="none" w:color="auto"/>
                <w:lang w:val="en-US" w:eastAsia="zh-CN" w:bidi="ar-SA"/>
              </w:rPr>
            </w:pPr>
            <w:r>
              <w:rPr>
                <w:color w:val="000000"/>
                <w:u w:val="none" w:color="auto"/>
              </w:rPr>
              <w:t>800</w:t>
            </w:r>
          </w:p>
        </w:tc>
        <w:tc>
          <w:tcPr>
            <w:tcW w:w="1378" w:type="pct"/>
            <w:vMerge w:val="continue"/>
            <w:noWrap w:val="0"/>
            <w:vAlign w:val="center"/>
          </w:tcPr>
          <w:p w14:paraId="5368DCA6">
            <w:pPr>
              <w:pStyle w:val="37"/>
              <w:rPr>
                <w:color w:val="000000"/>
                <w:u w:val="none" w:color="auto"/>
              </w:rPr>
            </w:pPr>
          </w:p>
        </w:tc>
      </w:tr>
      <w:tr w14:paraId="7E877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1B15873D">
            <w:pPr>
              <w:pStyle w:val="37"/>
              <w:rPr>
                <w:color w:val="000000"/>
                <w:u w:val="none" w:color="auto"/>
              </w:rPr>
            </w:pPr>
            <w:r>
              <w:rPr>
                <w:color w:val="000000"/>
                <w:u w:val="none" w:color="auto"/>
              </w:rPr>
              <w:t>6</w:t>
            </w:r>
          </w:p>
        </w:tc>
        <w:tc>
          <w:tcPr>
            <w:tcW w:w="1910" w:type="pct"/>
            <w:noWrap w:val="0"/>
            <w:vAlign w:val="center"/>
          </w:tcPr>
          <w:p w14:paraId="3D0FC193">
            <w:pPr>
              <w:pStyle w:val="37"/>
              <w:rPr>
                <w:color w:val="000000"/>
                <w:u w:val="none" w:color="auto"/>
              </w:rPr>
            </w:pPr>
            <w:r>
              <w:rPr>
                <w:color w:val="000000"/>
                <w:u w:val="none" w:color="auto"/>
              </w:rPr>
              <w:t>汞</w:t>
            </w:r>
          </w:p>
        </w:tc>
        <w:tc>
          <w:tcPr>
            <w:tcW w:w="1126" w:type="pct"/>
            <w:noWrap w:val="0"/>
            <w:vAlign w:val="center"/>
          </w:tcPr>
          <w:p w14:paraId="31267196">
            <w:pPr>
              <w:pStyle w:val="37"/>
              <w:rPr>
                <w:rFonts w:ascii="Times New Roman" w:hAnsi="Times New Roman" w:eastAsia="宋体"/>
                <w:color w:val="000000"/>
                <w:kern w:val="2"/>
                <w:sz w:val="21"/>
                <w:szCs w:val="21"/>
                <w:u w:val="none" w:color="auto"/>
                <w:lang w:val="en-US" w:eastAsia="zh-CN" w:bidi="ar-SA"/>
              </w:rPr>
            </w:pPr>
            <w:r>
              <w:rPr>
                <w:color w:val="000000"/>
                <w:u w:val="none" w:color="auto"/>
              </w:rPr>
              <w:t>38</w:t>
            </w:r>
          </w:p>
        </w:tc>
        <w:tc>
          <w:tcPr>
            <w:tcW w:w="1378" w:type="pct"/>
            <w:vMerge w:val="continue"/>
            <w:noWrap w:val="0"/>
            <w:vAlign w:val="center"/>
          </w:tcPr>
          <w:p w14:paraId="6FD7A987">
            <w:pPr>
              <w:pStyle w:val="37"/>
              <w:rPr>
                <w:color w:val="000000"/>
                <w:u w:val="none" w:color="auto"/>
              </w:rPr>
            </w:pPr>
          </w:p>
        </w:tc>
      </w:tr>
      <w:tr w14:paraId="00ADF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0EF57C86">
            <w:pPr>
              <w:pStyle w:val="37"/>
              <w:rPr>
                <w:color w:val="000000"/>
                <w:u w:val="none" w:color="auto"/>
              </w:rPr>
            </w:pPr>
            <w:r>
              <w:rPr>
                <w:color w:val="000000"/>
                <w:u w:val="none" w:color="auto"/>
              </w:rPr>
              <w:t>7</w:t>
            </w:r>
          </w:p>
        </w:tc>
        <w:tc>
          <w:tcPr>
            <w:tcW w:w="1910" w:type="pct"/>
            <w:noWrap w:val="0"/>
            <w:vAlign w:val="center"/>
          </w:tcPr>
          <w:p w14:paraId="4B1F4059">
            <w:pPr>
              <w:pStyle w:val="37"/>
              <w:rPr>
                <w:color w:val="000000"/>
                <w:u w:val="none" w:color="auto"/>
              </w:rPr>
            </w:pPr>
            <w:r>
              <w:rPr>
                <w:color w:val="000000"/>
                <w:u w:val="none" w:color="auto"/>
              </w:rPr>
              <w:t>镍</w:t>
            </w:r>
          </w:p>
        </w:tc>
        <w:tc>
          <w:tcPr>
            <w:tcW w:w="1126" w:type="pct"/>
            <w:noWrap w:val="0"/>
            <w:vAlign w:val="center"/>
          </w:tcPr>
          <w:p w14:paraId="1688E72C">
            <w:pPr>
              <w:pStyle w:val="37"/>
              <w:rPr>
                <w:rFonts w:ascii="Times New Roman" w:hAnsi="Times New Roman" w:eastAsia="宋体"/>
                <w:color w:val="000000"/>
                <w:kern w:val="2"/>
                <w:sz w:val="21"/>
                <w:szCs w:val="21"/>
                <w:u w:val="none" w:color="auto"/>
                <w:lang w:val="en-US" w:eastAsia="zh-CN" w:bidi="ar-SA"/>
              </w:rPr>
            </w:pPr>
            <w:r>
              <w:rPr>
                <w:color w:val="000000"/>
                <w:u w:val="none" w:color="auto"/>
              </w:rPr>
              <w:t>900</w:t>
            </w:r>
          </w:p>
        </w:tc>
        <w:tc>
          <w:tcPr>
            <w:tcW w:w="1378" w:type="pct"/>
            <w:vMerge w:val="continue"/>
            <w:noWrap w:val="0"/>
            <w:vAlign w:val="center"/>
          </w:tcPr>
          <w:p w14:paraId="3295BBE1">
            <w:pPr>
              <w:pStyle w:val="37"/>
              <w:rPr>
                <w:color w:val="000000"/>
                <w:u w:val="none" w:color="auto"/>
              </w:rPr>
            </w:pPr>
          </w:p>
        </w:tc>
      </w:tr>
      <w:tr w14:paraId="681F4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3621" w:type="pct"/>
            <w:gridSpan w:val="3"/>
            <w:noWrap w:val="0"/>
            <w:vAlign w:val="center"/>
          </w:tcPr>
          <w:p w14:paraId="6D2C78DF">
            <w:pPr>
              <w:pStyle w:val="37"/>
              <w:rPr>
                <w:rFonts w:hint="default" w:eastAsia="宋体"/>
                <w:color w:val="000000"/>
                <w:u w:val="none" w:color="auto"/>
                <w:lang w:val="en-US" w:eastAsia="zh-CN"/>
              </w:rPr>
            </w:pPr>
            <w:r>
              <w:rPr>
                <w:rFonts w:hint="eastAsia"/>
                <w:color w:val="000000"/>
                <w:u w:val="none" w:color="auto"/>
                <w:lang w:val="en-US" w:eastAsia="zh-CN"/>
              </w:rPr>
              <w:t>挥发性有机物</w:t>
            </w:r>
          </w:p>
        </w:tc>
        <w:tc>
          <w:tcPr>
            <w:tcW w:w="1378" w:type="pct"/>
            <w:vMerge w:val="continue"/>
            <w:noWrap w:val="0"/>
            <w:vAlign w:val="center"/>
          </w:tcPr>
          <w:p w14:paraId="1CBEE6F3">
            <w:pPr>
              <w:pStyle w:val="37"/>
              <w:rPr>
                <w:color w:val="000000"/>
                <w:u w:val="none" w:color="auto"/>
              </w:rPr>
            </w:pPr>
          </w:p>
        </w:tc>
      </w:tr>
      <w:tr w14:paraId="1B996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50486FC2">
            <w:pPr>
              <w:pStyle w:val="37"/>
              <w:rPr>
                <w:color w:val="000000"/>
                <w:u w:val="none" w:color="auto"/>
              </w:rPr>
            </w:pPr>
            <w:r>
              <w:rPr>
                <w:color w:val="000000"/>
                <w:u w:val="none" w:color="auto"/>
              </w:rPr>
              <w:t>8</w:t>
            </w:r>
          </w:p>
        </w:tc>
        <w:tc>
          <w:tcPr>
            <w:tcW w:w="1910" w:type="pct"/>
            <w:noWrap w:val="0"/>
            <w:vAlign w:val="center"/>
          </w:tcPr>
          <w:p w14:paraId="080D3F3A">
            <w:pPr>
              <w:pStyle w:val="37"/>
              <w:rPr>
                <w:color w:val="000000"/>
                <w:u w:val="none" w:color="auto"/>
              </w:rPr>
            </w:pPr>
            <w:r>
              <w:rPr>
                <w:color w:val="000000"/>
                <w:u w:val="none" w:color="auto"/>
              </w:rPr>
              <w:t>四氯化碳</w:t>
            </w:r>
          </w:p>
        </w:tc>
        <w:tc>
          <w:tcPr>
            <w:tcW w:w="1126" w:type="pct"/>
            <w:noWrap w:val="0"/>
            <w:vAlign w:val="center"/>
          </w:tcPr>
          <w:p w14:paraId="11175E49">
            <w:pPr>
              <w:pStyle w:val="37"/>
              <w:rPr>
                <w:rFonts w:ascii="Times New Roman" w:hAnsi="Times New Roman" w:eastAsia="宋体"/>
                <w:color w:val="000000"/>
                <w:kern w:val="2"/>
                <w:sz w:val="21"/>
                <w:szCs w:val="21"/>
                <w:u w:val="none" w:color="auto"/>
                <w:lang w:val="en-US" w:eastAsia="zh-CN" w:bidi="ar-SA"/>
              </w:rPr>
            </w:pPr>
            <w:r>
              <w:rPr>
                <w:color w:val="000000"/>
                <w:u w:val="none" w:color="auto"/>
              </w:rPr>
              <w:t>2.8</w:t>
            </w:r>
          </w:p>
        </w:tc>
        <w:tc>
          <w:tcPr>
            <w:tcW w:w="1378" w:type="pct"/>
            <w:vMerge w:val="continue"/>
            <w:noWrap w:val="0"/>
            <w:vAlign w:val="center"/>
          </w:tcPr>
          <w:p w14:paraId="257AF1D9">
            <w:pPr>
              <w:pStyle w:val="37"/>
              <w:rPr>
                <w:color w:val="000000"/>
                <w:u w:val="none" w:color="auto"/>
              </w:rPr>
            </w:pPr>
          </w:p>
        </w:tc>
      </w:tr>
      <w:tr w14:paraId="48F5A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798F82C1">
            <w:pPr>
              <w:pStyle w:val="37"/>
              <w:rPr>
                <w:color w:val="000000"/>
                <w:u w:val="none" w:color="auto"/>
              </w:rPr>
            </w:pPr>
            <w:r>
              <w:rPr>
                <w:color w:val="000000"/>
                <w:u w:val="none" w:color="auto"/>
              </w:rPr>
              <w:t>9</w:t>
            </w:r>
          </w:p>
        </w:tc>
        <w:tc>
          <w:tcPr>
            <w:tcW w:w="1910" w:type="pct"/>
            <w:noWrap w:val="0"/>
            <w:vAlign w:val="center"/>
          </w:tcPr>
          <w:p w14:paraId="00E44237">
            <w:pPr>
              <w:pStyle w:val="37"/>
              <w:rPr>
                <w:color w:val="000000"/>
                <w:u w:val="none" w:color="auto"/>
              </w:rPr>
            </w:pPr>
            <w:r>
              <w:rPr>
                <w:color w:val="000000"/>
                <w:u w:val="none" w:color="auto"/>
              </w:rPr>
              <w:t>氯仿</w:t>
            </w:r>
          </w:p>
        </w:tc>
        <w:tc>
          <w:tcPr>
            <w:tcW w:w="1126" w:type="pct"/>
            <w:noWrap w:val="0"/>
            <w:vAlign w:val="center"/>
          </w:tcPr>
          <w:p w14:paraId="7A8CD0E4">
            <w:pPr>
              <w:pStyle w:val="37"/>
              <w:rPr>
                <w:rFonts w:ascii="Times New Roman" w:hAnsi="Times New Roman" w:eastAsia="宋体"/>
                <w:color w:val="000000"/>
                <w:kern w:val="2"/>
                <w:sz w:val="21"/>
                <w:szCs w:val="21"/>
                <w:u w:val="none" w:color="auto"/>
                <w:lang w:val="en-US" w:eastAsia="zh-CN" w:bidi="ar-SA"/>
              </w:rPr>
            </w:pPr>
            <w:r>
              <w:rPr>
                <w:color w:val="000000"/>
                <w:u w:val="none" w:color="auto"/>
              </w:rPr>
              <w:t>0.9</w:t>
            </w:r>
          </w:p>
        </w:tc>
        <w:tc>
          <w:tcPr>
            <w:tcW w:w="1378" w:type="pct"/>
            <w:vMerge w:val="continue"/>
            <w:noWrap w:val="0"/>
            <w:vAlign w:val="center"/>
          </w:tcPr>
          <w:p w14:paraId="4513ACCC">
            <w:pPr>
              <w:pStyle w:val="37"/>
              <w:rPr>
                <w:color w:val="000000"/>
                <w:u w:val="none" w:color="auto"/>
              </w:rPr>
            </w:pPr>
          </w:p>
        </w:tc>
      </w:tr>
      <w:tr w14:paraId="58A95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172258FA">
            <w:pPr>
              <w:pStyle w:val="37"/>
              <w:rPr>
                <w:color w:val="000000"/>
                <w:u w:val="none" w:color="auto"/>
              </w:rPr>
            </w:pPr>
            <w:r>
              <w:rPr>
                <w:color w:val="000000"/>
                <w:u w:val="none" w:color="auto"/>
              </w:rPr>
              <w:t>10</w:t>
            </w:r>
          </w:p>
        </w:tc>
        <w:tc>
          <w:tcPr>
            <w:tcW w:w="1910" w:type="pct"/>
            <w:noWrap w:val="0"/>
            <w:vAlign w:val="center"/>
          </w:tcPr>
          <w:p w14:paraId="60F1A8C0">
            <w:pPr>
              <w:pStyle w:val="37"/>
              <w:rPr>
                <w:color w:val="000000"/>
                <w:u w:val="none" w:color="auto"/>
              </w:rPr>
            </w:pPr>
            <w:r>
              <w:rPr>
                <w:color w:val="000000"/>
                <w:u w:val="none" w:color="auto"/>
              </w:rPr>
              <w:t>氯甲烷</w:t>
            </w:r>
          </w:p>
        </w:tc>
        <w:tc>
          <w:tcPr>
            <w:tcW w:w="1126" w:type="pct"/>
            <w:noWrap w:val="0"/>
            <w:vAlign w:val="center"/>
          </w:tcPr>
          <w:p w14:paraId="5880BF16">
            <w:pPr>
              <w:pStyle w:val="37"/>
              <w:rPr>
                <w:rFonts w:ascii="Times New Roman" w:hAnsi="Times New Roman" w:eastAsia="宋体"/>
                <w:color w:val="000000"/>
                <w:kern w:val="2"/>
                <w:sz w:val="21"/>
                <w:szCs w:val="21"/>
                <w:u w:val="none" w:color="auto"/>
                <w:lang w:val="en-US" w:eastAsia="zh-CN" w:bidi="ar-SA"/>
              </w:rPr>
            </w:pPr>
            <w:r>
              <w:rPr>
                <w:color w:val="000000"/>
                <w:u w:val="none" w:color="auto"/>
              </w:rPr>
              <w:t>37</w:t>
            </w:r>
          </w:p>
        </w:tc>
        <w:tc>
          <w:tcPr>
            <w:tcW w:w="1378" w:type="pct"/>
            <w:vMerge w:val="continue"/>
            <w:noWrap w:val="0"/>
            <w:vAlign w:val="center"/>
          </w:tcPr>
          <w:p w14:paraId="1BF2A28D">
            <w:pPr>
              <w:pStyle w:val="37"/>
              <w:rPr>
                <w:color w:val="000000"/>
                <w:u w:val="none" w:color="auto"/>
              </w:rPr>
            </w:pPr>
          </w:p>
        </w:tc>
      </w:tr>
      <w:tr w14:paraId="0B7F3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19E63798">
            <w:pPr>
              <w:pStyle w:val="37"/>
              <w:rPr>
                <w:color w:val="000000"/>
                <w:u w:val="none" w:color="auto"/>
              </w:rPr>
            </w:pPr>
            <w:r>
              <w:rPr>
                <w:color w:val="000000"/>
                <w:u w:val="none" w:color="auto"/>
              </w:rPr>
              <w:t>11</w:t>
            </w:r>
          </w:p>
        </w:tc>
        <w:tc>
          <w:tcPr>
            <w:tcW w:w="1910" w:type="pct"/>
            <w:noWrap w:val="0"/>
            <w:vAlign w:val="center"/>
          </w:tcPr>
          <w:p w14:paraId="6A97B393">
            <w:pPr>
              <w:pStyle w:val="37"/>
              <w:rPr>
                <w:color w:val="000000"/>
                <w:u w:val="none" w:color="auto"/>
              </w:rPr>
            </w:pPr>
            <w:r>
              <w:rPr>
                <w:color w:val="000000"/>
                <w:u w:val="none" w:color="auto"/>
              </w:rPr>
              <w:t>1</w:t>
            </w:r>
            <w:r>
              <w:rPr>
                <w:rFonts w:hint="eastAsia"/>
                <w:color w:val="000000"/>
                <w:u w:val="none" w:color="auto"/>
                <w:lang w:eastAsia="zh-CN"/>
              </w:rPr>
              <w:t>，</w:t>
            </w:r>
            <w:r>
              <w:rPr>
                <w:color w:val="000000"/>
                <w:u w:val="none" w:color="auto"/>
              </w:rPr>
              <w:t>1-二氯乙烷</w:t>
            </w:r>
          </w:p>
        </w:tc>
        <w:tc>
          <w:tcPr>
            <w:tcW w:w="1126" w:type="pct"/>
            <w:noWrap w:val="0"/>
            <w:vAlign w:val="center"/>
          </w:tcPr>
          <w:p w14:paraId="287C1182">
            <w:pPr>
              <w:pStyle w:val="37"/>
              <w:rPr>
                <w:rFonts w:ascii="Times New Roman" w:hAnsi="Times New Roman" w:eastAsia="宋体"/>
                <w:color w:val="000000"/>
                <w:kern w:val="2"/>
                <w:sz w:val="21"/>
                <w:szCs w:val="21"/>
                <w:u w:val="none" w:color="auto"/>
                <w:lang w:val="en-US" w:eastAsia="zh-CN" w:bidi="ar-SA"/>
              </w:rPr>
            </w:pPr>
            <w:r>
              <w:rPr>
                <w:color w:val="000000"/>
                <w:u w:val="none" w:color="auto"/>
              </w:rPr>
              <w:t>9</w:t>
            </w:r>
          </w:p>
        </w:tc>
        <w:tc>
          <w:tcPr>
            <w:tcW w:w="1378" w:type="pct"/>
            <w:vMerge w:val="continue"/>
            <w:noWrap w:val="0"/>
            <w:vAlign w:val="center"/>
          </w:tcPr>
          <w:p w14:paraId="0C9D9AD4">
            <w:pPr>
              <w:pStyle w:val="37"/>
              <w:rPr>
                <w:color w:val="000000"/>
                <w:u w:val="none" w:color="auto"/>
              </w:rPr>
            </w:pPr>
          </w:p>
        </w:tc>
      </w:tr>
      <w:tr w14:paraId="5F79E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03CA76C">
            <w:pPr>
              <w:pStyle w:val="37"/>
              <w:rPr>
                <w:color w:val="000000"/>
                <w:u w:val="none" w:color="auto"/>
              </w:rPr>
            </w:pPr>
            <w:r>
              <w:rPr>
                <w:color w:val="000000"/>
                <w:u w:val="none" w:color="auto"/>
              </w:rPr>
              <w:t>12</w:t>
            </w:r>
          </w:p>
        </w:tc>
        <w:tc>
          <w:tcPr>
            <w:tcW w:w="1910" w:type="pct"/>
            <w:noWrap w:val="0"/>
            <w:vAlign w:val="center"/>
          </w:tcPr>
          <w:p w14:paraId="76F86260">
            <w:pPr>
              <w:pStyle w:val="37"/>
              <w:rPr>
                <w:color w:val="000000"/>
                <w:u w:val="none" w:color="auto"/>
              </w:rPr>
            </w:pPr>
            <w:r>
              <w:rPr>
                <w:color w:val="000000"/>
                <w:u w:val="none" w:color="auto"/>
              </w:rPr>
              <w:t>1</w:t>
            </w:r>
            <w:r>
              <w:rPr>
                <w:rFonts w:hint="eastAsia"/>
                <w:color w:val="000000"/>
                <w:u w:val="none" w:color="auto"/>
                <w:lang w:eastAsia="zh-CN"/>
              </w:rPr>
              <w:t>，</w:t>
            </w:r>
            <w:r>
              <w:rPr>
                <w:color w:val="000000"/>
                <w:u w:val="none" w:color="auto"/>
              </w:rPr>
              <w:t>2-二氯乙烷</w:t>
            </w:r>
          </w:p>
        </w:tc>
        <w:tc>
          <w:tcPr>
            <w:tcW w:w="1126" w:type="pct"/>
            <w:noWrap w:val="0"/>
            <w:vAlign w:val="center"/>
          </w:tcPr>
          <w:p w14:paraId="794B3018">
            <w:pPr>
              <w:pStyle w:val="37"/>
              <w:rPr>
                <w:rFonts w:ascii="Times New Roman" w:hAnsi="Times New Roman" w:eastAsia="宋体"/>
                <w:color w:val="000000"/>
                <w:kern w:val="2"/>
                <w:sz w:val="21"/>
                <w:szCs w:val="21"/>
                <w:u w:val="none" w:color="auto"/>
                <w:lang w:val="en-US" w:eastAsia="zh-CN" w:bidi="ar-SA"/>
              </w:rPr>
            </w:pPr>
            <w:r>
              <w:rPr>
                <w:color w:val="000000"/>
                <w:u w:val="none" w:color="auto"/>
              </w:rPr>
              <w:t>5</w:t>
            </w:r>
          </w:p>
        </w:tc>
        <w:tc>
          <w:tcPr>
            <w:tcW w:w="1378" w:type="pct"/>
            <w:vMerge w:val="continue"/>
            <w:noWrap w:val="0"/>
            <w:vAlign w:val="center"/>
          </w:tcPr>
          <w:p w14:paraId="37E33056">
            <w:pPr>
              <w:pStyle w:val="37"/>
              <w:rPr>
                <w:color w:val="000000"/>
                <w:u w:val="none" w:color="auto"/>
              </w:rPr>
            </w:pPr>
          </w:p>
        </w:tc>
      </w:tr>
      <w:tr w14:paraId="0F595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884997F">
            <w:pPr>
              <w:pStyle w:val="37"/>
              <w:rPr>
                <w:color w:val="000000"/>
                <w:u w:val="none" w:color="auto"/>
              </w:rPr>
            </w:pPr>
            <w:r>
              <w:rPr>
                <w:color w:val="000000"/>
                <w:u w:val="none" w:color="auto"/>
              </w:rPr>
              <w:t>13</w:t>
            </w:r>
          </w:p>
        </w:tc>
        <w:tc>
          <w:tcPr>
            <w:tcW w:w="1910" w:type="pct"/>
            <w:noWrap w:val="0"/>
            <w:vAlign w:val="center"/>
          </w:tcPr>
          <w:p w14:paraId="61C1177D">
            <w:pPr>
              <w:pStyle w:val="37"/>
              <w:rPr>
                <w:color w:val="000000"/>
                <w:u w:val="none" w:color="auto"/>
              </w:rPr>
            </w:pPr>
            <w:r>
              <w:rPr>
                <w:color w:val="000000"/>
                <w:u w:val="none" w:color="auto"/>
              </w:rPr>
              <w:t>1</w:t>
            </w:r>
            <w:r>
              <w:rPr>
                <w:rFonts w:hint="eastAsia"/>
                <w:color w:val="000000"/>
                <w:u w:val="none" w:color="auto"/>
                <w:lang w:eastAsia="zh-CN"/>
              </w:rPr>
              <w:t>，</w:t>
            </w:r>
            <w:r>
              <w:rPr>
                <w:color w:val="000000"/>
                <w:u w:val="none" w:color="auto"/>
              </w:rPr>
              <w:t>1-二氯乙烯</w:t>
            </w:r>
          </w:p>
        </w:tc>
        <w:tc>
          <w:tcPr>
            <w:tcW w:w="1126" w:type="pct"/>
            <w:noWrap w:val="0"/>
            <w:vAlign w:val="center"/>
          </w:tcPr>
          <w:p w14:paraId="0805665A">
            <w:pPr>
              <w:pStyle w:val="37"/>
              <w:rPr>
                <w:rFonts w:ascii="Times New Roman" w:hAnsi="Times New Roman" w:eastAsia="宋体"/>
                <w:color w:val="000000"/>
                <w:kern w:val="2"/>
                <w:sz w:val="21"/>
                <w:szCs w:val="21"/>
                <w:u w:val="none" w:color="auto"/>
                <w:lang w:val="en-US" w:eastAsia="zh-CN" w:bidi="ar-SA"/>
              </w:rPr>
            </w:pPr>
            <w:r>
              <w:rPr>
                <w:color w:val="000000"/>
                <w:u w:val="none" w:color="auto"/>
              </w:rPr>
              <w:t>66</w:t>
            </w:r>
          </w:p>
        </w:tc>
        <w:tc>
          <w:tcPr>
            <w:tcW w:w="1378" w:type="pct"/>
            <w:vMerge w:val="continue"/>
            <w:noWrap w:val="0"/>
            <w:vAlign w:val="center"/>
          </w:tcPr>
          <w:p w14:paraId="208D7FAE">
            <w:pPr>
              <w:pStyle w:val="37"/>
              <w:rPr>
                <w:color w:val="000000"/>
                <w:u w:val="none" w:color="auto"/>
              </w:rPr>
            </w:pPr>
          </w:p>
        </w:tc>
      </w:tr>
      <w:tr w14:paraId="5E635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0E6AF02">
            <w:pPr>
              <w:pStyle w:val="37"/>
              <w:rPr>
                <w:color w:val="000000"/>
                <w:u w:val="none" w:color="auto"/>
              </w:rPr>
            </w:pPr>
            <w:r>
              <w:rPr>
                <w:color w:val="000000"/>
                <w:u w:val="none" w:color="auto"/>
              </w:rPr>
              <w:t>14</w:t>
            </w:r>
          </w:p>
        </w:tc>
        <w:tc>
          <w:tcPr>
            <w:tcW w:w="1910" w:type="pct"/>
            <w:noWrap w:val="0"/>
            <w:vAlign w:val="center"/>
          </w:tcPr>
          <w:p w14:paraId="74D438DF">
            <w:pPr>
              <w:pStyle w:val="37"/>
              <w:rPr>
                <w:color w:val="000000"/>
                <w:u w:val="none" w:color="auto"/>
              </w:rPr>
            </w:pPr>
            <w:r>
              <w:rPr>
                <w:color w:val="000000"/>
                <w:u w:val="none" w:color="auto"/>
              </w:rPr>
              <w:t>顺-1</w:t>
            </w:r>
            <w:r>
              <w:rPr>
                <w:rFonts w:hint="eastAsia"/>
                <w:color w:val="000000"/>
                <w:u w:val="none" w:color="auto"/>
                <w:lang w:eastAsia="zh-CN"/>
              </w:rPr>
              <w:t>，</w:t>
            </w:r>
            <w:r>
              <w:rPr>
                <w:color w:val="000000"/>
                <w:u w:val="none" w:color="auto"/>
              </w:rPr>
              <w:t>2-二氯乙烯</w:t>
            </w:r>
          </w:p>
        </w:tc>
        <w:tc>
          <w:tcPr>
            <w:tcW w:w="1126" w:type="pct"/>
            <w:noWrap w:val="0"/>
            <w:vAlign w:val="center"/>
          </w:tcPr>
          <w:p w14:paraId="5D081B0F">
            <w:pPr>
              <w:pStyle w:val="37"/>
              <w:rPr>
                <w:rFonts w:ascii="Times New Roman" w:hAnsi="Times New Roman" w:eastAsia="宋体"/>
                <w:color w:val="000000"/>
                <w:kern w:val="2"/>
                <w:sz w:val="21"/>
                <w:szCs w:val="21"/>
                <w:u w:val="none" w:color="auto"/>
                <w:lang w:val="en-US" w:eastAsia="zh-CN" w:bidi="ar-SA"/>
              </w:rPr>
            </w:pPr>
            <w:r>
              <w:rPr>
                <w:color w:val="000000"/>
                <w:u w:val="none" w:color="auto"/>
              </w:rPr>
              <w:t>596</w:t>
            </w:r>
          </w:p>
        </w:tc>
        <w:tc>
          <w:tcPr>
            <w:tcW w:w="1378" w:type="pct"/>
            <w:vMerge w:val="continue"/>
            <w:noWrap w:val="0"/>
            <w:vAlign w:val="center"/>
          </w:tcPr>
          <w:p w14:paraId="201995A1">
            <w:pPr>
              <w:pStyle w:val="37"/>
              <w:rPr>
                <w:color w:val="000000"/>
                <w:u w:val="none" w:color="auto"/>
              </w:rPr>
            </w:pPr>
          </w:p>
        </w:tc>
      </w:tr>
      <w:tr w14:paraId="04FCE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467FE92E">
            <w:pPr>
              <w:pStyle w:val="37"/>
              <w:rPr>
                <w:color w:val="000000"/>
                <w:u w:val="none" w:color="auto"/>
              </w:rPr>
            </w:pPr>
            <w:r>
              <w:rPr>
                <w:color w:val="000000"/>
                <w:u w:val="none" w:color="auto"/>
              </w:rPr>
              <w:t>15</w:t>
            </w:r>
          </w:p>
        </w:tc>
        <w:tc>
          <w:tcPr>
            <w:tcW w:w="1910" w:type="pct"/>
            <w:noWrap w:val="0"/>
            <w:vAlign w:val="center"/>
          </w:tcPr>
          <w:p w14:paraId="2FF7711E">
            <w:pPr>
              <w:pStyle w:val="37"/>
              <w:rPr>
                <w:color w:val="000000"/>
                <w:u w:val="none" w:color="auto"/>
              </w:rPr>
            </w:pPr>
            <w:r>
              <w:rPr>
                <w:color w:val="000000"/>
                <w:u w:val="none" w:color="auto"/>
              </w:rPr>
              <w:t>反-1</w:t>
            </w:r>
            <w:r>
              <w:rPr>
                <w:rFonts w:hint="eastAsia"/>
                <w:color w:val="000000"/>
                <w:u w:val="none" w:color="auto"/>
                <w:lang w:eastAsia="zh-CN"/>
              </w:rPr>
              <w:t>，</w:t>
            </w:r>
            <w:r>
              <w:rPr>
                <w:color w:val="000000"/>
                <w:u w:val="none" w:color="auto"/>
              </w:rPr>
              <w:t>2-二氯乙烯</w:t>
            </w:r>
          </w:p>
        </w:tc>
        <w:tc>
          <w:tcPr>
            <w:tcW w:w="1126" w:type="pct"/>
            <w:noWrap w:val="0"/>
            <w:vAlign w:val="center"/>
          </w:tcPr>
          <w:p w14:paraId="27200A5F">
            <w:pPr>
              <w:pStyle w:val="37"/>
              <w:rPr>
                <w:rFonts w:ascii="Times New Roman" w:hAnsi="Times New Roman" w:eastAsia="宋体"/>
                <w:color w:val="000000"/>
                <w:kern w:val="2"/>
                <w:sz w:val="21"/>
                <w:szCs w:val="21"/>
                <w:u w:val="none" w:color="auto"/>
                <w:lang w:val="en-US" w:eastAsia="zh-CN" w:bidi="ar-SA"/>
              </w:rPr>
            </w:pPr>
            <w:r>
              <w:rPr>
                <w:color w:val="000000"/>
                <w:u w:val="none" w:color="auto"/>
              </w:rPr>
              <w:t>54</w:t>
            </w:r>
          </w:p>
        </w:tc>
        <w:tc>
          <w:tcPr>
            <w:tcW w:w="1378" w:type="pct"/>
            <w:vMerge w:val="continue"/>
            <w:noWrap w:val="0"/>
            <w:vAlign w:val="center"/>
          </w:tcPr>
          <w:p w14:paraId="44B7272F">
            <w:pPr>
              <w:pStyle w:val="37"/>
              <w:rPr>
                <w:color w:val="000000"/>
                <w:u w:val="none" w:color="auto"/>
              </w:rPr>
            </w:pPr>
          </w:p>
        </w:tc>
      </w:tr>
      <w:tr w14:paraId="3D738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DB9AC57">
            <w:pPr>
              <w:pStyle w:val="37"/>
              <w:rPr>
                <w:color w:val="000000"/>
                <w:u w:val="none" w:color="auto"/>
              </w:rPr>
            </w:pPr>
            <w:r>
              <w:rPr>
                <w:color w:val="000000"/>
                <w:u w:val="none" w:color="auto"/>
              </w:rPr>
              <w:t>16</w:t>
            </w:r>
          </w:p>
        </w:tc>
        <w:tc>
          <w:tcPr>
            <w:tcW w:w="1910" w:type="pct"/>
            <w:noWrap w:val="0"/>
            <w:vAlign w:val="center"/>
          </w:tcPr>
          <w:p w14:paraId="14BD3FF2">
            <w:pPr>
              <w:pStyle w:val="37"/>
              <w:rPr>
                <w:color w:val="000000"/>
                <w:u w:val="none" w:color="auto"/>
              </w:rPr>
            </w:pPr>
            <w:r>
              <w:rPr>
                <w:color w:val="000000"/>
                <w:u w:val="none" w:color="auto"/>
              </w:rPr>
              <w:t>二氯甲烷</w:t>
            </w:r>
          </w:p>
        </w:tc>
        <w:tc>
          <w:tcPr>
            <w:tcW w:w="1126" w:type="pct"/>
            <w:noWrap w:val="0"/>
            <w:vAlign w:val="center"/>
          </w:tcPr>
          <w:p w14:paraId="7B7B2486">
            <w:pPr>
              <w:pStyle w:val="37"/>
              <w:rPr>
                <w:rFonts w:ascii="Times New Roman" w:hAnsi="Times New Roman" w:eastAsia="宋体"/>
                <w:color w:val="000000"/>
                <w:kern w:val="2"/>
                <w:sz w:val="21"/>
                <w:szCs w:val="21"/>
                <w:u w:val="none" w:color="auto"/>
                <w:lang w:val="en-US" w:eastAsia="zh-CN" w:bidi="ar-SA"/>
              </w:rPr>
            </w:pPr>
            <w:r>
              <w:rPr>
                <w:color w:val="000000"/>
                <w:u w:val="none" w:color="auto"/>
              </w:rPr>
              <w:t>616</w:t>
            </w:r>
          </w:p>
        </w:tc>
        <w:tc>
          <w:tcPr>
            <w:tcW w:w="1378" w:type="pct"/>
            <w:vMerge w:val="continue"/>
            <w:noWrap w:val="0"/>
            <w:vAlign w:val="center"/>
          </w:tcPr>
          <w:p w14:paraId="1C89B217">
            <w:pPr>
              <w:pStyle w:val="37"/>
              <w:rPr>
                <w:color w:val="000000"/>
                <w:u w:val="none" w:color="auto"/>
              </w:rPr>
            </w:pPr>
          </w:p>
        </w:tc>
      </w:tr>
      <w:tr w14:paraId="5132B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0D268C7D">
            <w:pPr>
              <w:pStyle w:val="37"/>
              <w:rPr>
                <w:color w:val="000000"/>
                <w:u w:val="none" w:color="auto"/>
              </w:rPr>
            </w:pPr>
            <w:r>
              <w:rPr>
                <w:color w:val="000000"/>
                <w:u w:val="none" w:color="auto"/>
              </w:rPr>
              <w:t>17</w:t>
            </w:r>
          </w:p>
        </w:tc>
        <w:tc>
          <w:tcPr>
            <w:tcW w:w="1910" w:type="pct"/>
            <w:noWrap w:val="0"/>
            <w:vAlign w:val="center"/>
          </w:tcPr>
          <w:p w14:paraId="40EF0539">
            <w:pPr>
              <w:pStyle w:val="37"/>
              <w:rPr>
                <w:color w:val="000000"/>
                <w:u w:val="none" w:color="auto"/>
              </w:rPr>
            </w:pPr>
            <w:r>
              <w:rPr>
                <w:color w:val="000000"/>
                <w:u w:val="none" w:color="auto"/>
              </w:rPr>
              <w:t>1，2-二氯丙烷</w:t>
            </w:r>
          </w:p>
        </w:tc>
        <w:tc>
          <w:tcPr>
            <w:tcW w:w="1126" w:type="pct"/>
            <w:noWrap w:val="0"/>
            <w:vAlign w:val="center"/>
          </w:tcPr>
          <w:p w14:paraId="465245A1">
            <w:pPr>
              <w:pStyle w:val="37"/>
              <w:rPr>
                <w:rFonts w:ascii="Times New Roman" w:hAnsi="Times New Roman" w:eastAsia="宋体"/>
                <w:color w:val="000000"/>
                <w:kern w:val="2"/>
                <w:sz w:val="21"/>
                <w:szCs w:val="21"/>
                <w:u w:val="none" w:color="auto"/>
                <w:lang w:val="en-US" w:eastAsia="zh-CN" w:bidi="ar-SA"/>
              </w:rPr>
            </w:pPr>
            <w:r>
              <w:rPr>
                <w:color w:val="000000"/>
                <w:u w:val="none" w:color="auto"/>
              </w:rPr>
              <w:t>5</w:t>
            </w:r>
          </w:p>
        </w:tc>
        <w:tc>
          <w:tcPr>
            <w:tcW w:w="1378" w:type="pct"/>
            <w:vMerge w:val="continue"/>
            <w:noWrap w:val="0"/>
            <w:vAlign w:val="center"/>
          </w:tcPr>
          <w:p w14:paraId="62044A98">
            <w:pPr>
              <w:pStyle w:val="37"/>
              <w:rPr>
                <w:color w:val="000000"/>
                <w:u w:val="none" w:color="auto"/>
              </w:rPr>
            </w:pPr>
          </w:p>
        </w:tc>
      </w:tr>
      <w:tr w14:paraId="3B06E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4C2A845">
            <w:pPr>
              <w:pStyle w:val="37"/>
              <w:rPr>
                <w:color w:val="000000"/>
                <w:u w:val="none" w:color="auto"/>
              </w:rPr>
            </w:pPr>
            <w:r>
              <w:rPr>
                <w:color w:val="000000"/>
                <w:u w:val="none" w:color="auto"/>
              </w:rPr>
              <w:t>18</w:t>
            </w:r>
          </w:p>
        </w:tc>
        <w:tc>
          <w:tcPr>
            <w:tcW w:w="1910" w:type="pct"/>
            <w:noWrap w:val="0"/>
            <w:vAlign w:val="center"/>
          </w:tcPr>
          <w:p w14:paraId="4411C4E7">
            <w:pPr>
              <w:pStyle w:val="37"/>
              <w:rPr>
                <w:color w:val="000000"/>
                <w:u w:val="none" w:color="auto"/>
              </w:rPr>
            </w:pPr>
            <w:r>
              <w:rPr>
                <w:color w:val="000000"/>
                <w:u w:val="none" w:color="auto"/>
              </w:rPr>
              <w:t>1</w:t>
            </w:r>
            <w:r>
              <w:rPr>
                <w:rFonts w:hint="eastAsia"/>
                <w:color w:val="000000"/>
                <w:u w:val="none" w:color="auto"/>
                <w:lang w:eastAsia="zh-CN"/>
              </w:rPr>
              <w:t>，</w:t>
            </w:r>
            <w:r>
              <w:rPr>
                <w:color w:val="000000"/>
                <w:u w:val="none" w:color="auto"/>
              </w:rPr>
              <w:t>1</w:t>
            </w:r>
            <w:r>
              <w:rPr>
                <w:rFonts w:hint="eastAsia"/>
                <w:color w:val="000000"/>
                <w:u w:val="none" w:color="auto"/>
                <w:lang w:eastAsia="zh-CN"/>
              </w:rPr>
              <w:t>，</w:t>
            </w:r>
            <w:r>
              <w:rPr>
                <w:color w:val="000000"/>
                <w:u w:val="none" w:color="auto"/>
              </w:rPr>
              <w:t>1</w:t>
            </w:r>
            <w:r>
              <w:rPr>
                <w:rFonts w:hint="eastAsia"/>
                <w:color w:val="000000"/>
                <w:u w:val="none" w:color="auto"/>
                <w:lang w:eastAsia="zh-CN"/>
              </w:rPr>
              <w:t>，</w:t>
            </w:r>
            <w:r>
              <w:rPr>
                <w:color w:val="000000"/>
                <w:u w:val="none" w:color="auto"/>
              </w:rPr>
              <w:t>2-四氯乙烷</w:t>
            </w:r>
          </w:p>
        </w:tc>
        <w:tc>
          <w:tcPr>
            <w:tcW w:w="1126" w:type="pct"/>
            <w:noWrap w:val="0"/>
            <w:vAlign w:val="center"/>
          </w:tcPr>
          <w:p w14:paraId="206EEE5D">
            <w:pPr>
              <w:pStyle w:val="37"/>
              <w:rPr>
                <w:rFonts w:ascii="Times New Roman" w:hAnsi="Times New Roman" w:eastAsia="宋体"/>
                <w:color w:val="000000"/>
                <w:kern w:val="2"/>
                <w:sz w:val="21"/>
                <w:szCs w:val="21"/>
                <w:u w:val="none" w:color="auto"/>
                <w:lang w:val="en-US" w:eastAsia="zh-CN" w:bidi="ar-SA"/>
              </w:rPr>
            </w:pPr>
            <w:r>
              <w:rPr>
                <w:color w:val="000000"/>
                <w:u w:val="none" w:color="auto"/>
              </w:rPr>
              <w:t>10</w:t>
            </w:r>
          </w:p>
        </w:tc>
        <w:tc>
          <w:tcPr>
            <w:tcW w:w="1378" w:type="pct"/>
            <w:vMerge w:val="continue"/>
            <w:noWrap w:val="0"/>
            <w:vAlign w:val="center"/>
          </w:tcPr>
          <w:p w14:paraId="29141229">
            <w:pPr>
              <w:pStyle w:val="37"/>
              <w:rPr>
                <w:color w:val="000000"/>
                <w:u w:val="none" w:color="auto"/>
              </w:rPr>
            </w:pPr>
          </w:p>
        </w:tc>
      </w:tr>
      <w:tr w14:paraId="68771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256E585">
            <w:pPr>
              <w:pStyle w:val="37"/>
              <w:rPr>
                <w:color w:val="000000"/>
                <w:u w:val="none" w:color="auto"/>
              </w:rPr>
            </w:pPr>
            <w:r>
              <w:rPr>
                <w:color w:val="000000"/>
                <w:u w:val="none" w:color="auto"/>
              </w:rPr>
              <w:t>19</w:t>
            </w:r>
          </w:p>
        </w:tc>
        <w:tc>
          <w:tcPr>
            <w:tcW w:w="1910" w:type="pct"/>
            <w:noWrap w:val="0"/>
            <w:vAlign w:val="center"/>
          </w:tcPr>
          <w:p w14:paraId="414254FC">
            <w:pPr>
              <w:pStyle w:val="37"/>
              <w:rPr>
                <w:color w:val="000000"/>
                <w:u w:val="none" w:color="auto"/>
              </w:rPr>
            </w:pPr>
            <w:r>
              <w:rPr>
                <w:color w:val="000000"/>
                <w:u w:val="none" w:color="auto"/>
              </w:rPr>
              <w:t>1</w:t>
            </w:r>
            <w:r>
              <w:rPr>
                <w:rFonts w:hint="eastAsia"/>
                <w:color w:val="000000"/>
                <w:u w:val="none" w:color="auto"/>
                <w:lang w:eastAsia="zh-CN"/>
              </w:rPr>
              <w:t>，</w:t>
            </w:r>
            <w:r>
              <w:rPr>
                <w:color w:val="000000"/>
                <w:u w:val="none" w:color="auto"/>
              </w:rPr>
              <w:t>1</w:t>
            </w:r>
            <w:r>
              <w:rPr>
                <w:rFonts w:hint="eastAsia"/>
                <w:color w:val="000000"/>
                <w:u w:val="none" w:color="auto"/>
                <w:lang w:eastAsia="zh-CN"/>
              </w:rPr>
              <w:t>，</w:t>
            </w:r>
            <w:r>
              <w:rPr>
                <w:color w:val="000000"/>
                <w:u w:val="none" w:color="auto"/>
              </w:rPr>
              <w:t>2</w:t>
            </w:r>
            <w:r>
              <w:rPr>
                <w:rFonts w:hint="eastAsia"/>
                <w:color w:val="000000"/>
                <w:u w:val="none" w:color="auto"/>
                <w:lang w:eastAsia="zh-CN"/>
              </w:rPr>
              <w:t>，</w:t>
            </w:r>
            <w:r>
              <w:rPr>
                <w:color w:val="000000"/>
                <w:u w:val="none" w:color="auto"/>
              </w:rPr>
              <w:t>2-四氯乙烷</w:t>
            </w:r>
          </w:p>
        </w:tc>
        <w:tc>
          <w:tcPr>
            <w:tcW w:w="1126" w:type="pct"/>
            <w:noWrap w:val="0"/>
            <w:vAlign w:val="center"/>
          </w:tcPr>
          <w:p w14:paraId="1FE647AA">
            <w:pPr>
              <w:pStyle w:val="37"/>
              <w:rPr>
                <w:rFonts w:ascii="Times New Roman" w:hAnsi="Times New Roman" w:eastAsia="宋体"/>
                <w:color w:val="000000"/>
                <w:kern w:val="2"/>
                <w:sz w:val="21"/>
                <w:szCs w:val="21"/>
                <w:u w:val="none" w:color="auto"/>
                <w:lang w:val="en-US" w:eastAsia="zh-CN" w:bidi="ar-SA"/>
              </w:rPr>
            </w:pPr>
            <w:r>
              <w:rPr>
                <w:color w:val="000000"/>
                <w:u w:val="none" w:color="auto"/>
              </w:rPr>
              <w:t>6.8</w:t>
            </w:r>
          </w:p>
        </w:tc>
        <w:tc>
          <w:tcPr>
            <w:tcW w:w="1378" w:type="pct"/>
            <w:vMerge w:val="continue"/>
            <w:noWrap w:val="0"/>
            <w:vAlign w:val="center"/>
          </w:tcPr>
          <w:p w14:paraId="71FA8992">
            <w:pPr>
              <w:pStyle w:val="37"/>
              <w:rPr>
                <w:color w:val="000000"/>
                <w:u w:val="none" w:color="auto"/>
              </w:rPr>
            </w:pPr>
          </w:p>
        </w:tc>
      </w:tr>
      <w:tr w14:paraId="0167C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6BC8D980">
            <w:pPr>
              <w:pStyle w:val="37"/>
              <w:rPr>
                <w:color w:val="000000"/>
                <w:u w:val="none" w:color="auto"/>
              </w:rPr>
            </w:pPr>
            <w:r>
              <w:rPr>
                <w:color w:val="000000"/>
                <w:u w:val="none" w:color="auto"/>
              </w:rPr>
              <w:t>20</w:t>
            </w:r>
          </w:p>
        </w:tc>
        <w:tc>
          <w:tcPr>
            <w:tcW w:w="1910" w:type="pct"/>
            <w:noWrap w:val="0"/>
            <w:vAlign w:val="center"/>
          </w:tcPr>
          <w:p w14:paraId="64B6E47D">
            <w:pPr>
              <w:pStyle w:val="37"/>
              <w:rPr>
                <w:color w:val="000000"/>
                <w:u w:val="none" w:color="auto"/>
              </w:rPr>
            </w:pPr>
            <w:r>
              <w:rPr>
                <w:color w:val="000000"/>
                <w:u w:val="none" w:color="auto"/>
              </w:rPr>
              <w:t>四氯乙烯</w:t>
            </w:r>
          </w:p>
        </w:tc>
        <w:tc>
          <w:tcPr>
            <w:tcW w:w="1126" w:type="pct"/>
            <w:noWrap w:val="0"/>
            <w:vAlign w:val="center"/>
          </w:tcPr>
          <w:p w14:paraId="04E559C7">
            <w:pPr>
              <w:pStyle w:val="37"/>
              <w:rPr>
                <w:rFonts w:ascii="Times New Roman" w:hAnsi="Times New Roman" w:eastAsia="宋体"/>
                <w:color w:val="000000"/>
                <w:kern w:val="2"/>
                <w:sz w:val="21"/>
                <w:szCs w:val="21"/>
                <w:u w:val="none" w:color="auto"/>
                <w:lang w:val="en-US" w:eastAsia="zh-CN" w:bidi="ar-SA"/>
              </w:rPr>
            </w:pPr>
            <w:r>
              <w:rPr>
                <w:color w:val="000000"/>
                <w:u w:val="none" w:color="auto"/>
              </w:rPr>
              <w:t>53</w:t>
            </w:r>
          </w:p>
        </w:tc>
        <w:tc>
          <w:tcPr>
            <w:tcW w:w="1378" w:type="pct"/>
            <w:vMerge w:val="continue"/>
            <w:noWrap w:val="0"/>
            <w:vAlign w:val="center"/>
          </w:tcPr>
          <w:p w14:paraId="63290CA6">
            <w:pPr>
              <w:pStyle w:val="37"/>
              <w:rPr>
                <w:color w:val="000000"/>
                <w:u w:val="none" w:color="auto"/>
              </w:rPr>
            </w:pPr>
          </w:p>
        </w:tc>
      </w:tr>
      <w:tr w14:paraId="16086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4EB5FB16">
            <w:pPr>
              <w:pStyle w:val="37"/>
              <w:rPr>
                <w:color w:val="000000"/>
                <w:u w:val="none" w:color="auto"/>
              </w:rPr>
            </w:pPr>
            <w:r>
              <w:rPr>
                <w:color w:val="000000"/>
                <w:u w:val="none" w:color="auto"/>
              </w:rPr>
              <w:t>21</w:t>
            </w:r>
          </w:p>
        </w:tc>
        <w:tc>
          <w:tcPr>
            <w:tcW w:w="1910" w:type="pct"/>
            <w:noWrap w:val="0"/>
            <w:vAlign w:val="center"/>
          </w:tcPr>
          <w:p w14:paraId="7747DEA3">
            <w:pPr>
              <w:pStyle w:val="37"/>
              <w:rPr>
                <w:color w:val="000000"/>
                <w:u w:val="none" w:color="auto"/>
              </w:rPr>
            </w:pPr>
            <w:r>
              <w:rPr>
                <w:color w:val="000000"/>
                <w:u w:val="none" w:color="auto"/>
              </w:rPr>
              <w:t>1，1，1-三氯乙烷</w:t>
            </w:r>
          </w:p>
        </w:tc>
        <w:tc>
          <w:tcPr>
            <w:tcW w:w="1126" w:type="pct"/>
            <w:noWrap w:val="0"/>
            <w:vAlign w:val="center"/>
          </w:tcPr>
          <w:p w14:paraId="5C28C6C2">
            <w:pPr>
              <w:pStyle w:val="37"/>
              <w:rPr>
                <w:rFonts w:ascii="Times New Roman" w:hAnsi="Times New Roman" w:eastAsia="宋体"/>
                <w:color w:val="000000"/>
                <w:kern w:val="2"/>
                <w:sz w:val="21"/>
                <w:szCs w:val="21"/>
                <w:u w:val="none" w:color="auto"/>
                <w:lang w:val="en-US" w:eastAsia="zh-CN" w:bidi="ar-SA"/>
              </w:rPr>
            </w:pPr>
            <w:r>
              <w:rPr>
                <w:color w:val="000000"/>
                <w:u w:val="none" w:color="auto"/>
              </w:rPr>
              <w:t>840</w:t>
            </w:r>
          </w:p>
        </w:tc>
        <w:tc>
          <w:tcPr>
            <w:tcW w:w="1378" w:type="pct"/>
            <w:vMerge w:val="continue"/>
            <w:noWrap w:val="0"/>
            <w:vAlign w:val="center"/>
          </w:tcPr>
          <w:p w14:paraId="63D4DA67">
            <w:pPr>
              <w:pStyle w:val="37"/>
              <w:rPr>
                <w:color w:val="000000"/>
                <w:u w:val="none" w:color="auto"/>
              </w:rPr>
            </w:pPr>
          </w:p>
        </w:tc>
      </w:tr>
      <w:tr w14:paraId="6D8C5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67555FE5">
            <w:pPr>
              <w:pStyle w:val="37"/>
              <w:rPr>
                <w:color w:val="000000"/>
                <w:u w:val="none" w:color="auto"/>
              </w:rPr>
            </w:pPr>
            <w:r>
              <w:rPr>
                <w:color w:val="000000"/>
                <w:u w:val="none" w:color="auto"/>
              </w:rPr>
              <w:t>22</w:t>
            </w:r>
          </w:p>
        </w:tc>
        <w:tc>
          <w:tcPr>
            <w:tcW w:w="1910" w:type="pct"/>
            <w:noWrap w:val="0"/>
            <w:vAlign w:val="center"/>
          </w:tcPr>
          <w:p w14:paraId="10C51930">
            <w:pPr>
              <w:pStyle w:val="37"/>
              <w:rPr>
                <w:color w:val="000000"/>
                <w:u w:val="none" w:color="auto"/>
              </w:rPr>
            </w:pPr>
            <w:r>
              <w:rPr>
                <w:color w:val="000000"/>
                <w:u w:val="none" w:color="auto"/>
              </w:rPr>
              <w:t>1，1，2三氯乙烷</w:t>
            </w:r>
          </w:p>
        </w:tc>
        <w:tc>
          <w:tcPr>
            <w:tcW w:w="1126" w:type="pct"/>
            <w:noWrap w:val="0"/>
            <w:vAlign w:val="center"/>
          </w:tcPr>
          <w:p w14:paraId="6691ED2D">
            <w:pPr>
              <w:pStyle w:val="37"/>
              <w:rPr>
                <w:rFonts w:ascii="Times New Roman" w:hAnsi="Times New Roman" w:eastAsia="宋体"/>
                <w:color w:val="000000"/>
                <w:kern w:val="2"/>
                <w:sz w:val="21"/>
                <w:szCs w:val="21"/>
                <w:u w:val="none" w:color="auto"/>
                <w:lang w:val="en-US" w:eastAsia="zh-CN" w:bidi="ar-SA"/>
              </w:rPr>
            </w:pPr>
            <w:r>
              <w:rPr>
                <w:color w:val="000000"/>
                <w:u w:val="none" w:color="auto"/>
              </w:rPr>
              <w:t>2.8</w:t>
            </w:r>
          </w:p>
        </w:tc>
        <w:tc>
          <w:tcPr>
            <w:tcW w:w="1378" w:type="pct"/>
            <w:vMerge w:val="continue"/>
            <w:noWrap w:val="0"/>
            <w:vAlign w:val="center"/>
          </w:tcPr>
          <w:p w14:paraId="784694A0">
            <w:pPr>
              <w:pStyle w:val="37"/>
              <w:rPr>
                <w:color w:val="000000"/>
                <w:u w:val="none" w:color="auto"/>
              </w:rPr>
            </w:pPr>
          </w:p>
        </w:tc>
      </w:tr>
      <w:tr w14:paraId="1250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6E5DBCF1">
            <w:pPr>
              <w:pStyle w:val="37"/>
              <w:rPr>
                <w:color w:val="000000"/>
                <w:u w:val="none" w:color="auto"/>
              </w:rPr>
            </w:pPr>
            <w:r>
              <w:rPr>
                <w:color w:val="000000"/>
                <w:u w:val="none" w:color="auto"/>
              </w:rPr>
              <w:t>23</w:t>
            </w:r>
          </w:p>
        </w:tc>
        <w:tc>
          <w:tcPr>
            <w:tcW w:w="1910" w:type="pct"/>
            <w:noWrap w:val="0"/>
            <w:vAlign w:val="center"/>
          </w:tcPr>
          <w:p w14:paraId="3F85675B">
            <w:pPr>
              <w:pStyle w:val="37"/>
              <w:rPr>
                <w:color w:val="000000"/>
                <w:u w:val="none" w:color="auto"/>
              </w:rPr>
            </w:pPr>
            <w:r>
              <w:rPr>
                <w:color w:val="000000"/>
                <w:u w:val="none" w:color="auto"/>
              </w:rPr>
              <w:t>三氯乙烯</w:t>
            </w:r>
          </w:p>
        </w:tc>
        <w:tc>
          <w:tcPr>
            <w:tcW w:w="1126" w:type="pct"/>
            <w:noWrap w:val="0"/>
            <w:vAlign w:val="center"/>
          </w:tcPr>
          <w:p w14:paraId="7B320C9E">
            <w:pPr>
              <w:pStyle w:val="37"/>
              <w:rPr>
                <w:rFonts w:ascii="Times New Roman" w:hAnsi="Times New Roman" w:eastAsia="宋体"/>
                <w:color w:val="000000"/>
                <w:kern w:val="2"/>
                <w:sz w:val="21"/>
                <w:szCs w:val="21"/>
                <w:u w:val="none" w:color="auto"/>
                <w:lang w:val="en-US" w:eastAsia="zh-CN" w:bidi="ar-SA"/>
              </w:rPr>
            </w:pPr>
            <w:r>
              <w:rPr>
                <w:color w:val="000000"/>
                <w:u w:val="none" w:color="auto"/>
              </w:rPr>
              <w:t>2.8</w:t>
            </w:r>
          </w:p>
        </w:tc>
        <w:tc>
          <w:tcPr>
            <w:tcW w:w="1378" w:type="pct"/>
            <w:vMerge w:val="continue"/>
            <w:noWrap w:val="0"/>
            <w:vAlign w:val="center"/>
          </w:tcPr>
          <w:p w14:paraId="2E67690C">
            <w:pPr>
              <w:pStyle w:val="37"/>
              <w:rPr>
                <w:color w:val="000000"/>
                <w:u w:val="none" w:color="auto"/>
              </w:rPr>
            </w:pPr>
          </w:p>
        </w:tc>
      </w:tr>
      <w:tr w14:paraId="7B716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15FE4D2E">
            <w:pPr>
              <w:pStyle w:val="37"/>
              <w:rPr>
                <w:color w:val="000000"/>
                <w:u w:val="none" w:color="auto"/>
              </w:rPr>
            </w:pPr>
            <w:r>
              <w:rPr>
                <w:color w:val="000000"/>
                <w:u w:val="none" w:color="auto"/>
              </w:rPr>
              <w:t>24</w:t>
            </w:r>
          </w:p>
        </w:tc>
        <w:tc>
          <w:tcPr>
            <w:tcW w:w="1910" w:type="pct"/>
            <w:noWrap w:val="0"/>
            <w:vAlign w:val="center"/>
          </w:tcPr>
          <w:p w14:paraId="3642B7BA">
            <w:pPr>
              <w:pStyle w:val="37"/>
              <w:rPr>
                <w:color w:val="000000"/>
                <w:u w:val="none" w:color="auto"/>
              </w:rPr>
            </w:pPr>
            <w:r>
              <w:rPr>
                <w:color w:val="000000"/>
                <w:u w:val="none" w:color="auto"/>
              </w:rPr>
              <w:t>1，2，3-三氯乙烷</w:t>
            </w:r>
          </w:p>
        </w:tc>
        <w:tc>
          <w:tcPr>
            <w:tcW w:w="1126" w:type="pct"/>
            <w:noWrap w:val="0"/>
            <w:vAlign w:val="center"/>
          </w:tcPr>
          <w:p w14:paraId="268345C3">
            <w:pPr>
              <w:pStyle w:val="37"/>
              <w:rPr>
                <w:rFonts w:ascii="Times New Roman" w:hAnsi="Times New Roman" w:eastAsia="宋体"/>
                <w:color w:val="000000"/>
                <w:kern w:val="2"/>
                <w:sz w:val="21"/>
                <w:szCs w:val="21"/>
                <w:u w:val="none" w:color="auto"/>
                <w:lang w:val="en-US" w:eastAsia="zh-CN" w:bidi="ar-SA"/>
              </w:rPr>
            </w:pPr>
            <w:r>
              <w:rPr>
                <w:color w:val="000000"/>
                <w:u w:val="none" w:color="auto"/>
              </w:rPr>
              <w:t>0.5</w:t>
            </w:r>
          </w:p>
        </w:tc>
        <w:tc>
          <w:tcPr>
            <w:tcW w:w="1378" w:type="pct"/>
            <w:vMerge w:val="continue"/>
            <w:noWrap w:val="0"/>
            <w:vAlign w:val="center"/>
          </w:tcPr>
          <w:p w14:paraId="13FF332C">
            <w:pPr>
              <w:pStyle w:val="37"/>
              <w:rPr>
                <w:color w:val="000000"/>
                <w:u w:val="none" w:color="auto"/>
              </w:rPr>
            </w:pPr>
          </w:p>
        </w:tc>
      </w:tr>
      <w:tr w14:paraId="17BB3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1D43894">
            <w:pPr>
              <w:pStyle w:val="37"/>
              <w:rPr>
                <w:color w:val="000000"/>
                <w:u w:val="none" w:color="auto"/>
              </w:rPr>
            </w:pPr>
            <w:r>
              <w:rPr>
                <w:color w:val="000000"/>
                <w:u w:val="none" w:color="auto"/>
              </w:rPr>
              <w:t>25</w:t>
            </w:r>
          </w:p>
        </w:tc>
        <w:tc>
          <w:tcPr>
            <w:tcW w:w="1910" w:type="pct"/>
            <w:noWrap w:val="0"/>
            <w:vAlign w:val="center"/>
          </w:tcPr>
          <w:p w14:paraId="18FEE928">
            <w:pPr>
              <w:pStyle w:val="37"/>
              <w:rPr>
                <w:color w:val="000000"/>
                <w:u w:val="none" w:color="auto"/>
              </w:rPr>
            </w:pPr>
            <w:r>
              <w:rPr>
                <w:color w:val="000000"/>
                <w:u w:val="none" w:color="auto"/>
              </w:rPr>
              <w:t>氯乙烯</w:t>
            </w:r>
          </w:p>
        </w:tc>
        <w:tc>
          <w:tcPr>
            <w:tcW w:w="1126" w:type="pct"/>
            <w:noWrap w:val="0"/>
            <w:vAlign w:val="center"/>
          </w:tcPr>
          <w:p w14:paraId="43CF60DF">
            <w:pPr>
              <w:pStyle w:val="37"/>
              <w:rPr>
                <w:rFonts w:ascii="Times New Roman" w:hAnsi="Times New Roman" w:eastAsia="宋体"/>
                <w:color w:val="000000"/>
                <w:kern w:val="2"/>
                <w:sz w:val="21"/>
                <w:szCs w:val="21"/>
                <w:u w:val="none" w:color="auto"/>
                <w:lang w:val="en-US" w:eastAsia="zh-CN" w:bidi="ar-SA"/>
              </w:rPr>
            </w:pPr>
            <w:r>
              <w:rPr>
                <w:color w:val="000000"/>
                <w:u w:val="none" w:color="auto"/>
              </w:rPr>
              <w:t>0.43</w:t>
            </w:r>
          </w:p>
        </w:tc>
        <w:tc>
          <w:tcPr>
            <w:tcW w:w="1378" w:type="pct"/>
            <w:vMerge w:val="continue"/>
            <w:noWrap w:val="0"/>
            <w:vAlign w:val="center"/>
          </w:tcPr>
          <w:p w14:paraId="443781DE">
            <w:pPr>
              <w:pStyle w:val="37"/>
              <w:rPr>
                <w:color w:val="000000"/>
                <w:u w:val="none" w:color="auto"/>
              </w:rPr>
            </w:pPr>
          </w:p>
        </w:tc>
      </w:tr>
      <w:tr w14:paraId="35926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FD32B2E">
            <w:pPr>
              <w:pStyle w:val="37"/>
              <w:rPr>
                <w:color w:val="000000"/>
                <w:u w:val="none" w:color="auto"/>
              </w:rPr>
            </w:pPr>
            <w:r>
              <w:rPr>
                <w:color w:val="000000"/>
                <w:u w:val="none" w:color="auto"/>
              </w:rPr>
              <w:t>26</w:t>
            </w:r>
          </w:p>
        </w:tc>
        <w:tc>
          <w:tcPr>
            <w:tcW w:w="1910" w:type="pct"/>
            <w:noWrap w:val="0"/>
            <w:vAlign w:val="center"/>
          </w:tcPr>
          <w:p w14:paraId="5F8DCDBA">
            <w:pPr>
              <w:pStyle w:val="37"/>
              <w:rPr>
                <w:color w:val="000000"/>
                <w:u w:val="none" w:color="auto"/>
              </w:rPr>
            </w:pPr>
            <w:r>
              <w:rPr>
                <w:color w:val="000000"/>
                <w:u w:val="none" w:color="auto"/>
              </w:rPr>
              <w:t>苯</w:t>
            </w:r>
          </w:p>
        </w:tc>
        <w:tc>
          <w:tcPr>
            <w:tcW w:w="1126" w:type="pct"/>
            <w:noWrap w:val="0"/>
            <w:vAlign w:val="center"/>
          </w:tcPr>
          <w:p w14:paraId="2B109B5B">
            <w:pPr>
              <w:pStyle w:val="37"/>
              <w:rPr>
                <w:rFonts w:ascii="Times New Roman" w:hAnsi="Times New Roman" w:eastAsia="宋体"/>
                <w:color w:val="000000"/>
                <w:kern w:val="2"/>
                <w:sz w:val="21"/>
                <w:szCs w:val="21"/>
                <w:u w:val="none" w:color="auto"/>
                <w:lang w:val="en-US" w:eastAsia="zh-CN" w:bidi="ar-SA"/>
              </w:rPr>
            </w:pPr>
            <w:r>
              <w:rPr>
                <w:color w:val="000000"/>
                <w:u w:val="none" w:color="auto"/>
              </w:rPr>
              <w:t>4</w:t>
            </w:r>
          </w:p>
        </w:tc>
        <w:tc>
          <w:tcPr>
            <w:tcW w:w="1378" w:type="pct"/>
            <w:vMerge w:val="continue"/>
            <w:noWrap w:val="0"/>
            <w:vAlign w:val="center"/>
          </w:tcPr>
          <w:p w14:paraId="3C1E5574">
            <w:pPr>
              <w:pStyle w:val="37"/>
              <w:rPr>
                <w:color w:val="000000"/>
                <w:u w:val="none" w:color="auto"/>
              </w:rPr>
            </w:pPr>
          </w:p>
        </w:tc>
      </w:tr>
      <w:tr w14:paraId="744E1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0A3E7CE">
            <w:pPr>
              <w:pStyle w:val="37"/>
              <w:rPr>
                <w:color w:val="000000"/>
                <w:u w:val="none" w:color="auto"/>
              </w:rPr>
            </w:pPr>
            <w:r>
              <w:rPr>
                <w:color w:val="000000"/>
                <w:u w:val="none" w:color="auto"/>
              </w:rPr>
              <w:t>27</w:t>
            </w:r>
          </w:p>
        </w:tc>
        <w:tc>
          <w:tcPr>
            <w:tcW w:w="1910" w:type="pct"/>
            <w:noWrap w:val="0"/>
            <w:vAlign w:val="center"/>
          </w:tcPr>
          <w:p w14:paraId="6D1A444D">
            <w:pPr>
              <w:pStyle w:val="37"/>
              <w:rPr>
                <w:color w:val="000000"/>
                <w:u w:val="none" w:color="auto"/>
              </w:rPr>
            </w:pPr>
            <w:r>
              <w:rPr>
                <w:color w:val="000000"/>
                <w:u w:val="none" w:color="auto"/>
              </w:rPr>
              <w:t>氯苯</w:t>
            </w:r>
          </w:p>
        </w:tc>
        <w:tc>
          <w:tcPr>
            <w:tcW w:w="1126" w:type="pct"/>
            <w:noWrap w:val="0"/>
            <w:vAlign w:val="center"/>
          </w:tcPr>
          <w:p w14:paraId="369A7198">
            <w:pPr>
              <w:pStyle w:val="37"/>
              <w:rPr>
                <w:rFonts w:ascii="Times New Roman" w:hAnsi="Times New Roman" w:eastAsia="宋体"/>
                <w:color w:val="000000"/>
                <w:kern w:val="2"/>
                <w:sz w:val="21"/>
                <w:szCs w:val="21"/>
                <w:u w:val="none" w:color="auto"/>
                <w:lang w:val="en-US" w:eastAsia="zh-CN" w:bidi="ar-SA"/>
              </w:rPr>
            </w:pPr>
            <w:r>
              <w:rPr>
                <w:color w:val="000000"/>
                <w:u w:val="none" w:color="auto"/>
              </w:rPr>
              <w:t>270</w:t>
            </w:r>
          </w:p>
        </w:tc>
        <w:tc>
          <w:tcPr>
            <w:tcW w:w="1378" w:type="pct"/>
            <w:vMerge w:val="continue"/>
            <w:noWrap w:val="0"/>
            <w:vAlign w:val="center"/>
          </w:tcPr>
          <w:p w14:paraId="6EC87007">
            <w:pPr>
              <w:pStyle w:val="37"/>
              <w:rPr>
                <w:color w:val="000000"/>
                <w:u w:val="none" w:color="auto"/>
              </w:rPr>
            </w:pPr>
          </w:p>
        </w:tc>
      </w:tr>
      <w:tr w14:paraId="71168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CCD5E4E">
            <w:pPr>
              <w:pStyle w:val="37"/>
              <w:rPr>
                <w:color w:val="000000"/>
                <w:u w:val="none" w:color="auto"/>
              </w:rPr>
            </w:pPr>
            <w:r>
              <w:rPr>
                <w:color w:val="000000"/>
                <w:u w:val="none" w:color="auto"/>
              </w:rPr>
              <w:t>28</w:t>
            </w:r>
          </w:p>
        </w:tc>
        <w:tc>
          <w:tcPr>
            <w:tcW w:w="1910" w:type="pct"/>
            <w:noWrap w:val="0"/>
            <w:vAlign w:val="center"/>
          </w:tcPr>
          <w:p w14:paraId="547E1E72">
            <w:pPr>
              <w:pStyle w:val="37"/>
              <w:rPr>
                <w:color w:val="000000"/>
                <w:u w:val="none" w:color="auto"/>
              </w:rPr>
            </w:pPr>
            <w:r>
              <w:rPr>
                <w:color w:val="000000"/>
                <w:u w:val="none" w:color="auto"/>
              </w:rPr>
              <w:t>1，2-二氯苯</w:t>
            </w:r>
          </w:p>
        </w:tc>
        <w:tc>
          <w:tcPr>
            <w:tcW w:w="1126" w:type="pct"/>
            <w:noWrap w:val="0"/>
            <w:vAlign w:val="center"/>
          </w:tcPr>
          <w:p w14:paraId="07B33E2C">
            <w:pPr>
              <w:pStyle w:val="37"/>
              <w:rPr>
                <w:rFonts w:ascii="Times New Roman" w:hAnsi="Times New Roman" w:eastAsia="宋体"/>
                <w:color w:val="000000"/>
                <w:kern w:val="2"/>
                <w:sz w:val="21"/>
                <w:szCs w:val="21"/>
                <w:u w:val="none" w:color="auto"/>
                <w:lang w:val="en-US" w:eastAsia="zh-CN" w:bidi="ar-SA"/>
              </w:rPr>
            </w:pPr>
            <w:r>
              <w:rPr>
                <w:color w:val="000000"/>
                <w:u w:val="none" w:color="auto"/>
              </w:rPr>
              <w:t>560</w:t>
            </w:r>
          </w:p>
        </w:tc>
        <w:tc>
          <w:tcPr>
            <w:tcW w:w="1378" w:type="pct"/>
            <w:vMerge w:val="continue"/>
            <w:noWrap w:val="0"/>
            <w:vAlign w:val="center"/>
          </w:tcPr>
          <w:p w14:paraId="042D413D">
            <w:pPr>
              <w:pStyle w:val="37"/>
              <w:rPr>
                <w:color w:val="000000"/>
                <w:u w:val="none" w:color="auto"/>
              </w:rPr>
            </w:pPr>
          </w:p>
        </w:tc>
      </w:tr>
      <w:tr w14:paraId="0041E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1B37DE69">
            <w:pPr>
              <w:pStyle w:val="37"/>
              <w:rPr>
                <w:color w:val="000000"/>
                <w:u w:val="none" w:color="auto"/>
              </w:rPr>
            </w:pPr>
            <w:r>
              <w:rPr>
                <w:color w:val="000000"/>
                <w:u w:val="none" w:color="auto"/>
              </w:rPr>
              <w:t>29</w:t>
            </w:r>
          </w:p>
        </w:tc>
        <w:tc>
          <w:tcPr>
            <w:tcW w:w="1910" w:type="pct"/>
            <w:noWrap w:val="0"/>
            <w:vAlign w:val="center"/>
          </w:tcPr>
          <w:p w14:paraId="255B7746">
            <w:pPr>
              <w:pStyle w:val="37"/>
              <w:rPr>
                <w:color w:val="000000"/>
                <w:u w:val="none" w:color="auto"/>
              </w:rPr>
            </w:pPr>
            <w:r>
              <w:rPr>
                <w:color w:val="000000"/>
                <w:u w:val="none" w:color="auto"/>
              </w:rPr>
              <w:t>1，4-二氯苯</w:t>
            </w:r>
          </w:p>
        </w:tc>
        <w:tc>
          <w:tcPr>
            <w:tcW w:w="1126" w:type="pct"/>
            <w:noWrap w:val="0"/>
            <w:vAlign w:val="center"/>
          </w:tcPr>
          <w:p w14:paraId="4D707DF0">
            <w:pPr>
              <w:pStyle w:val="37"/>
              <w:rPr>
                <w:rFonts w:ascii="Times New Roman" w:hAnsi="Times New Roman" w:eastAsia="宋体"/>
                <w:color w:val="000000"/>
                <w:kern w:val="2"/>
                <w:sz w:val="21"/>
                <w:szCs w:val="21"/>
                <w:u w:val="none" w:color="auto"/>
                <w:lang w:val="en-US" w:eastAsia="zh-CN" w:bidi="ar-SA"/>
              </w:rPr>
            </w:pPr>
            <w:r>
              <w:rPr>
                <w:color w:val="000000"/>
                <w:u w:val="none" w:color="auto"/>
              </w:rPr>
              <w:t>20</w:t>
            </w:r>
          </w:p>
        </w:tc>
        <w:tc>
          <w:tcPr>
            <w:tcW w:w="1378" w:type="pct"/>
            <w:vMerge w:val="continue"/>
            <w:noWrap w:val="0"/>
            <w:vAlign w:val="center"/>
          </w:tcPr>
          <w:p w14:paraId="65994D5A">
            <w:pPr>
              <w:pStyle w:val="37"/>
              <w:rPr>
                <w:color w:val="000000"/>
                <w:u w:val="none" w:color="auto"/>
              </w:rPr>
            </w:pPr>
          </w:p>
        </w:tc>
      </w:tr>
      <w:tr w14:paraId="69764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3C771FEB">
            <w:pPr>
              <w:pStyle w:val="37"/>
              <w:rPr>
                <w:color w:val="000000"/>
                <w:u w:val="none" w:color="auto"/>
              </w:rPr>
            </w:pPr>
            <w:r>
              <w:rPr>
                <w:color w:val="000000"/>
                <w:u w:val="none" w:color="auto"/>
              </w:rPr>
              <w:t>30</w:t>
            </w:r>
          </w:p>
        </w:tc>
        <w:tc>
          <w:tcPr>
            <w:tcW w:w="1910" w:type="pct"/>
            <w:noWrap w:val="0"/>
            <w:vAlign w:val="center"/>
          </w:tcPr>
          <w:p w14:paraId="00FEC36E">
            <w:pPr>
              <w:pStyle w:val="37"/>
              <w:rPr>
                <w:color w:val="000000"/>
                <w:u w:val="none" w:color="auto"/>
              </w:rPr>
            </w:pPr>
            <w:r>
              <w:rPr>
                <w:color w:val="000000"/>
                <w:u w:val="none" w:color="auto"/>
              </w:rPr>
              <w:t>乙苯</w:t>
            </w:r>
          </w:p>
        </w:tc>
        <w:tc>
          <w:tcPr>
            <w:tcW w:w="1126" w:type="pct"/>
            <w:noWrap w:val="0"/>
            <w:vAlign w:val="center"/>
          </w:tcPr>
          <w:p w14:paraId="10BE0F99">
            <w:pPr>
              <w:pStyle w:val="37"/>
              <w:rPr>
                <w:rFonts w:ascii="Times New Roman" w:hAnsi="Times New Roman" w:eastAsia="宋体"/>
                <w:color w:val="000000"/>
                <w:kern w:val="2"/>
                <w:sz w:val="21"/>
                <w:szCs w:val="21"/>
                <w:u w:val="none" w:color="auto"/>
                <w:lang w:val="en-US" w:eastAsia="zh-CN" w:bidi="ar-SA"/>
              </w:rPr>
            </w:pPr>
            <w:r>
              <w:rPr>
                <w:color w:val="000000"/>
                <w:u w:val="none" w:color="auto"/>
              </w:rPr>
              <w:t>28</w:t>
            </w:r>
          </w:p>
        </w:tc>
        <w:tc>
          <w:tcPr>
            <w:tcW w:w="1378" w:type="pct"/>
            <w:vMerge w:val="continue"/>
            <w:noWrap w:val="0"/>
            <w:vAlign w:val="center"/>
          </w:tcPr>
          <w:p w14:paraId="5865BF93">
            <w:pPr>
              <w:pStyle w:val="37"/>
              <w:rPr>
                <w:color w:val="000000"/>
                <w:u w:val="none" w:color="auto"/>
              </w:rPr>
            </w:pPr>
          </w:p>
        </w:tc>
      </w:tr>
      <w:tr w14:paraId="5F75A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05C39DD6">
            <w:pPr>
              <w:pStyle w:val="37"/>
              <w:rPr>
                <w:color w:val="000000"/>
                <w:u w:val="none" w:color="auto"/>
              </w:rPr>
            </w:pPr>
            <w:r>
              <w:rPr>
                <w:color w:val="000000"/>
                <w:u w:val="none" w:color="auto"/>
              </w:rPr>
              <w:t>31</w:t>
            </w:r>
          </w:p>
        </w:tc>
        <w:tc>
          <w:tcPr>
            <w:tcW w:w="1910" w:type="pct"/>
            <w:noWrap w:val="0"/>
            <w:vAlign w:val="center"/>
          </w:tcPr>
          <w:p w14:paraId="16C9DDD7">
            <w:pPr>
              <w:pStyle w:val="37"/>
              <w:rPr>
                <w:color w:val="000000"/>
                <w:u w:val="none" w:color="auto"/>
              </w:rPr>
            </w:pPr>
            <w:r>
              <w:rPr>
                <w:color w:val="000000"/>
                <w:u w:val="none" w:color="auto"/>
              </w:rPr>
              <w:t>苯乙烯</w:t>
            </w:r>
          </w:p>
        </w:tc>
        <w:tc>
          <w:tcPr>
            <w:tcW w:w="1126" w:type="pct"/>
            <w:noWrap w:val="0"/>
            <w:vAlign w:val="center"/>
          </w:tcPr>
          <w:p w14:paraId="61E33695">
            <w:pPr>
              <w:pStyle w:val="37"/>
              <w:rPr>
                <w:rFonts w:ascii="Times New Roman" w:hAnsi="Times New Roman" w:eastAsia="宋体"/>
                <w:color w:val="000000"/>
                <w:kern w:val="2"/>
                <w:sz w:val="21"/>
                <w:szCs w:val="21"/>
                <w:u w:val="none" w:color="auto"/>
                <w:lang w:val="en-US" w:eastAsia="zh-CN" w:bidi="ar-SA"/>
              </w:rPr>
            </w:pPr>
            <w:r>
              <w:rPr>
                <w:color w:val="000000"/>
                <w:u w:val="none" w:color="auto"/>
              </w:rPr>
              <w:t>1290</w:t>
            </w:r>
          </w:p>
        </w:tc>
        <w:tc>
          <w:tcPr>
            <w:tcW w:w="1378" w:type="pct"/>
            <w:vMerge w:val="continue"/>
            <w:noWrap w:val="0"/>
            <w:vAlign w:val="center"/>
          </w:tcPr>
          <w:p w14:paraId="4EDCF320">
            <w:pPr>
              <w:pStyle w:val="37"/>
              <w:rPr>
                <w:color w:val="000000"/>
                <w:u w:val="none" w:color="auto"/>
              </w:rPr>
            </w:pPr>
          </w:p>
        </w:tc>
      </w:tr>
      <w:tr w14:paraId="26E18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34278C2">
            <w:pPr>
              <w:pStyle w:val="37"/>
              <w:rPr>
                <w:color w:val="000000"/>
                <w:u w:val="none" w:color="auto"/>
              </w:rPr>
            </w:pPr>
            <w:r>
              <w:rPr>
                <w:color w:val="000000"/>
                <w:u w:val="none" w:color="auto"/>
              </w:rPr>
              <w:t>32</w:t>
            </w:r>
          </w:p>
        </w:tc>
        <w:tc>
          <w:tcPr>
            <w:tcW w:w="1910" w:type="pct"/>
            <w:noWrap w:val="0"/>
            <w:vAlign w:val="center"/>
          </w:tcPr>
          <w:p w14:paraId="410A87A1">
            <w:pPr>
              <w:pStyle w:val="37"/>
              <w:rPr>
                <w:color w:val="000000"/>
                <w:u w:val="none" w:color="auto"/>
              </w:rPr>
            </w:pPr>
            <w:r>
              <w:rPr>
                <w:color w:val="000000"/>
                <w:u w:val="none" w:color="auto"/>
              </w:rPr>
              <w:t>甲苯</w:t>
            </w:r>
          </w:p>
        </w:tc>
        <w:tc>
          <w:tcPr>
            <w:tcW w:w="1126" w:type="pct"/>
            <w:noWrap w:val="0"/>
            <w:vAlign w:val="center"/>
          </w:tcPr>
          <w:p w14:paraId="6826E621">
            <w:pPr>
              <w:pStyle w:val="37"/>
              <w:rPr>
                <w:rFonts w:ascii="Times New Roman" w:hAnsi="Times New Roman" w:eastAsia="宋体"/>
                <w:color w:val="000000"/>
                <w:kern w:val="2"/>
                <w:sz w:val="21"/>
                <w:szCs w:val="21"/>
                <w:u w:val="none" w:color="auto"/>
                <w:lang w:val="en-US" w:eastAsia="zh-CN" w:bidi="ar-SA"/>
              </w:rPr>
            </w:pPr>
            <w:r>
              <w:rPr>
                <w:color w:val="000000"/>
                <w:u w:val="none" w:color="auto"/>
              </w:rPr>
              <w:t>1200</w:t>
            </w:r>
          </w:p>
        </w:tc>
        <w:tc>
          <w:tcPr>
            <w:tcW w:w="1378" w:type="pct"/>
            <w:vMerge w:val="continue"/>
            <w:noWrap w:val="0"/>
            <w:vAlign w:val="center"/>
          </w:tcPr>
          <w:p w14:paraId="6B4D63AF">
            <w:pPr>
              <w:pStyle w:val="37"/>
              <w:rPr>
                <w:color w:val="000000"/>
                <w:u w:val="none" w:color="auto"/>
              </w:rPr>
            </w:pPr>
          </w:p>
        </w:tc>
      </w:tr>
      <w:tr w14:paraId="20CE2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493F11DD">
            <w:pPr>
              <w:pStyle w:val="37"/>
              <w:rPr>
                <w:color w:val="000000"/>
                <w:u w:val="none" w:color="auto"/>
              </w:rPr>
            </w:pPr>
            <w:r>
              <w:rPr>
                <w:color w:val="000000"/>
                <w:u w:val="none" w:color="auto"/>
              </w:rPr>
              <w:t>33</w:t>
            </w:r>
          </w:p>
        </w:tc>
        <w:tc>
          <w:tcPr>
            <w:tcW w:w="1910" w:type="pct"/>
            <w:noWrap w:val="0"/>
            <w:vAlign w:val="center"/>
          </w:tcPr>
          <w:p w14:paraId="00522109">
            <w:pPr>
              <w:pStyle w:val="37"/>
              <w:rPr>
                <w:color w:val="000000"/>
                <w:u w:val="none" w:color="auto"/>
              </w:rPr>
            </w:pPr>
            <w:r>
              <w:rPr>
                <w:color w:val="000000"/>
                <w:u w:val="none" w:color="auto"/>
              </w:rPr>
              <w:t>间二甲苯+对二甲苯</w:t>
            </w:r>
          </w:p>
        </w:tc>
        <w:tc>
          <w:tcPr>
            <w:tcW w:w="1126" w:type="pct"/>
            <w:noWrap w:val="0"/>
            <w:vAlign w:val="center"/>
          </w:tcPr>
          <w:p w14:paraId="2C46626A">
            <w:pPr>
              <w:pStyle w:val="37"/>
              <w:rPr>
                <w:rFonts w:ascii="Times New Roman" w:hAnsi="Times New Roman" w:eastAsia="宋体"/>
                <w:color w:val="000000"/>
                <w:kern w:val="2"/>
                <w:sz w:val="21"/>
                <w:szCs w:val="21"/>
                <w:u w:val="none" w:color="auto"/>
                <w:lang w:val="en-US" w:eastAsia="zh-CN" w:bidi="ar-SA"/>
              </w:rPr>
            </w:pPr>
            <w:r>
              <w:rPr>
                <w:color w:val="000000"/>
                <w:u w:val="none" w:color="auto"/>
              </w:rPr>
              <w:t>570</w:t>
            </w:r>
          </w:p>
        </w:tc>
        <w:tc>
          <w:tcPr>
            <w:tcW w:w="1378" w:type="pct"/>
            <w:vMerge w:val="continue"/>
            <w:noWrap w:val="0"/>
            <w:vAlign w:val="center"/>
          </w:tcPr>
          <w:p w14:paraId="03608B73">
            <w:pPr>
              <w:pStyle w:val="37"/>
              <w:rPr>
                <w:color w:val="000000"/>
                <w:u w:val="none" w:color="auto"/>
              </w:rPr>
            </w:pPr>
          </w:p>
        </w:tc>
      </w:tr>
      <w:tr w14:paraId="574E3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4ECE7C4">
            <w:pPr>
              <w:pStyle w:val="37"/>
              <w:rPr>
                <w:color w:val="000000"/>
                <w:u w:val="none" w:color="auto"/>
              </w:rPr>
            </w:pPr>
            <w:r>
              <w:rPr>
                <w:color w:val="000000"/>
                <w:u w:val="none" w:color="auto"/>
              </w:rPr>
              <w:t>34</w:t>
            </w:r>
          </w:p>
        </w:tc>
        <w:tc>
          <w:tcPr>
            <w:tcW w:w="1910" w:type="pct"/>
            <w:noWrap w:val="0"/>
            <w:vAlign w:val="center"/>
          </w:tcPr>
          <w:p w14:paraId="3D9B073B">
            <w:pPr>
              <w:pStyle w:val="37"/>
              <w:rPr>
                <w:color w:val="000000"/>
                <w:u w:val="none" w:color="auto"/>
              </w:rPr>
            </w:pPr>
            <w:r>
              <w:rPr>
                <w:color w:val="000000"/>
                <w:u w:val="none" w:color="auto"/>
              </w:rPr>
              <w:t>邻二甲苯</w:t>
            </w:r>
          </w:p>
        </w:tc>
        <w:tc>
          <w:tcPr>
            <w:tcW w:w="1126" w:type="pct"/>
            <w:noWrap w:val="0"/>
            <w:vAlign w:val="center"/>
          </w:tcPr>
          <w:p w14:paraId="0A9DF8FA">
            <w:pPr>
              <w:pStyle w:val="37"/>
              <w:rPr>
                <w:rFonts w:ascii="Times New Roman" w:hAnsi="Times New Roman" w:eastAsia="宋体"/>
                <w:color w:val="000000"/>
                <w:kern w:val="2"/>
                <w:sz w:val="21"/>
                <w:szCs w:val="21"/>
                <w:u w:val="none" w:color="auto"/>
                <w:lang w:val="en-US" w:eastAsia="zh-CN" w:bidi="ar-SA"/>
              </w:rPr>
            </w:pPr>
            <w:r>
              <w:rPr>
                <w:color w:val="000000"/>
                <w:u w:val="none" w:color="auto"/>
              </w:rPr>
              <w:t>640</w:t>
            </w:r>
          </w:p>
        </w:tc>
        <w:tc>
          <w:tcPr>
            <w:tcW w:w="1378" w:type="pct"/>
            <w:vMerge w:val="continue"/>
            <w:noWrap w:val="0"/>
            <w:vAlign w:val="center"/>
          </w:tcPr>
          <w:p w14:paraId="385916D3">
            <w:pPr>
              <w:pStyle w:val="37"/>
              <w:rPr>
                <w:color w:val="000000"/>
                <w:u w:val="none" w:color="auto"/>
              </w:rPr>
            </w:pPr>
          </w:p>
        </w:tc>
      </w:tr>
      <w:tr w14:paraId="619FF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3621" w:type="pct"/>
            <w:gridSpan w:val="3"/>
            <w:noWrap w:val="0"/>
            <w:vAlign w:val="center"/>
          </w:tcPr>
          <w:p w14:paraId="3F573C91">
            <w:pPr>
              <w:pStyle w:val="37"/>
              <w:rPr>
                <w:rFonts w:hint="default" w:eastAsia="宋体"/>
                <w:color w:val="000000"/>
                <w:u w:val="none" w:color="auto"/>
                <w:lang w:val="en-US" w:eastAsia="zh-CN"/>
              </w:rPr>
            </w:pPr>
            <w:r>
              <w:rPr>
                <w:rFonts w:hint="eastAsia"/>
                <w:color w:val="000000"/>
                <w:u w:val="none" w:color="auto"/>
                <w:lang w:val="en-US" w:eastAsia="zh-CN"/>
              </w:rPr>
              <w:t>半挥发性有机物</w:t>
            </w:r>
          </w:p>
        </w:tc>
        <w:tc>
          <w:tcPr>
            <w:tcW w:w="1378" w:type="pct"/>
            <w:vMerge w:val="continue"/>
            <w:noWrap w:val="0"/>
            <w:vAlign w:val="center"/>
          </w:tcPr>
          <w:p w14:paraId="7DD2CB42">
            <w:pPr>
              <w:pStyle w:val="37"/>
              <w:rPr>
                <w:color w:val="000000"/>
                <w:u w:val="none" w:color="auto"/>
              </w:rPr>
            </w:pPr>
          </w:p>
        </w:tc>
      </w:tr>
      <w:tr w14:paraId="4B99E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2A852036">
            <w:pPr>
              <w:pStyle w:val="37"/>
              <w:rPr>
                <w:color w:val="000000"/>
                <w:u w:val="none" w:color="auto"/>
              </w:rPr>
            </w:pPr>
            <w:r>
              <w:rPr>
                <w:color w:val="000000"/>
                <w:u w:val="none" w:color="auto"/>
              </w:rPr>
              <w:t>35</w:t>
            </w:r>
          </w:p>
        </w:tc>
        <w:tc>
          <w:tcPr>
            <w:tcW w:w="1910" w:type="pct"/>
            <w:noWrap w:val="0"/>
            <w:vAlign w:val="center"/>
          </w:tcPr>
          <w:p w14:paraId="7486E96D">
            <w:pPr>
              <w:pStyle w:val="37"/>
              <w:rPr>
                <w:color w:val="000000"/>
                <w:u w:val="none" w:color="auto"/>
              </w:rPr>
            </w:pPr>
            <w:r>
              <w:rPr>
                <w:color w:val="000000"/>
                <w:u w:val="none" w:color="auto"/>
              </w:rPr>
              <w:t>硝基苯</w:t>
            </w:r>
          </w:p>
        </w:tc>
        <w:tc>
          <w:tcPr>
            <w:tcW w:w="1126" w:type="pct"/>
            <w:noWrap w:val="0"/>
            <w:vAlign w:val="center"/>
          </w:tcPr>
          <w:p w14:paraId="2950625F">
            <w:pPr>
              <w:pStyle w:val="37"/>
              <w:rPr>
                <w:rFonts w:ascii="Times New Roman" w:hAnsi="Times New Roman" w:eastAsia="宋体"/>
                <w:color w:val="000000"/>
                <w:kern w:val="2"/>
                <w:sz w:val="21"/>
                <w:szCs w:val="21"/>
                <w:u w:val="none" w:color="auto"/>
                <w:lang w:val="en-US" w:eastAsia="zh-CN" w:bidi="ar-SA"/>
              </w:rPr>
            </w:pPr>
            <w:r>
              <w:rPr>
                <w:color w:val="000000"/>
                <w:u w:val="none" w:color="auto"/>
              </w:rPr>
              <w:t>76</w:t>
            </w:r>
          </w:p>
        </w:tc>
        <w:tc>
          <w:tcPr>
            <w:tcW w:w="1378" w:type="pct"/>
            <w:vMerge w:val="continue"/>
            <w:noWrap w:val="0"/>
            <w:vAlign w:val="center"/>
          </w:tcPr>
          <w:p w14:paraId="5904BB1B">
            <w:pPr>
              <w:pStyle w:val="37"/>
              <w:rPr>
                <w:color w:val="000000"/>
                <w:u w:val="none" w:color="auto"/>
              </w:rPr>
            </w:pPr>
          </w:p>
        </w:tc>
      </w:tr>
      <w:tr w14:paraId="00DCB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 w:hRule="atLeast"/>
          <w:jc w:val="center"/>
        </w:trPr>
        <w:tc>
          <w:tcPr>
            <w:tcW w:w="585" w:type="pct"/>
            <w:noWrap w:val="0"/>
            <w:vAlign w:val="center"/>
          </w:tcPr>
          <w:p w14:paraId="55E300A3">
            <w:pPr>
              <w:pStyle w:val="37"/>
              <w:rPr>
                <w:color w:val="000000"/>
                <w:u w:val="none" w:color="auto"/>
              </w:rPr>
            </w:pPr>
            <w:r>
              <w:rPr>
                <w:color w:val="000000"/>
                <w:u w:val="none" w:color="auto"/>
              </w:rPr>
              <w:t>36</w:t>
            </w:r>
          </w:p>
        </w:tc>
        <w:tc>
          <w:tcPr>
            <w:tcW w:w="1910" w:type="pct"/>
            <w:noWrap w:val="0"/>
            <w:vAlign w:val="center"/>
          </w:tcPr>
          <w:p w14:paraId="5351D9CC">
            <w:pPr>
              <w:pStyle w:val="37"/>
              <w:rPr>
                <w:color w:val="000000"/>
                <w:u w:val="none" w:color="auto"/>
              </w:rPr>
            </w:pPr>
            <w:r>
              <w:rPr>
                <w:color w:val="000000"/>
                <w:u w:val="none" w:color="auto"/>
              </w:rPr>
              <w:t>苯胺</w:t>
            </w:r>
          </w:p>
        </w:tc>
        <w:tc>
          <w:tcPr>
            <w:tcW w:w="1126" w:type="pct"/>
            <w:noWrap w:val="0"/>
            <w:vAlign w:val="center"/>
          </w:tcPr>
          <w:p w14:paraId="6CF4BA6C">
            <w:pPr>
              <w:pStyle w:val="37"/>
              <w:rPr>
                <w:rFonts w:ascii="Times New Roman" w:hAnsi="Times New Roman" w:eastAsia="宋体"/>
                <w:color w:val="000000"/>
                <w:kern w:val="2"/>
                <w:sz w:val="21"/>
                <w:szCs w:val="21"/>
                <w:u w:val="none" w:color="auto"/>
                <w:lang w:val="en-US" w:eastAsia="zh-CN" w:bidi="ar-SA"/>
              </w:rPr>
            </w:pPr>
            <w:r>
              <w:rPr>
                <w:color w:val="000000"/>
                <w:u w:val="none" w:color="auto"/>
              </w:rPr>
              <w:t>260</w:t>
            </w:r>
          </w:p>
        </w:tc>
        <w:tc>
          <w:tcPr>
            <w:tcW w:w="1378" w:type="pct"/>
            <w:vMerge w:val="continue"/>
            <w:noWrap w:val="0"/>
            <w:vAlign w:val="center"/>
          </w:tcPr>
          <w:p w14:paraId="70D5715A">
            <w:pPr>
              <w:pStyle w:val="37"/>
              <w:rPr>
                <w:color w:val="000000"/>
                <w:u w:val="none" w:color="auto"/>
              </w:rPr>
            </w:pPr>
          </w:p>
        </w:tc>
      </w:tr>
      <w:tr w14:paraId="6D5D3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7145D2C6">
            <w:pPr>
              <w:pStyle w:val="37"/>
              <w:rPr>
                <w:color w:val="000000"/>
                <w:u w:val="none" w:color="auto"/>
              </w:rPr>
            </w:pPr>
            <w:r>
              <w:rPr>
                <w:color w:val="000000"/>
                <w:u w:val="none" w:color="auto"/>
              </w:rPr>
              <w:t>37</w:t>
            </w:r>
          </w:p>
        </w:tc>
        <w:tc>
          <w:tcPr>
            <w:tcW w:w="1910" w:type="pct"/>
            <w:noWrap w:val="0"/>
            <w:vAlign w:val="center"/>
          </w:tcPr>
          <w:p w14:paraId="52A7DA55">
            <w:pPr>
              <w:pStyle w:val="37"/>
              <w:rPr>
                <w:color w:val="000000"/>
                <w:u w:val="none" w:color="auto"/>
              </w:rPr>
            </w:pPr>
            <w:r>
              <w:rPr>
                <w:color w:val="000000"/>
                <w:u w:val="none" w:color="auto"/>
              </w:rPr>
              <w:t>2-氯酚</w:t>
            </w:r>
          </w:p>
        </w:tc>
        <w:tc>
          <w:tcPr>
            <w:tcW w:w="1126" w:type="pct"/>
            <w:noWrap w:val="0"/>
            <w:vAlign w:val="center"/>
          </w:tcPr>
          <w:p w14:paraId="61A9DCD0">
            <w:pPr>
              <w:pStyle w:val="37"/>
              <w:rPr>
                <w:rFonts w:ascii="Times New Roman" w:hAnsi="Times New Roman" w:eastAsia="宋体"/>
                <w:color w:val="000000"/>
                <w:kern w:val="2"/>
                <w:sz w:val="21"/>
                <w:szCs w:val="21"/>
                <w:u w:val="none" w:color="auto"/>
                <w:lang w:val="en-US" w:eastAsia="zh-CN" w:bidi="ar-SA"/>
              </w:rPr>
            </w:pPr>
            <w:r>
              <w:rPr>
                <w:color w:val="000000"/>
                <w:u w:val="none" w:color="auto"/>
              </w:rPr>
              <w:t>2256</w:t>
            </w:r>
          </w:p>
        </w:tc>
        <w:tc>
          <w:tcPr>
            <w:tcW w:w="1378" w:type="pct"/>
            <w:vMerge w:val="continue"/>
            <w:noWrap w:val="0"/>
            <w:vAlign w:val="center"/>
          </w:tcPr>
          <w:p w14:paraId="0046BF9A">
            <w:pPr>
              <w:pStyle w:val="37"/>
              <w:rPr>
                <w:color w:val="000000"/>
                <w:u w:val="none" w:color="auto"/>
              </w:rPr>
            </w:pPr>
          </w:p>
        </w:tc>
      </w:tr>
      <w:tr w14:paraId="1F4E4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15661074">
            <w:pPr>
              <w:pStyle w:val="37"/>
              <w:rPr>
                <w:color w:val="000000"/>
                <w:u w:val="none" w:color="auto"/>
              </w:rPr>
            </w:pPr>
            <w:r>
              <w:rPr>
                <w:color w:val="000000"/>
                <w:u w:val="none" w:color="auto"/>
              </w:rPr>
              <w:t>38</w:t>
            </w:r>
          </w:p>
        </w:tc>
        <w:tc>
          <w:tcPr>
            <w:tcW w:w="1910" w:type="pct"/>
            <w:noWrap w:val="0"/>
            <w:vAlign w:val="center"/>
          </w:tcPr>
          <w:p w14:paraId="0D80633C">
            <w:pPr>
              <w:pStyle w:val="37"/>
              <w:rPr>
                <w:color w:val="000000"/>
                <w:u w:val="none" w:color="auto"/>
              </w:rPr>
            </w:pPr>
            <w:r>
              <w:rPr>
                <w:color w:val="000000"/>
                <w:u w:val="none" w:color="auto"/>
              </w:rPr>
              <w:t>苯并[a]蒽</w:t>
            </w:r>
          </w:p>
        </w:tc>
        <w:tc>
          <w:tcPr>
            <w:tcW w:w="1126" w:type="pct"/>
            <w:noWrap w:val="0"/>
            <w:vAlign w:val="center"/>
          </w:tcPr>
          <w:p w14:paraId="1987C295">
            <w:pPr>
              <w:pStyle w:val="37"/>
              <w:rPr>
                <w:rFonts w:ascii="Times New Roman" w:hAnsi="Times New Roman" w:eastAsia="宋体"/>
                <w:color w:val="000000"/>
                <w:kern w:val="2"/>
                <w:sz w:val="21"/>
                <w:szCs w:val="21"/>
                <w:u w:val="none" w:color="auto"/>
                <w:lang w:val="en-US" w:eastAsia="zh-CN" w:bidi="ar-SA"/>
              </w:rPr>
            </w:pPr>
            <w:r>
              <w:rPr>
                <w:color w:val="000000"/>
                <w:u w:val="none" w:color="auto"/>
              </w:rPr>
              <w:t>15</w:t>
            </w:r>
          </w:p>
        </w:tc>
        <w:tc>
          <w:tcPr>
            <w:tcW w:w="1378" w:type="pct"/>
            <w:vMerge w:val="continue"/>
            <w:noWrap w:val="0"/>
            <w:vAlign w:val="center"/>
          </w:tcPr>
          <w:p w14:paraId="3324F28B">
            <w:pPr>
              <w:pStyle w:val="37"/>
              <w:rPr>
                <w:color w:val="000000"/>
                <w:u w:val="none" w:color="auto"/>
              </w:rPr>
            </w:pPr>
          </w:p>
        </w:tc>
      </w:tr>
      <w:tr w14:paraId="1D801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5605BBE7">
            <w:pPr>
              <w:pStyle w:val="37"/>
              <w:rPr>
                <w:color w:val="000000"/>
                <w:u w:val="none" w:color="auto"/>
              </w:rPr>
            </w:pPr>
            <w:r>
              <w:rPr>
                <w:color w:val="000000"/>
                <w:u w:val="none" w:color="auto"/>
              </w:rPr>
              <w:t>39</w:t>
            </w:r>
          </w:p>
        </w:tc>
        <w:tc>
          <w:tcPr>
            <w:tcW w:w="1910" w:type="pct"/>
            <w:noWrap w:val="0"/>
            <w:vAlign w:val="center"/>
          </w:tcPr>
          <w:p w14:paraId="7C49B726">
            <w:pPr>
              <w:pStyle w:val="37"/>
              <w:rPr>
                <w:color w:val="000000"/>
                <w:u w:val="none" w:color="auto"/>
              </w:rPr>
            </w:pPr>
            <w:r>
              <w:rPr>
                <w:color w:val="000000"/>
                <w:u w:val="none" w:color="auto"/>
              </w:rPr>
              <w:t>苯并[a]芘</w:t>
            </w:r>
          </w:p>
        </w:tc>
        <w:tc>
          <w:tcPr>
            <w:tcW w:w="1126" w:type="pct"/>
            <w:noWrap w:val="0"/>
            <w:vAlign w:val="center"/>
          </w:tcPr>
          <w:p w14:paraId="678D1B7E">
            <w:pPr>
              <w:pStyle w:val="37"/>
              <w:rPr>
                <w:rFonts w:ascii="Times New Roman" w:hAnsi="Times New Roman" w:eastAsia="宋体"/>
                <w:color w:val="000000"/>
                <w:kern w:val="2"/>
                <w:sz w:val="21"/>
                <w:szCs w:val="21"/>
                <w:u w:val="none" w:color="auto"/>
                <w:lang w:val="en-US" w:eastAsia="zh-CN" w:bidi="ar-SA"/>
              </w:rPr>
            </w:pPr>
            <w:r>
              <w:rPr>
                <w:color w:val="000000"/>
                <w:u w:val="none" w:color="auto"/>
              </w:rPr>
              <w:t>1.5</w:t>
            </w:r>
          </w:p>
        </w:tc>
        <w:tc>
          <w:tcPr>
            <w:tcW w:w="1378" w:type="pct"/>
            <w:vMerge w:val="continue"/>
            <w:noWrap w:val="0"/>
            <w:vAlign w:val="center"/>
          </w:tcPr>
          <w:p w14:paraId="649CF378">
            <w:pPr>
              <w:pStyle w:val="37"/>
              <w:rPr>
                <w:color w:val="000000"/>
                <w:u w:val="none" w:color="auto"/>
              </w:rPr>
            </w:pPr>
          </w:p>
        </w:tc>
      </w:tr>
      <w:tr w14:paraId="3EB9E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2ABDD91E">
            <w:pPr>
              <w:pStyle w:val="37"/>
              <w:rPr>
                <w:color w:val="000000"/>
                <w:u w:val="none" w:color="auto"/>
              </w:rPr>
            </w:pPr>
            <w:r>
              <w:rPr>
                <w:color w:val="000000"/>
                <w:u w:val="none" w:color="auto"/>
              </w:rPr>
              <w:t>40</w:t>
            </w:r>
          </w:p>
        </w:tc>
        <w:tc>
          <w:tcPr>
            <w:tcW w:w="1910" w:type="pct"/>
            <w:noWrap w:val="0"/>
            <w:vAlign w:val="center"/>
          </w:tcPr>
          <w:p w14:paraId="2C695700">
            <w:pPr>
              <w:pStyle w:val="37"/>
              <w:rPr>
                <w:color w:val="000000"/>
                <w:u w:val="none" w:color="auto"/>
              </w:rPr>
            </w:pPr>
            <w:r>
              <w:rPr>
                <w:color w:val="000000"/>
                <w:u w:val="none" w:color="auto"/>
              </w:rPr>
              <w:t>二苯并[a</w:t>
            </w:r>
            <w:r>
              <w:rPr>
                <w:rFonts w:hint="eastAsia"/>
                <w:color w:val="000000"/>
                <w:u w:val="none" w:color="auto"/>
                <w:lang w:eastAsia="zh-CN"/>
              </w:rPr>
              <w:t>，</w:t>
            </w:r>
            <w:r>
              <w:rPr>
                <w:color w:val="000000"/>
                <w:u w:val="none" w:color="auto"/>
              </w:rPr>
              <w:t>h]蒽</w:t>
            </w:r>
          </w:p>
        </w:tc>
        <w:tc>
          <w:tcPr>
            <w:tcW w:w="1126" w:type="pct"/>
            <w:noWrap w:val="0"/>
            <w:vAlign w:val="center"/>
          </w:tcPr>
          <w:p w14:paraId="5F1B6E0A">
            <w:pPr>
              <w:pStyle w:val="37"/>
              <w:rPr>
                <w:rFonts w:ascii="Times New Roman" w:hAnsi="Times New Roman" w:eastAsia="宋体"/>
                <w:color w:val="000000"/>
                <w:kern w:val="2"/>
                <w:sz w:val="21"/>
                <w:szCs w:val="21"/>
                <w:u w:val="none" w:color="auto"/>
                <w:lang w:val="en-US" w:eastAsia="zh-CN" w:bidi="ar-SA"/>
              </w:rPr>
            </w:pPr>
            <w:r>
              <w:rPr>
                <w:color w:val="000000"/>
                <w:u w:val="none" w:color="auto"/>
              </w:rPr>
              <w:t>1.5</w:t>
            </w:r>
          </w:p>
        </w:tc>
        <w:tc>
          <w:tcPr>
            <w:tcW w:w="1378" w:type="pct"/>
            <w:vMerge w:val="continue"/>
            <w:noWrap w:val="0"/>
            <w:vAlign w:val="center"/>
          </w:tcPr>
          <w:p w14:paraId="5F7E2484">
            <w:pPr>
              <w:pStyle w:val="37"/>
              <w:rPr>
                <w:color w:val="000000"/>
                <w:u w:val="none" w:color="auto"/>
              </w:rPr>
            </w:pPr>
          </w:p>
        </w:tc>
      </w:tr>
      <w:tr w14:paraId="182DE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5049132A">
            <w:pPr>
              <w:pStyle w:val="37"/>
              <w:rPr>
                <w:color w:val="000000"/>
                <w:u w:val="none" w:color="auto"/>
              </w:rPr>
            </w:pPr>
            <w:r>
              <w:rPr>
                <w:color w:val="000000"/>
                <w:u w:val="none" w:color="auto"/>
              </w:rPr>
              <w:t>41</w:t>
            </w:r>
          </w:p>
        </w:tc>
        <w:tc>
          <w:tcPr>
            <w:tcW w:w="1910" w:type="pct"/>
            <w:noWrap w:val="0"/>
            <w:vAlign w:val="center"/>
          </w:tcPr>
          <w:p w14:paraId="3059A828">
            <w:pPr>
              <w:pStyle w:val="37"/>
              <w:rPr>
                <w:color w:val="000000"/>
                <w:u w:val="none" w:color="auto"/>
              </w:rPr>
            </w:pPr>
            <w:r>
              <w:rPr>
                <w:color w:val="000000"/>
                <w:u w:val="none" w:color="auto"/>
              </w:rPr>
              <w:t>萘</w:t>
            </w:r>
          </w:p>
        </w:tc>
        <w:tc>
          <w:tcPr>
            <w:tcW w:w="1126" w:type="pct"/>
            <w:noWrap w:val="0"/>
            <w:vAlign w:val="center"/>
          </w:tcPr>
          <w:p w14:paraId="604C0FAF">
            <w:pPr>
              <w:pStyle w:val="37"/>
              <w:rPr>
                <w:rFonts w:ascii="Times New Roman" w:hAnsi="Times New Roman" w:eastAsia="宋体"/>
                <w:color w:val="000000"/>
                <w:kern w:val="2"/>
                <w:sz w:val="21"/>
                <w:szCs w:val="21"/>
                <w:u w:val="none" w:color="auto"/>
                <w:lang w:val="en-US" w:eastAsia="zh-CN" w:bidi="ar-SA"/>
              </w:rPr>
            </w:pPr>
            <w:r>
              <w:rPr>
                <w:color w:val="000000"/>
                <w:u w:val="none" w:color="auto"/>
              </w:rPr>
              <w:t>70</w:t>
            </w:r>
          </w:p>
        </w:tc>
        <w:tc>
          <w:tcPr>
            <w:tcW w:w="1378" w:type="pct"/>
            <w:vMerge w:val="continue"/>
            <w:noWrap w:val="0"/>
            <w:vAlign w:val="center"/>
          </w:tcPr>
          <w:p w14:paraId="6FA2A5E1">
            <w:pPr>
              <w:pStyle w:val="37"/>
              <w:rPr>
                <w:color w:val="000000"/>
                <w:u w:val="none" w:color="auto"/>
              </w:rPr>
            </w:pPr>
          </w:p>
        </w:tc>
      </w:tr>
      <w:tr w14:paraId="7548D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3489FD49">
            <w:pPr>
              <w:pStyle w:val="37"/>
              <w:rPr>
                <w:color w:val="000000"/>
                <w:u w:val="none" w:color="auto"/>
              </w:rPr>
            </w:pPr>
            <w:r>
              <w:rPr>
                <w:color w:val="000000"/>
                <w:u w:val="none" w:color="auto"/>
              </w:rPr>
              <w:t>42</w:t>
            </w:r>
          </w:p>
        </w:tc>
        <w:tc>
          <w:tcPr>
            <w:tcW w:w="1910" w:type="pct"/>
            <w:noWrap w:val="0"/>
            <w:vAlign w:val="center"/>
          </w:tcPr>
          <w:p w14:paraId="6A7CEF2C">
            <w:pPr>
              <w:pStyle w:val="37"/>
              <w:rPr>
                <w:color w:val="000000"/>
                <w:u w:val="none" w:color="auto"/>
              </w:rPr>
            </w:pPr>
            <w:r>
              <w:rPr>
                <w:color w:val="000000"/>
                <w:u w:val="none" w:color="auto"/>
              </w:rPr>
              <w:t>苯并[b]荧蒽</w:t>
            </w:r>
          </w:p>
        </w:tc>
        <w:tc>
          <w:tcPr>
            <w:tcW w:w="1126" w:type="pct"/>
            <w:noWrap w:val="0"/>
            <w:vAlign w:val="center"/>
          </w:tcPr>
          <w:p w14:paraId="091AF05A">
            <w:pPr>
              <w:pStyle w:val="37"/>
              <w:rPr>
                <w:rFonts w:ascii="Times New Roman" w:hAnsi="Times New Roman" w:eastAsia="宋体"/>
                <w:color w:val="000000"/>
                <w:kern w:val="2"/>
                <w:sz w:val="21"/>
                <w:szCs w:val="21"/>
                <w:u w:val="none" w:color="auto"/>
                <w:lang w:val="en-US" w:eastAsia="zh-CN" w:bidi="ar-SA"/>
              </w:rPr>
            </w:pPr>
            <w:r>
              <w:rPr>
                <w:color w:val="000000"/>
                <w:u w:val="none" w:color="auto"/>
              </w:rPr>
              <w:t>15</w:t>
            </w:r>
          </w:p>
        </w:tc>
        <w:tc>
          <w:tcPr>
            <w:tcW w:w="1378" w:type="pct"/>
            <w:vMerge w:val="continue"/>
            <w:noWrap w:val="0"/>
            <w:vAlign w:val="center"/>
          </w:tcPr>
          <w:p w14:paraId="2E708D40">
            <w:pPr>
              <w:pStyle w:val="37"/>
              <w:rPr>
                <w:color w:val="000000"/>
                <w:u w:val="none" w:color="auto"/>
              </w:rPr>
            </w:pPr>
          </w:p>
        </w:tc>
      </w:tr>
      <w:tr w14:paraId="273EA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03210794">
            <w:pPr>
              <w:pStyle w:val="37"/>
              <w:rPr>
                <w:color w:val="000000"/>
                <w:u w:val="none" w:color="auto"/>
              </w:rPr>
            </w:pPr>
            <w:r>
              <w:rPr>
                <w:color w:val="000000"/>
                <w:u w:val="none" w:color="auto"/>
              </w:rPr>
              <w:t>43</w:t>
            </w:r>
          </w:p>
        </w:tc>
        <w:tc>
          <w:tcPr>
            <w:tcW w:w="1910" w:type="pct"/>
            <w:noWrap w:val="0"/>
            <w:vAlign w:val="center"/>
          </w:tcPr>
          <w:p w14:paraId="2E2A9574">
            <w:pPr>
              <w:pStyle w:val="37"/>
              <w:rPr>
                <w:color w:val="000000"/>
                <w:u w:val="none" w:color="auto"/>
              </w:rPr>
            </w:pPr>
            <w:r>
              <w:rPr>
                <w:color w:val="000000"/>
                <w:u w:val="none" w:color="auto"/>
              </w:rPr>
              <w:t>苯并[k]荧蒽</w:t>
            </w:r>
          </w:p>
        </w:tc>
        <w:tc>
          <w:tcPr>
            <w:tcW w:w="1126" w:type="pct"/>
            <w:noWrap w:val="0"/>
            <w:vAlign w:val="center"/>
          </w:tcPr>
          <w:p w14:paraId="2E24FF07">
            <w:pPr>
              <w:pStyle w:val="37"/>
              <w:rPr>
                <w:rFonts w:ascii="Times New Roman" w:hAnsi="Times New Roman" w:eastAsia="宋体"/>
                <w:color w:val="000000"/>
                <w:kern w:val="2"/>
                <w:sz w:val="21"/>
                <w:szCs w:val="21"/>
                <w:u w:val="none" w:color="auto"/>
                <w:lang w:val="en-US" w:eastAsia="zh-CN" w:bidi="ar-SA"/>
              </w:rPr>
            </w:pPr>
            <w:r>
              <w:rPr>
                <w:color w:val="000000"/>
                <w:u w:val="none" w:color="auto"/>
              </w:rPr>
              <w:t>151</w:t>
            </w:r>
          </w:p>
        </w:tc>
        <w:tc>
          <w:tcPr>
            <w:tcW w:w="1378" w:type="pct"/>
            <w:vMerge w:val="continue"/>
            <w:noWrap w:val="0"/>
            <w:vAlign w:val="center"/>
          </w:tcPr>
          <w:p w14:paraId="343E7534">
            <w:pPr>
              <w:pStyle w:val="37"/>
              <w:rPr>
                <w:color w:val="000000"/>
                <w:u w:val="none" w:color="auto"/>
              </w:rPr>
            </w:pPr>
          </w:p>
        </w:tc>
      </w:tr>
      <w:tr w14:paraId="6BA13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7ABF4E23">
            <w:pPr>
              <w:pStyle w:val="37"/>
              <w:rPr>
                <w:color w:val="000000"/>
                <w:u w:val="none" w:color="auto"/>
              </w:rPr>
            </w:pPr>
            <w:r>
              <w:rPr>
                <w:color w:val="000000"/>
                <w:u w:val="none" w:color="auto"/>
              </w:rPr>
              <w:t>44</w:t>
            </w:r>
          </w:p>
        </w:tc>
        <w:tc>
          <w:tcPr>
            <w:tcW w:w="1910" w:type="pct"/>
            <w:noWrap w:val="0"/>
            <w:vAlign w:val="center"/>
          </w:tcPr>
          <w:p w14:paraId="4F25CED8">
            <w:pPr>
              <w:pStyle w:val="37"/>
              <w:rPr>
                <w:color w:val="000000"/>
                <w:u w:val="none" w:color="auto"/>
              </w:rPr>
            </w:pPr>
            <w:r>
              <w:rPr>
                <w:color w:val="000000"/>
                <w:u w:val="none" w:color="auto"/>
              </w:rPr>
              <w:t>茚并[1</w:t>
            </w:r>
            <w:r>
              <w:rPr>
                <w:rFonts w:hint="eastAsia"/>
                <w:color w:val="000000"/>
                <w:u w:val="none" w:color="auto"/>
                <w:lang w:eastAsia="zh-CN"/>
              </w:rPr>
              <w:t>，</w:t>
            </w:r>
            <w:r>
              <w:rPr>
                <w:color w:val="000000"/>
                <w:u w:val="none" w:color="auto"/>
              </w:rPr>
              <w:t>2</w:t>
            </w:r>
            <w:r>
              <w:rPr>
                <w:rFonts w:hint="eastAsia"/>
                <w:color w:val="000000"/>
                <w:u w:val="none" w:color="auto"/>
                <w:lang w:eastAsia="zh-CN"/>
              </w:rPr>
              <w:t>，</w:t>
            </w:r>
            <w:r>
              <w:rPr>
                <w:color w:val="000000"/>
                <w:u w:val="none" w:color="auto"/>
              </w:rPr>
              <w:t>3-cd]芘</w:t>
            </w:r>
          </w:p>
        </w:tc>
        <w:tc>
          <w:tcPr>
            <w:tcW w:w="1126" w:type="pct"/>
            <w:noWrap w:val="0"/>
            <w:vAlign w:val="center"/>
          </w:tcPr>
          <w:p w14:paraId="747C5C8D">
            <w:pPr>
              <w:pStyle w:val="37"/>
              <w:rPr>
                <w:rFonts w:ascii="Times New Roman" w:hAnsi="Times New Roman" w:eastAsia="宋体"/>
                <w:color w:val="000000"/>
                <w:kern w:val="2"/>
                <w:sz w:val="21"/>
                <w:szCs w:val="21"/>
                <w:u w:val="none" w:color="auto"/>
                <w:lang w:val="en-US" w:eastAsia="zh-CN" w:bidi="ar-SA"/>
              </w:rPr>
            </w:pPr>
            <w:r>
              <w:rPr>
                <w:color w:val="000000"/>
                <w:u w:val="none" w:color="auto"/>
              </w:rPr>
              <w:t>15</w:t>
            </w:r>
          </w:p>
        </w:tc>
        <w:tc>
          <w:tcPr>
            <w:tcW w:w="1378" w:type="pct"/>
            <w:vMerge w:val="continue"/>
            <w:noWrap w:val="0"/>
            <w:vAlign w:val="center"/>
          </w:tcPr>
          <w:p w14:paraId="62C48D4C">
            <w:pPr>
              <w:pStyle w:val="37"/>
              <w:rPr>
                <w:color w:val="000000"/>
                <w:u w:val="none" w:color="auto"/>
              </w:rPr>
            </w:pPr>
          </w:p>
        </w:tc>
      </w:tr>
      <w:tr w14:paraId="54FEF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24DC1FB8">
            <w:pPr>
              <w:pStyle w:val="37"/>
              <w:rPr>
                <w:color w:val="000000"/>
                <w:u w:val="none" w:color="auto"/>
              </w:rPr>
            </w:pPr>
            <w:r>
              <w:rPr>
                <w:color w:val="000000"/>
                <w:u w:val="none" w:color="auto"/>
              </w:rPr>
              <w:t>45</w:t>
            </w:r>
          </w:p>
        </w:tc>
        <w:tc>
          <w:tcPr>
            <w:tcW w:w="1910" w:type="pct"/>
            <w:noWrap w:val="0"/>
            <w:vAlign w:val="center"/>
          </w:tcPr>
          <w:p w14:paraId="1107FDD3">
            <w:pPr>
              <w:pStyle w:val="37"/>
              <w:rPr>
                <w:color w:val="000000"/>
                <w:u w:val="none" w:color="auto"/>
              </w:rPr>
            </w:pPr>
            <w:r>
              <w:rPr>
                <w:color w:val="000000"/>
                <w:u w:val="none" w:color="auto"/>
              </w:rPr>
              <w:t>䓛</w:t>
            </w:r>
          </w:p>
        </w:tc>
        <w:tc>
          <w:tcPr>
            <w:tcW w:w="1126" w:type="pct"/>
            <w:noWrap w:val="0"/>
            <w:vAlign w:val="center"/>
          </w:tcPr>
          <w:p w14:paraId="1327AE6A">
            <w:pPr>
              <w:pStyle w:val="37"/>
              <w:rPr>
                <w:rFonts w:ascii="Times New Roman" w:hAnsi="Times New Roman" w:eastAsia="宋体"/>
                <w:color w:val="000000"/>
                <w:kern w:val="2"/>
                <w:sz w:val="21"/>
                <w:szCs w:val="21"/>
                <w:u w:val="none" w:color="auto"/>
                <w:lang w:val="en-US" w:eastAsia="zh-CN" w:bidi="ar-SA"/>
              </w:rPr>
            </w:pPr>
            <w:r>
              <w:rPr>
                <w:color w:val="000000"/>
                <w:u w:val="none" w:color="auto"/>
              </w:rPr>
              <w:t>1293</w:t>
            </w:r>
          </w:p>
        </w:tc>
        <w:tc>
          <w:tcPr>
            <w:tcW w:w="1378" w:type="pct"/>
            <w:vMerge w:val="continue"/>
            <w:noWrap w:val="0"/>
            <w:vAlign w:val="center"/>
          </w:tcPr>
          <w:p w14:paraId="0275D79B">
            <w:pPr>
              <w:pStyle w:val="37"/>
              <w:rPr>
                <w:color w:val="000000"/>
                <w:u w:val="none" w:color="auto"/>
              </w:rPr>
            </w:pPr>
          </w:p>
        </w:tc>
      </w:tr>
      <w:tr w14:paraId="440B7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3621" w:type="pct"/>
            <w:gridSpan w:val="3"/>
            <w:noWrap w:val="0"/>
            <w:vAlign w:val="center"/>
          </w:tcPr>
          <w:p w14:paraId="713CF014">
            <w:pPr>
              <w:pStyle w:val="37"/>
              <w:rPr>
                <w:rFonts w:hint="eastAsia" w:eastAsia="宋体"/>
                <w:color w:val="000000"/>
                <w:u w:val="none" w:color="auto"/>
                <w:lang w:val="en-US" w:eastAsia="zh-CN"/>
              </w:rPr>
            </w:pPr>
            <w:r>
              <w:rPr>
                <w:rFonts w:hint="eastAsia"/>
                <w:color w:val="000000"/>
                <w:u w:val="none" w:color="auto"/>
                <w:lang w:val="en-US" w:eastAsia="zh-CN"/>
              </w:rPr>
              <w:t>石油烃类</w:t>
            </w:r>
          </w:p>
        </w:tc>
        <w:tc>
          <w:tcPr>
            <w:tcW w:w="1378" w:type="pct"/>
            <w:vMerge w:val="continue"/>
            <w:noWrap w:val="0"/>
            <w:vAlign w:val="center"/>
          </w:tcPr>
          <w:p w14:paraId="0ABD2594">
            <w:pPr>
              <w:pStyle w:val="37"/>
              <w:rPr>
                <w:color w:val="000000"/>
                <w:u w:val="none" w:color="auto"/>
              </w:rPr>
            </w:pPr>
          </w:p>
        </w:tc>
      </w:tr>
      <w:tr w14:paraId="0C41E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 w:hRule="atLeast"/>
          <w:jc w:val="center"/>
        </w:trPr>
        <w:tc>
          <w:tcPr>
            <w:tcW w:w="585" w:type="pct"/>
            <w:noWrap w:val="0"/>
            <w:vAlign w:val="center"/>
          </w:tcPr>
          <w:p w14:paraId="7589A2E2">
            <w:pPr>
              <w:pStyle w:val="37"/>
              <w:rPr>
                <w:rFonts w:hint="default" w:eastAsia="宋体"/>
                <w:color w:val="000000"/>
                <w:u w:val="none" w:color="auto"/>
                <w:lang w:val="en-US" w:eastAsia="zh-CN"/>
              </w:rPr>
            </w:pPr>
            <w:r>
              <w:rPr>
                <w:rFonts w:hint="eastAsia"/>
                <w:color w:val="000000"/>
                <w:u w:val="none" w:color="auto"/>
                <w:lang w:val="en-US" w:eastAsia="zh-CN"/>
              </w:rPr>
              <w:t>46</w:t>
            </w:r>
          </w:p>
        </w:tc>
        <w:tc>
          <w:tcPr>
            <w:tcW w:w="1910" w:type="pct"/>
            <w:noWrap w:val="0"/>
            <w:vAlign w:val="center"/>
          </w:tcPr>
          <w:p w14:paraId="4F201573">
            <w:pPr>
              <w:pStyle w:val="37"/>
              <w:rPr>
                <w:rFonts w:hint="eastAsia" w:eastAsia="宋体"/>
                <w:color w:val="000000"/>
                <w:u w:val="none" w:color="auto"/>
                <w:lang w:val="en-US" w:eastAsia="zh-CN"/>
              </w:rPr>
            </w:pPr>
            <w:r>
              <w:rPr>
                <w:rFonts w:hint="eastAsia"/>
                <w:color w:val="000000"/>
                <w:u w:val="none" w:color="auto"/>
                <w:lang w:val="en-US" w:eastAsia="zh-CN"/>
              </w:rPr>
              <w:t>石油烃（C10~C40）</w:t>
            </w:r>
          </w:p>
        </w:tc>
        <w:tc>
          <w:tcPr>
            <w:tcW w:w="1126" w:type="pct"/>
            <w:noWrap w:val="0"/>
            <w:vAlign w:val="center"/>
          </w:tcPr>
          <w:p w14:paraId="438B642B">
            <w:pPr>
              <w:pStyle w:val="37"/>
              <w:tabs>
                <w:tab w:val="left" w:pos="202"/>
                <w:tab w:val="center" w:pos="646"/>
              </w:tabs>
              <w:jc w:val="center"/>
              <w:rPr>
                <w:rFonts w:hint="default" w:ascii="Times New Roman" w:hAnsi="Times New Roman" w:eastAsia="宋体"/>
                <w:color w:val="000000"/>
                <w:kern w:val="2"/>
                <w:sz w:val="21"/>
                <w:szCs w:val="21"/>
                <w:u w:val="none" w:color="auto"/>
                <w:lang w:val="en-US" w:eastAsia="zh-CN" w:bidi="ar-SA"/>
              </w:rPr>
            </w:pPr>
            <w:r>
              <w:rPr>
                <w:rFonts w:hint="eastAsia"/>
                <w:color w:val="000000"/>
                <w:u w:val="none" w:color="auto"/>
                <w:lang w:val="en-US" w:eastAsia="zh-CN"/>
              </w:rPr>
              <w:t>4500</w:t>
            </w:r>
          </w:p>
        </w:tc>
        <w:tc>
          <w:tcPr>
            <w:tcW w:w="1378" w:type="pct"/>
            <w:vMerge w:val="continue"/>
            <w:noWrap w:val="0"/>
            <w:vAlign w:val="center"/>
          </w:tcPr>
          <w:p w14:paraId="66284503">
            <w:pPr>
              <w:pStyle w:val="37"/>
              <w:rPr>
                <w:color w:val="000000"/>
                <w:u w:val="none" w:color="auto"/>
              </w:rPr>
            </w:pPr>
          </w:p>
        </w:tc>
      </w:tr>
    </w:tbl>
    <w:p w14:paraId="74E2631B">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2、污染物排放标准</w:t>
      </w:r>
      <w:bookmarkEnd w:id="415"/>
      <w:bookmarkEnd w:id="416"/>
    </w:p>
    <w:p w14:paraId="02A23065">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sz w:val="24"/>
          <w:u w:val="none" w:color="auto"/>
          <w:lang w:eastAsia="zh-CN"/>
        </w:rPr>
      </w:pPr>
      <w:r>
        <w:rPr>
          <w:rFonts w:hint="default" w:ascii="Times New Roman" w:hAnsi="Times New Roman" w:cs="Times New Roman"/>
          <w:color w:val="auto"/>
          <w:sz w:val="24"/>
          <w:u w:val="none" w:color="auto"/>
        </w:rPr>
        <w:t>（1）</w:t>
      </w:r>
      <w:r>
        <w:rPr>
          <w:rFonts w:hint="default" w:ascii="Times New Roman" w:hAnsi="Times New Roman" w:cs="Times New Roman"/>
          <w:color w:val="auto"/>
          <w:u w:val="none" w:color="auto"/>
        </w:rPr>
        <w:t>废气</w:t>
      </w:r>
      <w:r>
        <w:rPr>
          <w:rFonts w:hint="default" w:ascii="Times New Roman" w:hAnsi="Times New Roman" w:cs="Times New Roman"/>
          <w:color w:val="auto"/>
          <w:sz w:val="24"/>
          <w:u w:val="none" w:color="auto"/>
        </w:rPr>
        <w:t>：</w:t>
      </w:r>
      <w:r>
        <w:rPr>
          <w:rFonts w:hint="default" w:ascii="Times New Roman" w:hAnsi="Times New Roman" w:cs="Times New Roman"/>
          <w:color w:val="auto"/>
          <w:u w:val="none" w:color="auto"/>
        </w:rPr>
        <w:t>施工期产生的扬尘执行《大气污染物综合排放标准》（GB16297-1996）中无组织排放监控浓度限值。</w:t>
      </w:r>
    </w:p>
    <w:p w14:paraId="472BA5D3">
      <w:pPr>
        <w:pStyle w:val="21"/>
        <w:numPr>
          <w:ilvl w:val="0"/>
          <w:numId w:val="0"/>
        </w:numPr>
        <w:ind w:firstLine="480" w:firstLineChars="20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lang w:eastAsia="zh-CN"/>
        </w:rPr>
        <w:t>营运期</w:t>
      </w:r>
      <w:r>
        <w:rPr>
          <w:rFonts w:hint="default" w:ascii="Times New Roman" w:hAnsi="Times New Roman" w:cs="Times New Roman"/>
          <w:color w:val="auto"/>
          <w:u w:val="none"/>
        </w:rPr>
        <w:t>颗粒物</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非甲烷总烃</w:t>
      </w:r>
      <w:r>
        <w:rPr>
          <w:rFonts w:hint="eastAsia" w:ascii="Times New Roman" w:hAnsi="Times New Roman" w:cs="Times New Roman"/>
          <w:color w:val="auto"/>
          <w:u w:val="none"/>
          <w:lang w:val="en-US" w:eastAsia="zh-CN"/>
        </w:rPr>
        <w:t>、甲醛、酚类、二氧化硫、氮氧化物</w:t>
      </w:r>
      <w:r>
        <w:rPr>
          <w:rFonts w:hint="default" w:ascii="Times New Roman" w:hAnsi="Times New Roman" w:cs="Times New Roman"/>
          <w:color w:val="auto"/>
          <w:u w:val="none"/>
        </w:rPr>
        <w:t>执</w:t>
      </w:r>
      <w:r>
        <w:rPr>
          <w:rFonts w:hint="default" w:ascii="Times New Roman" w:hAnsi="Times New Roman" w:cs="Times New Roman"/>
          <w:color w:val="auto"/>
          <w:u w:val="none"/>
          <w:lang w:eastAsia="zh-CN"/>
        </w:rPr>
        <w:t>行《合成树脂工业污染物排放标准》（GB31572-2015）</w:t>
      </w:r>
      <w:r>
        <w:rPr>
          <w:rFonts w:hint="eastAsia" w:ascii="Times New Roman" w:hAnsi="Times New Roman" w:cs="Times New Roman"/>
          <w:color w:val="auto"/>
          <w:u w:val="none"/>
          <w:lang w:val="en-US" w:eastAsia="zh-CN"/>
        </w:rPr>
        <w:t>及</w:t>
      </w:r>
      <w:r>
        <w:rPr>
          <w:rFonts w:hint="default" w:ascii="Times New Roman" w:hAnsi="Times New Roman" w:cs="Times New Roman"/>
          <w:color w:val="auto"/>
          <w:u w:val="none"/>
          <w:lang w:eastAsia="zh-CN"/>
        </w:rPr>
        <w:t>《大气污染物综合排放标准》（GB16297-1996）标准中较严者。企业厂区内无组织排放监控点</w:t>
      </w:r>
      <w:r>
        <w:rPr>
          <w:rFonts w:hint="default" w:ascii="Times New Roman" w:hAnsi="Times New Roman" w:cs="Times New Roman"/>
          <w:color w:val="auto"/>
          <w:u w:val="none"/>
          <w:lang w:val="en-US" w:eastAsia="zh-CN"/>
        </w:rPr>
        <w:t>非甲烷总烃</w:t>
      </w:r>
      <w:r>
        <w:rPr>
          <w:rFonts w:hint="default" w:ascii="Times New Roman" w:hAnsi="Times New Roman" w:cs="Times New Roman"/>
          <w:color w:val="auto"/>
          <w:u w:val="none"/>
          <w:lang w:eastAsia="zh-CN"/>
        </w:rPr>
        <w:t>执行《挥发性有机物无组织排放控制标准》（</w:t>
      </w:r>
      <w:r>
        <w:rPr>
          <w:rFonts w:hint="default" w:ascii="Times New Roman" w:hAnsi="Times New Roman" w:cs="Times New Roman"/>
          <w:color w:val="auto"/>
          <w:u w:val="none"/>
          <w:lang w:val="en-US" w:eastAsia="zh-CN"/>
        </w:rPr>
        <w:t>GB37822-2019</w:t>
      </w:r>
      <w:r>
        <w:rPr>
          <w:rFonts w:hint="default" w:ascii="Times New Roman" w:hAnsi="Times New Roman" w:cs="Times New Roman"/>
          <w:color w:val="auto"/>
          <w:u w:val="none"/>
          <w:lang w:eastAsia="zh-CN"/>
        </w:rPr>
        <w:t>）附录</w:t>
      </w:r>
      <w:r>
        <w:rPr>
          <w:rFonts w:hint="default" w:ascii="Times New Roman" w:hAnsi="Times New Roman" w:cs="Times New Roman"/>
          <w:color w:val="auto"/>
          <w:u w:val="none"/>
          <w:lang w:val="en-US" w:eastAsia="zh-CN"/>
        </w:rPr>
        <w:t>A表A.1排放浓度限值要求</w:t>
      </w:r>
      <w:r>
        <w:rPr>
          <w:rFonts w:hint="eastAsia" w:ascii="Times New Roman" w:hAnsi="Times New Roman" w:cs="Times New Roman"/>
          <w:color w:val="auto"/>
          <w:sz w:val="24"/>
          <w:u w:val="none" w:color="auto"/>
          <w:lang w:val="en-US" w:eastAsia="zh-CN"/>
        </w:rPr>
        <w:t>。</w:t>
      </w:r>
    </w:p>
    <w:p w14:paraId="0B2E206D">
      <w:pPr>
        <w:pStyle w:val="23"/>
        <w:bidi w:val="0"/>
        <w:rPr>
          <w:rFonts w:hint="eastAsia"/>
          <w:b/>
          <w:snapToGrid w:val="0"/>
          <w:color w:val="auto"/>
          <w:kern w:val="0"/>
          <w:szCs w:val="21"/>
          <w:u w:val="none" w:color="auto"/>
          <w:lang w:val="en-US" w:eastAsia="zh-CN"/>
        </w:rPr>
      </w:pPr>
      <w:r>
        <w:rPr>
          <w:rFonts w:hint="default" w:ascii="Times New Roman" w:hAnsi="Times New Roman" w:cs="Times New Roman"/>
          <w:color w:val="auto"/>
          <w:u w:val="none" w:color="auto"/>
        </w:rPr>
        <w:t>表2.</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9</w:t>
      </w:r>
      <w:r>
        <w:rPr>
          <w:rFonts w:hint="eastAsia" w:cs="Times New Roman"/>
          <w:color w:val="auto"/>
          <w:u w:val="none" w:color="auto"/>
          <w:lang w:val="en-US" w:eastAsia="zh-CN"/>
        </w:rPr>
        <w:t xml:space="preserve"> 废气</w:t>
      </w:r>
      <w:r>
        <w:rPr>
          <w:rFonts w:hint="eastAsia"/>
          <w:b/>
          <w:snapToGrid w:val="0"/>
          <w:color w:val="auto"/>
          <w:kern w:val="0"/>
          <w:szCs w:val="21"/>
          <w:u w:val="none" w:color="auto"/>
        </w:rPr>
        <w:t>排放标准</w:t>
      </w:r>
      <w:r>
        <w:rPr>
          <w:rFonts w:hint="eastAsia"/>
          <w:b/>
          <w:snapToGrid w:val="0"/>
          <w:color w:val="auto"/>
          <w:kern w:val="0"/>
          <w:szCs w:val="21"/>
          <w:u w:val="none" w:color="auto"/>
          <w:lang w:val="en-US" w:eastAsia="zh-CN"/>
        </w:rPr>
        <w:t xml:space="preserve"> （单位：</w:t>
      </w:r>
      <w:r>
        <w:rPr>
          <w:rFonts w:hint="default" w:ascii="Times New Roman" w:hAnsi="Times New Roman" w:cs="Times New Roman"/>
          <w:color w:val="auto"/>
          <w:u w:val="none" w:color="auto"/>
        </w:rPr>
        <w:t>mg/m</w:t>
      </w:r>
      <w:r>
        <w:rPr>
          <w:rFonts w:hint="default" w:ascii="Times New Roman" w:hAnsi="Times New Roman" w:cs="Times New Roman"/>
          <w:color w:val="auto"/>
          <w:u w:val="none" w:color="auto"/>
          <w:vertAlign w:val="superscript"/>
        </w:rPr>
        <w:t>3</w:t>
      </w:r>
      <w:r>
        <w:rPr>
          <w:rFonts w:hint="eastAsia"/>
          <w:b/>
          <w:snapToGrid w:val="0"/>
          <w:color w:val="auto"/>
          <w:kern w:val="0"/>
          <w:szCs w:val="21"/>
          <w:u w:val="none" w:color="auto"/>
          <w:lang w:val="en-US" w:eastAsia="zh-CN"/>
        </w:rPr>
        <w:t>）</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19"/>
        <w:gridCol w:w="1048"/>
        <w:gridCol w:w="845"/>
        <w:gridCol w:w="879"/>
        <w:gridCol w:w="760"/>
        <w:gridCol w:w="795"/>
        <w:gridCol w:w="862"/>
        <w:gridCol w:w="930"/>
        <w:gridCol w:w="887"/>
        <w:gridCol w:w="995"/>
      </w:tblGrid>
      <w:tr w14:paraId="65E7D9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vMerge w:val="restart"/>
            <w:noWrap w:val="0"/>
            <w:vAlign w:val="center"/>
          </w:tcPr>
          <w:p w14:paraId="6129880B">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序号</w:t>
            </w:r>
          </w:p>
        </w:tc>
        <w:tc>
          <w:tcPr>
            <w:tcW w:w="930" w:type="dxa"/>
            <w:vMerge w:val="restart"/>
            <w:noWrap w:val="0"/>
            <w:vAlign w:val="center"/>
          </w:tcPr>
          <w:p w14:paraId="1F333672">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污染物</w:t>
            </w:r>
          </w:p>
        </w:tc>
        <w:tc>
          <w:tcPr>
            <w:tcW w:w="1530" w:type="dxa"/>
            <w:gridSpan w:val="2"/>
            <w:noWrap w:val="0"/>
            <w:vAlign w:val="center"/>
          </w:tcPr>
          <w:p w14:paraId="174DBA25">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合成树脂工业污染物排放标准</w:t>
            </w:r>
          </w:p>
        </w:tc>
        <w:tc>
          <w:tcPr>
            <w:tcW w:w="2145" w:type="dxa"/>
            <w:gridSpan w:val="3"/>
            <w:noWrap w:val="0"/>
            <w:vAlign w:val="center"/>
          </w:tcPr>
          <w:p w14:paraId="2141AB25">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大气污染物综合排放标准</w:t>
            </w:r>
          </w:p>
        </w:tc>
        <w:tc>
          <w:tcPr>
            <w:tcW w:w="2496" w:type="dxa"/>
            <w:gridSpan w:val="3"/>
            <w:noWrap w:val="0"/>
            <w:vAlign w:val="center"/>
          </w:tcPr>
          <w:p w14:paraId="1CA43A2A">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本项目执行标准</w:t>
            </w:r>
          </w:p>
        </w:tc>
      </w:tr>
      <w:tr w14:paraId="502EEB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vMerge w:val="continue"/>
            <w:noWrap w:val="0"/>
            <w:vAlign w:val="center"/>
          </w:tcPr>
          <w:p w14:paraId="141297D1">
            <w:pPr>
              <w:pStyle w:val="25"/>
              <w:bidi w:val="0"/>
              <w:rPr>
                <w:rFonts w:hint="default" w:ascii="Times New Roman" w:hAnsi="Times New Roman" w:cs="Times New Roman"/>
                <w:color w:val="auto"/>
              </w:rPr>
            </w:pPr>
          </w:p>
        </w:tc>
        <w:tc>
          <w:tcPr>
            <w:tcW w:w="930" w:type="dxa"/>
            <w:vMerge w:val="continue"/>
            <w:noWrap w:val="0"/>
            <w:vAlign w:val="center"/>
          </w:tcPr>
          <w:p w14:paraId="6E88EBA9">
            <w:pPr>
              <w:pStyle w:val="25"/>
              <w:bidi w:val="0"/>
              <w:rPr>
                <w:rFonts w:hint="default" w:ascii="Times New Roman" w:hAnsi="Times New Roman" w:cs="Times New Roman"/>
                <w:color w:val="auto"/>
              </w:rPr>
            </w:pPr>
          </w:p>
        </w:tc>
        <w:tc>
          <w:tcPr>
            <w:tcW w:w="750" w:type="dxa"/>
            <w:noWrap w:val="0"/>
            <w:vAlign w:val="center"/>
          </w:tcPr>
          <w:p w14:paraId="6CAEA4AE">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15m最高允许排放浓度（mg/m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780" w:type="dxa"/>
            <w:noWrap w:val="0"/>
            <w:vAlign w:val="center"/>
          </w:tcPr>
          <w:p w14:paraId="510C6CAC">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企业边界大气污染物浓度限值（mg/m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675" w:type="dxa"/>
            <w:noWrap w:val="0"/>
            <w:vAlign w:val="center"/>
          </w:tcPr>
          <w:p w14:paraId="0E316A96">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15m最高允许排放浓度（mg/m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705" w:type="dxa"/>
            <w:noWrap w:val="0"/>
            <w:vAlign w:val="center"/>
          </w:tcPr>
          <w:p w14:paraId="3C20202F">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15m最高允许排放速率（kg/h）</w:t>
            </w:r>
          </w:p>
        </w:tc>
        <w:tc>
          <w:tcPr>
            <w:tcW w:w="765" w:type="dxa"/>
            <w:noWrap w:val="0"/>
            <w:vAlign w:val="center"/>
          </w:tcPr>
          <w:p w14:paraId="78D0CEDD">
            <w:pPr>
              <w:pStyle w:val="25"/>
              <w:bidi w:val="0"/>
              <w:rPr>
                <w:rFonts w:hint="default" w:ascii="Times New Roman" w:hAnsi="Times New Roman" w:cs="Times New Roman"/>
                <w:color w:val="auto"/>
              </w:rPr>
            </w:pPr>
            <w:r>
              <w:rPr>
                <w:rFonts w:hint="eastAsia" w:ascii="Times New Roman" w:hAnsi="Times New Roman" w:cs="Times New Roman"/>
                <w:color w:val="auto"/>
                <w:lang w:val="en-US" w:eastAsia="zh-CN"/>
              </w:rPr>
              <w:t>企业边界大气污染物浓度限值（mg/m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825" w:type="dxa"/>
            <w:noWrap w:val="0"/>
            <w:vAlign w:val="center"/>
          </w:tcPr>
          <w:p w14:paraId="01310F79">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15m最高允许排放浓度（mg/m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788" w:type="dxa"/>
            <w:noWrap w:val="0"/>
            <w:vAlign w:val="center"/>
          </w:tcPr>
          <w:p w14:paraId="70E07352">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15m最高允许排放速率（kg/h）</w:t>
            </w:r>
          </w:p>
        </w:tc>
        <w:tc>
          <w:tcPr>
            <w:tcW w:w="883" w:type="dxa"/>
            <w:noWrap w:val="0"/>
            <w:vAlign w:val="center"/>
          </w:tcPr>
          <w:p w14:paraId="425C50F2">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企业边界大气污染物浓度限值（mg/m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r>
      <w:tr w14:paraId="0F2364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6A426956">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930" w:type="dxa"/>
            <w:noWrap w:val="0"/>
            <w:vAlign w:val="center"/>
          </w:tcPr>
          <w:p w14:paraId="6D457DE0">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颗粒物</w:t>
            </w:r>
          </w:p>
        </w:tc>
        <w:tc>
          <w:tcPr>
            <w:tcW w:w="750" w:type="dxa"/>
            <w:noWrap w:val="0"/>
            <w:vAlign w:val="center"/>
          </w:tcPr>
          <w:p w14:paraId="4128D487">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w:t>
            </w:r>
          </w:p>
        </w:tc>
        <w:tc>
          <w:tcPr>
            <w:tcW w:w="780" w:type="dxa"/>
            <w:noWrap w:val="0"/>
            <w:vAlign w:val="center"/>
          </w:tcPr>
          <w:p w14:paraId="685FF0ED">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675" w:type="dxa"/>
            <w:noWrap w:val="0"/>
            <w:vAlign w:val="center"/>
          </w:tcPr>
          <w:p w14:paraId="41E729DB">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705" w:type="dxa"/>
            <w:noWrap w:val="0"/>
            <w:vAlign w:val="center"/>
          </w:tcPr>
          <w:p w14:paraId="6EDE8519">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0.51</w:t>
            </w:r>
          </w:p>
        </w:tc>
        <w:tc>
          <w:tcPr>
            <w:tcW w:w="765" w:type="dxa"/>
            <w:noWrap w:val="0"/>
            <w:vAlign w:val="center"/>
          </w:tcPr>
          <w:p w14:paraId="63C1BA3A">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肉眼不可见</w:t>
            </w:r>
          </w:p>
        </w:tc>
        <w:tc>
          <w:tcPr>
            <w:tcW w:w="825" w:type="dxa"/>
            <w:noWrap w:val="0"/>
            <w:vAlign w:val="center"/>
          </w:tcPr>
          <w:p w14:paraId="0DC08E43">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w:t>
            </w:r>
          </w:p>
        </w:tc>
        <w:tc>
          <w:tcPr>
            <w:tcW w:w="788" w:type="dxa"/>
            <w:noWrap w:val="0"/>
            <w:vAlign w:val="center"/>
          </w:tcPr>
          <w:p w14:paraId="406F9A14">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0.51</w:t>
            </w:r>
          </w:p>
        </w:tc>
        <w:tc>
          <w:tcPr>
            <w:tcW w:w="883" w:type="dxa"/>
            <w:noWrap w:val="0"/>
            <w:vAlign w:val="center"/>
          </w:tcPr>
          <w:p w14:paraId="7F01BFAD">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肉眼不可见</w:t>
            </w:r>
          </w:p>
        </w:tc>
      </w:tr>
      <w:tr w14:paraId="574703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5E35DB84">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930" w:type="dxa"/>
            <w:noWrap w:val="0"/>
            <w:vAlign w:val="center"/>
          </w:tcPr>
          <w:p w14:paraId="53D83429">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非甲烷总烃</w:t>
            </w:r>
          </w:p>
        </w:tc>
        <w:tc>
          <w:tcPr>
            <w:tcW w:w="750" w:type="dxa"/>
            <w:noWrap w:val="0"/>
            <w:vAlign w:val="center"/>
          </w:tcPr>
          <w:p w14:paraId="4904B441">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780" w:type="dxa"/>
            <w:noWrap w:val="0"/>
            <w:vAlign w:val="center"/>
          </w:tcPr>
          <w:p w14:paraId="4E832FD5">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4.0</w:t>
            </w:r>
          </w:p>
        </w:tc>
        <w:tc>
          <w:tcPr>
            <w:tcW w:w="675" w:type="dxa"/>
            <w:noWrap w:val="0"/>
            <w:vAlign w:val="center"/>
          </w:tcPr>
          <w:p w14:paraId="18F60CF7">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w:t>
            </w:r>
          </w:p>
        </w:tc>
        <w:tc>
          <w:tcPr>
            <w:tcW w:w="705" w:type="dxa"/>
            <w:noWrap w:val="0"/>
            <w:vAlign w:val="center"/>
          </w:tcPr>
          <w:p w14:paraId="165F5C35">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765" w:type="dxa"/>
            <w:noWrap w:val="0"/>
            <w:vAlign w:val="center"/>
          </w:tcPr>
          <w:p w14:paraId="427EFC30">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w:t>
            </w:r>
          </w:p>
        </w:tc>
        <w:tc>
          <w:tcPr>
            <w:tcW w:w="825" w:type="dxa"/>
            <w:noWrap w:val="0"/>
            <w:vAlign w:val="center"/>
          </w:tcPr>
          <w:p w14:paraId="4545E00E">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100</w:t>
            </w:r>
          </w:p>
        </w:tc>
        <w:tc>
          <w:tcPr>
            <w:tcW w:w="788" w:type="dxa"/>
            <w:noWrap w:val="0"/>
            <w:vAlign w:val="center"/>
          </w:tcPr>
          <w:p w14:paraId="458A2E99">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883" w:type="dxa"/>
            <w:noWrap w:val="0"/>
            <w:vAlign w:val="center"/>
          </w:tcPr>
          <w:p w14:paraId="1A483CC0">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w:t>
            </w:r>
          </w:p>
        </w:tc>
      </w:tr>
      <w:tr w14:paraId="0C8B20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086DF56A">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930" w:type="dxa"/>
            <w:noWrap w:val="0"/>
            <w:vAlign w:val="center"/>
          </w:tcPr>
          <w:p w14:paraId="2CD1850F">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酚类</w:t>
            </w:r>
          </w:p>
        </w:tc>
        <w:tc>
          <w:tcPr>
            <w:tcW w:w="750" w:type="dxa"/>
            <w:noWrap w:val="0"/>
            <w:vAlign w:val="center"/>
          </w:tcPr>
          <w:p w14:paraId="48E0ECDF">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20</w:t>
            </w:r>
          </w:p>
        </w:tc>
        <w:tc>
          <w:tcPr>
            <w:tcW w:w="780" w:type="dxa"/>
            <w:noWrap w:val="0"/>
            <w:vAlign w:val="center"/>
          </w:tcPr>
          <w:p w14:paraId="5AB8CB62">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w:t>
            </w:r>
          </w:p>
        </w:tc>
        <w:tc>
          <w:tcPr>
            <w:tcW w:w="675" w:type="dxa"/>
            <w:noWrap w:val="0"/>
            <w:vAlign w:val="center"/>
          </w:tcPr>
          <w:p w14:paraId="3BFF4F91">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705" w:type="dxa"/>
            <w:noWrap w:val="0"/>
            <w:vAlign w:val="center"/>
          </w:tcPr>
          <w:p w14:paraId="07BCBBDB">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c>
          <w:tcPr>
            <w:tcW w:w="765" w:type="dxa"/>
            <w:noWrap w:val="0"/>
            <w:vAlign w:val="center"/>
          </w:tcPr>
          <w:p w14:paraId="5D88A3CC">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0.08</w:t>
            </w:r>
          </w:p>
        </w:tc>
        <w:tc>
          <w:tcPr>
            <w:tcW w:w="825" w:type="dxa"/>
            <w:noWrap w:val="0"/>
            <w:vAlign w:val="center"/>
          </w:tcPr>
          <w:p w14:paraId="7BEA78C4">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w:t>
            </w:r>
          </w:p>
        </w:tc>
        <w:tc>
          <w:tcPr>
            <w:tcW w:w="788" w:type="dxa"/>
            <w:noWrap w:val="0"/>
            <w:vAlign w:val="center"/>
          </w:tcPr>
          <w:p w14:paraId="56F18F33">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w:t>
            </w:r>
          </w:p>
        </w:tc>
        <w:tc>
          <w:tcPr>
            <w:tcW w:w="883" w:type="dxa"/>
            <w:noWrap w:val="0"/>
            <w:vAlign w:val="center"/>
          </w:tcPr>
          <w:p w14:paraId="7E5F528F">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0.08</w:t>
            </w:r>
          </w:p>
        </w:tc>
      </w:tr>
      <w:tr w14:paraId="2772A6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2170D510">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930" w:type="dxa"/>
            <w:noWrap w:val="0"/>
            <w:vAlign w:val="center"/>
          </w:tcPr>
          <w:p w14:paraId="35689CC2">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甲醛</w:t>
            </w:r>
          </w:p>
        </w:tc>
        <w:tc>
          <w:tcPr>
            <w:tcW w:w="750" w:type="dxa"/>
            <w:noWrap w:val="0"/>
            <w:vAlign w:val="center"/>
          </w:tcPr>
          <w:p w14:paraId="30382FEE">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w:t>
            </w:r>
          </w:p>
        </w:tc>
        <w:tc>
          <w:tcPr>
            <w:tcW w:w="780" w:type="dxa"/>
            <w:noWrap w:val="0"/>
            <w:vAlign w:val="center"/>
          </w:tcPr>
          <w:p w14:paraId="1EB6E0CD">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w:t>
            </w:r>
          </w:p>
        </w:tc>
        <w:tc>
          <w:tcPr>
            <w:tcW w:w="675" w:type="dxa"/>
            <w:noWrap w:val="0"/>
            <w:vAlign w:val="center"/>
          </w:tcPr>
          <w:p w14:paraId="39614E5F">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705" w:type="dxa"/>
            <w:noWrap w:val="0"/>
            <w:vAlign w:val="center"/>
          </w:tcPr>
          <w:p w14:paraId="2938288E">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0.26</w:t>
            </w:r>
          </w:p>
        </w:tc>
        <w:tc>
          <w:tcPr>
            <w:tcW w:w="765" w:type="dxa"/>
            <w:noWrap w:val="0"/>
            <w:vAlign w:val="center"/>
          </w:tcPr>
          <w:p w14:paraId="3C0381AA">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0.2</w:t>
            </w:r>
          </w:p>
        </w:tc>
        <w:tc>
          <w:tcPr>
            <w:tcW w:w="825" w:type="dxa"/>
            <w:noWrap w:val="0"/>
            <w:vAlign w:val="center"/>
          </w:tcPr>
          <w:p w14:paraId="55B2A615">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788" w:type="dxa"/>
            <w:noWrap w:val="0"/>
            <w:vAlign w:val="center"/>
          </w:tcPr>
          <w:p w14:paraId="6A006DEA">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0.26</w:t>
            </w:r>
          </w:p>
        </w:tc>
        <w:tc>
          <w:tcPr>
            <w:tcW w:w="883" w:type="dxa"/>
            <w:noWrap w:val="0"/>
            <w:vAlign w:val="center"/>
          </w:tcPr>
          <w:p w14:paraId="50169142">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0.2</w:t>
            </w:r>
          </w:p>
        </w:tc>
      </w:tr>
      <w:tr w14:paraId="2EA044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3D2D37DE">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930" w:type="dxa"/>
            <w:noWrap w:val="0"/>
            <w:vAlign w:val="center"/>
          </w:tcPr>
          <w:p w14:paraId="0456F2B1">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二氧化硫</w:t>
            </w:r>
          </w:p>
        </w:tc>
        <w:tc>
          <w:tcPr>
            <w:tcW w:w="750" w:type="dxa"/>
            <w:noWrap w:val="0"/>
            <w:vAlign w:val="center"/>
          </w:tcPr>
          <w:p w14:paraId="696E6F48">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100</w:t>
            </w:r>
          </w:p>
        </w:tc>
        <w:tc>
          <w:tcPr>
            <w:tcW w:w="780" w:type="dxa"/>
            <w:noWrap w:val="0"/>
            <w:vAlign w:val="center"/>
          </w:tcPr>
          <w:p w14:paraId="1F8C8319">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w:t>
            </w:r>
          </w:p>
        </w:tc>
        <w:tc>
          <w:tcPr>
            <w:tcW w:w="675" w:type="dxa"/>
            <w:noWrap w:val="0"/>
            <w:vAlign w:val="center"/>
          </w:tcPr>
          <w:p w14:paraId="40B0F8AD">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550</w:t>
            </w:r>
          </w:p>
        </w:tc>
        <w:tc>
          <w:tcPr>
            <w:tcW w:w="705" w:type="dxa"/>
            <w:noWrap w:val="0"/>
            <w:vAlign w:val="center"/>
          </w:tcPr>
          <w:p w14:paraId="4829838E">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w:t>
            </w:r>
          </w:p>
        </w:tc>
        <w:tc>
          <w:tcPr>
            <w:tcW w:w="765" w:type="dxa"/>
            <w:noWrap w:val="0"/>
            <w:vAlign w:val="center"/>
          </w:tcPr>
          <w:p w14:paraId="26BF90E5">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0.4</w:t>
            </w:r>
          </w:p>
        </w:tc>
        <w:tc>
          <w:tcPr>
            <w:tcW w:w="825" w:type="dxa"/>
            <w:noWrap w:val="0"/>
            <w:vAlign w:val="center"/>
          </w:tcPr>
          <w:p w14:paraId="4ECBF6B7">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100</w:t>
            </w:r>
          </w:p>
        </w:tc>
        <w:tc>
          <w:tcPr>
            <w:tcW w:w="788" w:type="dxa"/>
            <w:noWrap w:val="0"/>
            <w:vAlign w:val="center"/>
          </w:tcPr>
          <w:p w14:paraId="1FC40148">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2.6</w:t>
            </w:r>
          </w:p>
        </w:tc>
        <w:tc>
          <w:tcPr>
            <w:tcW w:w="883" w:type="dxa"/>
            <w:noWrap w:val="0"/>
            <w:vAlign w:val="center"/>
          </w:tcPr>
          <w:p w14:paraId="257A429A">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0.4</w:t>
            </w:r>
          </w:p>
        </w:tc>
      </w:tr>
      <w:tr w14:paraId="56EAB6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1" w:type="dxa"/>
            <w:noWrap w:val="0"/>
            <w:vAlign w:val="center"/>
          </w:tcPr>
          <w:p w14:paraId="23FC2D73">
            <w:pPr>
              <w:pStyle w:val="2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930" w:type="dxa"/>
            <w:noWrap w:val="0"/>
            <w:vAlign w:val="center"/>
          </w:tcPr>
          <w:p w14:paraId="2A8B418B">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氮氧化物</w:t>
            </w:r>
          </w:p>
        </w:tc>
        <w:tc>
          <w:tcPr>
            <w:tcW w:w="750" w:type="dxa"/>
            <w:noWrap w:val="0"/>
            <w:vAlign w:val="center"/>
          </w:tcPr>
          <w:p w14:paraId="0C36A3C7">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180</w:t>
            </w:r>
          </w:p>
        </w:tc>
        <w:tc>
          <w:tcPr>
            <w:tcW w:w="780" w:type="dxa"/>
            <w:noWrap w:val="0"/>
            <w:vAlign w:val="center"/>
          </w:tcPr>
          <w:p w14:paraId="4F8DD27C">
            <w:pPr>
              <w:pStyle w:val="25"/>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w:t>
            </w:r>
          </w:p>
        </w:tc>
        <w:tc>
          <w:tcPr>
            <w:tcW w:w="675" w:type="dxa"/>
            <w:noWrap w:val="0"/>
            <w:vAlign w:val="center"/>
          </w:tcPr>
          <w:p w14:paraId="5E3D81B7">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240</w:t>
            </w:r>
          </w:p>
        </w:tc>
        <w:tc>
          <w:tcPr>
            <w:tcW w:w="705" w:type="dxa"/>
            <w:noWrap w:val="0"/>
            <w:vAlign w:val="center"/>
          </w:tcPr>
          <w:p w14:paraId="24A2DBD5">
            <w:pPr>
              <w:pStyle w:val="25"/>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0.77</w:t>
            </w:r>
          </w:p>
        </w:tc>
        <w:tc>
          <w:tcPr>
            <w:tcW w:w="765" w:type="dxa"/>
            <w:noWrap w:val="0"/>
            <w:vAlign w:val="center"/>
          </w:tcPr>
          <w:p w14:paraId="06CFFA59">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0.12</w:t>
            </w:r>
          </w:p>
        </w:tc>
        <w:tc>
          <w:tcPr>
            <w:tcW w:w="825" w:type="dxa"/>
            <w:noWrap w:val="0"/>
            <w:vAlign w:val="center"/>
          </w:tcPr>
          <w:p w14:paraId="1F85FDB0">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180</w:t>
            </w:r>
          </w:p>
        </w:tc>
        <w:tc>
          <w:tcPr>
            <w:tcW w:w="788" w:type="dxa"/>
            <w:noWrap w:val="0"/>
            <w:vAlign w:val="center"/>
          </w:tcPr>
          <w:p w14:paraId="755E2A84">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0.77</w:t>
            </w:r>
          </w:p>
        </w:tc>
        <w:tc>
          <w:tcPr>
            <w:tcW w:w="883" w:type="dxa"/>
            <w:noWrap w:val="0"/>
            <w:vAlign w:val="center"/>
          </w:tcPr>
          <w:p w14:paraId="791A3001">
            <w:pPr>
              <w:pStyle w:val="2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0.12</w:t>
            </w:r>
          </w:p>
        </w:tc>
      </w:tr>
    </w:tbl>
    <w:p w14:paraId="4BB14BD5">
      <w:pPr>
        <w:pStyle w:val="23"/>
        <w:bidi w:val="0"/>
        <w:rPr>
          <w:color w:val="auto"/>
          <w:u w:val="none" w:color="auto"/>
          <w:vertAlign w:val="superscript"/>
        </w:rPr>
      </w:pPr>
      <w:r>
        <w:rPr>
          <w:color w:val="auto"/>
          <w:u w:val="none" w:color="auto"/>
        </w:rPr>
        <w:t>表2.2-</w:t>
      </w:r>
      <w:r>
        <w:rPr>
          <w:rFonts w:hint="eastAsia"/>
          <w:color w:val="auto"/>
          <w:u w:val="none" w:color="auto"/>
          <w:lang w:val="en-US" w:eastAsia="zh-CN"/>
        </w:rPr>
        <w:t>10</w:t>
      </w:r>
      <w:r>
        <w:rPr>
          <w:color w:val="auto"/>
          <w:u w:val="none" w:color="auto"/>
        </w:rPr>
        <w:t xml:space="preserve"> </w:t>
      </w:r>
      <w:r>
        <w:rPr>
          <w:rFonts w:hint="eastAsia"/>
          <w:color w:val="auto"/>
          <w:u w:val="none" w:color="auto"/>
        </w:rPr>
        <w:t>《挥发性有机物无组织排放控制标准》（</w:t>
      </w:r>
      <w:r>
        <w:rPr>
          <w:rFonts w:hint="eastAsia"/>
          <w:color w:val="auto"/>
          <w:spacing w:val="6"/>
          <w:u w:val="none" w:color="auto"/>
        </w:rPr>
        <w:t>GB37822-2019</w:t>
      </w:r>
      <w:r>
        <w:rPr>
          <w:rFonts w:hint="eastAsia"/>
          <w:color w:val="auto"/>
          <w:u w:val="none" w:color="auto"/>
        </w:rPr>
        <w:t>）</w:t>
      </w:r>
      <w:r>
        <w:rPr>
          <w:rFonts w:hint="eastAsia"/>
          <w:b/>
          <w:snapToGrid w:val="0"/>
          <w:color w:val="auto"/>
          <w:kern w:val="0"/>
          <w:szCs w:val="21"/>
          <w:u w:val="none" w:color="auto"/>
          <w:lang w:val="en-US" w:eastAsia="zh-CN"/>
        </w:rPr>
        <w:t>（单位：</w:t>
      </w:r>
      <w:r>
        <w:rPr>
          <w:rFonts w:hint="default" w:ascii="Times New Roman" w:hAnsi="Times New Roman" w:cs="Times New Roman"/>
          <w:color w:val="auto"/>
          <w:u w:val="none" w:color="auto"/>
        </w:rPr>
        <w:t>mg/m</w:t>
      </w:r>
      <w:r>
        <w:rPr>
          <w:rFonts w:hint="default" w:ascii="Times New Roman" w:hAnsi="Times New Roman" w:cs="Times New Roman"/>
          <w:color w:val="auto"/>
          <w:u w:val="none" w:color="auto"/>
          <w:vertAlign w:val="superscript"/>
        </w:rPr>
        <w:t>3</w:t>
      </w:r>
      <w:r>
        <w:rPr>
          <w:rFonts w:hint="eastAsia"/>
          <w:b/>
          <w:snapToGrid w:val="0"/>
          <w:color w:val="auto"/>
          <w:kern w:val="0"/>
          <w:szCs w:val="21"/>
          <w:u w:val="none" w:color="auto"/>
          <w:lang w:val="en-US" w:eastAsia="zh-CN"/>
        </w:rPr>
        <w:t>）</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05"/>
        <w:gridCol w:w="1261"/>
        <w:gridCol w:w="3149"/>
        <w:gridCol w:w="2787"/>
      </w:tblGrid>
      <w:tr w14:paraId="7F80FD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noWrap w:val="0"/>
            <w:vAlign w:val="center"/>
          </w:tcPr>
          <w:p w14:paraId="6DFE7FBA">
            <w:pPr>
              <w:pStyle w:val="24"/>
              <w:bidi w:val="0"/>
              <w:rPr>
                <w:rFonts w:hint="eastAsia"/>
                <w:b/>
                <w:bCs w:val="0"/>
                <w:color w:val="auto"/>
                <w:u w:val="none" w:color="auto"/>
              </w:rPr>
            </w:pPr>
            <w:r>
              <w:rPr>
                <w:rFonts w:hint="eastAsia"/>
                <w:b/>
                <w:bCs w:val="0"/>
                <w:color w:val="auto"/>
                <w:u w:val="none" w:color="auto"/>
              </w:rPr>
              <w:t>污染物</w:t>
            </w:r>
          </w:p>
        </w:tc>
        <w:tc>
          <w:tcPr>
            <w:tcW w:w="1261" w:type="dxa"/>
            <w:noWrap w:val="0"/>
            <w:vAlign w:val="center"/>
          </w:tcPr>
          <w:p w14:paraId="2853A6A9">
            <w:pPr>
              <w:pStyle w:val="24"/>
              <w:bidi w:val="0"/>
              <w:rPr>
                <w:rFonts w:hint="eastAsia"/>
                <w:b/>
                <w:bCs w:val="0"/>
                <w:color w:val="auto"/>
                <w:u w:val="none" w:color="auto"/>
              </w:rPr>
            </w:pPr>
            <w:r>
              <w:rPr>
                <w:rFonts w:hint="eastAsia"/>
                <w:b/>
                <w:bCs w:val="0"/>
                <w:color w:val="auto"/>
                <w:u w:val="none" w:color="auto"/>
              </w:rPr>
              <w:t>排放限值</w:t>
            </w:r>
          </w:p>
        </w:tc>
        <w:tc>
          <w:tcPr>
            <w:tcW w:w="3149" w:type="dxa"/>
            <w:noWrap w:val="0"/>
            <w:vAlign w:val="center"/>
          </w:tcPr>
          <w:p w14:paraId="2C2E76E3">
            <w:pPr>
              <w:pStyle w:val="24"/>
              <w:bidi w:val="0"/>
              <w:rPr>
                <w:rFonts w:hint="eastAsia"/>
                <w:b/>
                <w:bCs w:val="0"/>
                <w:color w:val="auto"/>
                <w:u w:val="none" w:color="auto"/>
              </w:rPr>
            </w:pPr>
            <w:r>
              <w:rPr>
                <w:rFonts w:hint="eastAsia"/>
                <w:b/>
                <w:bCs w:val="0"/>
                <w:color w:val="auto"/>
                <w:u w:val="none" w:color="auto"/>
              </w:rPr>
              <w:t>限值含义</w:t>
            </w:r>
          </w:p>
        </w:tc>
        <w:tc>
          <w:tcPr>
            <w:tcW w:w="2787" w:type="dxa"/>
            <w:noWrap w:val="0"/>
            <w:vAlign w:val="center"/>
          </w:tcPr>
          <w:p w14:paraId="3EE4CDCE">
            <w:pPr>
              <w:pStyle w:val="24"/>
              <w:bidi w:val="0"/>
              <w:rPr>
                <w:rFonts w:hint="eastAsia"/>
                <w:b/>
                <w:bCs w:val="0"/>
                <w:color w:val="auto"/>
                <w:u w:val="none" w:color="auto"/>
              </w:rPr>
            </w:pPr>
            <w:r>
              <w:rPr>
                <w:rFonts w:hint="eastAsia"/>
                <w:b/>
                <w:bCs w:val="0"/>
                <w:color w:val="auto"/>
                <w:u w:val="none" w:color="auto"/>
              </w:rPr>
              <w:t>监控点</w:t>
            </w:r>
          </w:p>
        </w:tc>
      </w:tr>
      <w:tr w14:paraId="44BD9A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vMerge w:val="restart"/>
            <w:noWrap w:val="0"/>
            <w:vAlign w:val="center"/>
          </w:tcPr>
          <w:p w14:paraId="49A855AB">
            <w:pPr>
              <w:pStyle w:val="24"/>
              <w:bidi w:val="0"/>
              <w:rPr>
                <w:color w:val="auto"/>
                <w:u w:val="none" w:color="auto"/>
              </w:rPr>
            </w:pPr>
            <w:r>
              <w:rPr>
                <w:rFonts w:hint="eastAsia"/>
                <w:color w:val="auto"/>
                <w:u w:val="none" w:color="auto"/>
              </w:rPr>
              <w:t>NMHC</w:t>
            </w:r>
          </w:p>
        </w:tc>
        <w:tc>
          <w:tcPr>
            <w:tcW w:w="1261" w:type="dxa"/>
            <w:noWrap w:val="0"/>
            <w:vAlign w:val="center"/>
          </w:tcPr>
          <w:p w14:paraId="08B72AA4">
            <w:pPr>
              <w:pStyle w:val="24"/>
              <w:bidi w:val="0"/>
              <w:rPr>
                <w:color w:val="auto"/>
                <w:u w:val="none" w:color="auto"/>
              </w:rPr>
            </w:pPr>
            <w:r>
              <w:rPr>
                <w:rFonts w:hint="eastAsia"/>
                <w:color w:val="auto"/>
                <w:u w:val="none" w:color="auto"/>
              </w:rPr>
              <w:t>10</w:t>
            </w:r>
          </w:p>
        </w:tc>
        <w:tc>
          <w:tcPr>
            <w:tcW w:w="3149" w:type="dxa"/>
            <w:noWrap w:val="0"/>
            <w:vAlign w:val="center"/>
          </w:tcPr>
          <w:p w14:paraId="368CF5CB">
            <w:pPr>
              <w:pStyle w:val="24"/>
              <w:bidi w:val="0"/>
              <w:rPr>
                <w:color w:val="auto"/>
                <w:u w:val="none" w:color="auto"/>
              </w:rPr>
            </w:pPr>
            <w:r>
              <w:rPr>
                <w:rFonts w:hint="eastAsia"/>
                <w:color w:val="auto"/>
                <w:u w:val="none" w:color="auto"/>
              </w:rPr>
              <w:t>监控点处1h平均浓度值</w:t>
            </w:r>
          </w:p>
        </w:tc>
        <w:tc>
          <w:tcPr>
            <w:tcW w:w="2787" w:type="dxa"/>
            <w:vMerge w:val="restart"/>
            <w:noWrap w:val="0"/>
            <w:vAlign w:val="center"/>
          </w:tcPr>
          <w:p w14:paraId="7DEA26D3">
            <w:pPr>
              <w:pStyle w:val="24"/>
              <w:bidi w:val="0"/>
              <w:rPr>
                <w:color w:val="auto"/>
                <w:u w:val="none" w:color="auto"/>
              </w:rPr>
            </w:pPr>
            <w:r>
              <w:rPr>
                <w:rFonts w:hint="eastAsia"/>
                <w:color w:val="auto"/>
                <w:u w:val="none" w:color="auto"/>
              </w:rPr>
              <w:t>在厂房外设置监控点</w:t>
            </w:r>
          </w:p>
        </w:tc>
      </w:tr>
      <w:tr w14:paraId="749FC4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vMerge w:val="continue"/>
            <w:noWrap w:val="0"/>
            <w:vAlign w:val="center"/>
          </w:tcPr>
          <w:p w14:paraId="556E93CB">
            <w:pPr>
              <w:pStyle w:val="24"/>
              <w:bidi w:val="0"/>
              <w:rPr>
                <w:color w:val="auto"/>
                <w:u w:val="none" w:color="auto"/>
              </w:rPr>
            </w:pPr>
          </w:p>
        </w:tc>
        <w:tc>
          <w:tcPr>
            <w:tcW w:w="1261" w:type="dxa"/>
            <w:noWrap w:val="0"/>
            <w:vAlign w:val="center"/>
          </w:tcPr>
          <w:p w14:paraId="3CA03E00">
            <w:pPr>
              <w:pStyle w:val="24"/>
              <w:bidi w:val="0"/>
              <w:rPr>
                <w:color w:val="auto"/>
                <w:u w:val="none" w:color="auto"/>
              </w:rPr>
            </w:pPr>
            <w:r>
              <w:rPr>
                <w:rFonts w:hint="eastAsia"/>
                <w:color w:val="auto"/>
                <w:u w:val="none" w:color="auto"/>
              </w:rPr>
              <w:t>30</w:t>
            </w:r>
          </w:p>
        </w:tc>
        <w:tc>
          <w:tcPr>
            <w:tcW w:w="3149" w:type="dxa"/>
            <w:noWrap w:val="0"/>
            <w:vAlign w:val="center"/>
          </w:tcPr>
          <w:p w14:paraId="043E404B">
            <w:pPr>
              <w:pStyle w:val="24"/>
              <w:bidi w:val="0"/>
              <w:rPr>
                <w:color w:val="auto"/>
                <w:u w:val="none" w:color="auto"/>
              </w:rPr>
            </w:pPr>
            <w:r>
              <w:rPr>
                <w:rFonts w:hint="eastAsia"/>
                <w:color w:val="auto"/>
                <w:u w:val="none" w:color="auto"/>
              </w:rPr>
              <w:t>监控点处任意一次浓度值</w:t>
            </w:r>
          </w:p>
        </w:tc>
        <w:tc>
          <w:tcPr>
            <w:tcW w:w="2787" w:type="dxa"/>
            <w:vMerge w:val="continue"/>
            <w:noWrap w:val="0"/>
            <w:vAlign w:val="center"/>
          </w:tcPr>
          <w:p w14:paraId="623B800A">
            <w:pPr>
              <w:pStyle w:val="24"/>
              <w:bidi w:val="0"/>
              <w:rPr>
                <w:color w:val="auto"/>
                <w:u w:val="none" w:color="auto"/>
              </w:rPr>
            </w:pPr>
          </w:p>
        </w:tc>
      </w:tr>
    </w:tbl>
    <w:p w14:paraId="1AEDE567">
      <w:pPr>
        <w:pStyle w:val="21"/>
        <w:numPr>
          <w:ilvl w:val="0"/>
          <w:numId w:val="6"/>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废水：项目</w:t>
      </w:r>
      <w:r>
        <w:rPr>
          <w:rFonts w:hint="eastAsia" w:ascii="Times New Roman" w:hAnsi="Times New Roman" w:cs="Times New Roman"/>
          <w:color w:val="auto"/>
          <w:u w:val="none" w:color="auto"/>
          <w:lang w:val="en-US" w:eastAsia="zh-CN"/>
        </w:rPr>
        <w:t>无生产废水产生；</w:t>
      </w:r>
      <w:r>
        <w:rPr>
          <w:rFonts w:hint="default" w:ascii="Times New Roman" w:hAnsi="Times New Roman" w:cs="Times New Roman"/>
          <w:color w:val="auto"/>
          <w:u w:val="none" w:color="auto"/>
        </w:rPr>
        <w:t>生活污水经化粪池处理</w:t>
      </w:r>
      <w:r>
        <w:rPr>
          <w:rFonts w:hint="eastAsia"/>
          <w:color w:val="auto"/>
          <w:u w:val="none" w:color="auto"/>
          <w:lang w:val="en-US" w:eastAsia="zh-CN"/>
        </w:rPr>
        <w:t>后排入长沙经开区汨罗产业园污水处理厂</w:t>
      </w:r>
      <w:r>
        <w:rPr>
          <w:rFonts w:hint="eastAsia" w:ascii="Times New Roman" w:hAnsi="Times New Roman" w:cs="Times New Roman"/>
          <w:color w:val="auto"/>
          <w:u w:val="none" w:color="auto"/>
          <w:lang w:val="en-US" w:eastAsia="zh-CN"/>
        </w:rPr>
        <w:t>。生活污水排放执行</w:t>
      </w:r>
      <w:r>
        <w:rPr>
          <w:rFonts w:hint="eastAsia"/>
          <w:color w:val="auto"/>
          <w:u w:val="none" w:color="auto"/>
          <w:lang w:val="en-US" w:eastAsia="zh-CN"/>
        </w:rPr>
        <w:t>长沙经开区汨罗产业园污水处理厂</w:t>
      </w:r>
      <w:r>
        <w:rPr>
          <w:rFonts w:hint="eastAsia" w:ascii="Times New Roman" w:hAnsi="Times New Roman" w:cs="Times New Roman"/>
          <w:color w:val="auto"/>
          <w:u w:val="none" w:color="auto"/>
          <w:lang w:val="en-US" w:eastAsia="zh-CN"/>
        </w:rPr>
        <w:t>进水水质标准。</w:t>
      </w:r>
    </w:p>
    <w:p w14:paraId="1C64BA64">
      <w:pPr>
        <w:pStyle w:val="31"/>
        <w:bidi w:val="0"/>
        <w:rPr>
          <w:rFonts w:hint="eastAsia"/>
          <w:color w:val="auto"/>
          <w:u w:val="none" w:color="auto"/>
          <w:lang w:val="en-US" w:eastAsia="zh-CN"/>
        </w:rPr>
      </w:pPr>
      <w:r>
        <w:rPr>
          <w:rFonts w:hint="eastAsia"/>
          <w:color w:val="auto"/>
          <w:u w:val="none" w:color="auto"/>
          <w:lang w:val="en-US" w:eastAsia="zh-CN"/>
        </w:rPr>
        <w:t>表2.2-11 项目生活污水排放执行标准 单位：mg/L（pH除外）</w:t>
      </w:r>
    </w:p>
    <w:tbl>
      <w:tblPr>
        <w:tblStyle w:val="16"/>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650"/>
        <w:gridCol w:w="3257"/>
        <w:gridCol w:w="2175"/>
      </w:tblGrid>
      <w:tr w14:paraId="4EDD2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71F3987D">
            <w:pPr>
              <w:pStyle w:val="25"/>
              <w:rPr>
                <w:rFonts w:hint="eastAsia" w:eastAsia="宋体"/>
                <w:b/>
                <w:bCs/>
                <w:color w:val="auto"/>
                <w:u w:val="none" w:color="auto"/>
                <w:lang w:eastAsia="zh-CN"/>
              </w:rPr>
            </w:pPr>
            <w:r>
              <w:rPr>
                <w:rFonts w:hint="eastAsia"/>
                <w:b/>
                <w:bCs/>
                <w:color w:val="auto"/>
                <w:u w:val="none" w:color="auto"/>
                <w:lang w:val="en-US" w:eastAsia="zh-CN"/>
              </w:rPr>
              <w:t>序号</w:t>
            </w:r>
          </w:p>
        </w:tc>
        <w:tc>
          <w:tcPr>
            <w:tcW w:w="970" w:type="pct"/>
            <w:noWrap w:val="0"/>
            <w:vAlign w:val="center"/>
          </w:tcPr>
          <w:p w14:paraId="43D95F06">
            <w:pPr>
              <w:pStyle w:val="25"/>
              <w:rPr>
                <w:rFonts w:hint="eastAsia" w:eastAsia="宋体"/>
                <w:b/>
                <w:bCs/>
                <w:color w:val="auto"/>
                <w:u w:val="none" w:color="auto"/>
                <w:lang w:eastAsia="zh-CN"/>
              </w:rPr>
            </w:pPr>
            <w:r>
              <w:rPr>
                <w:rFonts w:hint="eastAsia"/>
                <w:b/>
                <w:bCs/>
                <w:color w:val="auto"/>
                <w:u w:val="none" w:color="auto"/>
                <w:lang w:val="en-US" w:eastAsia="zh-CN"/>
              </w:rPr>
              <w:t>污染物</w:t>
            </w:r>
          </w:p>
        </w:tc>
        <w:tc>
          <w:tcPr>
            <w:tcW w:w="1914" w:type="pct"/>
            <w:noWrap w:val="0"/>
            <w:vAlign w:val="center"/>
          </w:tcPr>
          <w:p w14:paraId="6FF0F835">
            <w:pPr>
              <w:pStyle w:val="25"/>
              <w:rPr>
                <w:rFonts w:hint="default"/>
                <w:b/>
                <w:bCs/>
                <w:color w:val="auto"/>
                <w:u w:val="none" w:color="auto"/>
              </w:rPr>
            </w:pPr>
            <w:r>
              <w:rPr>
                <w:rFonts w:hint="eastAsia" w:ascii="Times New Roman" w:hAnsi="Times New Roman" w:eastAsia="宋体" w:cs="Times New Roman"/>
                <w:b/>
                <w:bCs/>
                <w:color w:val="auto"/>
                <w:u w:val="none" w:color="auto"/>
                <w:lang w:val="en-US" w:eastAsia="zh-CN"/>
              </w:rPr>
              <w:t>长沙经开区汨罗产业园污水处理厂设计进水水质标准</w:t>
            </w:r>
          </w:p>
        </w:tc>
        <w:tc>
          <w:tcPr>
            <w:tcW w:w="1278" w:type="pct"/>
            <w:noWrap w:val="0"/>
            <w:vAlign w:val="center"/>
          </w:tcPr>
          <w:p w14:paraId="10DCF2C9">
            <w:pPr>
              <w:pStyle w:val="25"/>
              <w:rPr>
                <w:rFonts w:hint="default"/>
                <w:b/>
                <w:bCs/>
                <w:color w:val="auto"/>
                <w:u w:val="none" w:color="auto"/>
              </w:rPr>
            </w:pPr>
            <w:r>
              <w:rPr>
                <w:rFonts w:hint="eastAsia" w:ascii="Times New Roman" w:hAnsi="Times New Roman" w:eastAsia="宋体" w:cs="Times New Roman"/>
                <w:b/>
                <w:bCs/>
                <w:color w:val="auto"/>
                <w:u w:val="none" w:color="auto"/>
                <w:lang w:val="en-US" w:eastAsia="zh-CN"/>
              </w:rPr>
              <w:t>本项目生活</w:t>
            </w:r>
            <w:r>
              <w:rPr>
                <w:rFonts w:hint="eastAsia" w:cs="Times New Roman"/>
                <w:b/>
                <w:bCs/>
                <w:color w:val="auto"/>
                <w:u w:val="none" w:color="auto"/>
                <w:lang w:val="en-US" w:eastAsia="zh-CN"/>
              </w:rPr>
              <w:t>污</w:t>
            </w:r>
            <w:r>
              <w:rPr>
                <w:rFonts w:hint="eastAsia" w:ascii="Times New Roman" w:hAnsi="Times New Roman" w:eastAsia="宋体" w:cs="Times New Roman"/>
                <w:b/>
                <w:bCs/>
                <w:color w:val="auto"/>
                <w:u w:val="none" w:color="auto"/>
                <w:lang w:val="en-US" w:eastAsia="zh-CN"/>
              </w:rPr>
              <w:t>水排放标准限值</w:t>
            </w:r>
          </w:p>
        </w:tc>
      </w:tr>
      <w:tr w14:paraId="01992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76D5FD1A">
            <w:pPr>
              <w:pStyle w:val="25"/>
              <w:rPr>
                <w:rFonts w:hint="eastAsia" w:eastAsia="宋体"/>
                <w:color w:val="auto"/>
                <w:u w:val="none" w:color="auto"/>
                <w:lang w:val="en-US" w:eastAsia="zh-CN"/>
              </w:rPr>
            </w:pPr>
            <w:r>
              <w:rPr>
                <w:rFonts w:hint="eastAsia"/>
                <w:color w:val="auto"/>
                <w:u w:val="none" w:color="auto"/>
                <w:lang w:val="en-US" w:eastAsia="zh-CN"/>
              </w:rPr>
              <w:t>1</w:t>
            </w:r>
          </w:p>
        </w:tc>
        <w:tc>
          <w:tcPr>
            <w:tcW w:w="970" w:type="pct"/>
            <w:noWrap w:val="0"/>
            <w:vAlign w:val="center"/>
          </w:tcPr>
          <w:p w14:paraId="61B0787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eastAsia="宋体"/>
                <w:color w:val="auto"/>
                <w:u w:val="none" w:color="auto"/>
                <w:lang w:val="en-US" w:eastAsia="zh-CN"/>
              </w:rPr>
              <w:t>pH</w:t>
            </w:r>
          </w:p>
        </w:tc>
        <w:tc>
          <w:tcPr>
            <w:tcW w:w="1914" w:type="pct"/>
            <w:noWrap w:val="0"/>
            <w:vAlign w:val="center"/>
          </w:tcPr>
          <w:p w14:paraId="28F4304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6~9</w:t>
            </w:r>
          </w:p>
        </w:tc>
        <w:tc>
          <w:tcPr>
            <w:tcW w:w="1278" w:type="pct"/>
            <w:noWrap w:val="0"/>
            <w:vAlign w:val="center"/>
          </w:tcPr>
          <w:p w14:paraId="24A864A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6~9</w:t>
            </w:r>
          </w:p>
        </w:tc>
      </w:tr>
      <w:tr w14:paraId="0D5B0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59241CE3">
            <w:pPr>
              <w:pStyle w:val="25"/>
              <w:rPr>
                <w:rFonts w:hint="eastAsia" w:eastAsia="宋体"/>
                <w:color w:val="auto"/>
                <w:u w:val="none" w:color="auto"/>
                <w:lang w:val="en-US" w:eastAsia="zh-CN"/>
              </w:rPr>
            </w:pPr>
            <w:r>
              <w:rPr>
                <w:rFonts w:hint="eastAsia"/>
                <w:color w:val="auto"/>
                <w:u w:val="none" w:color="auto"/>
                <w:lang w:val="en-US" w:eastAsia="zh-CN"/>
              </w:rPr>
              <w:t>2</w:t>
            </w:r>
          </w:p>
        </w:tc>
        <w:tc>
          <w:tcPr>
            <w:tcW w:w="970" w:type="pct"/>
            <w:noWrap w:val="0"/>
            <w:vAlign w:val="center"/>
          </w:tcPr>
          <w:p w14:paraId="16B2A71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eastAsia="宋体"/>
                <w:color w:val="auto"/>
                <w:u w:val="none" w:color="auto"/>
                <w:lang w:val="en-US" w:eastAsia="zh-CN"/>
              </w:rPr>
              <w:t>CODcr</w:t>
            </w:r>
          </w:p>
        </w:tc>
        <w:tc>
          <w:tcPr>
            <w:tcW w:w="1914" w:type="pct"/>
            <w:noWrap w:val="0"/>
            <w:vAlign w:val="center"/>
          </w:tcPr>
          <w:p w14:paraId="040FF4D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500</w:t>
            </w:r>
          </w:p>
        </w:tc>
        <w:tc>
          <w:tcPr>
            <w:tcW w:w="1278" w:type="pct"/>
            <w:noWrap w:val="0"/>
            <w:vAlign w:val="center"/>
          </w:tcPr>
          <w:p w14:paraId="6CC40F9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500</w:t>
            </w:r>
          </w:p>
        </w:tc>
      </w:tr>
      <w:tr w14:paraId="3CA03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2262CDCD">
            <w:pPr>
              <w:pStyle w:val="25"/>
              <w:rPr>
                <w:rFonts w:hint="eastAsia" w:eastAsia="宋体"/>
                <w:color w:val="auto"/>
                <w:u w:val="none" w:color="auto"/>
                <w:lang w:val="en-US" w:eastAsia="zh-CN"/>
              </w:rPr>
            </w:pPr>
            <w:r>
              <w:rPr>
                <w:rFonts w:hint="eastAsia"/>
                <w:color w:val="auto"/>
                <w:u w:val="none" w:color="auto"/>
                <w:lang w:val="en-US" w:eastAsia="zh-CN"/>
              </w:rPr>
              <w:t>3</w:t>
            </w:r>
          </w:p>
        </w:tc>
        <w:tc>
          <w:tcPr>
            <w:tcW w:w="970" w:type="pct"/>
            <w:noWrap w:val="0"/>
            <w:vAlign w:val="center"/>
          </w:tcPr>
          <w:p w14:paraId="24F690B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eastAsia="宋体"/>
                <w:color w:val="auto"/>
                <w:u w:val="none" w:color="auto"/>
                <w:lang w:val="en-US" w:eastAsia="zh-CN"/>
              </w:rPr>
              <w:t>BOD</w:t>
            </w:r>
            <w:r>
              <w:rPr>
                <w:rFonts w:hint="eastAsia" w:eastAsia="宋体"/>
                <w:color w:val="auto"/>
                <w:u w:val="none" w:color="auto"/>
                <w:vertAlign w:val="subscript"/>
                <w:lang w:val="en-US" w:eastAsia="zh-CN"/>
              </w:rPr>
              <w:t>5</w:t>
            </w:r>
          </w:p>
        </w:tc>
        <w:tc>
          <w:tcPr>
            <w:tcW w:w="1914" w:type="pct"/>
            <w:noWrap w:val="0"/>
            <w:vAlign w:val="center"/>
          </w:tcPr>
          <w:p w14:paraId="5C61C02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300</w:t>
            </w:r>
          </w:p>
        </w:tc>
        <w:tc>
          <w:tcPr>
            <w:tcW w:w="1278" w:type="pct"/>
            <w:noWrap w:val="0"/>
            <w:vAlign w:val="center"/>
          </w:tcPr>
          <w:p w14:paraId="7E23C3C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300</w:t>
            </w:r>
          </w:p>
        </w:tc>
      </w:tr>
      <w:tr w14:paraId="7C053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6C7B6C97">
            <w:pPr>
              <w:pStyle w:val="25"/>
              <w:rPr>
                <w:rFonts w:hint="default"/>
                <w:color w:val="auto"/>
                <w:u w:val="none" w:color="auto"/>
                <w:lang w:val="en-US" w:eastAsia="zh-CN"/>
              </w:rPr>
            </w:pPr>
            <w:r>
              <w:rPr>
                <w:rFonts w:hint="eastAsia"/>
                <w:color w:val="auto"/>
                <w:u w:val="none" w:color="auto"/>
                <w:lang w:val="en-US" w:eastAsia="zh-CN"/>
              </w:rPr>
              <w:t>4</w:t>
            </w:r>
          </w:p>
        </w:tc>
        <w:tc>
          <w:tcPr>
            <w:tcW w:w="970" w:type="pct"/>
            <w:noWrap w:val="0"/>
            <w:vAlign w:val="center"/>
          </w:tcPr>
          <w:p w14:paraId="53A115F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eastAsia="宋体"/>
                <w:color w:val="auto"/>
                <w:u w:val="none" w:color="auto"/>
                <w:lang w:val="en-US" w:eastAsia="zh-CN"/>
              </w:rPr>
              <w:t>氨氮</w:t>
            </w:r>
          </w:p>
        </w:tc>
        <w:tc>
          <w:tcPr>
            <w:tcW w:w="1914" w:type="pct"/>
            <w:noWrap w:val="0"/>
            <w:vAlign w:val="center"/>
          </w:tcPr>
          <w:p w14:paraId="2CA6B04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30</w:t>
            </w:r>
          </w:p>
        </w:tc>
        <w:tc>
          <w:tcPr>
            <w:tcW w:w="1278" w:type="pct"/>
            <w:noWrap w:val="0"/>
            <w:vAlign w:val="center"/>
          </w:tcPr>
          <w:p w14:paraId="5C1ACCF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30</w:t>
            </w:r>
          </w:p>
        </w:tc>
      </w:tr>
      <w:tr w14:paraId="26882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36557A33">
            <w:pPr>
              <w:pStyle w:val="25"/>
              <w:rPr>
                <w:rFonts w:hint="default"/>
                <w:color w:val="auto"/>
                <w:u w:val="none" w:color="auto"/>
                <w:lang w:val="en-US" w:eastAsia="zh-CN"/>
              </w:rPr>
            </w:pPr>
            <w:r>
              <w:rPr>
                <w:rFonts w:hint="eastAsia"/>
                <w:color w:val="auto"/>
                <w:u w:val="none" w:color="auto"/>
                <w:lang w:val="en-US" w:eastAsia="zh-CN"/>
              </w:rPr>
              <w:t>5</w:t>
            </w:r>
          </w:p>
        </w:tc>
        <w:tc>
          <w:tcPr>
            <w:tcW w:w="970" w:type="pct"/>
            <w:noWrap w:val="0"/>
            <w:vAlign w:val="center"/>
          </w:tcPr>
          <w:p w14:paraId="1BEA626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eastAsia="宋体"/>
                <w:color w:val="auto"/>
                <w:u w:val="none" w:color="auto"/>
                <w:lang w:val="en-US" w:eastAsia="zh-CN"/>
              </w:rPr>
              <w:t>SS</w:t>
            </w:r>
          </w:p>
        </w:tc>
        <w:tc>
          <w:tcPr>
            <w:tcW w:w="1914" w:type="pct"/>
            <w:noWrap w:val="0"/>
            <w:vAlign w:val="center"/>
          </w:tcPr>
          <w:p w14:paraId="4EC63A7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400</w:t>
            </w:r>
          </w:p>
        </w:tc>
        <w:tc>
          <w:tcPr>
            <w:tcW w:w="1278" w:type="pct"/>
            <w:noWrap w:val="0"/>
            <w:vAlign w:val="center"/>
          </w:tcPr>
          <w:p w14:paraId="23DA682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400</w:t>
            </w:r>
          </w:p>
        </w:tc>
      </w:tr>
    </w:tbl>
    <w:p w14:paraId="5CC34C3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（3）噪声：施工期噪声执行《建筑施工</w:t>
      </w:r>
      <w:r>
        <w:rPr>
          <w:rFonts w:hint="eastAsia" w:ascii="Times New Roman" w:hAnsi="Times New Roman" w:cs="Times New Roman"/>
          <w:color w:val="auto"/>
          <w:u w:val="none" w:color="auto"/>
          <w:lang w:val="en-US" w:eastAsia="zh-CN"/>
        </w:rPr>
        <w:t>场</w:t>
      </w:r>
      <w:r>
        <w:rPr>
          <w:rFonts w:hint="eastAsia" w:ascii="Times New Roman" w:hAnsi="Times New Roman" w:cs="Times New Roman"/>
          <w:color w:val="auto"/>
          <w:u w:val="none" w:color="auto"/>
          <w:lang w:eastAsia="zh-CN"/>
        </w:rPr>
        <w:t>界</w:t>
      </w:r>
      <w:r>
        <w:rPr>
          <w:rFonts w:hint="default" w:ascii="Times New Roman" w:hAnsi="Times New Roman" w:cs="Times New Roman"/>
          <w:color w:val="auto"/>
          <w:u w:val="none" w:color="auto"/>
        </w:rPr>
        <w:t>环境噪声排放标准》（GB12523-2011）标准，</w:t>
      </w:r>
      <w:r>
        <w:rPr>
          <w:rFonts w:hint="default" w:ascii="Times New Roman" w:hAnsi="Times New Roman" w:cs="Times New Roman"/>
          <w:color w:val="auto"/>
        </w:rPr>
        <w:t>营运期</w:t>
      </w:r>
      <w:r>
        <w:rPr>
          <w:rFonts w:hint="default" w:ascii="Times New Roman" w:hAnsi="Times New Roman" w:cs="Times New Roman"/>
          <w:color w:val="auto"/>
          <w:lang w:eastAsia="zh-CN"/>
        </w:rPr>
        <w:t>厂界噪声</w:t>
      </w:r>
      <w:r>
        <w:rPr>
          <w:rFonts w:hint="default" w:ascii="Times New Roman" w:hAnsi="Times New Roman" w:cs="Times New Roman"/>
          <w:color w:val="auto"/>
        </w:rPr>
        <w:t>执行《工业企业厂界环境噪声排放标准》（GB12348-2008）中的3类标准</w:t>
      </w:r>
      <w:r>
        <w:rPr>
          <w:rFonts w:hint="default" w:ascii="Times New Roman" w:hAnsi="Times New Roman" w:cs="Times New Roman"/>
          <w:color w:val="auto"/>
          <w:u w:val="none" w:color="auto"/>
          <w:lang w:eastAsia="zh-CN"/>
        </w:rPr>
        <w:t>。</w:t>
      </w:r>
    </w:p>
    <w:p w14:paraId="39F835B3">
      <w:pPr>
        <w:pStyle w:val="23"/>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2</w:t>
      </w:r>
      <w:r>
        <w:rPr>
          <w:rFonts w:hint="default"/>
          <w:color w:val="auto"/>
          <w:u w:val="none" w:color="auto"/>
        </w:rPr>
        <w:t xml:space="preserve"> </w:t>
      </w:r>
      <w:r>
        <w:rPr>
          <w:rFonts w:hint="eastAsia"/>
          <w:color w:val="auto"/>
          <w:u w:val="none" w:color="auto"/>
          <w:lang w:val="en-US" w:eastAsia="zh-CN"/>
        </w:rPr>
        <w:t>营运期</w:t>
      </w:r>
      <w:r>
        <w:rPr>
          <w:rFonts w:hint="default"/>
          <w:color w:val="auto"/>
          <w:u w:val="none" w:color="auto"/>
        </w:rPr>
        <w:t>工业企业厂界环境噪声排放标准限值 单位：dB（A）</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72"/>
        <w:gridCol w:w="2997"/>
      </w:tblGrid>
      <w:tr w14:paraId="73A45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5" w:type="dxa"/>
            <w:tcBorders>
              <w:tl2br w:val="single" w:color="auto" w:sz="12" w:space="0"/>
            </w:tcBorders>
            <w:noWrap w:val="0"/>
            <w:vAlign w:val="center"/>
          </w:tcPr>
          <w:p w14:paraId="0BC916D7">
            <w:pPr>
              <w:pStyle w:val="25"/>
              <w:jc w:val="right"/>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时段</w:t>
            </w:r>
          </w:p>
          <w:p w14:paraId="76938601">
            <w:pPr>
              <w:pStyle w:val="25"/>
              <w:jc w:val="both"/>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声环境功能类别</w:t>
            </w:r>
          </w:p>
        </w:tc>
        <w:tc>
          <w:tcPr>
            <w:tcW w:w="2872" w:type="dxa"/>
            <w:noWrap w:val="0"/>
            <w:vAlign w:val="center"/>
          </w:tcPr>
          <w:p w14:paraId="3628451C">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2997" w:type="dxa"/>
            <w:noWrap w:val="0"/>
            <w:vAlign w:val="center"/>
          </w:tcPr>
          <w:p w14:paraId="79B304DA">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r>
      <w:tr w14:paraId="0E808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5" w:type="dxa"/>
            <w:noWrap w:val="0"/>
            <w:vAlign w:val="center"/>
          </w:tcPr>
          <w:p w14:paraId="5FFA0D16">
            <w:pPr>
              <w:pStyle w:val="25"/>
              <w:rPr>
                <w:rFonts w:hint="default" w:ascii="Times New Roman" w:hAnsi="Times New Roman" w:cs="Times New Roman"/>
                <w:color w:val="auto"/>
                <w:u w:val="none" w:color="auto"/>
              </w:rPr>
            </w:pPr>
            <w:r>
              <w:rPr>
                <w:rFonts w:hint="eastAsia" w:cs="Times New Roman"/>
                <w:color w:val="auto"/>
                <w:u w:val="none" w:color="auto"/>
                <w:lang w:val="en-US" w:eastAsia="zh-CN"/>
              </w:rPr>
              <w:t>3</w:t>
            </w:r>
            <w:r>
              <w:rPr>
                <w:rFonts w:hint="default" w:ascii="Times New Roman" w:hAnsi="Times New Roman" w:cs="Times New Roman"/>
                <w:color w:val="auto"/>
                <w:u w:val="none" w:color="auto"/>
              </w:rPr>
              <w:t>类</w:t>
            </w:r>
          </w:p>
        </w:tc>
        <w:tc>
          <w:tcPr>
            <w:tcW w:w="2872" w:type="dxa"/>
            <w:noWrap w:val="0"/>
            <w:vAlign w:val="center"/>
          </w:tcPr>
          <w:p w14:paraId="34A34A9A">
            <w:pPr>
              <w:pStyle w:val="25"/>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65</w:t>
            </w:r>
          </w:p>
        </w:tc>
        <w:tc>
          <w:tcPr>
            <w:tcW w:w="2997" w:type="dxa"/>
            <w:noWrap w:val="0"/>
            <w:vAlign w:val="center"/>
          </w:tcPr>
          <w:p w14:paraId="0EE6D26C">
            <w:pPr>
              <w:pStyle w:val="25"/>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55</w:t>
            </w:r>
          </w:p>
        </w:tc>
      </w:tr>
    </w:tbl>
    <w:p w14:paraId="7216D2E1">
      <w:pPr>
        <w:pStyle w:val="23"/>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3</w:t>
      </w:r>
      <w:r>
        <w:rPr>
          <w:rFonts w:hint="default"/>
          <w:color w:val="auto"/>
          <w:u w:val="none" w:color="auto"/>
        </w:rPr>
        <w:t xml:space="preserve"> 建筑施工</w:t>
      </w:r>
      <w:r>
        <w:rPr>
          <w:rFonts w:hint="eastAsia"/>
          <w:color w:val="auto"/>
          <w:u w:val="none" w:color="auto"/>
          <w:lang w:val="en-US" w:eastAsia="zh-CN"/>
        </w:rPr>
        <w:t>场</w:t>
      </w:r>
      <w:r>
        <w:rPr>
          <w:rFonts w:hint="eastAsia"/>
          <w:color w:val="auto"/>
          <w:u w:val="none" w:color="auto"/>
          <w:lang w:eastAsia="zh-CN"/>
        </w:rPr>
        <w:t>界</w:t>
      </w:r>
      <w:r>
        <w:rPr>
          <w:rFonts w:hint="default"/>
          <w:color w:val="auto"/>
          <w:u w:val="none" w:color="auto"/>
        </w:rPr>
        <w:t>环境噪声排放标准 单位：dB（A）</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94"/>
        <w:gridCol w:w="2313"/>
        <w:gridCol w:w="2997"/>
      </w:tblGrid>
      <w:tr w14:paraId="311F4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194" w:type="dxa"/>
            <w:tcBorders>
              <w:tl2br w:val="single" w:color="auto" w:sz="12" w:space="0"/>
            </w:tcBorders>
            <w:noWrap w:val="0"/>
            <w:vAlign w:val="center"/>
          </w:tcPr>
          <w:p w14:paraId="13BA1068">
            <w:pPr>
              <w:pStyle w:val="25"/>
              <w:jc w:val="right"/>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时段</w:t>
            </w:r>
          </w:p>
          <w:p w14:paraId="0E4875F9">
            <w:pPr>
              <w:pStyle w:val="25"/>
              <w:jc w:val="both"/>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声环境功能类别</w:t>
            </w:r>
          </w:p>
        </w:tc>
        <w:tc>
          <w:tcPr>
            <w:tcW w:w="2313" w:type="dxa"/>
            <w:noWrap w:val="0"/>
            <w:vAlign w:val="center"/>
          </w:tcPr>
          <w:p w14:paraId="679D71E9">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2997" w:type="dxa"/>
            <w:noWrap w:val="0"/>
            <w:vAlign w:val="center"/>
          </w:tcPr>
          <w:p w14:paraId="6B02434F">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r>
      <w:tr w14:paraId="6EA96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4" w:type="dxa"/>
            <w:noWrap w:val="0"/>
            <w:vAlign w:val="center"/>
          </w:tcPr>
          <w:p w14:paraId="26B9387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《建筑施工</w:t>
            </w:r>
            <w:r>
              <w:rPr>
                <w:rFonts w:hint="eastAsia" w:cs="Times New Roman"/>
                <w:color w:val="auto"/>
                <w:u w:val="none" w:color="auto"/>
                <w:lang w:eastAsia="zh-CN"/>
              </w:rPr>
              <w:t>厂界</w:t>
            </w:r>
            <w:r>
              <w:rPr>
                <w:rFonts w:hint="default" w:ascii="Times New Roman" w:hAnsi="Times New Roman" w:cs="Times New Roman"/>
                <w:color w:val="auto"/>
                <w:u w:val="none" w:color="auto"/>
              </w:rPr>
              <w:t>环境噪声排放标准》（GB12523-2011）</w:t>
            </w:r>
          </w:p>
        </w:tc>
        <w:tc>
          <w:tcPr>
            <w:tcW w:w="2313" w:type="dxa"/>
            <w:noWrap w:val="0"/>
            <w:vAlign w:val="center"/>
          </w:tcPr>
          <w:p w14:paraId="6C272A6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2997" w:type="dxa"/>
            <w:noWrap w:val="0"/>
            <w:vAlign w:val="center"/>
          </w:tcPr>
          <w:p w14:paraId="5085A17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55</w:t>
            </w:r>
          </w:p>
        </w:tc>
      </w:tr>
    </w:tbl>
    <w:p w14:paraId="47B9135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（4）固体废物：危险废物执行《危险废物贮存污染控制标准》（GB18597-2</w:t>
      </w:r>
      <w:r>
        <w:rPr>
          <w:rFonts w:hint="eastAsia" w:ascii="Times New Roman" w:hAnsi="Times New Roman" w:cs="Times New Roman"/>
          <w:color w:val="auto"/>
          <w:u w:val="none" w:color="auto"/>
          <w:lang w:val="en-US" w:eastAsia="zh-CN"/>
        </w:rPr>
        <w:t>023</w:t>
      </w:r>
      <w:r>
        <w:rPr>
          <w:rFonts w:hint="default" w:ascii="Times New Roman" w:hAnsi="Times New Roman" w:cs="Times New Roman"/>
          <w:color w:val="auto"/>
          <w:u w:val="none" w:color="auto"/>
        </w:rPr>
        <w:t>），</w:t>
      </w:r>
      <w:r>
        <w:rPr>
          <w:rFonts w:ascii="Times New Roman" w:hAnsi="Times New Roman" w:eastAsia="宋体" w:cs="Times New Roman"/>
          <w:color w:val="auto"/>
          <w:kern w:val="2"/>
          <w:sz w:val="24"/>
          <w:szCs w:val="24"/>
          <w:highlight w:val="none"/>
          <w:u w:val="none" w:color="auto"/>
          <w:lang w:val="en-US" w:eastAsia="zh-CN" w:bidi="ar-SA"/>
        </w:rPr>
        <w:t>一般固废执行《</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w:t>
      </w:r>
    </w:p>
    <w:p w14:paraId="053771BC">
      <w:pPr>
        <w:pStyle w:val="7"/>
        <w:bidi w:val="0"/>
        <w:rPr>
          <w:rFonts w:hint="default"/>
          <w:color w:val="auto"/>
          <w:u w:val="none" w:color="auto"/>
          <w:lang w:eastAsia="zh-CN"/>
        </w:rPr>
      </w:pPr>
      <w:bookmarkStart w:id="417" w:name="_Toc16483"/>
      <w:bookmarkStart w:id="418" w:name="_Toc324754189"/>
      <w:bookmarkStart w:id="419" w:name="_Toc17466_WPSOffice_Level2"/>
      <w:bookmarkStart w:id="420" w:name="_Toc26263_WPSOffice_Level2"/>
      <w:bookmarkStart w:id="421" w:name="_Toc331351314"/>
      <w:bookmarkStart w:id="422" w:name="_Toc22861_WPSOffice_Level2"/>
      <w:bookmarkStart w:id="423" w:name="_Toc21924"/>
      <w:bookmarkStart w:id="424" w:name="_Toc336615587"/>
      <w:bookmarkStart w:id="425" w:name="_Toc324516205"/>
      <w:bookmarkStart w:id="426" w:name="_Toc21499_WPSOffice_Level2"/>
      <w:bookmarkStart w:id="427" w:name="_Toc372124931"/>
      <w:bookmarkStart w:id="428" w:name="_Toc11229"/>
      <w:bookmarkStart w:id="429" w:name="_Toc25803_WPSOffice_Level2"/>
      <w:bookmarkStart w:id="430" w:name="_Toc28504_WPSOffice_Level2"/>
      <w:bookmarkStart w:id="431" w:name="_Toc20110_WPSOffice_Level2"/>
      <w:bookmarkStart w:id="432" w:name="_Toc353549400"/>
      <w:bookmarkStart w:id="433" w:name="_Toc24307"/>
      <w:bookmarkStart w:id="434" w:name="_Toc18070"/>
      <w:bookmarkStart w:id="435" w:name="_Toc162"/>
      <w:bookmarkStart w:id="436" w:name="_Toc210"/>
      <w:bookmarkStart w:id="437" w:name="_Toc16825"/>
      <w:r>
        <w:rPr>
          <w:rFonts w:hint="default"/>
          <w:color w:val="auto"/>
          <w:u w:val="none" w:color="auto"/>
        </w:rPr>
        <w:t>2.3评价工作等级</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default"/>
          <w:color w:val="auto"/>
          <w:u w:val="none" w:color="auto"/>
          <w:lang w:eastAsia="zh-CN"/>
        </w:rPr>
        <w:t>及评价范围</w:t>
      </w:r>
      <w:bookmarkEnd w:id="434"/>
      <w:bookmarkEnd w:id="435"/>
      <w:bookmarkEnd w:id="436"/>
      <w:bookmarkEnd w:id="437"/>
    </w:p>
    <w:p w14:paraId="79B2DFAC">
      <w:pPr>
        <w:pStyle w:val="8"/>
        <w:rPr>
          <w:rFonts w:hint="default" w:ascii="Times New Roman" w:hAnsi="Times New Roman" w:eastAsia="宋体" w:cs="Times New Roman"/>
          <w:color w:val="auto"/>
          <w:u w:val="none" w:color="auto"/>
          <w:lang w:eastAsia="zh-CN"/>
        </w:rPr>
      </w:pPr>
      <w:bookmarkStart w:id="438" w:name="_Toc15666_WPSOffice_Level3"/>
      <w:bookmarkStart w:id="439" w:name="_Toc28368"/>
      <w:bookmarkStart w:id="440" w:name="_Toc27776_WPSOffice_Level3"/>
      <w:bookmarkStart w:id="441" w:name="_Toc17566"/>
      <w:bookmarkStart w:id="442" w:name="_Toc3671"/>
      <w:bookmarkStart w:id="443" w:name="_Toc10181"/>
      <w:bookmarkStart w:id="444" w:name="_Toc6766"/>
      <w:bookmarkStart w:id="445" w:name="_Toc11892"/>
      <w:bookmarkStart w:id="446" w:name="_Toc26107"/>
      <w:bookmarkStart w:id="447" w:name="_Toc19963"/>
      <w:bookmarkStart w:id="448" w:name="_Toc16906"/>
      <w:bookmarkStart w:id="449" w:name="_Toc5885"/>
      <w:bookmarkStart w:id="450" w:name="_Toc9683"/>
      <w:bookmarkStart w:id="451" w:name="_Toc493"/>
      <w:bookmarkStart w:id="452" w:name="_Toc3920"/>
      <w:r>
        <w:rPr>
          <w:rFonts w:hint="default" w:ascii="Times New Roman" w:hAnsi="Times New Roman" w:cs="Times New Roman"/>
          <w:color w:val="auto"/>
          <w:u w:val="none" w:color="auto"/>
        </w:rPr>
        <w:t>2.3.1大气环境影响评价工作等级</w:t>
      </w:r>
      <w:bookmarkEnd w:id="438"/>
      <w:bookmarkEnd w:id="439"/>
      <w:bookmarkEnd w:id="440"/>
      <w:bookmarkEnd w:id="441"/>
      <w:bookmarkEnd w:id="442"/>
      <w:bookmarkEnd w:id="443"/>
      <w:bookmarkEnd w:id="444"/>
      <w:bookmarkEnd w:id="445"/>
      <w:bookmarkEnd w:id="446"/>
      <w:bookmarkEnd w:id="447"/>
      <w:bookmarkEnd w:id="448"/>
      <w:r>
        <w:rPr>
          <w:rFonts w:hint="default" w:ascii="Times New Roman" w:hAnsi="Times New Roman" w:cs="Times New Roman"/>
          <w:color w:val="auto"/>
          <w:u w:val="none" w:color="auto"/>
          <w:lang w:eastAsia="zh-CN"/>
        </w:rPr>
        <w:t>及评价范围</w:t>
      </w:r>
      <w:bookmarkEnd w:id="449"/>
      <w:bookmarkEnd w:id="450"/>
      <w:bookmarkEnd w:id="451"/>
      <w:bookmarkEnd w:id="452"/>
    </w:p>
    <w:p w14:paraId="331FA7AD">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1、大气环境影响评价等级</w:t>
      </w:r>
    </w:p>
    <w:p w14:paraId="1D6AF1C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按《环境影响评价技术导则 大气环境》（HJ2.2-2018），分别计算本项目排放主要污染物的最大地面空气质量浓度占标率Pi（第i个污染物，简称“最大浓度占标率”），及第i个污染物的地面空气质量浓度达到标准值10%时所对应的最远距离D</w:t>
      </w:r>
      <w:r>
        <w:rPr>
          <w:rFonts w:hint="default" w:ascii="Times New Roman" w:hAnsi="Times New Roman" w:cs="Times New Roman"/>
          <w:color w:val="auto"/>
          <w:u w:val="none" w:color="auto"/>
          <w:vertAlign w:val="subscript"/>
        </w:rPr>
        <w:t>10%</w:t>
      </w:r>
      <w:r>
        <w:rPr>
          <w:rFonts w:hint="default" w:ascii="Times New Roman" w:hAnsi="Times New Roman" w:cs="Times New Roman"/>
          <w:color w:val="auto"/>
          <w:u w:val="none" w:color="auto"/>
        </w:rPr>
        <w:t>。其中Pi 定义为：</w:t>
      </w:r>
    </w:p>
    <w:p w14:paraId="1BBAD045">
      <w:pPr>
        <w:snapToGrid w:val="0"/>
        <w:jc w:val="center"/>
        <w:rPr>
          <w:rFonts w:hint="default" w:ascii="Times New Roman" w:hAnsi="Times New Roman" w:cs="Times New Roman"/>
          <w:color w:val="auto"/>
          <w:sz w:val="24"/>
          <w:u w:val="none" w:color="auto"/>
        </w:rPr>
      </w:pPr>
      <w:r>
        <w:rPr>
          <w:rFonts w:hint="default" w:ascii="Times New Roman" w:hAnsi="Times New Roman" w:cs="Times New Roman"/>
          <w:color w:val="auto"/>
          <w:position w:val="-30"/>
          <w:sz w:val="24"/>
          <w:u w:val="none" w:color="auto"/>
        </w:rPr>
        <w:object>
          <v:shape id="_x0000_i1033" o:spt="75" type="#_x0000_t75" style="height:35.25pt;width:81pt;" o:ole="t" filled="f" o:preferrelative="t" stroked="f" coordsize="21600,21600">
            <v:path/>
            <v:fill on="f" focussize="0,0"/>
            <v:stroke on="f"/>
            <v:imagedata r:id="rId25" o:title=""/>
            <o:lock v:ext="edit" aspectratio="t"/>
            <w10:wrap type="none"/>
            <w10:anchorlock/>
          </v:shape>
          <o:OLEObject Type="Embed" ProgID="Equation.3" ShapeID="_x0000_i1033" DrawAspect="Content" ObjectID="_1468075726" r:id="rId24">
            <o:LockedField>false</o:LockedField>
          </o:OLEObject>
        </w:object>
      </w:r>
    </w:p>
    <w:p w14:paraId="64313F3E">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式中：Pi——第i个污染物的最大地面空气质量浓度占标率，%；</w:t>
      </w:r>
    </w:p>
    <w:p w14:paraId="0BC89C9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position w:val="-12"/>
          <w:u w:val="none" w:color="auto"/>
        </w:rPr>
        <w:object>
          <v:shape id="_x0000_i1034" o:spt="75" type="#_x0000_t75" style="height:18pt;width:13.5pt;" o:ole="t" filled="f" o:preferrelative="t" stroked="f" coordsize="21600,21600">
            <v:path/>
            <v:fill on="f" focussize="0,0"/>
            <v:stroke on="f"/>
            <v:imagedata r:id="rId27" o:title=""/>
            <o:lock v:ext="edit" aspectratio="t"/>
            <w10:wrap type="none"/>
            <w10:anchorlock/>
          </v:shape>
          <o:OLEObject Type="Embed" ProgID="Equation.3" ShapeID="_x0000_i1034" DrawAspect="Content" ObjectID="_1468075727" r:id="rId26">
            <o:LockedField>false</o:LockedField>
          </o:OLEObject>
        </w:object>
      </w:r>
      <w:r>
        <w:rPr>
          <w:rFonts w:hint="default" w:ascii="Times New Roman" w:hAnsi="Times New Roman" w:cs="Times New Roman"/>
          <w:color w:val="auto"/>
          <w:u w:val="none" w:color="auto"/>
        </w:rPr>
        <w:t>——采用估算模型计算出的第i个污染物的最大1h地面空气质量浓度，μg/m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p>
    <w:p w14:paraId="31C11999">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position w:val="-12"/>
          <w:u w:val="none" w:color="auto"/>
        </w:rPr>
        <w:object>
          <v:shape id="_x0000_i1035" o:spt="75" type="#_x0000_t75" style="height:18pt;width:18pt;" o:ole="t" filled="f" o:preferrelative="t" stroked="f" coordsize="21600,21600">
            <v:path/>
            <v:fill on="f" focussize="0,0"/>
            <v:stroke on="f"/>
            <v:imagedata r:id="rId29" o:title=""/>
            <o:lock v:ext="edit" aspectratio="t"/>
            <w10:wrap type="none"/>
            <w10:anchorlock/>
          </v:shape>
          <o:OLEObject Type="Embed" ProgID="Equation.3" ShapeID="_x0000_i1035" DrawAspect="Content" ObjectID="_1468075728" r:id="rId28">
            <o:LockedField>false</o:LockedField>
          </o:OLEObject>
        </w:object>
      </w:r>
      <w:r>
        <w:rPr>
          <w:rFonts w:hint="default" w:ascii="Times New Roman" w:hAnsi="Times New Roman" w:cs="Times New Roman"/>
          <w:color w:val="auto"/>
          <w:u w:val="none" w:color="auto"/>
        </w:rPr>
        <w:t>——第i个污染物的环境空气质量浓度标准，μg/m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。对仅有8h平均质量浓度限值、日平均质量浓度限值或年平均质量浓度限值的，可分别按2倍、3倍、6倍折算为1h平均质量浓度限值。</w:t>
      </w:r>
    </w:p>
    <w:p w14:paraId="45D6842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《环境影响评价技术导则 大气环境》（HJ2.2-2018）的大气评价工作分级依据见</w:t>
      </w:r>
      <w:r>
        <w:rPr>
          <w:rFonts w:hint="default" w:ascii="Times New Roman" w:hAnsi="Times New Roman" w:cs="Times New Roman"/>
          <w:color w:val="auto"/>
          <w:u w:val="none" w:color="auto"/>
          <w:lang w:eastAsia="zh-CN"/>
        </w:rPr>
        <w:t>下表</w:t>
      </w:r>
      <w:r>
        <w:rPr>
          <w:rFonts w:hint="default" w:ascii="Times New Roman" w:hAnsi="Times New Roman" w:cs="Times New Roman"/>
          <w:color w:val="auto"/>
          <w:u w:val="none" w:color="auto"/>
        </w:rPr>
        <w:t>。</w:t>
      </w:r>
    </w:p>
    <w:p w14:paraId="704BF910">
      <w:pPr>
        <w:pStyle w:val="23"/>
        <w:bidi w:val="0"/>
        <w:rPr>
          <w:rFonts w:hint="default"/>
          <w:color w:val="auto"/>
          <w:u w:val="none" w:color="auto"/>
        </w:rPr>
      </w:pPr>
      <w:r>
        <w:rPr>
          <w:rFonts w:hint="default"/>
          <w:color w:val="auto"/>
          <w:u w:val="none" w:color="auto"/>
        </w:rPr>
        <w:t>表</w:t>
      </w:r>
      <w:r>
        <w:rPr>
          <w:rFonts w:hint="default"/>
          <w:color w:val="auto"/>
          <w:u w:val="none" w:color="auto"/>
          <w:lang w:val="en-US" w:eastAsia="zh-CN"/>
        </w:rPr>
        <w:t>2.3-1</w:t>
      </w:r>
      <w:r>
        <w:rPr>
          <w:rFonts w:hint="default"/>
          <w:color w:val="auto"/>
          <w:u w:val="none" w:color="auto"/>
        </w:rPr>
        <w:t xml:space="preserve">  评价等级判别表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5928"/>
      </w:tblGrid>
      <w:tr w14:paraId="6446E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2F318D96">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评价工作等级</w:t>
            </w:r>
          </w:p>
        </w:tc>
        <w:tc>
          <w:tcPr>
            <w:tcW w:w="6329" w:type="dxa"/>
            <w:noWrap w:val="0"/>
            <w:vAlign w:val="center"/>
          </w:tcPr>
          <w:p w14:paraId="264F3C0D">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评价工作分级判据</w:t>
            </w:r>
          </w:p>
        </w:tc>
      </w:tr>
      <w:tr w14:paraId="6F82F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050C0620">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一级</w:t>
            </w:r>
          </w:p>
        </w:tc>
        <w:tc>
          <w:tcPr>
            <w:tcW w:w="6329" w:type="dxa"/>
            <w:noWrap w:val="0"/>
            <w:vAlign w:val="center"/>
          </w:tcPr>
          <w:p w14:paraId="4D0E5DA3">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Pmax ≥ 10%</w:t>
            </w:r>
          </w:p>
        </w:tc>
      </w:tr>
      <w:tr w14:paraId="5C808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08183365">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二级</w:t>
            </w:r>
          </w:p>
        </w:tc>
        <w:tc>
          <w:tcPr>
            <w:tcW w:w="6329" w:type="dxa"/>
            <w:noWrap w:val="0"/>
            <w:vAlign w:val="center"/>
          </w:tcPr>
          <w:p w14:paraId="46920CC4">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 ≤ Pmax﹤10%</w:t>
            </w:r>
          </w:p>
        </w:tc>
      </w:tr>
      <w:tr w14:paraId="5B99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47898B8A">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w:t>
            </w:r>
          </w:p>
        </w:tc>
        <w:tc>
          <w:tcPr>
            <w:tcW w:w="6329" w:type="dxa"/>
            <w:noWrap w:val="0"/>
            <w:vAlign w:val="center"/>
          </w:tcPr>
          <w:p w14:paraId="4381CACB">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Pmax﹤1%</w:t>
            </w:r>
          </w:p>
        </w:tc>
      </w:tr>
    </w:tbl>
    <w:p w14:paraId="0B98B58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kern w:val="0"/>
          <w:sz w:val="24"/>
          <w:u w:val="none" w:color="auto"/>
        </w:rPr>
        <w:t>本次评价使用《环境影响评价技术导则 大气环境》（HJ2.2-2018）中推荐的估算模型AERSCREEN，判定运营期大气环境影响评价等级，评价选取</w:t>
      </w:r>
      <w:r>
        <w:rPr>
          <w:rFonts w:hint="eastAsia" w:ascii="Times New Roman" w:hAnsi="Times New Roman" w:cs="Times New Roman"/>
          <w:color w:val="auto"/>
          <w:kern w:val="0"/>
          <w:sz w:val="24"/>
          <w:u w:val="none" w:color="auto"/>
          <w:lang w:val="en-US" w:eastAsia="zh-CN"/>
        </w:rPr>
        <w:t>PM</w:t>
      </w:r>
      <w:r>
        <w:rPr>
          <w:rFonts w:hint="eastAsia" w:ascii="Times New Roman" w:hAnsi="Times New Roman" w:cs="Times New Roman"/>
          <w:color w:val="auto"/>
          <w:kern w:val="0"/>
          <w:sz w:val="24"/>
          <w:u w:val="none" w:color="auto"/>
          <w:vertAlign w:val="subscript"/>
          <w:lang w:val="en-US" w:eastAsia="zh-CN"/>
        </w:rPr>
        <w:t>10</w:t>
      </w:r>
      <w:r>
        <w:rPr>
          <w:rFonts w:hint="eastAsia" w:ascii="Times New Roman" w:hAnsi="Times New Roman" w:cs="Times New Roman"/>
          <w:color w:val="auto"/>
          <w:kern w:val="0"/>
          <w:sz w:val="24"/>
          <w:u w:val="none" w:color="auto"/>
          <w:lang w:val="en-US" w:eastAsia="zh-CN"/>
        </w:rPr>
        <w:t>、TSP</w:t>
      </w:r>
      <w:r>
        <w:rPr>
          <w:rFonts w:hint="default" w:ascii="Times New Roman" w:hAnsi="Times New Roman" w:cs="Times New Roman"/>
          <w:color w:val="auto"/>
          <w:kern w:val="0"/>
          <w:sz w:val="24"/>
          <w:u w:val="none" w:color="auto"/>
          <w:lang w:eastAsia="zh-CN"/>
        </w:rPr>
        <w:t>、</w:t>
      </w:r>
      <w:r>
        <w:rPr>
          <w:rFonts w:hint="eastAsia" w:ascii="Times New Roman" w:hAnsi="Times New Roman" w:cs="Times New Roman"/>
          <w:color w:val="auto"/>
          <w:kern w:val="0"/>
          <w:sz w:val="24"/>
          <w:u w:val="none" w:color="auto"/>
          <w:lang w:val="en-US" w:eastAsia="zh-CN"/>
        </w:rPr>
        <w:t>TVOC、甲醛、二氧化硫、二氧化氮</w:t>
      </w:r>
      <w:r>
        <w:rPr>
          <w:rFonts w:hint="default" w:ascii="Times New Roman" w:hAnsi="Times New Roman" w:cs="Times New Roman"/>
          <w:color w:val="auto"/>
          <w:kern w:val="0"/>
          <w:sz w:val="24"/>
          <w:u w:val="none" w:color="auto"/>
        </w:rPr>
        <w:t>作为预测因子</w:t>
      </w:r>
      <w:r>
        <w:rPr>
          <w:rFonts w:hint="default" w:ascii="Times New Roman" w:hAnsi="Times New Roman" w:cs="Times New Roman"/>
          <w:color w:val="auto"/>
          <w:u w:val="none" w:color="auto"/>
        </w:rPr>
        <w:t>。</w:t>
      </w:r>
    </w:p>
    <w:p w14:paraId="54322411">
      <w:pPr>
        <w:pStyle w:val="23"/>
        <w:bidi w:val="0"/>
        <w:rPr>
          <w:rFonts w:hint="default"/>
          <w:color w:val="auto"/>
          <w:u w:val="none" w:color="auto"/>
        </w:rPr>
      </w:pPr>
      <w:r>
        <w:rPr>
          <w:rFonts w:hint="default"/>
          <w:color w:val="auto"/>
          <w:u w:val="none" w:color="auto"/>
        </w:rPr>
        <w:t>表</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3</w:t>
      </w:r>
      <w:r>
        <w:rPr>
          <w:rFonts w:hint="default"/>
          <w:color w:val="auto"/>
          <w:u w:val="none" w:color="auto"/>
        </w:rPr>
        <w:t>-</w:t>
      </w:r>
      <w:r>
        <w:rPr>
          <w:rFonts w:hint="default"/>
          <w:color w:val="auto"/>
          <w:u w:val="none" w:color="auto"/>
          <w:lang w:val="en-US" w:eastAsia="zh-CN"/>
        </w:rPr>
        <w:t>2</w:t>
      </w:r>
      <w:r>
        <w:rPr>
          <w:rFonts w:hint="default"/>
          <w:color w:val="auto"/>
          <w:u w:val="none" w:color="auto"/>
        </w:rPr>
        <w:t xml:space="preserve"> 大气环境影响评价等级结果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25"/>
        <w:gridCol w:w="990"/>
        <w:gridCol w:w="690"/>
        <w:gridCol w:w="1500"/>
        <w:gridCol w:w="1065"/>
        <w:gridCol w:w="854"/>
        <w:gridCol w:w="765"/>
        <w:gridCol w:w="787"/>
      </w:tblGrid>
      <w:tr w14:paraId="73AE6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250242C2">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污染源</w:t>
            </w:r>
          </w:p>
        </w:tc>
        <w:tc>
          <w:tcPr>
            <w:tcW w:w="825" w:type="dxa"/>
            <w:tcBorders>
              <w:tl2br w:val="nil"/>
              <w:tr2bl w:val="nil"/>
            </w:tcBorders>
            <w:noWrap w:val="0"/>
            <w:vAlign w:val="center"/>
          </w:tcPr>
          <w:p w14:paraId="54C9FAED">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类型</w:t>
            </w:r>
          </w:p>
        </w:tc>
        <w:tc>
          <w:tcPr>
            <w:tcW w:w="1680" w:type="dxa"/>
            <w:gridSpan w:val="2"/>
            <w:tcBorders>
              <w:tl2br w:val="nil"/>
              <w:tr2bl w:val="nil"/>
            </w:tcBorders>
            <w:noWrap w:val="0"/>
            <w:vAlign w:val="center"/>
          </w:tcPr>
          <w:p w14:paraId="66A48D9A">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标准</w:t>
            </w:r>
          </w:p>
          <w:p w14:paraId="23B26464">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（μg/m</w:t>
            </w:r>
            <w:r>
              <w:rPr>
                <w:rFonts w:hint="default" w:ascii="Times New Roman" w:hAnsi="Times New Roman" w:cs="Times New Roman"/>
                <w:b w:val="0"/>
                <w:bCs w:val="0"/>
                <w:color w:val="auto"/>
                <w:sz w:val="21"/>
                <w:szCs w:val="21"/>
                <w:u w:val="none" w:color="auto"/>
                <w:vertAlign w:val="superscript"/>
                <w:lang w:eastAsia="zh-CN"/>
              </w:rPr>
              <w:t>3</w:t>
            </w:r>
            <w:r>
              <w:rPr>
                <w:rFonts w:hint="default" w:ascii="Times New Roman" w:hAnsi="Times New Roman" w:cs="Times New Roman"/>
                <w:b w:val="0"/>
                <w:bCs w:val="0"/>
                <w:color w:val="auto"/>
                <w:sz w:val="21"/>
                <w:szCs w:val="21"/>
                <w:u w:val="none" w:color="auto"/>
                <w:lang w:eastAsia="zh-CN"/>
              </w:rPr>
              <w:t>）</w:t>
            </w:r>
          </w:p>
        </w:tc>
        <w:tc>
          <w:tcPr>
            <w:tcW w:w="1500" w:type="dxa"/>
            <w:tcBorders>
              <w:tl2br w:val="nil"/>
              <w:tr2bl w:val="nil"/>
            </w:tcBorders>
            <w:noWrap w:val="0"/>
            <w:vAlign w:val="center"/>
          </w:tcPr>
          <w:p w14:paraId="4C89DE8B">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最大落地浓度</w:t>
            </w:r>
          </w:p>
          <w:p w14:paraId="15774C09">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（μg/m</w:t>
            </w:r>
            <w:r>
              <w:rPr>
                <w:rFonts w:hint="default" w:ascii="Times New Roman" w:hAnsi="Times New Roman" w:cs="Times New Roman"/>
                <w:b w:val="0"/>
                <w:bCs w:val="0"/>
                <w:color w:val="auto"/>
                <w:sz w:val="21"/>
                <w:szCs w:val="21"/>
                <w:u w:val="none" w:color="auto"/>
                <w:vertAlign w:val="superscript"/>
              </w:rPr>
              <w:t>3</w:t>
            </w:r>
            <w:r>
              <w:rPr>
                <w:rFonts w:hint="default" w:ascii="Times New Roman" w:hAnsi="Times New Roman" w:cs="Times New Roman"/>
                <w:b w:val="0"/>
                <w:bCs w:val="0"/>
                <w:color w:val="auto"/>
                <w:sz w:val="21"/>
                <w:szCs w:val="21"/>
                <w:u w:val="none" w:color="auto"/>
              </w:rPr>
              <w:t>）</w:t>
            </w:r>
          </w:p>
        </w:tc>
        <w:tc>
          <w:tcPr>
            <w:tcW w:w="1065" w:type="dxa"/>
            <w:tcBorders>
              <w:tl2br w:val="nil"/>
              <w:tr2bl w:val="nil"/>
            </w:tcBorders>
            <w:noWrap w:val="0"/>
            <w:vAlign w:val="center"/>
          </w:tcPr>
          <w:p w14:paraId="39EBD3E9">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出现距离</w:t>
            </w:r>
          </w:p>
          <w:p w14:paraId="5BF04749">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c>
          <w:tcPr>
            <w:tcW w:w="854" w:type="dxa"/>
            <w:tcBorders>
              <w:tl2br w:val="nil"/>
              <w:tr2bl w:val="nil"/>
            </w:tcBorders>
            <w:noWrap w:val="0"/>
            <w:vAlign w:val="center"/>
          </w:tcPr>
          <w:p w14:paraId="3CC9A37F">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占标率</w:t>
            </w:r>
          </w:p>
          <w:p w14:paraId="50A7ECA4">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65" w:type="dxa"/>
            <w:tcBorders>
              <w:tl2br w:val="nil"/>
              <w:tr2bl w:val="nil"/>
            </w:tcBorders>
            <w:noWrap w:val="0"/>
            <w:vAlign w:val="center"/>
          </w:tcPr>
          <w:p w14:paraId="0D028182">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Pmax</w:t>
            </w:r>
          </w:p>
          <w:p w14:paraId="4CCDAAAD">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87" w:type="dxa"/>
            <w:tcBorders>
              <w:tl2br w:val="nil"/>
              <w:tr2bl w:val="nil"/>
            </w:tcBorders>
            <w:noWrap w:val="0"/>
            <w:vAlign w:val="center"/>
          </w:tcPr>
          <w:p w14:paraId="2734EEC7">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D10%</w:t>
            </w:r>
          </w:p>
          <w:p w14:paraId="6CE1937F">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r>
      <w:tr w14:paraId="3E8A0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16F84064">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DA001排气筒</w:t>
            </w:r>
          </w:p>
        </w:tc>
        <w:tc>
          <w:tcPr>
            <w:tcW w:w="825" w:type="dxa"/>
            <w:vMerge w:val="restart"/>
            <w:tcBorders>
              <w:tl2br w:val="nil"/>
              <w:tr2bl w:val="nil"/>
            </w:tcBorders>
            <w:noWrap w:val="0"/>
            <w:vAlign w:val="center"/>
          </w:tcPr>
          <w:p w14:paraId="42AEB7BC">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7815A4C7">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690" w:type="dxa"/>
            <w:tcBorders>
              <w:tl2br w:val="nil"/>
              <w:tr2bl w:val="nil"/>
            </w:tcBorders>
            <w:noWrap w:val="0"/>
            <w:vAlign w:val="center"/>
          </w:tcPr>
          <w:p w14:paraId="7A598FD8">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450</w:t>
            </w:r>
          </w:p>
        </w:tc>
        <w:tc>
          <w:tcPr>
            <w:tcW w:w="1500" w:type="dxa"/>
            <w:tcBorders>
              <w:tl2br w:val="nil"/>
              <w:tr2bl w:val="nil"/>
            </w:tcBorders>
            <w:noWrap w:val="0"/>
            <w:vAlign w:val="center"/>
          </w:tcPr>
          <w:p w14:paraId="054C429F">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0.409</w:t>
            </w:r>
          </w:p>
        </w:tc>
        <w:tc>
          <w:tcPr>
            <w:tcW w:w="1065" w:type="dxa"/>
            <w:vMerge w:val="restart"/>
            <w:tcBorders>
              <w:tl2br w:val="nil"/>
              <w:tr2bl w:val="nil"/>
            </w:tcBorders>
            <w:noWrap w:val="0"/>
            <w:vAlign w:val="center"/>
          </w:tcPr>
          <w:p w14:paraId="5DC306D5">
            <w:pPr>
              <w:pStyle w:val="25"/>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71</w:t>
            </w:r>
          </w:p>
        </w:tc>
        <w:tc>
          <w:tcPr>
            <w:tcW w:w="854" w:type="dxa"/>
            <w:tcBorders>
              <w:tl2br w:val="nil"/>
              <w:tr2bl w:val="nil"/>
            </w:tcBorders>
            <w:noWrap w:val="0"/>
            <w:vAlign w:val="center"/>
          </w:tcPr>
          <w:p w14:paraId="40B188B8">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0.09</w:t>
            </w:r>
          </w:p>
        </w:tc>
        <w:tc>
          <w:tcPr>
            <w:tcW w:w="765" w:type="dxa"/>
            <w:vMerge w:val="restart"/>
            <w:tcBorders>
              <w:tl2br w:val="nil"/>
              <w:tr2bl w:val="nil"/>
            </w:tcBorders>
            <w:noWrap w:val="0"/>
            <w:vAlign w:val="center"/>
          </w:tcPr>
          <w:p w14:paraId="4B032CCA">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7.02</w:t>
            </w:r>
          </w:p>
        </w:tc>
        <w:tc>
          <w:tcPr>
            <w:tcW w:w="787" w:type="dxa"/>
            <w:vMerge w:val="restart"/>
            <w:tcBorders>
              <w:tl2br w:val="nil"/>
              <w:tr2bl w:val="nil"/>
            </w:tcBorders>
            <w:noWrap w:val="0"/>
            <w:vAlign w:val="center"/>
          </w:tcPr>
          <w:p w14:paraId="5ED5B75B">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3BDAC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45F051C9">
            <w:pPr>
              <w:pStyle w:val="25"/>
              <w:bidi w:val="0"/>
              <w:rPr>
                <w:rFonts w:hint="eastAsia" w:ascii="Times New Roman" w:hAnsi="Times New Roman"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5FCEF875">
            <w:pPr>
              <w:pStyle w:val="25"/>
              <w:bidi w:val="0"/>
              <w:rPr>
                <w:rFonts w:hint="eastAsia" w:ascii="Times New Roman" w:hAnsi="Times New Roman" w:cs="Times New Roman"/>
                <w:b w:val="0"/>
                <w:bCs w:val="0"/>
                <w:color w:val="auto"/>
                <w:sz w:val="21"/>
                <w:szCs w:val="21"/>
                <w:u w:val="none" w:color="auto"/>
                <w:lang w:val="en-US" w:eastAsia="zh-CN"/>
              </w:rPr>
            </w:pPr>
          </w:p>
        </w:tc>
        <w:tc>
          <w:tcPr>
            <w:tcW w:w="990" w:type="dxa"/>
            <w:tcBorders>
              <w:tl2br w:val="nil"/>
              <w:tr2bl w:val="nil"/>
            </w:tcBorders>
            <w:noWrap w:val="0"/>
            <w:vAlign w:val="center"/>
          </w:tcPr>
          <w:p w14:paraId="71BE18CB">
            <w:pPr>
              <w:pStyle w:val="25"/>
              <w:bidi w:val="0"/>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295516C0">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1D007849">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1.153</w:t>
            </w:r>
          </w:p>
        </w:tc>
        <w:tc>
          <w:tcPr>
            <w:tcW w:w="1065" w:type="dxa"/>
            <w:vMerge w:val="continue"/>
            <w:tcBorders>
              <w:tl2br w:val="nil"/>
              <w:tr2bl w:val="nil"/>
            </w:tcBorders>
            <w:noWrap w:val="0"/>
            <w:vAlign w:val="center"/>
          </w:tcPr>
          <w:p w14:paraId="56B1AB48">
            <w:pPr>
              <w:pStyle w:val="25"/>
              <w:rPr>
                <w:rFonts w:hint="eastAsia" w:ascii="Times New Roman" w:hAnsi="Times New Roman" w:eastAsia="宋体"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98F34ED">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0.10</w:t>
            </w:r>
          </w:p>
        </w:tc>
        <w:tc>
          <w:tcPr>
            <w:tcW w:w="765" w:type="dxa"/>
            <w:vMerge w:val="continue"/>
            <w:tcBorders>
              <w:tl2br w:val="nil"/>
              <w:tr2bl w:val="nil"/>
            </w:tcBorders>
            <w:noWrap w:val="0"/>
            <w:vAlign w:val="center"/>
          </w:tcPr>
          <w:p w14:paraId="38B17842">
            <w:pPr>
              <w:pStyle w:val="25"/>
              <w:bidi w:val="0"/>
              <w:rPr>
                <w:rFonts w:hint="eastAsia"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14313A2C">
            <w:pPr>
              <w:pStyle w:val="25"/>
              <w:bidi w:val="0"/>
              <w:rPr>
                <w:rFonts w:hint="eastAsia" w:ascii="Times New Roman" w:hAnsi="Times New Roman" w:cs="Times New Roman"/>
                <w:b w:val="0"/>
                <w:bCs w:val="0"/>
                <w:color w:val="auto"/>
                <w:sz w:val="21"/>
                <w:szCs w:val="21"/>
                <w:u w:val="none" w:color="auto"/>
                <w:lang w:val="en-US" w:eastAsia="zh-CN"/>
              </w:rPr>
            </w:pPr>
          </w:p>
        </w:tc>
      </w:tr>
      <w:tr w14:paraId="20CC4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31D803F7">
            <w:pPr>
              <w:pStyle w:val="25"/>
              <w:bidi w:val="0"/>
              <w:rPr>
                <w:rFonts w:hint="eastAsia" w:ascii="Times New Roman" w:hAnsi="Times New Roman"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0FC0A430">
            <w:pPr>
              <w:pStyle w:val="25"/>
              <w:bidi w:val="0"/>
              <w:rPr>
                <w:rFonts w:hint="eastAsia" w:ascii="Times New Roman" w:hAnsi="Times New Roman" w:cs="Times New Roman"/>
                <w:b w:val="0"/>
                <w:bCs w:val="0"/>
                <w:color w:val="auto"/>
                <w:sz w:val="21"/>
                <w:szCs w:val="21"/>
                <w:u w:val="none" w:color="auto"/>
                <w:lang w:val="en-US" w:eastAsia="zh-CN"/>
              </w:rPr>
            </w:pPr>
          </w:p>
        </w:tc>
        <w:tc>
          <w:tcPr>
            <w:tcW w:w="990" w:type="dxa"/>
            <w:tcBorders>
              <w:tl2br w:val="nil"/>
              <w:tr2bl w:val="nil"/>
            </w:tcBorders>
            <w:noWrap w:val="0"/>
            <w:vAlign w:val="center"/>
          </w:tcPr>
          <w:p w14:paraId="3F3B89AB">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甲醛</w:t>
            </w:r>
          </w:p>
        </w:tc>
        <w:tc>
          <w:tcPr>
            <w:tcW w:w="690" w:type="dxa"/>
            <w:tcBorders>
              <w:tl2br w:val="nil"/>
              <w:tr2bl w:val="nil"/>
            </w:tcBorders>
            <w:noWrap w:val="0"/>
            <w:vAlign w:val="center"/>
          </w:tcPr>
          <w:p w14:paraId="7211987D">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2F7C6D4A">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1.542</w:t>
            </w:r>
          </w:p>
        </w:tc>
        <w:tc>
          <w:tcPr>
            <w:tcW w:w="1065" w:type="dxa"/>
            <w:vMerge w:val="continue"/>
            <w:tcBorders>
              <w:tl2br w:val="nil"/>
              <w:tr2bl w:val="nil"/>
            </w:tcBorders>
            <w:noWrap w:val="0"/>
            <w:vAlign w:val="center"/>
          </w:tcPr>
          <w:p w14:paraId="35DE9C81">
            <w:pPr>
              <w:pStyle w:val="25"/>
              <w:rPr>
                <w:rFonts w:hint="eastAsia" w:ascii="Times New Roman" w:hAnsi="Times New Roman" w:eastAsia="宋体"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6323D59C">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3.08</w:t>
            </w:r>
          </w:p>
        </w:tc>
        <w:tc>
          <w:tcPr>
            <w:tcW w:w="765" w:type="dxa"/>
            <w:vMerge w:val="continue"/>
            <w:tcBorders>
              <w:tl2br w:val="nil"/>
              <w:tr2bl w:val="nil"/>
            </w:tcBorders>
            <w:noWrap w:val="0"/>
            <w:vAlign w:val="center"/>
          </w:tcPr>
          <w:p w14:paraId="67946401">
            <w:pPr>
              <w:pStyle w:val="25"/>
              <w:bidi w:val="0"/>
              <w:rPr>
                <w:rFonts w:hint="eastAsia"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4776FEC">
            <w:pPr>
              <w:pStyle w:val="25"/>
              <w:bidi w:val="0"/>
              <w:rPr>
                <w:rFonts w:hint="eastAsia" w:ascii="Times New Roman" w:hAnsi="Times New Roman" w:cs="Times New Roman"/>
                <w:b w:val="0"/>
                <w:bCs w:val="0"/>
                <w:color w:val="auto"/>
                <w:sz w:val="21"/>
                <w:szCs w:val="21"/>
                <w:u w:val="none" w:color="auto"/>
                <w:lang w:val="en-US" w:eastAsia="zh-CN"/>
              </w:rPr>
            </w:pPr>
          </w:p>
        </w:tc>
      </w:tr>
      <w:tr w14:paraId="467B5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6BFAA05F">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DA002</w:t>
            </w:r>
            <w:r>
              <w:rPr>
                <w:rFonts w:hint="default" w:ascii="Times New Roman" w:hAnsi="Times New Roman" w:cs="Times New Roman"/>
                <w:b w:val="0"/>
                <w:bCs w:val="0"/>
                <w:color w:val="auto"/>
                <w:sz w:val="21"/>
                <w:szCs w:val="21"/>
                <w:u w:val="none" w:color="auto"/>
                <w:lang w:eastAsia="zh-CN"/>
              </w:rPr>
              <w:t>排气筒</w:t>
            </w:r>
          </w:p>
        </w:tc>
        <w:tc>
          <w:tcPr>
            <w:tcW w:w="825" w:type="dxa"/>
            <w:vMerge w:val="restart"/>
            <w:tcBorders>
              <w:tl2br w:val="nil"/>
              <w:tr2bl w:val="nil"/>
            </w:tcBorders>
            <w:noWrap w:val="0"/>
            <w:vAlign w:val="center"/>
          </w:tcPr>
          <w:p w14:paraId="0A396871">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eastAsia="zh-CN"/>
              </w:rPr>
              <w:t>点</w:t>
            </w:r>
            <w:r>
              <w:rPr>
                <w:rFonts w:hint="default" w:ascii="Times New Roman" w:hAnsi="Times New Roman" w:cs="Times New Roman"/>
                <w:b w:val="0"/>
                <w:bCs w:val="0"/>
                <w:color w:val="auto"/>
                <w:sz w:val="21"/>
                <w:szCs w:val="21"/>
                <w:u w:val="none" w:color="auto"/>
              </w:rPr>
              <w:t>源</w:t>
            </w:r>
          </w:p>
        </w:tc>
        <w:tc>
          <w:tcPr>
            <w:tcW w:w="990" w:type="dxa"/>
            <w:tcBorders>
              <w:tl2br w:val="nil"/>
              <w:tr2bl w:val="nil"/>
            </w:tcBorders>
            <w:noWrap w:val="0"/>
            <w:vAlign w:val="center"/>
          </w:tcPr>
          <w:p w14:paraId="1F9A0C9F">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46A69184">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3D4AE008">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7.767</w:t>
            </w:r>
          </w:p>
        </w:tc>
        <w:tc>
          <w:tcPr>
            <w:tcW w:w="1065" w:type="dxa"/>
            <w:vMerge w:val="restart"/>
            <w:tcBorders>
              <w:tl2br w:val="nil"/>
              <w:tr2bl w:val="nil"/>
            </w:tcBorders>
            <w:noWrap w:val="0"/>
            <w:vAlign w:val="center"/>
          </w:tcPr>
          <w:p w14:paraId="3A571E65">
            <w:pPr>
              <w:pStyle w:val="25"/>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45</w:t>
            </w:r>
          </w:p>
        </w:tc>
        <w:tc>
          <w:tcPr>
            <w:tcW w:w="854" w:type="dxa"/>
            <w:tcBorders>
              <w:tl2br w:val="nil"/>
              <w:tr2bl w:val="nil"/>
            </w:tcBorders>
            <w:noWrap w:val="0"/>
            <w:vAlign w:val="center"/>
          </w:tcPr>
          <w:p w14:paraId="18E756DD">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0.65</w:t>
            </w:r>
          </w:p>
        </w:tc>
        <w:tc>
          <w:tcPr>
            <w:tcW w:w="765" w:type="dxa"/>
            <w:vMerge w:val="continue"/>
            <w:tcBorders>
              <w:tl2br w:val="nil"/>
              <w:tr2bl w:val="nil"/>
            </w:tcBorders>
            <w:noWrap w:val="0"/>
            <w:vAlign w:val="center"/>
          </w:tcPr>
          <w:p w14:paraId="25384E1C">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50D9A998">
            <w:pPr>
              <w:pStyle w:val="25"/>
              <w:bidi w:val="0"/>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09DD9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33859A0D">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3FC8CB83">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474C21CF">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199F2377">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59424BC3">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7F0DF5C1">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59F0F9D9">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0.04</w:t>
            </w:r>
          </w:p>
        </w:tc>
        <w:tc>
          <w:tcPr>
            <w:tcW w:w="765" w:type="dxa"/>
            <w:vMerge w:val="continue"/>
            <w:tcBorders>
              <w:tl2br w:val="nil"/>
              <w:tr2bl w:val="nil"/>
            </w:tcBorders>
            <w:noWrap w:val="0"/>
            <w:vAlign w:val="center"/>
          </w:tcPr>
          <w:p w14:paraId="37BC729F">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AA0295F">
            <w:pPr>
              <w:pStyle w:val="25"/>
              <w:bidi w:val="0"/>
              <w:rPr>
                <w:rFonts w:hint="default" w:ascii="Times New Roman" w:hAnsi="Times New Roman" w:cs="Times New Roman"/>
                <w:b w:val="0"/>
                <w:bCs w:val="0"/>
                <w:color w:val="auto"/>
                <w:sz w:val="21"/>
                <w:szCs w:val="21"/>
                <w:u w:val="none" w:color="auto"/>
                <w:lang w:val="en-US" w:eastAsia="zh-CN"/>
              </w:rPr>
            </w:pPr>
          </w:p>
        </w:tc>
      </w:tr>
      <w:tr w14:paraId="7C3BC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760AEC8C">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0B15EECF">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4AC63887">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二氧化硫</w:t>
            </w:r>
          </w:p>
        </w:tc>
        <w:tc>
          <w:tcPr>
            <w:tcW w:w="690" w:type="dxa"/>
            <w:tcBorders>
              <w:tl2br w:val="nil"/>
              <w:tr2bl w:val="nil"/>
            </w:tcBorders>
            <w:noWrap w:val="0"/>
            <w:vAlign w:val="center"/>
          </w:tcPr>
          <w:p w14:paraId="27A8DC0D">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500</w:t>
            </w:r>
          </w:p>
        </w:tc>
        <w:tc>
          <w:tcPr>
            <w:tcW w:w="1500" w:type="dxa"/>
            <w:tcBorders>
              <w:tl2br w:val="nil"/>
              <w:tr2bl w:val="nil"/>
            </w:tcBorders>
            <w:noWrap w:val="0"/>
            <w:vAlign w:val="center"/>
          </w:tcPr>
          <w:p w14:paraId="2714AC88">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693047DF">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74C0320E">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0.07</w:t>
            </w:r>
          </w:p>
        </w:tc>
        <w:tc>
          <w:tcPr>
            <w:tcW w:w="765" w:type="dxa"/>
            <w:vMerge w:val="continue"/>
            <w:tcBorders>
              <w:tl2br w:val="nil"/>
              <w:tr2bl w:val="nil"/>
            </w:tcBorders>
            <w:noWrap w:val="0"/>
            <w:vAlign w:val="center"/>
          </w:tcPr>
          <w:p w14:paraId="3F9F405E">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52AA53A9">
            <w:pPr>
              <w:pStyle w:val="25"/>
              <w:bidi w:val="0"/>
              <w:rPr>
                <w:rFonts w:hint="default" w:ascii="Times New Roman" w:hAnsi="Times New Roman" w:cs="Times New Roman"/>
                <w:b w:val="0"/>
                <w:bCs w:val="0"/>
                <w:color w:val="auto"/>
                <w:sz w:val="21"/>
                <w:szCs w:val="21"/>
                <w:u w:val="none" w:color="auto"/>
                <w:lang w:val="en-US" w:eastAsia="zh-CN"/>
              </w:rPr>
            </w:pPr>
          </w:p>
        </w:tc>
      </w:tr>
      <w:tr w14:paraId="1BC70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648DFC33">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3816F888">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48BCAFB7">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二氧化氮</w:t>
            </w:r>
          </w:p>
        </w:tc>
        <w:tc>
          <w:tcPr>
            <w:tcW w:w="690" w:type="dxa"/>
            <w:tcBorders>
              <w:tl2br w:val="nil"/>
              <w:tr2bl w:val="nil"/>
            </w:tcBorders>
            <w:noWrap w:val="0"/>
            <w:vAlign w:val="center"/>
          </w:tcPr>
          <w:p w14:paraId="30EDBA49">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200</w:t>
            </w:r>
          </w:p>
        </w:tc>
        <w:tc>
          <w:tcPr>
            <w:tcW w:w="1500" w:type="dxa"/>
            <w:tcBorders>
              <w:tl2br w:val="nil"/>
              <w:tr2bl w:val="nil"/>
            </w:tcBorders>
            <w:noWrap w:val="0"/>
            <w:vAlign w:val="center"/>
          </w:tcPr>
          <w:p w14:paraId="157C8B9F">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5.015</w:t>
            </w:r>
          </w:p>
        </w:tc>
        <w:tc>
          <w:tcPr>
            <w:tcW w:w="1065" w:type="dxa"/>
            <w:vMerge w:val="continue"/>
            <w:tcBorders>
              <w:tl2br w:val="nil"/>
              <w:tr2bl w:val="nil"/>
            </w:tcBorders>
            <w:noWrap w:val="0"/>
            <w:vAlign w:val="center"/>
          </w:tcPr>
          <w:p w14:paraId="4F7BED4F">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6EC17F3C">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2.51</w:t>
            </w:r>
          </w:p>
        </w:tc>
        <w:tc>
          <w:tcPr>
            <w:tcW w:w="765" w:type="dxa"/>
            <w:vMerge w:val="continue"/>
            <w:tcBorders>
              <w:tl2br w:val="nil"/>
              <w:tr2bl w:val="nil"/>
            </w:tcBorders>
            <w:noWrap w:val="0"/>
            <w:vAlign w:val="center"/>
          </w:tcPr>
          <w:p w14:paraId="1F9B5DCE">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75CF397C">
            <w:pPr>
              <w:pStyle w:val="25"/>
              <w:bidi w:val="0"/>
              <w:rPr>
                <w:rFonts w:hint="default" w:ascii="Times New Roman" w:hAnsi="Times New Roman" w:cs="Times New Roman"/>
                <w:b w:val="0"/>
                <w:bCs w:val="0"/>
                <w:color w:val="auto"/>
                <w:sz w:val="21"/>
                <w:szCs w:val="21"/>
                <w:u w:val="none" w:color="auto"/>
                <w:lang w:val="en-US" w:eastAsia="zh-CN"/>
              </w:rPr>
            </w:pPr>
          </w:p>
        </w:tc>
      </w:tr>
      <w:tr w14:paraId="40EA8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4798B25B">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DA003排气筒</w:t>
            </w:r>
          </w:p>
        </w:tc>
        <w:tc>
          <w:tcPr>
            <w:tcW w:w="825" w:type="dxa"/>
            <w:vMerge w:val="restart"/>
            <w:tcBorders>
              <w:tl2br w:val="nil"/>
              <w:tr2bl w:val="nil"/>
            </w:tcBorders>
            <w:noWrap w:val="0"/>
            <w:vAlign w:val="center"/>
          </w:tcPr>
          <w:p w14:paraId="0EF39925">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0D942252">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772055C5">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1DE574FF">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7.767</w:t>
            </w:r>
          </w:p>
        </w:tc>
        <w:tc>
          <w:tcPr>
            <w:tcW w:w="1065" w:type="dxa"/>
            <w:vMerge w:val="restart"/>
            <w:tcBorders>
              <w:tl2br w:val="nil"/>
              <w:tr2bl w:val="nil"/>
            </w:tcBorders>
            <w:noWrap w:val="0"/>
            <w:vAlign w:val="center"/>
          </w:tcPr>
          <w:p w14:paraId="4976669E">
            <w:pPr>
              <w:pStyle w:val="25"/>
              <w:rPr>
                <w:rFonts w:hint="default" w:cs="Times New Roman"/>
                <w:b w:val="0"/>
                <w:bCs w:val="0"/>
                <w:i w:val="0"/>
                <w:color w:val="auto"/>
                <w:kern w:val="0"/>
                <w:sz w:val="21"/>
                <w:szCs w:val="21"/>
                <w:highlight w:val="none"/>
                <w:u w:val="none" w:color="auto"/>
                <w:lang w:val="en-US" w:eastAsia="zh-CN" w:bidi="ar"/>
              </w:rPr>
            </w:pPr>
            <w:r>
              <w:rPr>
                <w:rFonts w:hint="eastAsia" w:cs="Times New Roman"/>
                <w:b w:val="0"/>
                <w:bCs w:val="0"/>
                <w:i w:val="0"/>
                <w:color w:val="auto"/>
                <w:kern w:val="0"/>
                <w:sz w:val="21"/>
                <w:szCs w:val="21"/>
                <w:highlight w:val="none"/>
                <w:u w:val="none" w:color="auto"/>
                <w:lang w:val="en-US" w:eastAsia="zh-CN" w:bidi="ar"/>
              </w:rPr>
              <w:t>45</w:t>
            </w:r>
          </w:p>
        </w:tc>
        <w:tc>
          <w:tcPr>
            <w:tcW w:w="854" w:type="dxa"/>
            <w:tcBorders>
              <w:tl2br w:val="nil"/>
              <w:tr2bl w:val="nil"/>
            </w:tcBorders>
            <w:noWrap w:val="0"/>
            <w:vAlign w:val="center"/>
          </w:tcPr>
          <w:p w14:paraId="3E98D3D4">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0.65</w:t>
            </w:r>
          </w:p>
        </w:tc>
        <w:tc>
          <w:tcPr>
            <w:tcW w:w="765" w:type="dxa"/>
            <w:vMerge w:val="continue"/>
            <w:tcBorders>
              <w:tl2br w:val="nil"/>
              <w:tr2bl w:val="nil"/>
            </w:tcBorders>
            <w:noWrap w:val="0"/>
            <w:vAlign w:val="center"/>
          </w:tcPr>
          <w:p w14:paraId="05F56D3C">
            <w:pPr>
              <w:pStyle w:val="25"/>
              <w:bidi w:val="0"/>
              <w:rPr>
                <w:rFonts w:hint="eastAsia"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357E353E">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3465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7B730B6C">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3291E16D">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3AD93039">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4C05471B">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51BDCA9F">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3EC53BCE">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0A05EEC1">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0.04</w:t>
            </w:r>
          </w:p>
        </w:tc>
        <w:tc>
          <w:tcPr>
            <w:tcW w:w="765" w:type="dxa"/>
            <w:vMerge w:val="continue"/>
            <w:tcBorders>
              <w:tl2br w:val="nil"/>
              <w:tr2bl w:val="nil"/>
            </w:tcBorders>
            <w:noWrap w:val="0"/>
            <w:vAlign w:val="center"/>
          </w:tcPr>
          <w:p w14:paraId="4639713A">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77AC5E7C">
            <w:pPr>
              <w:pStyle w:val="25"/>
              <w:bidi w:val="0"/>
              <w:rPr>
                <w:rFonts w:hint="eastAsia" w:ascii="Times New Roman" w:hAnsi="Times New Roman" w:cs="Times New Roman"/>
                <w:b w:val="0"/>
                <w:bCs w:val="0"/>
                <w:color w:val="auto"/>
                <w:sz w:val="21"/>
                <w:szCs w:val="21"/>
                <w:u w:val="none" w:color="auto"/>
                <w:lang w:val="en-US" w:eastAsia="zh-CN"/>
              </w:rPr>
            </w:pPr>
          </w:p>
        </w:tc>
      </w:tr>
      <w:tr w14:paraId="43993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3B83801C">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58186A4F">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64959EB0">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二氧化硫</w:t>
            </w:r>
          </w:p>
        </w:tc>
        <w:tc>
          <w:tcPr>
            <w:tcW w:w="690" w:type="dxa"/>
            <w:tcBorders>
              <w:tl2br w:val="nil"/>
              <w:tr2bl w:val="nil"/>
            </w:tcBorders>
            <w:noWrap w:val="0"/>
            <w:vAlign w:val="center"/>
          </w:tcPr>
          <w:p w14:paraId="585A270C">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500</w:t>
            </w:r>
          </w:p>
        </w:tc>
        <w:tc>
          <w:tcPr>
            <w:tcW w:w="1500" w:type="dxa"/>
            <w:tcBorders>
              <w:tl2br w:val="nil"/>
              <w:tr2bl w:val="nil"/>
            </w:tcBorders>
            <w:noWrap w:val="0"/>
            <w:vAlign w:val="center"/>
          </w:tcPr>
          <w:p w14:paraId="0C00C478">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17961D3B">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0D65D867">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0.07</w:t>
            </w:r>
          </w:p>
        </w:tc>
        <w:tc>
          <w:tcPr>
            <w:tcW w:w="765" w:type="dxa"/>
            <w:vMerge w:val="continue"/>
            <w:tcBorders>
              <w:tl2br w:val="nil"/>
              <w:tr2bl w:val="nil"/>
            </w:tcBorders>
            <w:noWrap w:val="0"/>
            <w:vAlign w:val="center"/>
          </w:tcPr>
          <w:p w14:paraId="7880982C">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3F62DC1E">
            <w:pPr>
              <w:pStyle w:val="25"/>
              <w:bidi w:val="0"/>
              <w:rPr>
                <w:rFonts w:hint="eastAsia" w:ascii="Times New Roman" w:hAnsi="Times New Roman" w:cs="Times New Roman"/>
                <w:b w:val="0"/>
                <w:bCs w:val="0"/>
                <w:color w:val="auto"/>
                <w:sz w:val="21"/>
                <w:szCs w:val="21"/>
                <w:u w:val="none" w:color="auto"/>
                <w:lang w:val="en-US" w:eastAsia="zh-CN"/>
              </w:rPr>
            </w:pPr>
          </w:p>
        </w:tc>
      </w:tr>
      <w:tr w14:paraId="493F5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60C3E538">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7D4410D6">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7E38ABA0">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二氧化氮</w:t>
            </w:r>
          </w:p>
        </w:tc>
        <w:tc>
          <w:tcPr>
            <w:tcW w:w="690" w:type="dxa"/>
            <w:tcBorders>
              <w:tl2br w:val="nil"/>
              <w:tr2bl w:val="nil"/>
            </w:tcBorders>
            <w:noWrap w:val="0"/>
            <w:vAlign w:val="center"/>
          </w:tcPr>
          <w:p w14:paraId="19289100">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200</w:t>
            </w:r>
          </w:p>
        </w:tc>
        <w:tc>
          <w:tcPr>
            <w:tcW w:w="1500" w:type="dxa"/>
            <w:tcBorders>
              <w:tl2br w:val="nil"/>
              <w:tr2bl w:val="nil"/>
            </w:tcBorders>
            <w:noWrap w:val="0"/>
            <w:vAlign w:val="center"/>
          </w:tcPr>
          <w:p w14:paraId="04BB1982">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5.015</w:t>
            </w:r>
          </w:p>
        </w:tc>
        <w:tc>
          <w:tcPr>
            <w:tcW w:w="1065" w:type="dxa"/>
            <w:vMerge w:val="continue"/>
            <w:tcBorders>
              <w:tl2br w:val="nil"/>
              <w:tr2bl w:val="nil"/>
            </w:tcBorders>
            <w:noWrap w:val="0"/>
            <w:vAlign w:val="center"/>
          </w:tcPr>
          <w:p w14:paraId="750CF582">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07F46DD6">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2.51</w:t>
            </w:r>
          </w:p>
        </w:tc>
        <w:tc>
          <w:tcPr>
            <w:tcW w:w="765" w:type="dxa"/>
            <w:vMerge w:val="continue"/>
            <w:tcBorders>
              <w:tl2br w:val="nil"/>
              <w:tr2bl w:val="nil"/>
            </w:tcBorders>
            <w:noWrap w:val="0"/>
            <w:vAlign w:val="center"/>
          </w:tcPr>
          <w:p w14:paraId="69C8DE14">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6A4AF5F0">
            <w:pPr>
              <w:pStyle w:val="25"/>
              <w:bidi w:val="0"/>
              <w:rPr>
                <w:rFonts w:hint="default" w:ascii="Times New Roman" w:hAnsi="Times New Roman" w:cs="Times New Roman"/>
                <w:b w:val="0"/>
                <w:bCs w:val="0"/>
                <w:color w:val="auto"/>
                <w:sz w:val="21"/>
                <w:szCs w:val="21"/>
                <w:u w:val="none" w:color="auto"/>
                <w:lang w:val="en-US" w:eastAsia="zh-CN"/>
              </w:rPr>
            </w:pPr>
          </w:p>
        </w:tc>
      </w:tr>
      <w:tr w14:paraId="63436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04A2578B">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厂区</w:t>
            </w:r>
          </w:p>
        </w:tc>
        <w:tc>
          <w:tcPr>
            <w:tcW w:w="825" w:type="dxa"/>
            <w:vMerge w:val="restart"/>
            <w:tcBorders>
              <w:tl2br w:val="nil"/>
              <w:tr2bl w:val="nil"/>
            </w:tcBorders>
            <w:noWrap w:val="0"/>
            <w:vAlign w:val="center"/>
          </w:tcPr>
          <w:p w14:paraId="6D43FB88">
            <w:pPr>
              <w:pStyle w:val="25"/>
              <w:bidi w:val="0"/>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面源</w:t>
            </w:r>
          </w:p>
        </w:tc>
        <w:tc>
          <w:tcPr>
            <w:tcW w:w="990" w:type="dxa"/>
            <w:tcBorders>
              <w:tl2br w:val="nil"/>
              <w:tr2bl w:val="nil"/>
            </w:tcBorders>
            <w:noWrap w:val="0"/>
            <w:vAlign w:val="center"/>
          </w:tcPr>
          <w:p w14:paraId="605103E2">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70887730">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29D8C186">
            <w:pPr>
              <w:pStyle w:val="25"/>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62.905</w:t>
            </w:r>
          </w:p>
        </w:tc>
        <w:tc>
          <w:tcPr>
            <w:tcW w:w="1065" w:type="dxa"/>
            <w:vMerge w:val="restart"/>
            <w:tcBorders>
              <w:tl2br w:val="nil"/>
              <w:tr2bl w:val="nil"/>
            </w:tcBorders>
            <w:noWrap w:val="0"/>
            <w:vAlign w:val="center"/>
          </w:tcPr>
          <w:p w14:paraId="47E7784A">
            <w:pPr>
              <w:pStyle w:val="25"/>
              <w:rPr>
                <w:rFonts w:hint="default" w:ascii="Times New Roman" w:hAnsi="Times New Roman"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51</w:t>
            </w:r>
          </w:p>
        </w:tc>
        <w:tc>
          <w:tcPr>
            <w:tcW w:w="854" w:type="dxa"/>
            <w:tcBorders>
              <w:tl2br w:val="nil"/>
              <w:tr2bl w:val="nil"/>
            </w:tcBorders>
            <w:noWrap w:val="0"/>
            <w:vAlign w:val="center"/>
          </w:tcPr>
          <w:p w14:paraId="74338FB0">
            <w:pPr>
              <w:pStyle w:val="25"/>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6.99</w:t>
            </w:r>
          </w:p>
        </w:tc>
        <w:tc>
          <w:tcPr>
            <w:tcW w:w="765" w:type="dxa"/>
            <w:vMerge w:val="continue"/>
            <w:tcBorders>
              <w:tl2br w:val="nil"/>
              <w:tr2bl w:val="nil"/>
            </w:tcBorders>
            <w:noWrap w:val="0"/>
            <w:vAlign w:val="center"/>
          </w:tcPr>
          <w:p w14:paraId="7618C36A">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633D1E15">
            <w:pPr>
              <w:pStyle w:val="25"/>
              <w:bidi w:val="0"/>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30F2F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7C4D22B">
            <w:pPr>
              <w:pStyle w:val="25"/>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7A493807">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04FCA1D6">
            <w:pPr>
              <w:pStyle w:val="25"/>
              <w:bidi w:val="0"/>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30FE164C">
            <w:pPr>
              <w:pStyle w:val="25"/>
              <w:bidi w:val="0"/>
              <w:rPr>
                <w:rFonts w:hint="default" w:ascii="Times New Roman" w:hAnsi="Times New Roman"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41A3B24D">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2.667</w:t>
            </w:r>
          </w:p>
        </w:tc>
        <w:tc>
          <w:tcPr>
            <w:tcW w:w="1065" w:type="dxa"/>
            <w:vMerge w:val="continue"/>
            <w:tcBorders>
              <w:tl2br w:val="nil"/>
              <w:tr2bl w:val="nil"/>
            </w:tcBorders>
            <w:noWrap w:val="0"/>
            <w:vAlign w:val="center"/>
          </w:tcPr>
          <w:p w14:paraId="76304918">
            <w:pPr>
              <w:pStyle w:val="25"/>
              <w:rPr>
                <w:rFonts w:hint="default"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7E3A74DC">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0.22</w:t>
            </w:r>
          </w:p>
        </w:tc>
        <w:tc>
          <w:tcPr>
            <w:tcW w:w="765" w:type="dxa"/>
            <w:vMerge w:val="continue"/>
            <w:tcBorders>
              <w:tl2br w:val="nil"/>
              <w:tr2bl w:val="nil"/>
            </w:tcBorders>
            <w:noWrap w:val="0"/>
            <w:vAlign w:val="center"/>
          </w:tcPr>
          <w:p w14:paraId="6C8071BB">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13729AAE">
            <w:pPr>
              <w:pStyle w:val="25"/>
              <w:bidi w:val="0"/>
              <w:rPr>
                <w:rFonts w:hint="default" w:ascii="Times New Roman" w:hAnsi="Times New Roman" w:cs="Times New Roman"/>
                <w:b w:val="0"/>
                <w:bCs w:val="0"/>
                <w:color w:val="auto"/>
                <w:sz w:val="21"/>
                <w:szCs w:val="21"/>
                <w:u w:val="none" w:color="auto"/>
                <w:lang w:val="en-US" w:eastAsia="zh-CN"/>
              </w:rPr>
            </w:pPr>
          </w:p>
        </w:tc>
      </w:tr>
      <w:tr w14:paraId="01883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4A0F2D9C">
            <w:pPr>
              <w:pStyle w:val="25"/>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5CB22591">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04994770">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甲醛</w:t>
            </w:r>
          </w:p>
        </w:tc>
        <w:tc>
          <w:tcPr>
            <w:tcW w:w="690" w:type="dxa"/>
            <w:tcBorders>
              <w:tl2br w:val="nil"/>
              <w:tr2bl w:val="nil"/>
            </w:tcBorders>
            <w:noWrap w:val="0"/>
            <w:vAlign w:val="center"/>
          </w:tcPr>
          <w:p w14:paraId="108BFE90">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50</w:t>
            </w:r>
          </w:p>
        </w:tc>
        <w:tc>
          <w:tcPr>
            <w:tcW w:w="1500" w:type="dxa"/>
            <w:tcBorders>
              <w:tl2br w:val="nil"/>
              <w:tr2bl w:val="nil"/>
            </w:tcBorders>
            <w:noWrap w:val="0"/>
            <w:vAlign w:val="center"/>
          </w:tcPr>
          <w:p w14:paraId="2D546DE1">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3.510</w:t>
            </w:r>
          </w:p>
        </w:tc>
        <w:tc>
          <w:tcPr>
            <w:tcW w:w="1065" w:type="dxa"/>
            <w:vMerge w:val="continue"/>
            <w:tcBorders>
              <w:tl2br w:val="nil"/>
              <w:tr2bl w:val="nil"/>
            </w:tcBorders>
            <w:noWrap w:val="0"/>
            <w:vAlign w:val="center"/>
          </w:tcPr>
          <w:p w14:paraId="6B46DBE1">
            <w:pPr>
              <w:pStyle w:val="25"/>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6CDD2EE8">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7.02</w:t>
            </w:r>
          </w:p>
        </w:tc>
        <w:tc>
          <w:tcPr>
            <w:tcW w:w="765" w:type="dxa"/>
            <w:vMerge w:val="continue"/>
            <w:tcBorders>
              <w:tl2br w:val="nil"/>
              <w:tr2bl w:val="nil"/>
            </w:tcBorders>
            <w:noWrap w:val="0"/>
            <w:vAlign w:val="center"/>
          </w:tcPr>
          <w:p w14:paraId="43504490">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14107432">
            <w:pPr>
              <w:pStyle w:val="25"/>
              <w:bidi w:val="0"/>
              <w:rPr>
                <w:rFonts w:hint="default" w:ascii="Times New Roman" w:hAnsi="Times New Roman" w:cs="Times New Roman"/>
                <w:b w:val="0"/>
                <w:bCs w:val="0"/>
                <w:color w:val="auto"/>
                <w:sz w:val="21"/>
                <w:szCs w:val="21"/>
                <w:u w:val="none" w:color="auto"/>
                <w:lang w:val="en-US" w:eastAsia="zh-CN"/>
              </w:rPr>
            </w:pPr>
          </w:p>
        </w:tc>
      </w:tr>
    </w:tbl>
    <w:p w14:paraId="5A0604E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从估算结果可知，本项目Pmax最大值出现为</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lang w:eastAsia="zh-CN"/>
        </w:rPr>
        <w:t>组织</w:t>
      </w:r>
      <w:r>
        <w:rPr>
          <w:rFonts w:hint="default" w:ascii="Times New Roman" w:hAnsi="Times New Roman" w:cs="Times New Roman"/>
          <w:color w:val="auto"/>
          <w:u w:val="none" w:color="auto"/>
        </w:rPr>
        <w:t>排放</w:t>
      </w:r>
      <w:r>
        <w:rPr>
          <w:rFonts w:hint="eastAsia" w:ascii="Times New Roman" w:hAnsi="Times New Roman" w:cs="Times New Roman"/>
          <w:color w:val="auto"/>
          <w:u w:val="none" w:color="auto"/>
          <w:lang w:val="en-US" w:eastAsia="zh-CN"/>
        </w:rPr>
        <w:t>的甲醛</w:t>
      </w:r>
      <w:r>
        <w:rPr>
          <w:rFonts w:hint="default" w:ascii="Times New Roman" w:hAnsi="Times New Roman" w:cs="Times New Roman"/>
          <w:color w:val="auto"/>
          <w:u w:val="none" w:color="auto"/>
        </w:rPr>
        <w:t>，Cmax为</w:t>
      </w:r>
      <w:r>
        <w:rPr>
          <w:rFonts w:hint="eastAsia" w:ascii="Times New Roman" w:hAnsi="Times New Roman" w:cs="Times New Roman"/>
          <w:color w:val="auto"/>
          <w:u w:val="none" w:color="auto"/>
          <w:lang w:val="en-US" w:eastAsia="zh-CN"/>
        </w:rPr>
        <w:t>3.510</w:t>
      </w:r>
      <w:r>
        <w:rPr>
          <w:rFonts w:hint="default" w:ascii="Times New Roman" w:hAnsi="Times New Roman" w:cs="Times New Roman"/>
          <w:color w:val="auto"/>
          <w:u w:val="none" w:color="auto"/>
        </w:rPr>
        <w:t>ug/m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，Pmax</w:t>
      </w:r>
      <w:r>
        <w:rPr>
          <w:rFonts w:hint="eastAsia" w:ascii="Times New Roman" w:hAnsi="Times New Roman" w:cs="Times New Roman"/>
          <w:color w:val="auto"/>
          <w:u w:val="none" w:color="auto"/>
          <w:lang w:val="en-US" w:eastAsia="zh-CN"/>
        </w:rPr>
        <w:t>7.02</w:t>
      </w:r>
      <w:r>
        <w:rPr>
          <w:rFonts w:hint="default" w:ascii="Times New Roman" w:hAnsi="Times New Roman" w:cs="Times New Roman"/>
          <w:color w:val="auto"/>
          <w:u w:val="none" w:color="auto"/>
        </w:rPr>
        <w:t>%。根据《环境影响评价技术导则大气环境》（HJ2.2-2018）分级判据，确定本项目大气环境影响评价工作等级为二级，不进行进一步预测和分析，只对污染物排放量进行核算，可不设大气环境防护距离。</w:t>
      </w:r>
    </w:p>
    <w:p w14:paraId="757C9841">
      <w:pPr>
        <w:pStyle w:val="21"/>
        <w:ind w:firstLine="482"/>
        <w:rPr>
          <w:rFonts w:hint="default" w:ascii="Times New Roman" w:hAnsi="Times New Roman" w:eastAsia="宋体" w:cs="Times New Roman"/>
          <w:b/>
          <w:bCs/>
          <w:color w:val="auto"/>
          <w:highlight w:val="none"/>
          <w:u w:val="none" w:color="auto"/>
          <w:lang w:eastAsia="zh-CN"/>
        </w:rPr>
      </w:pPr>
      <w:r>
        <w:rPr>
          <w:rFonts w:hint="default" w:ascii="Times New Roman" w:hAnsi="Times New Roman" w:cs="Times New Roman"/>
          <w:b/>
          <w:bCs/>
          <w:color w:val="auto"/>
          <w:highlight w:val="none"/>
          <w:u w:val="none" w:color="auto"/>
          <w:lang w:val="en-US" w:eastAsia="zh-CN"/>
        </w:rPr>
        <w:t>2</w:t>
      </w:r>
      <w:r>
        <w:rPr>
          <w:rFonts w:hint="default" w:ascii="Times New Roman" w:hAnsi="Times New Roman" w:cs="Times New Roman"/>
          <w:b/>
          <w:bCs/>
          <w:color w:val="auto"/>
          <w:highlight w:val="none"/>
          <w:u w:val="none" w:color="auto"/>
        </w:rPr>
        <w:t>、大气环境影响评价</w:t>
      </w:r>
      <w:r>
        <w:rPr>
          <w:rFonts w:hint="default" w:ascii="Times New Roman" w:hAnsi="Times New Roman" w:cs="Times New Roman"/>
          <w:b/>
          <w:bCs/>
          <w:color w:val="auto"/>
          <w:highlight w:val="none"/>
          <w:u w:val="none" w:color="auto"/>
          <w:lang w:eastAsia="zh-CN"/>
        </w:rPr>
        <w:t>范围</w:t>
      </w:r>
    </w:p>
    <w:p w14:paraId="6EB5206E">
      <w:pPr>
        <w:pStyle w:val="21"/>
        <w:ind w:firstLine="480"/>
        <w:rPr>
          <w:rFonts w:hint="default" w:ascii="Times New Roman" w:hAnsi="Times New Roman" w:eastAsia="宋体" w:cs="Times New Roman"/>
          <w:color w:val="auto"/>
          <w:highlight w:val="green"/>
          <w:u w:val="none" w:color="auto"/>
          <w:lang w:val="en-US" w:eastAsia="zh-CN"/>
        </w:rPr>
      </w:pPr>
      <w:r>
        <w:rPr>
          <w:rFonts w:hint="default" w:ascii="Times New Roman" w:hAnsi="Times New Roman" w:eastAsia="宋体" w:cs="Times New Roman"/>
          <w:color w:val="auto"/>
          <w:highlight w:val="none"/>
          <w:u w:val="none" w:color="auto"/>
          <w:lang w:val="en-US" w:eastAsia="zh-CN"/>
        </w:rPr>
        <w:t>根据《环境影响评价技术导则-大气环境》(HJ 2.2-2018)，二级评价项目大气环境影响评价范围</w:t>
      </w:r>
      <w:r>
        <w:rPr>
          <w:rFonts w:hint="default" w:ascii="Times New Roman" w:hAnsi="Times New Roman" w:eastAsia="宋体" w:cs="Times New Roman"/>
          <w:color w:val="auto"/>
          <w:highlight w:val="none"/>
          <w:u w:val="none" w:color="auto"/>
        </w:rPr>
        <w:t>定</w:t>
      </w:r>
      <w:r>
        <w:rPr>
          <w:rFonts w:hint="default" w:ascii="Times New Roman" w:hAnsi="Times New Roman" w:eastAsia="宋体" w:cs="Times New Roman"/>
          <w:color w:val="auto"/>
          <w:highlight w:val="none"/>
          <w:u w:val="none" w:color="auto"/>
          <w:lang w:eastAsia="zh-CN"/>
        </w:rPr>
        <w:t>为</w:t>
      </w:r>
      <w:r>
        <w:rPr>
          <w:rFonts w:hint="default" w:ascii="Times New Roman" w:hAnsi="Times New Roman" w:eastAsia="宋体" w:cs="Times New Roman"/>
          <w:color w:val="auto"/>
          <w:highlight w:val="none"/>
          <w:u w:val="none" w:color="auto"/>
        </w:rPr>
        <w:t>以项目厂址为中心区域，边长为5km的矩形范围</w:t>
      </w:r>
      <w:r>
        <w:rPr>
          <w:rFonts w:hint="default" w:ascii="Times New Roman" w:hAnsi="Times New Roman" w:eastAsia="宋体" w:cs="Times New Roman"/>
          <w:color w:val="auto"/>
          <w:highlight w:val="none"/>
          <w:u w:val="none" w:color="auto"/>
          <w:lang w:val="en-US" w:eastAsia="zh-CN"/>
        </w:rPr>
        <w:t>。</w:t>
      </w:r>
    </w:p>
    <w:p w14:paraId="4B78D063">
      <w:pPr>
        <w:pStyle w:val="8"/>
        <w:rPr>
          <w:rFonts w:hint="default" w:ascii="Times New Roman" w:hAnsi="Times New Roman" w:eastAsia="宋体" w:cs="Times New Roman"/>
          <w:color w:val="auto"/>
          <w:u w:val="none" w:color="auto"/>
          <w:lang w:eastAsia="zh-CN"/>
        </w:rPr>
      </w:pPr>
      <w:bookmarkStart w:id="453" w:name="_Toc8446"/>
      <w:bookmarkStart w:id="454" w:name="_Toc30416"/>
      <w:bookmarkStart w:id="455" w:name="_Toc29505"/>
      <w:bookmarkStart w:id="456" w:name="_Toc632"/>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eastAsia="zh-CN"/>
        </w:rPr>
        <w:t>地表水</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53"/>
      <w:bookmarkEnd w:id="454"/>
      <w:bookmarkEnd w:id="455"/>
      <w:bookmarkEnd w:id="456"/>
    </w:p>
    <w:p w14:paraId="23F974CC">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、地表水环境影响评价等级</w:t>
      </w:r>
    </w:p>
    <w:p w14:paraId="46A45B6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rPr>
        <w:t>《环境影响评价技术导则 地表水环境》（HJ2.3-2018）的评价等级判定依据如下表所示。</w:t>
      </w:r>
    </w:p>
    <w:p w14:paraId="273A886F">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地表水环境评价工作等级判定表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0"/>
        <w:gridCol w:w="1697"/>
        <w:gridCol w:w="5437"/>
      </w:tblGrid>
      <w:tr w14:paraId="6D6FB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370" w:type="dxa"/>
            <w:vMerge w:val="restart"/>
            <w:noWrap w:val="0"/>
            <w:vAlign w:val="center"/>
          </w:tcPr>
          <w:p w14:paraId="1CDDDA35">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评价等级</w:t>
            </w:r>
          </w:p>
        </w:tc>
        <w:tc>
          <w:tcPr>
            <w:tcW w:w="7134" w:type="dxa"/>
            <w:gridSpan w:val="2"/>
            <w:noWrap w:val="0"/>
            <w:vAlign w:val="center"/>
          </w:tcPr>
          <w:p w14:paraId="55C6A4CA">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受纳水体情况</w:t>
            </w:r>
          </w:p>
        </w:tc>
      </w:tr>
      <w:tr w14:paraId="7751B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Merge w:val="continue"/>
            <w:noWrap w:val="0"/>
            <w:vAlign w:val="center"/>
          </w:tcPr>
          <w:p w14:paraId="3864F1DB">
            <w:pPr>
              <w:pStyle w:val="25"/>
              <w:rPr>
                <w:rFonts w:hint="default" w:ascii="Times New Roman" w:hAnsi="Times New Roman" w:cs="Times New Roman"/>
                <w:b/>
                <w:bCs/>
                <w:color w:val="auto"/>
                <w:u w:val="none" w:color="auto"/>
                <w:lang w:val="en-US" w:eastAsia="zh-CN"/>
              </w:rPr>
            </w:pPr>
          </w:p>
        </w:tc>
        <w:tc>
          <w:tcPr>
            <w:tcW w:w="1697" w:type="dxa"/>
            <w:noWrap w:val="0"/>
            <w:vAlign w:val="center"/>
          </w:tcPr>
          <w:p w14:paraId="2DEB30E9">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排放方式</w:t>
            </w:r>
          </w:p>
        </w:tc>
        <w:tc>
          <w:tcPr>
            <w:tcW w:w="5437" w:type="dxa"/>
            <w:noWrap w:val="0"/>
            <w:vAlign w:val="center"/>
          </w:tcPr>
          <w:p w14:paraId="5B09749B">
            <w:pPr>
              <w:pStyle w:val="25"/>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废水排放量 Q/（m</w:t>
            </w:r>
            <w:r>
              <w:rPr>
                <w:rFonts w:hint="default" w:ascii="Times New Roman" w:hAnsi="Times New Roman" w:cs="Times New Roman"/>
                <w:b/>
                <w:bCs/>
                <w:color w:val="auto"/>
                <w:u w:val="none" w:color="auto"/>
                <w:vertAlign w:val="superscript"/>
                <w:lang w:val="en-US" w:eastAsia="zh-CN"/>
              </w:rPr>
              <w:t>3</w:t>
            </w:r>
            <w:r>
              <w:rPr>
                <w:rFonts w:hint="default" w:ascii="Times New Roman" w:hAnsi="Times New Roman" w:cs="Times New Roman"/>
                <w:b/>
                <w:bCs/>
                <w:color w:val="auto"/>
                <w:u w:val="none" w:color="auto"/>
                <w:lang w:val="en-US" w:eastAsia="zh-CN"/>
              </w:rPr>
              <w:t>/d）水污染物当量数 W/（无量纲）</w:t>
            </w:r>
          </w:p>
        </w:tc>
      </w:tr>
      <w:tr w14:paraId="4C581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4601B4D8">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一级</w:t>
            </w:r>
          </w:p>
        </w:tc>
        <w:tc>
          <w:tcPr>
            <w:tcW w:w="1697" w:type="dxa"/>
            <w:noWrap w:val="0"/>
            <w:vAlign w:val="center"/>
          </w:tcPr>
          <w:p w14:paraId="7CD4C64A">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005C1BA3">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Q≥20000 或 W≥600000</w:t>
            </w:r>
          </w:p>
        </w:tc>
      </w:tr>
      <w:tr w14:paraId="1E879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7EA68CE5">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二级</w:t>
            </w:r>
          </w:p>
        </w:tc>
        <w:tc>
          <w:tcPr>
            <w:tcW w:w="1697" w:type="dxa"/>
            <w:noWrap w:val="0"/>
            <w:vAlign w:val="center"/>
          </w:tcPr>
          <w:p w14:paraId="23E01DD8">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6A410B1D">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其他</w:t>
            </w:r>
          </w:p>
        </w:tc>
      </w:tr>
      <w:tr w14:paraId="471AB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0AC8ED5D">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三级A</w:t>
            </w:r>
          </w:p>
        </w:tc>
        <w:tc>
          <w:tcPr>
            <w:tcW w:w="1697" w:type="dxa"/>
            <w:noWrap w:val="0"/>
            <w:vAlign w:val="center"/>
          </w:tcPr>
          <w:p w14:paraId="378C498C">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7DE57F8D">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Q&lt;200 且 W&lt;6000</w:t>
            </w:r>
          </w:p>
        </w:tc>
      </w:tr>
      <w:tr w14:paraId="048E9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4D7465C5">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三级B</w:t>
            </w:r>
          </w:p>
        </w:tc>
        <w:tc>
          <w:tcPr>
            <w:tcW w:w="1697" w:type="dxa"/>
            <w:noWrap w:val="0"/>
            <w:vAlign w:val="center"/>
          </w:tcPr>
          <w:p w14:paraId="1BFA0290">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间接排放</w:t>
            </w:r>
          </w:p>
        </w:tc>
        <w:tc>
          <w:tcPr>
            <w:tcW w:w="5437" w:type="dxa"/>
            <w:noWrap w:val="0"/>
            <w:vAlign w:val="center"/>
          </w:tcPr>
          <w:p w14:paraId="7414F851">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r>
    </w:tbl>
    <w:p w14:paraId="2BA49126">
      <w:pPr>
        <w:pStyle w:val="21"/>
        <w:ind w:firstLine="480"/>
        <w:rPr>
          <w:rFonts w:hint="default" w:ascii="Times New Roman" w:hAnsi="Times New Roman" w:cs="Times New Roman"/>
          <w:color w:val="auto"/>
          <w:u w:val="none" w:color="auto"/>
        </w:rPr>
      </w:pPr>
      <w:r>
        <w:rPr>
          <w:color w:val="auto"/>
          <w:u w:val="none" w:color="auto"/>
        </w:rPr>
        <w:t>由工程分析可知，</w:t>
      </w:r>
      <w:r>
        <w:rPr>
          <w:rFonts w:hint="eastAsia"/>
          <w:color w:val="auto"/>
          <w:u w:val="none" w:color="auto"/>
          <w:lang w:eastAsia="zh-CN"/>
        </w:rPr>
        <w:t>本项目</w:t>
      </w:r>
      <w:r>
        <w:rPr>
          <w:rFonts w:hint="eastAsia"/>
          <w:color w:val="auto"/>
          <w:u w:val="none" w:color="auto"/>
          <w:lang w:val="en-US" w:eastAsia="zh-CN"/>
        </w:rPr>
        <w:t>无生产废水产生；</w:t>
      </w:r>
      <w:r>
        <w:rPr>
          <w:rFonts w:hint="default" w:ascii="Times New Roman" w:hAnsi="Times New Roman" w:cs="Times New Roman"/>
          <w:color w:val="auto"/>
          <w:u w:val="none" w:color="auto"/>
        </w:rPr>
        <w:t>生活污水经化粪池处理</w:t>
      </w:r>
      <w:r>
        <w:rPr>
          <w:rFonts w:hint="eastAsia"/>
          <w:color w:val="auto"/>
          <w:u w:val="none" w:color="auto"/>
          <w:lang w:val="en-US" w:eastAsia="zh-CN"/>
        </w:rPr>
        <w:t>后排入长沙经开区汨罗产业园污水处理厂。综上本项目废水</w:t>
      </w:r>
      <w:r>
        <w:rPr>
          <w:color w:val="auto"/>
          <w:u w:val="none" w:color="auto"/>
        </w:rPr>
        <w:t>属于间接排放，根据上表评价等级判定依据可知，建设项目评价等级为三级B。</w:t>
      </w:r>
    </w:p>
    <w:p w14:paraId="166EDCB5">
      <w:pPr>
        <w:pStyle w:val="21"/>
        <w:ind w:firstLine="482"/>
        <w:rPr>
          <w:rFonts w:hint="default" w:ascii="Times New Roman" w:hAnsi="Times New Roman" w:eastAsia="宋体" w:cs="Times New Roman"/>
          <w:b/>
          <w:bCs/>
          <w:color w:val="auto"/>
          <w:u w:val="none" w:color="auto"/>
          <w:lang w:eastAsia="zh-CN"/>
        </w:rPr>
      </w:pPr>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、地表水环境影响评价</w:t>
      </w:r>
      <w:r>
        <w:rPr>
          <w:rFonts w:hint="default" w:ascii="Times New Roman" w:hAnsi="Times New Roman" w:cs="Times New Roman"/>
          <w:b/>
          <w:bCs/>
          <w:color w:val="auto"/>
          <w:u w:val="none" w:color="auto"/>
          <w:lang w:eastAsia="zh-CN"/>
        </w:rPr>
        <w:t>范围</w:t>
      </w:r>
    </w:p>
    <w:p w14:paraId="28E7B23D">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根据《环境影响评价技术导则-地表水环境》(HJ 2.3-2018)</w:t>
      </w:r>
      <w:r>
        <w:rPr>
          <w:rFonts w:hint="eastAsia" w:ascii="Times New Roman" w:hAnsi="Times New Roman" w:cs="Times New Roman"/>
          <w:color w:val="auto"/>
          <w:u w:val="none" w:color="auto"/>
          <w:lang w:val="en-US" w:eastAsia="zh-CN"/>
        </w:rPr>
        <w:t>相关要求</w:t>
      </w:r>
      <w:r>
        <w:rPr>
          <w:rFonts w:hint="default" w:ascii="Times New Roman" w:hAnsi="Times New Roman" w:cs="Times New Roman"/>
          <w:color w:val="auto"/>
          <w:u w:val="none" w:color="auto"/>
          <w:lang w:val="en-US" w:eastAsia="zh-CN"/>
        </w:rPr>
        <w:t>，</w:t>
      </w:r>
      <w:r>
        <w:rPr>
          <w:rFonts w:hint="default" w:ascii="Times New Roman" w:hAnsi="Times New Roman" w:eastAsia="宋体" w:cs="Times New Roman"/>
          <w:color w:val="auto"/>
          <w:u w:val="none" w:color="auto"/>
        </w:rPr>
        <w:t>水污染影响型三级B评价可不进行水环境影响预测。但水污染影响三级B评价主要内容应包括：水污染控制和水环境影响减缓措施有效性评价；依托污水处理设施的环境可行性评价。</w:t>
      </w:r>
    </w:p>
    <w:p w14:paraId="1D531F48">
      <w:pPr>
        <w:pStyle w:val="8"/>
        <w:rPr>
          <w:rFonts w:hint="default" w:ascii="Times New Roman" w:hAnsi="Times New Roman" w:eastAsia="宋体" w:cs="Times New Roman"/>
          <w:color w:val="auto"/>
          <w:u w:val="none" w:color="auto"/>
          <w:lang w:eastAsia="zh-CN"/>
        </w:rPr>
      </w:pPr>
      <w:bookmarkStart w:id="457" w:name="_Toc22398"/>
      <w:bookmarkStart w:id="458" w:name="_Toc27291"/>
      <w:bookmarkStart w:id="459" w:name="_Toc7751"/>
      <w:bookmarkStart w:id="460" w:name="_Toc1061"/>
      <w:bookmarkStart w:id="461" w:name="_Toc273462037"/>
      <w:bookmarkStart w:id="462" w:name="_Toc270622559"/>
      <w:bookmarkStart w:id="463" w:name="_Toc269630446"/>
      <w:bookmarkStart w:id="464" w:name="OLE_LINK73"/>
      <w:bookmarkStart w:id="465" w:name="_Toc269630364"/>
      <w:bookmarkStart w:id="466" w:name="_Toc302936688"/>
      <w:bookmarkStart w:id="467" w:name="_Toc274984434"/>
      <w:bookmarkStart w:id="468" w:name="_Toc458169526"/>
      <w:bookmarkStart w:id="469" w:name="_Toc6240"/>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eastAsia="zh-CN"/>
        </w:rPr>
        <w:t>地下水</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57"/>
      <w:bookmarkEnd w:id="458"/>
      <w:bookmarkEnd w:id="459"/>
      <w:bookmarkEnd w:id="460"/>
    </w:p>
    <w:p w14:paraId="5AF13250">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、地下水环境影响评价等级</w:t>
      </w:r>
    </w:p>
    <w:p w14:paraId="158C12A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根据《环境影响评价技术导则 地下水环境》（HJ610-2016）中附录A地下水环境影响评价行业分类表，本项目属于</w:t>
      </w:r>
      <w:r>
        <w:rPr>
          <w:rFonts w:hint="eastAsia" w:ascii="宋体" w:hAnsi="宋体" w:eastAsia="宋体" w:cs="宋体"/>
          <w:color w:val="auto"/>
          <w:u w:val="none" w:color="auto"/>
        </w:rPr>
        <w:t>“</w:t>
      </w:r>
      <w:r>
        <w:rPr>
          <w:rFonts w:hint="default" w:ascii="Times New Roman" w:hAnsi="Times New Roman" w:cs="Times New Roman"/>
          <w:color w:val="auto"/>
          <w:u w:val="none" w:color="auto"/>
        </w:rPr>
        <w:t>第</w:t>
      </w:r>
      <w:r>
        <w:rPr>
          <w:rFonts w:hint="eastAsia" w:ascii="Times New Roman" w:hAnsi="Times New Roman" w:cs="Times New Roman"/>
          <w:color w:val="auto"/>
          <w:u w:val="none" w:color="auto"/>
          <w:lang w:val="en-US" w:eastAsia="zh-CN"/>
        </w:rPr>
        <w:t>69石墨及其他非金属矿物制品</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石墨</w:t>
      </w:r>
      <w:r>
        <w:rPr>
          <w:rFonts w:hint="eastAsia" w:ascii="宋体" w:hAnsi="宋体" w:eastAsia="宋体" w:cs="宋体"/>
          <w:color w:val="auto"/>
          <w:u w:val="none" w:color="auto"/>
        </w:rPr>
        <w:t>”</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Ⅲ</w:t>
      </w:r>
      <w:r>
        <w:rPr>
          <w:rFonts w:hint="eastAsia" w:ascii="Times New Roman" w:hAnsi="Times New Roman" w:cs="Times New Roman"/>
          <w:color w:val="auto"/>
          <w:u w:val="none" w:color="auto"/>
          <w:lang w:val="en-US" w:eastAsia="zh-CN"/>
        </w:rPr>
        <w:t>类项目</w:t>
      </w:r>
      <w:r>
        <w:rPr>
          <w:rFonts w:hint="default" w:ascii="Times New Roman" w:hAnsi="Times New Roman" w:cs="Times New Roman"/>
          <w:color w:val="auto"/>
          <w:u w:val="none" w:color="auto"/>
        </w:rPr>
        <w:t>，本项目位于</w:t>
      </w:r>
      <w:r>
        <w:rPr>
          <w:rFonts w:hint="default" w:ascii="Times New Roman" w:hAnsi="Times New Roman" w:eastAsia="宋体" w:cs="Times New Roman"/>
          <w:color w:val="auto"/>
          <w:sz w:val="24"/>
          <w:u w:val="none" w:color="auto"/>
          <w:lang w:eastAsia="zh-CN"/>
        </w:rPr>
        <w:t>湖南省岳阳市汨罗市湖南汨罗高新技术产业开发区弼时片区大里塘村立新南路，租赁汨罗市乾源碳素材料有限公司场地</w:t>
      </w:r>
      <w:r>
        <w:rPr>
          <w:rFonts w:hint="default" w:ascii="Times New Roman" w:hAnsi="Times New Roman" w:cs="Times New Roman"/>
          <w:color w:val="auto"/>
          <w:u w:val="none" w:color="auto"/>
        </w:rPr>
        <w:t>，</w:t>
      </w:r>
      <w:r>
        <w:rPr>
          <w:rFonts w:hint="eastAsia"/>
          <w:color w:val="auto"/>
          <w:u w:val="none" w:color="auto"/>
        </w:rPr>
        <w:t>生产、生活用水来源为</w:t>
      </w:r>
      <w:r>
        <w:rPr>
          <w:rFonts w:hint="default" w:ascii="Times New Roman" w:hAnsi="Times New Roman" w:eastAsia="宋体" w:cs="Times New Roman"/>
          <w:color w:val="auto"/>
          <w:sz w:val="24"/>
          <w:u w:val="none" w:color="auto"/>
          <w:lang w:eastAsia="zh-CN"/>
        </w:rPr>
        <w:t>弼时</w:t>
      </w:r>
      <w:r>
        <w:rPr>
          <w:rFonts w:hint="eastAsia"/>
          <w:color w:val="auto"/>
          <w:u w:val="none" w:color="auto"/>
        </w:rPr>
        <w:t>镇给水管网</w:t>
      </w:r>
      <w:r>
        <w:rPr>
          <w:rFonts w:hint="default" w:ascii="Times New Roman" w:hAnsi="Times New Roman" w:cs="Times New Roman"/>
          <w:color w:val="auto"/>
          <w:u w:val="none" w:color="auto"/>
          <w:lang w:eastAsia="zh-CN"/>
        </w:rPr>
        <w:t>，</w:t>
      </w:r>
      <w:r>
        <w:rPr>
          <w:rFonts w:hint="eastAsia"/>
          <w:color w:val="auto"/>
          <w:u w:val="none" w:color="auto"/>
        </w:rPr>
        <w:t>本项目所在区域居民生活用水由</w:t>
      </w:r>
      <w:r>
        <w:rPr>
          <w:rFonts w:cs="Times New Roman"/>
          <w:color w:val="auto"/>
        </w:rPr>
        <w:t>长沙经开区</w:t>
      </w:r>
      <w:r>
        <w:rPr>
          <w:rFonts w:hint="eastAsia" w:cs="Times New Roman"/>
          <w:color w:val="auto"/>
          <w:lang w:eastAsia="zh-CN"/>
        </w:rPr>
        <w:t>汨</w:t>
      </w:r>
      <w:r>
        <w:rPr>
          <w:rFonts w:cs="Times New Roman"/>
          <w:color w:val="auto"/>
        </w:rPr>
        <w:t>罗产业园给水厂</w:t>
      </w:r>
      <w:r>
        <w:rPr>
          <w:rFonts w:hint="eastAsia"/>
          <w:color w:val="auto"/>
          <w:u w:val="none" w:color="auto"/>
        </w:rPr>
        <w:t>提供，其水源为地表水，项目区域地下水环境敏感程度为不敏感</w:t>
      </w:r>
      <w:r>
        <w:rPr>
          <w:color w:val="auto"/>
          <w:u w:val="none" w:color="auto"/>
        </w:rPr>
        <w:t>。</w:t>
      </w:r>
    </w:p>
    <w:p w14:paraId="20442CAF">
      <w:pPr>
        <w:pStyle w:val="21"/>
        <w:bidi w:val="0"/>
        <w:rPr>
          <w:rFonts w:hint="default" w:ascii="Times New Roman" w:hAnsi="Times New Roman" w:cs="Times New Roman"/>
          <w:bCs/>
          <w:color w:val="auto"/>
          <w:highlight w:val="none"/>
          <w:u w:val="none" w:color="auto"/>
        </w:rPr>
      </w:pPr>
      <w:r>
        <w:rPr>
          <w:rFonts w:hint="default"/>
          <w:color w:val="auto"/>
          <w:u w:val="none" w:color="auto"/>
        </w:rPr>
        <w:t>地下水环境敏感程度分级见表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4</w:t>
      </w:r>
      <w:r>
        <w:rPr>
          <w:rFonts w:hint="default"/>
          <w:color w:val="auto"/>
          <w:u w:val="none" w:color="auto"/>
        </w:rPr>
        <w:t>。</w:t>
      </w:r>
    </w:p>
    <w:p w14:paraId="496228AB">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4</w:t>
      </w:r>
      <w:r>
        <w:rPr>
          <w:rFonts w:hint="default"/>
          <w:color w:val="auto"/>
          <w:u w:val="none" w:color="auto"/>
        </w:rPr>
        <w:t xml:space="preserve"> 地下水环境敏感程度分级表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7304"/>
      </w:tblGrid>
      <w:tr w14:paraId="11C23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5D3C03CC">
            <w:pPr>
              <w:pStyle w:val="25"/>
              <w:bidi w:val="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敏感程度</w:t>
            </w:r>
          </w:p>
        </w:tc>
        <w:tc>
          <w:tcPr>
            <w:tcW w:w="7304" w:type="dxa"/>
            <w:noWrap w:val="0"/>
            <w:vAlign w:val="center"/>
          </w:tcPr>
          <w:p w14:paraId="2EF564ED">
            <w:pPr>
              <w:pStyle w:val="25"/>
              <w:bidi w:val="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地下水环境敏感特征</w:t>
            </w:r>
          </w:p>
        </w:tc>
      </w:tr>
      <w:tr w14:paraId="5A794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561AE5AD">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敏感</w:t>
            </w:r>
          </w:p>
        </w:tc>
        <w:tc>
          <w:tcPr>
            <w:tcW w:w="7304" w:type="dxa"/>
            <w:noWrap w:val="0"/>
            <w:vAlign w:val="center"/>
          </w:tcPr>
          <w:p w14:paraId="61236BD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2C50B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6687DD9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较敏感</w:t>
            </w:r>
          </w:p>
        </w:tc>
        <w:tc>
          <w:tcPr>
            <w:tcW w:w="7304" w:type="dxa"/>
            <w:noWrap w:val="0"/>
            <w:vAlign w:val="center"/>
          </w:tcPr>
          <w:p w14:paraId="21AEBED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集中式饮用水水源（包括已建成的在用、备用、应急水源，在建和规划的饮用水水源）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14:paraId="4B26E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3E2460B7">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不敏感</w:t>
            </w:r>
          </w:p>
        </w:tc>
        <w:tc>
          <w:tcPr>
            <w:tcW w:w="7304" w:type="dxa"/>
            <w:noWrap w:val="0"/>
            <w:vAlign w:val="center"/>
          </w:tcPr>
          <w:p w14:paraId="6B5BEC8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上述地区之外的其它地区。</w:t>
            </w:r>
          </w:p>
        </w:tc>
      </w:tr>
      <w:tr w14:paraId="453B8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4" w:type="dxa"/>
            <w:gridSpan w:val="2"/>
            <w:noWrap w:val="0"/>
            <w:vAlign w:val="center"/>
          </w:tcPr>
          <w:p w14:paraId="6B085EB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注：“环境敏感区”是指《建设项目环境影响评价分类管理名录》中界定的涉及地下水的环境敏感区</w:t>
            </w:r>
          </w:p>
        </w:tc>
      </w:tr>
    </w:tbl>
    <w:p w14:paraId="2D632C7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根据《环境影响评价技术导则 地下水环境》（HJ 610-2016），项目地下水环境评价工作等级为</w:t>
      </w:r>
      <w:r>
        <w:rPr>
          <w:rFonts w:hint="eastAsia" w:ascii="Times New Roman" w:hAnsi="Times New Roman" w:cs="Times New Roman"/>
          <w:color w:val="auto"/>
          <w:u w:val="none" w:color="auto"/>
          <w:lang w:val="en-US" w:eastAsia="zh-CN"/>
        </w:rPr>
        <w:t>三</w:t>
      </w:r>
      <w:r>
        <w:rPr>
          <w:rFonts w:hint="default" w:ascii="Times New Roman" w:hAnsi="Times New Roman" w:cs="Times New Roman"/>
          <w:color w:val="auto"/>
          <w:u w:val="none" w:color="auto"/>
        </w:rPr>
        <w:t>级评价，具体工作等级判断见表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r>
        <w:rPr>
          <w:rFonts w:hint="eastAsia" w:cs="Times New Roman"/>
          <w:color w:val="auto"/>
          <w:u w:val="none" w:color="auto"/>
          <w:lang w:val="en-US" w:eastAsia="zh-CN"/>
        </w:rPr>
        <w:t>5</w:t>
      </w:r>
      <w:r>
        <w:rPr>
          <w:rFonts w:hint="default" w:ascii="Times New Roman" w:hAnsi="Times New Roman" w:cs="Times New Roman"/>
          <w:color w:val="auto"/>
          <w:u w:val="none" w:color="auto"/>
        </w:rPr>
        <w:t>。</w:t>
      </w:r>
    </w:p>
    <w:p w14:paraId="125CD41C">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5</w:t>
      </w:r>
      <w:r>
        <w:rPr>
          <w:rFonts w:hint="default"/>
          <w:color w:val="auto"/>
          <w:u w:val="none" w:color="auto"/>
        </w:rPr>
        <w:t xml:space="preserve"> 项目地下水环境影响评价工作等级判据</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35"/>
        <w:gridCol w:w="1923"/>
        <w:gridCol w:w="1923"/>
        <w:gridCol w:w="1923"/>
      </w:tblGrid>
      <w:tr w14:paraId="307B5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tcBorders>
              <w:tl2br w:val="single" w:color="auto" w:sz="12" w:space="0"/>
            </w:tcBorders>
            <w:noWrap w:val="0"/>
            <w:vAlign w:val="center"/>
          </w:tcPr>
          <w:p w14:paraId="2C9A0ABD">
            <w:pPr>
              <w:pStyle w:val="25"/>
              <w:jc w:val="right"/>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项目类别</w:t>
            </w:r>
          </w:p>
          <w:p w14:paraId="7BE12E43">
            <w:pPr>
              <w:pStyle w:val="25"/>
              <w:jc w:val="both"/>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环境敏感程度</w:t>
            </w:r>
          </w:p>
        </w:tc>
        <w:tc>
          <w:tcPr>
            <w:tcW w:w="1923" w:type="dxa"/>
            <w:noWrap w:val="0"/>
            <w:vAlign w:val="center"/>
          </w:tcPr>
          <w:p w14:paraId="63F22BCF">
            <w:pPr>
              <w:pStyle w:val="25"/>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Ⅰ类项目</w:t>
            </w:r>
          </w:p>
        </w:tc>
        <w:tc>
          <w:tcPr>
            <w:tcW w:w="1923" w:type="dxa"/>
            <w:noWrap w:val="0"/>
            <w:vAlign w:val="center"/>
          </w:tcPr>
          <w:p w14:paraId="1305E195">
            <w:pPr>
              <w:pStyle w:val="25"/>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Ⅱ类项目</w:t>
            </w:r>
          </w:p>
        </w:tc>
        <w:tc>
          <w:tcPr>
            <w:tcW w:w="1923" w:type="dxa"/>
            <w:noWrap w:val="0"/>
            <w:vAlign w:val="center"/>
          </w:tcPr>
          <w:p w14:paraId="5F5E5DB6">
            <w:pPr>
              <w:pStyle w:val="25"/>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Ⅲ类项目</w:t>
            </w:r>
          </w:p>
        </w:tc>
      </w:tr>
      <w:tr w14:paraId="0D28A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1C79C43A">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敏感</w:t>
            </w:r>
          </w:p>
        </w:tc>
        <w:tc>
          <w:tcPr>
            <w:tcW w:w="1923" w:type="dxa"/>
            <w:noWrap w:val="0"/>
            <w:vAlign w:val="center"/>
          </w:tcPr>
          <w:p w14:paraId="20C7480E">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641D096D">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17E06621">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w:t>
            </w:r>
          </w:p>
        </w:tc>
      </w:tr>
      <w:tr w14:paraId="403A9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31151DE1">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较敏感</w:t>
            </w:r>
          </w:p>
        </w:tc>
        <w:tc>
          <w:tcPr>
            <w:tcW w:w="1923" w:type="dxa"/>
            <w:noWrap w:val="0"/>
            <w:vAlign w:val="center"/>
          </w:tcPr>
          <w:p w14:paraId="4C203024">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62653E03">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highlight w:val="none"/>
                <w:u w:val="none" w:color="auto"/>
                <w:lang w:val="en-US" w:eastAsia="zh-CN"/>
              </w:rPr>
              <w:t>二</w:t>
            </w:r>
          </w:p>
        </w:tc>
        <w:tc>
          <w:tcPr>
            <w:tcW w:w="1923" w:type="dxa"/>
            <w:noWrap w:val="0"/>
            <w:vAlign w:val="center"/>
          </w:tcPr>
          <w:p w14:paraId="005C5E71">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w:t>
            </w:r>
          </w:p>
        </w:tc>
      </w:tr>
      <w:tr w14:paraId="7E60C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42A39F0F">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不敏感</w:t>
            </w:r>
          </w:p>
        </w:tc>
        <w:tc>
          <w:tcPr>
            <w:tcW w:w="1923" w:type="dxa"/>
            <w:noWrap w:val="0"/>
            <w:vAlign w:val="center"/>
          </w:tcPr>
          <w:p w14:paraId="64AA757A">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二</w:t>
            </w:r>
          </w:p>
        </w:tc>
        <w:tc>
          <w:tcPr>
            <w:tcW w:w="1923" w:type="dxa"/>
            <w:noWrap w:val="0"/>
            <w:vAlign w:val="center"/>
          </w:tcPr>
          <w:p w14:paraId="07D71B18">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三</w:t>
            </w:r>
          </w:p>
        </w:tc>
        <w:tc>
          <w:tcPr>
            <w:tcW w:w="1923" w:type="dxa"/>
            <w:noWrap w:val="0"/>
            <w:vAlign w:val="center"/>
          </w:tcPr>
          <w:p w14:paraId="64B89F01">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eastAsia="宋体" w:cs="Times New Roman"/>
                <w:color w:val="auto"/>
                <w:highlight w:val="lightGray"/>
                <w:u w:val="none" w:color="auto"/>
                <w:lang w:val="en-US" w:eastAsia="zh-CN"/>
              </w:rPr>
              <w:t>三</w:t>
            </w:r>
          </w:p>
        </w:tc>
      </w:tr>
      <w:bookmarkEnd w:id="461"/>
      <w:bookmarkEnd w:id="462"/>
      <w:bookmarkEnd w:id="463"/>
      <w:bookmarkEnd w:id="464"/>
      <w:bookmarkEnd w:id="465"/>
      <w:bookmarkEnd w:id="466"/>
      <w:bookmarkEnd w:id="467"/>
      <w:bookmarkEnd w:id="468"/>
      <w:bookmarkEnd w:id="469"/>
    </w:tbl>
    <w:p w14:paraId="4A98174E">
      <w:pPr>
        <w:pStyle w:val="21"/>
        <w:ind w:firstLine="482"/>
        <w:rPr>
          <w:rFonts w:hint="default" w:ascii="Times New Roman" w:hAnsi="Times New Roman" w:eastAsia="宋体" w:cs="Times New Roman"/>
          <w:b/>
          <w:bCs/>
          <w:color w:val="auto"/>
          <w:u w:val="none" w:color="auto"/>
          <w:lang w:eastAsia="zh-CN"/>
        </w:rPr>
      </w:pPr>
      <w:bookmarkStart w:id="470" w:name="_Toc8613"/>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、地下水环境影响评价</w:t>
      </w:r>
      <w:r>
        <w:rPr>
          <w:rFonts w:hint="default" w:ascii="Times New Roman" w:hAnsi="Times New Roman" w:cs="Times New Roman"/>
          <w:b/>
          <w:bCs/>
          <w:color w:val="auto"/>
          <w:u w:val="none" w:color="auto"/>
          <w:lang w:eastAsia="zh-CN"/>
        </w:rPr>
        <w:t>范围</w:t>
      </w:r>
    </w:p>
    <w:p w14:paraId="6CC8AF87">
      <w:pPr>
        <w:pStyle w:val="2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环境影响评价技术导则地下水环境》（HJ610-2016），地下水环境现状调查评价范围应包括与建设项目相关的地下水环境保护目标，以能说明地下水环境的现状，反映调查评价区地下水基本流场特征，满足地下水环境影响预测和评价为基本原则。建设项目地下水环境调查评价范围的确定可采用公式计算法、查表法及自定义法。</w:t>
      </w:r>
    </w:p>
    <w:p w14:paraId="35783D89">
      <w:pPr>
        <w:pStyle w:val="21"/>
        <w:bidi w:val="0"/>
        <w:rPr>
          <w:rFonts w:hint="default" w:ascii="Times New Roman" w:hAnsi="Times New Roman" w:eastAsia="宋体" w:cs="Times New Roman"/>
          <w:color w:val="auto"/>
          <w:highlight w:val="green"/>
          <w:u w:val="none" w:color="auto"/>
          <w:lang w:val="en-US" w:eastAsia="zh-CN"/>
        </w:rPr>
      </w:pPr>
      <w:r>
        <w:rPr>
          <w:rFonts w:hint="default" w:ascii="Times New Roman" w:hAnsi="Times New Roman" w:eastAsia="宋体" w:cs="Times New Roman"/>
          <w:color w:val="auto"/>
          <w:u w:val="none" w:color="auto"/>
        </w:rPr>
        <w:t>项目建设地点位于</w:t>
      </w:r>
      <w:r>
        <w:rPr>
          <w:rFonts w:hint="default" w:ascii="Times New Roman" w:hAnsi="Times New Roman" w:eastAsia="宋体" w:cs="Times New Roman"/>
          <w:color w:val="auto"/>
          <w:u w:val="none" w:color="auto"/>
          <w:lang w:eastAsia="zh-CN"/>
        </w:rPr>
        <w:t>湖南汨罗高新技术产业开发区</w:t>
      </w:r>
      <w:r>
        <w:rPr>
          <w:rFonts w:hint="eastAsia" w:ascii="Times New Roman" w:hAnsi="Times New Roman" w:eastAsia="宋体" w:cs="Times New Roman"/>
          <w:color w:val="auto"/>
          <w:u w:val="none" w:color="auto"/>
          <w:lang w:val="en-US" w:eastAsia="zh-CN"/>
        </w:rPr>
        <w:t>弼时</w:t>
      </w:r>
      <w:r>
        <w:rPr>
          <w:rFonts w:hint="default" w:ascii="Times New Roman" w:hAnsi="Times New Roman" w:eastAsia="宋体" w:cs="Times New Roman"/>
          <w:color w:val="auto"/>
          <w:u w:val="none" w:color="auto"/>
          <w:lang w:eastAsia="zh-CN"/>
        </w:rPr>
        <w:t>片区</w:t>
      </w:r>
      <w:r>
        <w:rPr>
          <w:rFonts w:hint="default" w:ascii="Times New Roman" w:hAnsi="Times New Roman" w:eastAsia="宋体" w:cs="Times New Roman"/>
          <w:color w:val="auto"/>
          <w:u w:val="none" w:color="auto"/>
        </w:rPr>
        <w:t>范围内，属于工业园区，</w:t>
      </w:r>
      <w:r>
        <w:rPr>
          <w:rFonts w:hint="default" w:ascii="Times New Roman" w:hAnsi="Times New Roman" w:eastAsia="宋体" w:cs="Times New Roman"/>
          <w:color w:val="auto"/>
          <w:u w:val="none" w:color="auto"/>
          <w:lang w:eastAsia="zh-CN"/>
        </w:rPr>
        <w:t>根据区域水文地质情况，项目区域地下水从</w:t>
      </w:r>
      <w:r>
        <w:rPr>
          <w:rFonts w:hint="default" w:ascii="Times New Roman" w:hAnsi="Times New Roman" w:eastAsia="宋体" w:cs="Times New Roman"/>
          <w:color w:val="auto"/>
          <w:u w:val="none" w:color="auto"/>
        </w:rPr>
        <w:t>东</w:t>
      </w:r>
      <w:r>
        <w:rPr>
          <w:rFonts w:hint="default" w:ascii="Times New Roman" w:hAnsi="Times New Roman" w:eastAsia="宋体" w:cs="Times New Roman"/>
          <w:color w:val="auto"/>
          <w:u w:val="none" w:color="auto"/>
          <w:lang w:eastAsia="zh-CN"/>
        </w:rPr>
        <w:t>往</w:t>
      </w:r>
      <w:r>
        <w:rPr>
          <w:rFonts w:hint="default" w:ascii="Times New Roman" w:hAnsi="Times New Roman" w:eastAsia="宋体" w:cs="Times New Roman"/>
          <w:color w:val="auto"/>
          <w:u w:val="none" w:color="auto"/>
        </w:rPr>
        <w:t>西</w:t>
      </w:r>
      <w:r>
        <w:rPr>
          <w:rFonts w:hint="eastAsia" w:ascii="Times New Roman" w:hAnsi="Times New Roman" w:eastAsia="宋体" w:cs="Times New Roman"/>
          <w:color w:val="auto"/>
          <w:u w:val="none" w:color="auto"/>
          <w:lang w:val="en-US" w:eastAsia="zh-CN"/>
        </w:rPr>
        <w:t>从南至北</w:t>
      </w:r>
      <w:r>
        <w:rPr>
          <w:rFonts w:hint="default" w:ascii="Times New Roman" w:hAnsi="Times New Roman" w:eastAsia="宋体" w:cs="Times New Roman"/>
          <w:color w:val="auto"/>
          <w:u w:val="none" w:color="auto"/>
          <w:lang w:eastAsia="zh-CN"/>
        </w:rPr>
        <w:t>流入</w:t>
      </w:r>
      <w:r>
        <w:rPr>
          <w:rFonts w:hint="eastAsia" w:ascii="Times New Roman" w:hAnsi="Times New Roman" w:eastAsia="宋体" w:cs="Times New Roman"/>
          <w:color w:val="auto"/>
          <w:u w:val="none" w:color="auto"/>
          <w:lang w:val="en-US" w:eastAsia="zh-CN"/>
        </w:rPr>
        <w:t>白沙河</w:t>
      </w:r>
      <w:r>
        <w:rPr>
          <w:rFonts w:hint="default" w:ascii="Times New Roman" w:hAnsi="Times New Roman" w:eastAsia="宋体" w:cs="Times New Roman"/>
          <w:color w:val="auto"/>
          <w:u w:val="none" w:color="auto"/>
        </w:rPr>
        <w:t>。本次</w:t>
      </w:r>
      <w:r>
        <w:rPr>
          <w:rFonts w:hint="default" w:ascii="Times New Roman" w:hAnsi="Times New Roman" w:eastAsia="宋体" w:cs="Times New Roman"/>
          <w:color w:val="auto"/>
          <w:u w:val="none" w:color="auto"/>
          <w:lang w:eastAsia="zh-CN"/>
        </w:rPr>
        <w:t>地下水</w:t>
      </w:r>
      <w:r>
        <w:rPr>
          <w:rFonts w:hint="default" w:ascii="Times New Roman" w:hAnsi="Times New Roman" w:eastAsia="宋体" w:cs="Times New Roman"/>
          <w:color w:val="auto"/>
          <w:u w:val="none" w:color="auto"/>
        </w:rPr>
        <w:t>评价</w:t>
      </w:r>
      <w:r>
        <w:rPr>
          <w:rFonts w:hint="default" w:ascii="Times New Roman" w:hAnsi="Times New Roman" w:eastAsia="宋体" w:cs="Times New Roman"/>
          <w:color w:val="auto"/>
          <w:u w:val="none" w:color="auto"/>
          <w:lang w:eastAsia="zh-CN"/>
        </w:rPr>
        <w:t>范围</w:t>
      </w:r>
      <w:r>
        <w:rPr>
          <w:rFonts w:hint="default" w:ascii="Times New Roman" w:hAnsi="Times New Roman" w:eastAsia="宋体" w:cs="Times New Roman"/>
          <w:color w:val="auto"/>
          <w:u w:val="none" w:color="auto"/>
        </w:rPr>
        <w:t>采用</w:t>
      </w:r>
      <w:r>
        <w:rPr>
          <w:rFonts w:hint="eastAsia" w:ascii="Times New Roman" w:hAnsi="Times New Roman" w:eastAsia="宋体" w:cs="Times New Roman"/>
          <w:color w:val="auto"/>
          <w:u w:val="none" w:color="auto"/>
          <w:lang w:val="en-US" w:eastAsia="zh-CN"/>
        </w:rPr>
        <w:t>自定义</w:t>
      </w:r>
      <w:r>
        <w:rPr>
          <w:rFonts w:hint="default" w:ascii="Times New Roman" w:hAnsi="Times New Roman" w:eastAsia="宋体" w:cs="Times New Roman"/>
          <w:color w:val="auto"/>
          <w:u w:val="none" w:color="auto"/>
        </w:rPr>
        <w:t>法确定</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highlight w:val="none"/>
          <w:u w:val="none" w:color="auto"/>
          <w:lang w:eastAsia="zh-CN"/>
        </w:rPr>
        <w:t>结合项目区域水文地质情况，确定</w:t>
      </w:r>
      <w:r>
        <w:rPr>
          <w:rFonts w:hint="default" w:ascii="Times New Roman" w:hAnsi="Times New Roman" w:eastAsia="宋体" w:cs="Times New Roman"/>
          <w:color w:val="auto"/>
          <w:u w:val="none" w:color="auto"/>
        </w:rPr>
        <w:t>本项目地下水环境影响评价范围为：</w:t>
      </w:r>
      <w:r>
        <w:rPr>
          <w:rFonts w:hint="default" w:ascii="Times New Roman" w:hAnsi="Times New Roman" w:eastAsia="宋体" w:cs="Times New Roman"/>
          <w:color w:val="auto"/>
          <w:u w:val="none" w:color="auto"/>
          <w:lang w:eastAsia="zh-CN"/>
        </w:rPr>
        <w:t>向东侧</w:t>
      </w:r>
      <w:r>
        <w:rPr>
          <w:rFonts w:hint="eastAsia" w:ascii="Times New Roman" w:hAnsi="Times New Roman" w:eastAsia="宋体" w:cs="Times New Roman"/>
          <w:color w:val="auto"/>
          <w:u w:val="none" w:color="auto"/>
          <w:lang w:val="en-US" w:eastAsia="zh-CN"/>
        </w:rPr>
        <w:t>至厂界外960m，北侧至厂界外2000m，西侧至厂界外1000m，南侧至厂界外900m</w:t>
      </w:r>
      <w:r>
        <w:rPr>
          <w:rFonts w:hint="default" w:ascii="Times New Roman" w:hAnsi="Times New Roman" w:eastAsia="宋体" w:cs="Times New Roman"/>
          <w:color w:val="auto"/>
          <w:highlight w:val="none"/>
          <w:u w:val="none" w:color="auto"/>
          <w:lang w:eastAsia="zh-CN"/>
        </w:rPr>
        <w:t>的水文地质区域，面积约</w:t>
      </w:r>
      <w:r>
        <w:rPr>
          <w:rFonts w:hint="eastAsia" w:ascii="Times New Roman" w:hAnsi="Times New Roman" w:eastAsia="宋体" w:cs="Times New Roman"/>
          <w:color w:val="auto"/>
          <w:highlight w:val="none"/>
          <w:u w:val="none" w:color="auto"/>
          <w:lang w:val="en-US" w:eastAsia="zh-CN"/>
        </w:rPr>
        <w:t>6</w:t>
      </w:r>
      <w:r>
        <w:rPr>
          <w:rFonts w:hint="default" w:ascii="Times New Roman" w:hAnsi="Times New Roman" w:eastAsia="宋体" w:cs="Times New Roman"/>
          <w:color w:val="auto"/>
          <w:highlight w:val="none"/>
          <w:u w:val="none" w:color="auto"/>
          <w:lang w:eastAsia="zh-CN"/>
        </w:rPr>
        <w:t>km</w:t>
      </w:r>
      <w:r>
        <w:rPr>
          <w:rFonts w:hint="default" w:ascii="Times New Roman" w:hAnsi="Times New Roman" w:eastAsia="宋体" w:cs="Times New Roman"/>
          <w:color w:val="auto"/>
          <w:highlight w:val="none"/>
          <w:u w:val="none" w:color="auto"/>
          <w:vertAlign w:val="superscript"/>
          <w:lang w:eastAsia="zh-CN"/>
        </w:rPr>
        <w:t>2</w:t>
      </w:r>
      <w:r>
        <w:rPr>
          <w:color w:val="auto"/>
          <w:highlight w:val="none"/>
          <w:u w:val="none" w:color="auto"/>
        </w:rPr>
        <w:t>。</w:t>
      </w:r>
    </w:p>
    <w:p w14:paraId="24E5A184">
      <w:pPr>
        <w:pStyle w:val="8"/>
        <w:rPr>
          <w:rFonts w:hint="default" w:ascii="Times New Roman" w:hAnsi="Times New Roman" w:eastAsia="宋体" w:cs="Times New Roman"/>
          <w:color w:val="auto"/>
          <w:u w:val="none" w:color="auto"/>
          <w:lang w:eastAsia="zh-CN"/>
        </w:rPr>
      </w:pPr>
      <w:bookmarkStart w:id="471" w:name="_Toc304"/>
      <w:bookmarkStart w:id="472" w:name="_Toc9242"/>
      <w:bookmarkStart w:id="473" w:name="_Toc24805"/>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eastAsia="zh-CN"/>
        </w:rPr>
        <w:t>声</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70"/>
      <w:bookmarkEnd w:id="471"/>
      <w:bookmarkEnd w:id="472"/>
      <w:bookmarkEnd w:id="473"/>
    </w:p>
    <w:p w14:paraId="1B66BA33">
      <w:pPr>
        <w:pStyle w:val="21"/>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、声环境评价等级</w:t>
      </w:r>
    </w:p>
    <w:p w14:paraId="42846260">
      <w:pPr>
        <w:pStyle w:val="21"/>
        <w:ind w:firstLine="480"/>
        <w:rPr>
          <w:rFonts w:hint="default" w:ascii="Times New Roman" w:hAnsi="Times New Roman" w:cs="Times New Roman"/>
          <w:color w:val="auto"/>
          <w:u w:val="none" w:color="auto"/>
        </w:rPr>
      </w:pPr>
      <w:r>
        <w:rPr>
          <w:rFonts w:hint="eastAsia"/>
          <w:color w:val="auto"/>
          <w:u w:val="none" w:color="auto"/>
        </w:rPr>
        <w:t>本项目位于工业聚集区，声环境功能</w:t>
      </w:r>
      <w:r>
        <w:rPr>
          <w:rFonts w:hint="eastAsia"/>
          <w:color w:val="auto"/>
          <w:u w:val="none" w:color="auto"/>
          <w:lang w:val="en-US" w:eastAsia="zh-CN"/>
        </w:rPr>
        <w:t>以</w:t>
      </w:r>
      <w:r>
        <w:rPr>
          <w:rFonts w:hint="eastAsia"/>
          <w:color w:val="auto"/>
          <w:u w:val="none" w:color="auto"/>
        </w:rPr>
        <w:t>3类区</w:t>
      </w:r>
      <w:r>
        <w:rPr>
          <w:rFonts w:hint="eastAsia"/>
          <w:color w:val="auto"/>
          <w:u w:val="none" w:color="auto"/>
          <w:lang w:val="en-US" w:eastAsia="zh-CN"/>
        </w:rPr>
        <w:t>为主</w:t>
      </w:r>
      <w:r>
        <w:rPr>
          <w:rFonts w:hint="eastAsia"/>
          <w:color w:val="auto"/>
          <w:u w:val="none" w:color="auto"/>
        </w:rPr>
        <w:t>，项目各类噪声设备在经过减振、隔声、消音等降噪措施后，建设前后环境保护目标处噪声级最大增量不超过3dB（A），且受本项目噪声影响人口变化不大。根据《环境影响评价技术导则 声环境》（HJ/T2.4-2021）中声环境影响评价工作等级划分的判据，本项目声环境影响评价等级定为三级。</w:t>
      </w:r>
    </w:p>
    <w:p w14:paraId="7867A935">
      <w:pPr>
        <w:pStyle w:val="21"/>
        <w:bidi w:val="0"/>
        <w:rPr>
          <w:rFonts w:hint="default" w:ascii="Times New Roman" w:hAnsi="Times New Roman" w:eastAsia="宋体" w:cs="Times New Roman"/>
          <w:color w:val="auto"/>
          <w:u w:val="none" w:color="auto"/>
          <w:lang w:eastAsia="zh-CN"/>
        </w:rPr>
      </w:pPr>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、声环境评价</w:t>
      </w:r>
      <w:r>
        <w:rPr>
          <w:rFonts w:hint="default" w:ascii="Times New Roman" w:hAnsi="Times New Roman" w:cs="Times New Roman"/>
          <w:b/>
          <w:bCs/>
          <w:color w:val="auto"/>
          <w:u w:val="none" w:color="auto"/>
          <w:lang w:eastAsia="zh-CN"/>
        </w:rPr>
        <w:t>范围</w:t>
      </w:r>
    </w:p>
    <w:p w14:paraId="74DB647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kern w:val="24"/>
          <w:sz w:val="24"/>
          <w:u w:val="none" w:color="auto"/>
        </w:rPr>
        <w:t>根据《环境影响评价技术导则 声环境》（</w:t>
      </w:r>
      <w:r>
        <w:rPr>
          <w:rFonts w:hint="eastAsia" w:ascii="Times New Roman" w:hAnsi="Times New Roman" w:cs="Times New Roman"/>
          <w:color w:val="auto"/>
          <w:kern w:val="24"/>
          <w:sz w:val="24"/>
          <w:u w:val="none" w:color="auto"/>
          <w:lang w:eastAsia="zh-CN"/>
        </w:rPr>
        <w:t>HJ2.4-2021</w:t>
      </w:r>
      <w:r>
        <w:rPr>
          <w:rFonts w:hint="default" w:ascii="Times New Roman" w:hAnsi="Times New Roman" w:cs="Times New Roman"/>
          <w:color w:val="auto"/>
          <w:kern w:val="24"/>
          <w:sz w:val="24"/>
          <w:u w:val="none" w:color="auto"/>
        </w:rPr>
        <w:t>）中的有关规定，确定本项目声环境评价范围为以项目边界向外200m范围。</w:t>
      </w:r>
    </w:p>
    <w:p w14:paraId="3BE738C7">
      <w:pPr>
        <w:pStyle w:val="8"/>
        <w:rPr>
          <w:rFonts w:hint="default" w:ascii="Times New Roman" w:hAnsi="Times New Roman" w:eastAsia="宋体" w:cs="Times New Roman"/>
          <w:color w:val="auto"/>
          <w:u w:val="none" w:color="auto"/>
          <w:lang w:eastAsia="zh-CN"/>
        </w:rPr>
      </w:pPr>
      <w:bookmarkStart w:id="474" w:name="_Toc11359"/>
      <w:bookmarkStart w:id="475" w:name="_Toc12600"/>
      <w:bookmarkStart w:id="476" w:name="_Toc567"/>
      <w:bookmarkStart w:id="477" w:name="_Toc3006"/>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eastAsia="zh-CN"/>
        </w:rPr>
        <w:t>土壤</w:t>
      </w:r>
      <w:r>
        <w:rPr>
          <w:rFonts w:hint="default" w:ascii="Times New Roman" w:hAnsi="Times New Roman" w:cs="Times New Roman"/>
          <w:color w:val="auto"/>
          <w:u w:val="none" w:color="auto"/>
        </w:rPr>
        <w:t>环境影响评价工作等级</w:t>
      </w:r>
      <w:bookmarkEnd w:id="474"/>
      <w:bookmarkEnd w:id="475"/>
      <w:bookmarkEnd w:id="476"/>
      <w:bookmarkEnd w:id="477"/>
    </w:p>
    <w:p w14:paraId="52B76842">
      <w:pPr>
        <w:pStyle w:val="21"/>
        <w:ind w:firstLine="480"/>
        <w:rPr>
          <w:rFonts w:hint="default" w:ascii="Times New Roman" w:hAnsi="Times New Roman" w:eastAsia="宋体" w:cs="Times New Roman"/>
          <w:color w:val="auto"/>
          <w:kern w:val="2"/>
          <w:sz w:val="24"/>
          <w:szCs w:val="24"/>
          <w:u w:val="none" w:color="auto"/>
          <w:lang w:val="en-US" w:eastAsia="zh-CN" w:bidi="ar-SA"/>
        </w:rPr>
      </w:pPr>
      <w:bookmarkStart w:id="478" w:name="_Toc24730"/>
      <w:r>
        <w:rPr>
          <w:rFonts w:hint="default" w:ascii="Times New Roman" w:hAnsi="Times New Roman" w:eastAsia="宋体" w:cs="Times New Roman"/>
          <w:color w:val="auto"/>
          <w:kern w:val="2"/>
          <w:sz w:val="24"/>
          <w:szCs w:val="24"/>
          <w:u w:val="none" w:color="auto"/>
          <w:lang w:val="en-US" w:eastAsia="zh-CN" w:bidi="ar-SA"/>
        </w:rPr>
        <w:t>（1）项目类型判定</w:t>
      </w:r>
    </w:p>
    <w:p w14:paraId="03D4AC0C">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根据《环境影响评价技术导则-土壤环境》(HJ964-2018)中附录A（规范性附录）土壤环境影响评价行业项目类别表，可知本项目属</w:t>
      </w:r>
      <w:r>
        <w:rPr>
          <w:rFonts w:hint="eastAsia" w:ascii="宋体" w:hAnsi="宋体" w:eastAsia="宋体" w:cs="宋体"/>
          <w:color w:val="auto"/>
          <w:kern w:val="2"/>
          <w:sz w:val="24"/>
          <w:szCs w:val="24"/>
          <w:u w:val="none" w:color="auto"/>
          <w:lang w:val="en-US" w:eastAsia="zh-CN" w:bidi="ar-SA"/>
        </w:rPr>
        <w:t>于“</w:t>
      </w:r>
      <w:r>
        <w:rPr>
          <w:rFonts w:hint="eastAsia" w:ascii="宋体" w:hAnsi="宋体" w:cs="宋体"/>
          <w:color w:val="auto"/>
          <w:kern w:val="2"/>
          <w:sz w:val="24"/>
          <w:szCs w:val="24"/>
          <w:u w:val="none" w:color="auto"/>
          <w:lang w:val="en-US" w:eastAsia="zh-CN" w:bidi="ar-SA"/>
        </w:rPr>
        <w:t>非金属矿物制品业</w:t>
      </w:r>
      <w:r>
        <w:rPr>
          <w:rFonts w:hint="eastAsia" w:ascii="宋体" w:hAnsi="宋体" w:eastAsia="宋体" w:cs="宋体"/>
          <w:color w:val="auto"/>
          <w:kern w:val="2"/>
          <w:sz w:val="24"/>
          <w:szCs w:val="24"/>
          <w:u w:val="none" w:color="auto"/>
          <w:lang w:val="en-US" w:eastAsia="zh-CN" w:bidi="ar-SA"/>
        </w:rPr>
        <w:t>”中的“</w:t>
      </w:r>
      <w:r>
        <w:rPr>
          <w:rFonts w:hint="eastAsia" w:ascii="宋体" w:hAnsi="宋体" w:cs="宋体"/>
          <w:color w:val="auto"/>
          <w:kern w:val="2"/>
          <w:sz w:val="24"/>
          <w:szCs w:val="24"/>
          <w:u w:val="none" w:color="auto"/>
          <w:lang w:val="en-US" w:eastAsia="zh-CN" w:bidi="ar-SA"/>
        </w:rPr>
        <w:t>含焙烧的石墨、碳素制品</w:t>
      </w:r>
      <w:r>
        <w:rPr>
          <w:rFonts w:hint="eastAsia" w:ascii="宋体" w:hAnsi="宋体" w:eastAsia="宋体" w:cs="宋体"/>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，类别为Ⅱ类</w:t>
      </w:r>
      <w:r>
        <w:rPr>
          <w:rFonts w:hint="eastAsia" w:ascii="Times New Roman" w:hAnsi="Times New Roman" w:eastAsia="宋体" w:cs="Times New Roman"/>
          <w:color w:val="auto"/>
          <w:kern w:val="2"/>
          <w:sz w:val="24"/>
          <w:szCs w:val="24"/>
          <w:u w:val="none" w:color="auto"/>
          <w:lang w:val="en-US" w:eastAsia="zh-CN" w:bidi="ar-SA"/>
        </w:rPr>
        <w:t>。</w:t>
      </w:r>
    </w:p>
    <w:p w14:paraId="678790CE">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（2）项目占地规模判定</w:t>
      </w:r>
    </w:p>
    <w:p w14:paraId="5C55AE28">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本项目占地面积约为</w:t>
      </w:r>
      <w:r>
        <w:rPr>
          <w:rFonts w:hint="eastAsia" w:ascii="Times New Roman" w:hAnsi="Times New Roman" w:eastAsia="宋体" w:cs="Times New Roman"/>
          <w:color w:val="auto"/>
          <w:kern w:val="2"/>
          <w:sz w:val="24"/>
          <w:szCs w:val="24"/>
          <w:u w:val="none" w:color="auto"/>
          <w:lang w:val="en-US" w:eastAsia="zh-CN" w:bidi="ar-SA"/>
        </w:rPr>
        <w:t>40</w:t>
      </w:r>
      <w:r>
        <w:rPr>
          <w:rFonts w:hint="eastAsia"/>
          <w:b w:val="0"/>
          <w:bCs w:val="0"/>
          <w:color w:val="auto"/>
          <w:u w:val="none" w:color="auto"/>
          <w:lang w:val="en-US" w:eastAsia="zh-CN"/>
        </w:rPr>
        <w:t>00</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≤5hm</w:t>
      </w:r>
      <w:r>
        <w:rPr>
          <w:rFonts w:hint="default" w:ascii="Times New Roman" w:hAnsi="Times New Roman" w:eastAsia="宋体" w:cs="Times New Roman"/>
          <w:color w:val="auto"/>
          <w:kern w:val="2"/>
          <w:sz w:val="24"/>
          <w:szCs w:val="24"/>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，占地规模属于小型。</w:t>
      </w:r>
    </w:p>
    <w:p w14:paraId="1ECCA2FA">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（3）项目用地敏感程度分析</w:t>
      </w:r>
    </w:p>
    <w:p w14:paraId="2D9EE07A">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根据现场调查，</w:t>
      </w:r>
      <w:r>
        <w:rPr>
          <w:rFonts w:hint="default" w:ascii="Times New Roman" w:hAnsi="Times New Roman" w:cs="Times New Roman"/>
          <w:color w:val="auto"/>
          <w:kern w:val="2"/>
          <w:sz w:val="24"/>
          <w:szCs w:val="24"/>
          <w:u w:val="none" w:color="auto"/>
          <w:lang w:val="en-US" w:eastAsia="zh-CN" w:bidi="ar-SA"/>
        </w:rPr>
        <w:t>项目</w:t>
      </w:r>
      <w:r>
        <w:rPr>
          <w:rFonts w:hint="eastAsia" w:ascii="Times New Roman" w:hAnsi="Times New Roman" w:cs="Times New Roman"/>
          <w:color w:val="auto"/>
          <w:kern w:val="2"/>
          <w:sz w:val="24"/>
          <w:szCs w:val="24"/>
          <w:u w:val="none" w:color="auto"/>
          <w:lang w:val="en-US" w:eastAsia="zh-CN" w:bidi="ar-SA"/>
        </w:rPr>
        <w:t>位于工业园区</w:t>
      </w:r>
      <w:r>
        <w:rPr>
          <w:rFonts w:hint="default" w:ascii="Times New Roman" w:hAnsi="Times New Roman" w:cs="Times New Roman"/>
          <w:color w:val="auto"/>
          <w:kern w:val="2"/>
          <w:sz w:val="24"/>
          <w:szCs w:val="24"/>
          <w:u w:val="none" w:color="auto"/>
          <w:lang w:val="en-US" w:eastAsia="zh-CN" w:bidi="ar-SA"/>
        </w:rPr>
        <w:t>，</w:t>
      </w:r>
      <w:r>
        <w:rPr>
          <w:rFonts w:hint="eastAsia" w:ascii="Times New Roman" w:hAnsi="Times New Roman" w:cs="Times New Roman"/>
          <w:color w:val="auto"/>
          <w:kern w:val="2"/>
          <w:sz w:val="24"/>
          <w:szCs w:val="24"/>
          <w:u w:val="none" w:color="auto"/>
          <w:lang w:val="en-US" w:eastAsia="zh-CN" w:bidi="ar-SA"/>
        </w:rPr>
        <w:t>距离东侧居民约155m，</w:t>
      </w:r>
      <w:r>
        <w:rPr>
          <w:rFonts w:hint="default" w:ascii="Times New Roman" w:hAnsi="Times New Roman" w:eastAsia="宋体" w:cs="Times New Roman"/>
          <w:color w:val="auto"/>
          <w:kern w:val="2"/>
          <w:sz w:val="24"/>
          <w:szCs w:val="24"/>
          <w:u w:val="none" w:color="auto"/>
          <w:lang w:val="en-US" w:eastAsia="zh-CN" w:bidi="ar-SA"/>
        </w:rPr>
        <w:t>根据《环境影响评价技术导则-土壤环境》中表3污染影响型敏感程度分级表，敏感程度为敏感。</w:t>
      </w:r>
    </w:p>
    <w:p w14:paraId="7E7207BB">
      <w:pPr>
        <w:pStyle w:val="21"/>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（4）土壤环境评价等级</w:t>
      </w:r>
    </w:p>
    <w:p w14:paraId="472D4475">
      <w:pPr>
        <w:pStyle w:val="21"/>
        <w:ind w:firstLine="480"/>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本项目属于Ⅱ类项目，占地面积为小型，占地类型为敏感类型，</w:t>
      </w:r>
      <w:r>
        <w:rPr>
          <w:rFonts w:hint="eastAsia"/>
          <w:color w:val="auto"/>
          <w:u w:val="none" w:color="auto"/>
        </w:rPr>
        <w:t>故本项目土壤环境影响评价工作等级为</w:t>
      </w:r>
      <w:r>
        <w:rPr>
          <w:rFonts w:hint="eastAsia"/>
          <w:color w:val="auto"/>
          <w:u w:val="none" w:color="auto"/>
          <w:lang w:val="en-US" w:eastAsia="zh-CN"/>
        </w:rPr>
        <w:t>二</w:t>
      </w:r>
      <w:r>
        <w:rPr>
          <w:rFonts w:hint="eastAsia"/>
          <w:color w:val="auto"/>
          <w:u w:val="none" w:color="auto"/>
        </w:rPr>
        <w:t>级。</w:t>
      </w:r>
    </w:p>
    <w:p w14:paraId="119C13C6">
      <w:pPr>
        <w:pStyle w:val="23"/>
        <w:bidi w:val="0"/>
        <w:rPr>
          <w:rFonts w:hint="default"/>
          <w:color w:val="auto"/>
          <w:u w:val="none" w:color="auto"/>
        </w:rPr>
      </w:pPr>
      <w:r>
        <w:rPr>
          <w:rFonts w:hint="default"/>
          <w:color w:val="auto"/>
          <w:u w:val="none" w:color="auto"/>
        </w:rPr>
        <w:t>表2.3-</w:t>
      </w:r>
      <w:r>
        <w:rPr>
          <w:rFonts w:hint="default"/>
          <w:color w:val="auto"/>
          <w:u w:val="none" w:color="auto"/>
          <w:lang w:val="en-US" w:eastAsia="zh-CN"/>
        </w:rPr>
        <w:t>6</w:t>
      </w:r>
      <w:r>
        <w:rPr>
          <w:rFonts w:hint="default"/>
          <w:color w:val="auto"/>
          <w:u w:val="none" w:color="auto"/>
        </w:rPr>
        <w:t xml:space="preserve">  项目</w:t>
      </w:r>
      <w:r>
        <w:rPr>
          <w:rFonts w:hint="default"/>
          <w:color w:val="auto"/>
          <w:u w:val="none" w:color="auto"/>
          <w:lang w:val="en-US" w:eastAsia="zh-CN"/>
        </w:rPr>
        <w:t>土壤</w:t>
      </w:r>
      <w:r>
        <w:rPr>
          <w:rFonts w:hint="default"/>
          <w:color w:val="auto"/>
          <w:u w:val="none" w:color="auto"/>
        </w:rPr>
        <w:t>环境影响评价工作等级判据</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35"/>
        <w:gridCol w:w="641"/>
        <w:gridCol w:w="641"/>
        <w:gridCol w:w="641"/>
        <w:gridCol w:w="641"/>
        <w:gridCol w:w="641"/>
        <w:gridCol w:w="641"/>
        <w:gridCol w:w="641"/>
        <w:gridCol w:w="641"/>
        <w:gridCol w:w="641"/>
      </w:tblGrid>
      <w:tr w14:paraId="3328A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2735" w:type="dxa"/>
            <w:vMerge w:val="restart"/>
            <w:noWrap w:val="0"/>
            <w:vAlign w:val="center"/>
            <mc:AlternateContent>
              <mc:Choice Requires="wpsCustomData">
                <wpsCustomData:diagonals>
                  <wpsCustomData:diagonal from="5000" to="30000">
                    <wpsCustomData:border w:val="single" w:color="auto" w:sz="12" w:space="0"/>
                  </wpsCustomData:diagonal>
                  <wpsCustomData:diagonal from="15000" to="30000">
                    <wpsCustomData:border w:val="single" w:color="auto" w:sz="12" w:space="0"/>
                  </wpsCustomData:diagonal>
                </wpsCustomData:diagonals>
              </mc:Choice>
            </mc:AlternateContent>
          </w:tcPr>
          <w:p w14:paraId="0A385BCA">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 xml:space="preserve">         项目类别</w:t>
            </w:r>
          </w:p>
          <w:p w14:paraId="31966160">
            <w:pPr>
              <w:pStyle w:val="25"/>
              <w:snapToGrid w:val="0"/>
              <w:jc w:val="both"/>
              <mc:AlternateContent>
                <mc:Choice Requires="wpsCustomData">
                  <wpsCustomData:diagonalParaType/>
                </mc:Choice>
              </mc:AlternateContent>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环境敏感程度</w:t>
            </w:r>
          </w:p>
          <w:p w14:paraId="2CB3219A">
            <w:pPr>
              <w:pStyle w:val="25"/>
              <w:snapToGrid w:val="0"/>
              <w:jc w:val="both"/>
              <mc:AlternateContent>
                <mc:Choice Requires="wpsCustomData">
                  <wpsCustomData:diagonalParaType/>
                </mc:Choice>
              </mc:AlternateContent>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评价工作等级</w:t>
            </w:r>
          </w:p>
          <w:p w14:paraId="111F51E1">
            <w:pPr>
              <w:pStyle w:val="25"/>
              <w:jc w:val="both"/>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占地规模</w:t>
            </w:r>
          </w:p>
        </w:tc>
        <w:tc>
          <w:tcPr>
            <w:tcW w:w="1923" w:type="dxa"/>
            <w:gridSpan w:val="3"/>
            <w:noWrap w:val="0"/>
            <w:vAlign w:val="center"/>
          </w:tcPr>
          <w:p w14:paraId="6D2762FE">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Ⅰ类项目</w:t>
            </w:r>
          </w:p>
        </w:tc>
        <w:tc>
          <w:tcPr>
            <w:tcW w:w="1923" w:type="dxa"/>
            <w:gridSpan w:val="3"/>
            <w:noWrap w:val="0"/>
            <w:vAlign w:val="center"/>
          </w:tcPr>
          <w:p w14:paraId="346FDD4B">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Ⅱ类项目</w:t>
            </w:r>
          </w:p>
        </w:tc>
        <w:tc>
          <w:tcPr>
            <w:tcW w:w="1923" w:type="dxa"/>
            <w:gridSpan w:val="3"/>
            <w:noWrap w:val="0"/>
            <w:vAlign w:val="center"/>
          </w:tcPr>
          <w:p w14:paraId="5D8A3B28">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Ⅲ类项目</w:t>
            </w:r>
          </w:p>
        </w:tc>
      </w:tr>
      <w:tr w14:paraId="309D7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vMerge w:val="continue"/>
            <w:tcBorders>
              <w:tl2br w:val="single" w:color="auto" w:sz="12" w:space="0"/>
            </w:tcBorders>
            <w:noWrap w:val="0"/>
            <w:vAlign w:val="center"/>
          </w:tcPr>
          <w:p w14:paraId="76D53E3A">
            <w:pPr>
              <w:pStyle w:val="25"/>
              <w:jc w:val="both"/>
              <w:rPr>
                <w:rFonts w:hint="default" w:ascii="Times New Roman" w:hAnsi="Times New Roman" w:cs="Times New Roman"/>
                <w:color w:val="auto"/>
                <w:kern w:val="2"/>
                <w:szCs w:val="24"/>
                <w:u w:val="none" w:color="auto"/>
                <w:lang w:val="en-US" w:eastAsia="zh-CN"/>
              </w:rPr>
            </w:pPr>
          </w:p>
        </w:tc>
        <w:tc>
          <w:tcPr>
            <w:tcW w:w="641" w:type="dxa"/>
            <w:noWrap w:val="0"/>
            <w:vAlign w:val="center"/>
          </w:tcPr>
          <w:p w14:paraId="0AF37FF7">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123EC6ED">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55BF6A35">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c>
          <w:tcPr>
            <w:tcW w:w="641" w:type="dxa"/>
            <w:noWrap w:val="0"/>
            <w:vAlign w:val="center"/>
          </w:tcPr>
          <w:p w14:paraId="6315992B">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578C5054">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18980EA2">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c>
          <w:tcPr>
            <w:tcW w:w="641" w:type="dxa"/>
            <w:noWrap w:val="0"/>
            <w:vAlign w:val="center"/>
          </w:tcPr>
          <w:p w14:paraId="4EE0D883">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17ADBF05">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392C2268">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r>
      <w:tr w14:paraId="44B90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2C48F998">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敏感</w:t>
            </w:r>
          </w:p>
        </w:tc>
        <w:tc>
          <w:tcPr>
            <w:tcW w:w="641" w:type="dxa"/>
            <w:noWrap w:val="0"/>
            <w:vAlign w:val="center"/>
          </w:tcPr>
          <w:p w14:paraId="7855858A">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7A6CC652">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3B8CB48E">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47403A36">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5B47E2D7">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5836CA07">
            <w:pPr>
              <w:jc w:val="center"/>
              <w:rPr>
                <w:rFonts w:hint="default" w:ascii="Times New Roman" w:hAnsi="Times New Roman" w:cs="Times New Roman"/>
                <w:color w:val="auto"/>
                <w:kern w:val="2"/>
                <w:szCs w:val="24"/>
                <w:u w:val="none" w:color="auto"/>
                <w:lang w:val="en-US" w:eastAsia="zh-CN"/>
              </w:rPr>
            </w:pPr>
            <w:r>
              <w:rPr>
                <w:rFonts w:hint="default" w:ascii="Times New Roman" w:hAnsi="Times New Roman" w:eastAsia="宋体" w:cs="Times New Roman"/>
                <w:color w:val="auto"/>
                <w:kern w:val="2"/>
                <w:szCs w:val="24"/>
                <w:highlight w:val="lightGray"/>
                <w:u w:val="none" w:color="auto"/>
                <w:lang w:val="en-US" w:eastAsia="zh-CN"/>
              </w:rPr>
              <w:t>二级</w:t>
            </w:r>
          </w:p>
        </w:tc>
        <w:tc>
          <w:tcPr>
            <w:tcW w:w="641" w:type="dxa"/>
            <w:noWrap w:val="0"/>
            <w:vAlign w:val="center"/>
          </w:tcPr>
          <w:p w14:paraId="06B9EE82">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1AE35F76">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2598EF27">
            <w:pPr>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三级</w:t>
            </w:r>
          </w:p>
        </w:tc>
      </w:tr>
      <w:tr w14:paraId="23D25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3A3C543F">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较敏感</w:t>
            </w:r>
          </w:p>
        </w:tc>
        <w:tc>
          <w:tcPr>
            <w:tcW w:w="641" w:type="dxa"/>
            <w:noWrap w:val="0"/>
            <w:vAlign w:val="center"/>
          </w:tcPr>
          <w:p w14:paraId="51B16881">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50DFA4BA">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3507CA1B">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0A8A9336">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379FF99F">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3A0C052D">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19C1AC3D">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63A76500">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5CCB2E97">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w:t>
            </w:r>
          </w:p>
        </w:tc>
      </w:tr>
      <w:tr w14:paraId="4AA0B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40A700E8">
            <w:pPr>
              <w:pStyle w:val="25"/>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不敏感</w:t>
            </w:r>
          </w:p>
        </w:tc>
        <w:tc>
          <w:tcPr>
            <w:tcW w:w="641" w:type="dxa"/>
            <w:noWrap w:val="0"/>
            <w:vAlign w:val="center"/>
          </w:tcPr>
          <w:p w14:paraId="325C4862">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6F4C564F">
            <w:pP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48D66525">
            <w:pP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2989A43B">
            <w:pPr>
              <w:rPr>
                <w:rFonts w:hint="default" w:ascii="Times New Roman" w:hAnsi="Times New Roman" w:cs="Times New Roman"/>
                <w:color w:val="auto"/>
                <w:kern w:val="2"/>
                <w:szCs w:val="24"/>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B9336D8">
            <w:pPr>
              <w:rPr>
                <w:rFonts w:hint="default" w:ascii="Times New Roman" w:hAnsi="Times New Roman" w:cs="Times New Roman"/>
                <w:color w:val="auto"/>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4E5B4CD5">
            <w:pPr>
              <w:jc w:val="center"/>
              <w:rPr>
                <w:rFonts w:hint="default" w:ascii="Times New Roman" w:hAnsi="Times New Roman" w:cs="Times New Roman"/>
                <w:color w:val="auto"/>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0B6386D0">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5F635566">
            <w:pPr>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w:t>
            </w:r>
          </w:p>
        </w:tc>
        <w:tc>
          <w:tcPr>
            <w:tcW w:w="641" w:type="dxa"/>
            <w:noWrap w:val="0"/>
            <w:vAlign w:val="center"/>
          </w:tcPr>
          <w:p w14:paraId="3A88747C">
            <w:pPr>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w:t>
            </w:r>
          </w:p>
        </w:tc>
      </w:tr>
      <w:tr w14:paraId="073EB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4" w:type="dxa"/>
            <w:gridSpan w:val="10"/>
            <w:noWrap w:val="0"/>
            <w:vAlign w:val="center"/>
          </w:tcPr>
          <w:p w14:paraId="15BA3D71">
            <w:pPr>
              <w:pStyle w:val="25"/>
              <w:jc w:val="left"/>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注：“-”表示可不开展土壤环境影响评价工作。</w:t>
            </w:r>
          </w:p>
        </w:tc>
      </w:tr>
    </w:tbl>
    <w:p w14:paraId="2BF97983">
      <w:pPr>
        <w:pStyle w:val="21"/>
        <w:bidi w:val="0"/>
        <w:rPr>
          <w:rFonts w:hint="default"/>
        </w:rPr>
      </w:pPr>
      <w:bookmarkStart w:id="479" w:name="_Toc19955"/>
      <w:bookmarkStart w:id="480" w:name="_Toc16585"/>
      <w:r>
        <w:rPr>
          <w:rFonts w:hint="eastAsia"/>
          <w:color w:val="auto"/>
          <w:u w:val="none" w:color="auto"/>
        </w:rPr>
        <w:t>土壤环境评价范围：拟建工程占地范围及厂界外</w:t>
      </w:r>
      <w:r>
        <w:rPr>
          <w:rFonts w:hint="eastAsia"/>
          <w:color w:val="auto"/>
          <w:u w:val="none" w:color="auto"/>
          <w:lang w:val="en-US" w:eastAsia="zh-CN"/>
        </w:rPr>
        <w:t>20</w:t>
      </w:r>
      <w:r>
        <w:rPr>
          <w:rFonts w:hint="eastAsia"/>
          <w:color w:val="auto"/>
          <w:u w:val="none" w:color="auto"/>
        </w:rPr>
        <w:t>0m范围内</w:t>
      </w:r>
      <w:r>
        <w:rPr>
          <w:rFonts w:hint="eastAsia"/>
          <w:color w:val="auto"/>
          <w:u w:val="none" w:color="auto"/>
          <w:lang w:eastAsia="zh-CN"/>
        </w:rPr>
        <w:t>。</w:t>
      </w:r>
    </w:p>
    <w:p w14:paraId="179BF43C">
      <w:pPr>
        <w:pStyle w:val="8"/>
        <w:bidi w:val="0"/>
        <w:rPr>
          <w:rFonts w:hint="default"/>
          <w:color w:val="auto"/>
          <w:u w:val="none" w:color="auto"/>
          <w:lang w:eastAsia="zh-CN"/>
        </w:rPr>
      </w:pPr>
      <w:bookmarkStart w:id="481" w:name="_Toc21649"/>
      <w:r>
        <w:rPr>
          <w:rFonts w:hint="default"/>
          <w:color w:val="auto"/>
          <w:u w:val="none" w:color="auto"/>
        </w:rPr>
        <w:t>2.3.</w:t>
      </w:r>
      <w:r>
        <w:rPr>
          <w:rFonts w:hint="default"/>
          <w:color w:val="auto"/>
          <w:u w:val="none" w:color="auto"/>
          <w:lang w:val="en-US" w:eastAsia="zh-CN"/>
        </w:rPr>
        <w:t>6</w:t>
      </w:r>
      <w:r>
        <w:rPr>
          <w:rFonts w:hint="default"/>
          <w:color w:val="auto"/>
          <w:u w:val="none" w:color="auto"/>
          <w:lang w:eastAsia="zh-CN"/>
        </w:rPr>
        <w:t>生态</w:t>
      </w:r>
      <w:r>
        <w:rPr>
          <w:rFonts w:hint="default"/>
          <w:color w:val="auto"/>
          <w:u w:val="none" w:color="auto"/>
        </w:rPr>
        <w:t>环境影响评价工作等级</w:t>
      </w:r>
      <w:bookmarkEnd w:id="478"/>
      <w:bookmarkEnd w:id="479"/>
      <w:bookmarkEnd w:id="480"/>
      <w:bookmarkEnd w:id="481"/>
    </w:p>
    <w:p w14:paraId="2E921A21">
      <w:pPr>
        <w:pStyle w:val="21"/>
        <w:bidi w:val="0"/>
        <w:rPr>
          <w:rFonts w:hint="eastAsia"/>
          <w:color w:val="auto"/>
          <w:u w:val="none" w:color="auto"/>
          <w:lang w:val="en-US" w:eastAsia="zh-CN"/>
        </w:rPr>
      </w:pPr>
      <w:r>
        <w:rPr>
          <w:rFonts w:hint="default" w:ascii="Times New Roman" w:hAnsi="Times New Roman" w:cs="Times New Roman"/>
          <w:color w:val="auto"/>
          <w:u w:val="none" w:color="auto"/>
        </w:rPr>
        <w:t>《环境影响评价技术导则 生态影响》（HJ 19-2022）6.1.8</w:t>
      </w:r>
      <w:r>
        <w:rPr>
          <w:rFonts w:hint="eastAsia" w:ascii="宋体" w:hAnsi="宋体" w:eastAsia="宋体" w:cs="宋体"/>
          <w:color w:val="auto"/>
          <w:u w:val="none" w:color="auto"/>
        </w:rPr>
        <w:t>“符</w:t>
      </w:r>
      <w:r>
        <w:rPr>
          <w:rFonts w:hint="default" w:ascii="Times New Roman" w:hAnsi="Times New Roman" w:cs="Times New Roman"/>
          <w:color w:val="auto"/>
          <w:u w:val="none" w:color="auto"/>
        </w:rPr>
        <w:t>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w:t>
      </w:r>
      <w:r>
        <w:rPr>
          <w:rFonts w:hint="eastAsia" w:ascii="宋体" w:hAnsi="宋体" w:eastAsia="宋体" w:cs="宋体"/>
          <w:color w:val="auto"/>
          <w:u w:val="none" w:color="auto"/>
        </w:rPr>
        <w:t>析”</w:t>
      </w:r>
      <w:r>
        <w:rPr>
          <w:rFonts w:hint="default" w:ascii="Times New Roman" w:hAnsi="Times New Roman" w:cs="Times New Roman"/>
          <w:color w:val="auto"/>
          <w:u w:val="none" w:color="auto"/>
        </w:rPr>
        <w:t>，本项目位于已批准规划环评的产业园区内且符合规划环评要求、不涉及生态敏感区的污染影响类建设项目，按规定可不确定评价等级，直接进行生态影响简单分析</w:t>
      </w:r>
      <w:r>
        <w:rPr>
          <w:rFonts w:hint="eastAsia"/>
          <w:color w:val="auto"/>
          <w:u w:val="none" w:color="auto"/>
          <w:lang w:val="en-US" w:eastAsia="zh-CN"/>
        </w:rPr>
        <w:t>。</w:t>
      </w:r>
    </w:p>
    <w:p w14:paraId="7EC0CB60">
      <w:pPr>
        <w:pStyle w:val="21"/>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本项目生态环境影响评价不设置评价范围。</w:t>
      </w:r>
    </w:p>
    <w:p w14:paraId="164FE9AB">
      <w:pPr>
        <w:pStyle w:val="8"/>
        <w:rPr>
          <w:rFonts w:hint="default" w:ascii="Times New Roman" w:hAnsi="Times New Roman" w:eastAsia="宋体" w:cs="Times New Roman"/>
          <w:color w:val="auto"/>
          <w:u w:val="none" w:color="auto"/>
          <w:lang w:eastAsia="zh-CN"/>
        </w:rPr>
      </w:pPr>
      <w:bookmarkStart w:id="482" w:name="_Toc27645"/>
      <w:bookmarkStart w:id="483" w:name="_Toc17232"/>
      <w:bookmarkStart w:id="484" w:name="_Toc911"/>
      <w:bookmarkStart w:id="485" w:name="_Toc14319"/>
      <w:bookmarkStart w:id="486" w:name="_Toc15277"/>
      <w:bookmarkStart w:id="487" w:name="_Toc2606"/>
      <w:bookmarkStart w:id="488" w:name="_Toc22375"/>
      <w:bookmarkStart w:id="489" w:name="_Toc16014"/>
      <w:bookmarkStart w:id="490" w:name="_Toc31436"/>
      <w:bookmarkStart w:id="491" w:name="_Toc10986"/>
      <w:bookmarkStart w:id="492" w:name="_Toc13736"/>
      <w:bookmarkStart w:id="493" w:name="_Toc12190"/>
      <w:bookmarkStart w:id="494" w:name="_Toc14100_WPSOffice_Level3"/>
      <w:bookmarkStart w:id="495" w:name="_Toc1169"/>
      <w:bookmarkStart w:id="496" w:name="_Toc31636_WPSOffice_Level3"/>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eastAsia="zh-CN"/>
        </w:rPr>
        <w:t>环境风险</w:t>
      </w:r>
      <w:r>
        <w:rPr>
          <w:rFonts w:hint="default" w:ascii="Times New Roman" w:hAnsi="Times New Roman" w:cs="Times New Roman"/>
          <w:color w:val="auto"/>
          <w:u w:val="none" w:color="auto"/>
        </w:rPr>
        <w:t>影响评价工作等级</w:t>
      </w:r>
      <w:bookmarkEnd w:id="482"/>
      <w:bookmarkEnd w:id="483"/>
      <w:bookmarkEnd w:id="484"/>
      <w:bookmarkEnd w:id="485"/>
    </w:p>
    <w:p w14:paraId="744289F1">
      <w:pPr>
        <w:pStyle w:val="23"/>
        <w:bidi w:val="0"/>
        <w:rPr>
          <w:rFonts w:hint="default"/>
          <w:color w:val="auto"/>
          <w:u w:val="none" w:color="auto"/>
        </w:rPr>
      </w:pPr>
      <w:r>
        <w:rPr>
          <w:rFonts w:hint="default"/>
          <w:color w:val="auto"/>
          <w:u w:val="none" w:color="auto"/>
        </w:rPr>
        <w:t>表</w:t>
      </w:r>
      <w:r>
        <w:rPr>
          <w:rFonts w:hint="default"/>
          <w:color w:val="auto"/>
          <w:u w:val="none" w:color="auto"/>
          <w:lang w:val="en-US" w:eastAsia="zh-CN"/>
        </w:rPr>
        <w:t>2.3-</w:t>
      </w:r>
      <w:r>
        <w:rPr>
          <w:rFonts w:hint="eastAsia"/>
          <w:color w:val="auto"/>
          <w:u w:val="none" w:color="auto"/>
          <w:lang w:val="en-US" w:eastAsia="zh-CN"/>
        </w:rPr>
        <w:t>7</w:t>
      </w:r>
      <w:r>
        <w:rPr>
          <w:rFonts w:hint="default"/>
          <w:color w:val="auto"/>
          <w:u w:val="none" w:color="auto"/>
          <w:lang w:val="en-US" w:eastAsia="zh-CN"/>
        </w:rPr>
        <w:t xml:space="preserve">  </w:t>
      </w:r>
      <w:r>
        <w:rPr>
          <w:rFonts w:hint="default"/>
          <w:color w:val="auto"/>
          <w:u w:val="none" w:color="auto"/>
        </w:rPr>
        <w:t>涉及的风险物质及Q值计算一览表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23"/>
        <w:gridCol w:w="1241"/>
        <w:gridCol w:w="1065"/>
        <w:gridCol w:w="1320"/>
        <w:gridCol w:w="1333"/>
        <w:gridCol w:w="1071"/>
        <w:gridCol w:w="1019"/>
        <w:gridCol w:w="932"/>
      </w:tblGrid>
      <w:tr w14:paraId="793D2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18FA4B3">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241" w:type="dxa"/>
            <w:noWrap w:val="0"/>
            <w:vAlign w:val="center"/>
          </w:tcPr>
          <w:p w14:paraId="0588319B">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名称</w:t>
            </w:r>
          </w:p>
        </w:tc>
        <w:tc>
          <w:tcPr>
            <w:tcW w:w="1065" w:type="dxa"/>
            <w:noWrap w:val="0"/>
            <w:vAlign w:val="center"/>
          </w:tcPr>
          <w:p w14:paraId="21C68540">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理化性质</w:t>
            </w:r>
          </w:p>
        </w:tc>
        <w:tc>
          <w:tcPr>
            <w:tcW w:w="1320" w:type="dxa"/>
            <w:noWrap w:val="0"/>
            <w:vAlign w:val="center"/>
          </w:tcPr>
          <w:p w14:paraId="3404EB34">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危害特性</w:t>
            </w:r>
          </w:p>
        </w:tc>
        <w:tc>
          <w:tcPr>
            <w:tcW w:w="1333" w:type="dxa"/>
            <w:noWrap w:val="0"/>
            <w:vAlign w:val="center"/>
          </w:tcPr>
          <w:p w14:paraId="30462257">
            <w:pPr>
              <w:pStyle w:val="2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val="en-US" w:eastAsia="zh-CN"/>
              </w:rPr>
              <w:t>贮存方式</w:t>
            </w:r>
          </w:p>
        </w:tc>
        <w:tc>
          <w:tcPr>
            <w:tcW w:w="1071" w:type="dxa"/>
            <w:noWrap w:val="0"/>
            <w:vAlign w:val="center"/>
          </w:tcPr>
          <w:p w14:paraId="1AF1C352">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最大贮存量qi</w:t>
            </w:r>
          </w:p>
        </w:tc>
        <w:tc>
          <w:tcPr>
            <w:tcW w:w="1019" w:type="dxa"/>
            <w:noWrap w:val="0"/>
            <w:vAlign w:val="center"/>
          </w:tcPr>
          <w:p w14:paraId="3AFF1F19">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导则</w:t>
            </w:r>
            <w:r>
              <w:rPr>
                <w:rFonts w:hint="default" w:ascii="Times New Roman" w:hAnsi="Times New Roman" w:cs="Times New Roman"/>
                <w:color w:val="auto"/>
                <w:u w:val="none" w:color="auto"/>
                <w:lang w:val="en-US" w:eastAsia="zh-CN"/>
              </w:rPr>
              <w:t>》中规定的临界量Qi</w:t>
            </w:r>
          </w:p>
        </w:tc>
        <w:tc>
          <w:tcPr>
            <w:tcW w:w="932" w:type="dxa"/>
            <w:noWrap w:val="0"/>
            <w:vAlign w:val="center"/>
          </w:tcPr>
          <w:p w14:paraId="53812347">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qi/Qi</w:t>
            </w:r>
          </w:p>
        </w:tc>
      </w:tr>
      <w:tr w14:paraId="4D482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01C692F">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241" w:type="dxa"/>
            <w:noWrap w:val="0"/>
            <w:vAlign w:val="center"/>
          </w:tcPr>
          <w:p w14:paraId="18782EF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矿物油</w:t>
            </w:r>
          </w:p>
        </w:tc>
        <w:tc>
          <w:tcPr>
            <w:tcW w:w="1065" w:type="dxa"/>
            <w:noWrap w:val="0"/>
            <w:vAlign w:val="center"/>
          </w:tcPr>
          <w:p w14:paraId="2C14167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液态</w:t>
            </w:r>
          </w:p>
        </w:tc>
        <w:tc>
          <w:tcPr>
            <w:tcW w:w="1320" w:type="dxa"/>
            <w:noWrap w:val="0"/>
            <w:vAlign w:val="center"/>
          </w:tcPr>
          <w:p w14:paraId="5790F65A">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w:t>
            </w:r>
          </w:p>
        </w:tc>
        <w:tc>
          <w:tcPr>
            <w:tcW w:w="1333" w:type="dxa"/>
            <w:noWrap w:val="0"/>
            <w:vAlign w:val="center"/>
          </w:tcPr>
          <w:p w14:paraId="313B50EB">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原料区</w:t>
            </w:r>
          </w:p>
        </w:tc>
        <w:tc>
          <w:tcPr>
            <w:tcW w:w="1071" w:type="dxa"/>
            <w:noWrap w:val="0"/>
            <w:vAlign w:val="center"/>
          </w:tcPr>
          <w:p w14:paraId="51D7185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0.1t</w:t>
            </w:r>
          </w:p>
        </w:tc>
        <w:tc>
          <w:tcPr>
            <w:tcW w:w="1019" w:type="dxa"/>
            <w:noWrap w:val="0"/>
            <w:vAlign w:val="center"/>
          </w:tcPr>
          <w:p w14:paraId="5BA54B56">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2500t</w:t>
            </w:r>
          </w:p>
        </w:tc>
        <w:tc>
          <w:tcPr>
            <w:tcW w:w="932" w:type="dxa"/>
            <w:noWrap w:val="0"/>
            <w:vAlign w:val="center"/>
          </w:tcPr>
          <w:p w14:paraId="309013CF">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0.00004</w:t>
            </w:r>
          </w:p>
        </w:tc>
      </w:tr>
      <w:tr w14:paraId="16C38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3009B5A">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2</w:t>
            </w:r>
          </w:p>
        </w:tc>
        <w:tc>
          <w:tcPr>
            <w:tcW w:w="1241" w:type="dxa"/>
            <w:noWrap w:val="0"/>
            <w:vAlign w:val="center"/>
          </w:tcPr>
          <w:p w14:paraId="5632F8D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液压油</w:t>
            </w:r>
          </w:p>
        </w:tc>
        <w:tc>
          <w:tcPr>
            <w:tcW w:w="1065" w:type="dxa"/>
            <w:noWrap w:val="0"/>
            <w:vAlign w:val="center"/>
          </w:tcPr>
          <w:p w14:paraId="1A612BFB">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063F5BC4">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易燃</w:t>
            </w:r>
          </w:p>
        </w:tc>
        <w:tc>
          <w:tcPr>
            <w:tcW w:w="1333" w:type="dxa"/>
            <w:noWrap w:val="0"/>
            <w:vAlign w:val="center"/>
          </w:tcPr>
          <w:p w14:paraId="0F056641">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原料区</w:t>
            </w:r>
          </w:p>
        </w:tc>
        <w:tc>
          <w:tcPr>
            <w:tcW w:w="1071" w:type="dxa"/>
            <w:noWrap w:val="0"/>
            <w:vAlign w:val="center"/>
          </w:tcPr>
          <w:p w14:paraId="6D26DE3B">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0.4t</w:t>
            </w:r>
          </w:p>
        </w:tc>
        <w:tc>
          <w:tcPr>
            <w:tcW w:w="1019" w:type="dxa"/>
            <w:noWrap w:val="0"/>
            <w:vAlign w:val="center"/>
          </w:tcPr>
          <w:p w14:paraId="5480B54A">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2500t</w:t>
            </w:r>
          </w:p>
        </w:tc>
        <w:tc>
          <w:tcPr>
            <w:tcW w:w="932" w:type="dxa"/>
            <w:noWrap w:val="0"/>
            <w:vAlign w:val="center"/>
          </w:tcPr>
          <w:p w14:paraId="7E0E298B">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0.00016</w:t>
            </w:r>
          </w:p>
        </w:tc>
      </w:tr>
      <w:tr w14:paraId="28D5A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957920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3</w:t>
            </w:r>
          </w:p>
        </w:tc>
        <w:tc>
          <w:tcPr>
            <w:tcW w:w="1241" w:type="dxa"/>
            <w:noWrap w:val="0"/>
            <w:vAlign w:val="center"/>
          </w:tcPr>
          <w:p w14:paraId="3D2D6A3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导热油</w:t>
            </w:r>
          </w:p>
        </w:tc>
        <w:tc>
          <w:tcPr>
            <w:tcW w:w="1065" w:type="dxa"/>
            <w:noWrap w:val="0"/>
            <w:vAlign w:val="center"/>
          </w:tcPr>
          <w:p w14:paraId="0562D50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6DA3761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易燃</w:t>
            </w:r>
          </w:p>
        </w:tc>
        <w:tc>
          <w:tcPr>
            <w:tcW w:w="1333" w:type="dxa"/>
            <w:noWrap w:val="0"/>
            <w:vAlign w:val="center"/>
          </w:tcPr>
          <w:p w14:paraId="2CA7C0EB">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导热油炉在线</w:t>
            </w:r>
          </w:p>
        </w:tc>
        <w:tc>
          <w:tcPr>
            <w:tcW w:w="1071" w:type="dxa"/>
            <w:noWrap w:val="0"/>
            <w:vAlign w:val="center"/>
          </w:tcPr>
          <w:p w14:paraId="250607BB">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0.5t</w:t>
            </w:r>
          </w:p>
        </w:tc>
        <w:tc>
          <w:tcPr>
            <w:tcW w:w="1019" w:type="dxa"/>
            <w:noWrap w:val="0"/>
            <w:vAlign w:val="center"/>
          </w:tcPr>
          <w:p w14:paraId="6A214C56">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2500t</w:t>
            </w:r>
          </w:p>
        </w:tc>
        <w:tc>
          <w:tcPr>
            <w:tcW w:w="932" w:type="dxa"/>
            <w:noWrap w:val="0"/>
            <w:vAlign w:val="center"/>
          </w:tcPr>
          <w:p w14:paraId="784DCE2D">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0.0002</w:t>
            </w:r>
          </w:p>
        </w:tc>
      </w:tr>
      <w:tr w14:paraId="7C066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58A1630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4</w:t>
            </w:r>
          </w:p>
        </w:tc>
        <w:tc>
          <w:tcPr>
            <w:tcW w:w="1241" w:type="dxa"/>
            <w:noWrap w:val="0"/>
            <w:vAlign w:val="center"/>
          </w:tcPr>
          <w:p w14:paraId="632DD012">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废矿物油</w:t>
            </w:r>
          </w:p>
        </w:tc>
        <w:tc>
          <w:tcPr>
            <w:tcW w:w="1065" w:type="dxa"/>
            <w:noWrap w:val="0"/>
            <w:vAlign w:val="center"/>
          </w:tcPr>
          <w:p w14:paraId="17617CBD">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液态</w:t>
            </w:r>
          </w:p>
        </w:tc>
        <w:tc>
          <w:tcPr>
            <w:tcW w:w="1320" w:type="dxa"/>
            <w:noWrap w:val="0"/>
            <w:vAlign w:val="center"/>
          </w:tcPr>
          <w:p w14:paraId="0638ED96">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59ECCAE4">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147DC90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0.1t</w:t>
            </w:r>
          </w:p>
        </w:tc>
        <w:tc>
          <w:tcPr>
            <w:tcW w:w="1019" w:type="dxa"/>
            <w:noWrap w:val="0"/>
            <w:vAlign w:val="center"/>
          </w:tcPr>
          <w:p w14:paraId="3F24579E">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588A8D54">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0.002</w:t>
            </w:r>
          </w:p>
        </w:tc>
      </w:tr>
      <w:tr w14:paraId="77C32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3EE7E003">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w:t>
            </w:r>
          </w:p>
        </w:tc>
        <w:tc>
          <w:tcPr>
            <w:tcW w:w="1241" w:type="dxa"/>
            <w:noWrap w:val="0"/>
            <w:vAlign w:val="center"/>
          </w:tcPr>
          <w:p w14:paraId="2177406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废液压油</w:t>
            </w:r>
          </w:p>
        </w:tc>
        <w:tc>
          <w:tcPr>
            <w:tcW w:w="1065" w:type="dxa"/>
            <w:noWrap w:val="0"/>
            <w:vAlign w:val="center"/>
          </w:tcPr>
          <w:p w14:paraId="0DF2057D">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5E8A2F6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678BAF33">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458C01D6">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0.4t</w:t>
            </w:r>
          </w:p>
        </w:tc>
        <w:tc>
          <w:tcPr>
            <w:tcW w:w="1019" w:type="dxa"/>
            <w:noWrap w:val="0"/>
            <w:vAlign w:val="center"/>
          </w:tcPr>
          <w:p w14:paraId="0AAEFF28">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50t</w:t>
            </w:r>
          </w:p>
        </w:tc>
        <w:tc>
          <w:tcPr>
            <w:tcW w:w="932" w:type="dxa"/>
            <w:noWrap w:val="0"/>
            <w:vAlign w:val="center"/>
          </w:tcPr>
          <w:p w14:paraId="5C02D1C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0.008</w:t>
            </w:r>
          </w:p>
        </w:tc>
      </w:tr>
      <w:tr w14:paraId="20CA6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81483AA">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6</w:t>
            </w:r>
          </w:p>
        </w:tc>
        <w:tc>
          <w:tcPr>
            <w:tcW w:w="1241" w:type="dxa"/>
            <w:noWrap w:val="0"/>
            <w:vAlign w:val="center"/>
          </w:tcPr>
          <w:p w14:paraId="6E2F177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废导热油</w:t>
            </w:r>
          </w:p>
        </w:tc>
        <w:tc>
          <w:tcPr>
            <w:tcW w:w="1065" w:type="dxa"/>
            <w:noWrap w:val="0"/>
            <w:vAlign w:val="center"/>
          </w:tcPr>
          <w:p w14:paraId="4064FB5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76756398">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0B538692">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051A0BCA">
            <w:pPr>
              <w:pStyle w:val="25"/>
              <w:tabs>
                <w:tab w:val="left" w:pos="287"/>
                <w:tab w:val="center" w:pos="565"/>
              </w:tabs>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0.5t</w:t>
            </w:r>
          </w:p>
        </w:tc>
        <w:tc>
          <w:tcPr>
            <w:tcW w:w="1019" w:type="dxa"/>
            <w:noWrap w:val="0"/>
            <w:vAlign w:val="center"/>
          </w:tcPr>
          <w:p w14:paraId="0B70A4F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50t</w:t>
            </w:r>
          </w:p>
        </w:tc>
        <w:tc>
          <w:tcPr>
            <w:tcW w:w="932" w:type="dxa"/>
            <w:noWrap w:val="0"/>
            <w:vAlign w:val="center"/>
          </w:tcPr>
          <w:p w14:paraId="1800CFB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0.01</w:t>
            </w:r>
          </w:p>
        </w:tc>
      </w:tr>
      <w:tr w14:paraId="5E7C5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7E196FB4">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7</w:t>
            </w:r>
          </w:p>
        </w:tc>
        <w:tc>
          <w:tcPr>
            <w:tcW w:w="1241" w:type="dxa"/>
            <w:noWrap w:val="0"/>
            <w:vAlign w:val="center"/>
          </w:tcPr>
          <w:p w14:paraId="5F7052FE">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废活性炭</w:t>
            </w:r>
          </w:p>
        </w:tc>
        <w:tc>
          <w:tcPr>
            <w:tcW w:w="1065" w:type="dxa"/>
            <w:noWrap w:val="0"/>
            <w:vAlign w:val="center"/>
          </w:tcPr>
          <w:p w14:paraId="48DD7949">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2BA51CF2">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56F1C703">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2EE3CB17">
            <w:pPr>
              <w:pStyle w:val="25"/>
              <w:tabs>
                <w:tab w:val="left" w:pos="287"/>
                <w:tab w:val="center" w:pos="565"/>
              </w:tabs>
              <w:jc w:val="left"/>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ab/>
            </w:r>
            <w:r>
              <w:rPr>
                <w:rFonts w:hint="eastAsia" w:ascii="Times New Roman" w:hAnsi="Times New Roman" w:eastAsia="宋体" w:cs="Times New Roman"/>
                <w:color w:val="auto"/>
                <w:kern w:val="2"/>
                <w:sz w:val="21"/>
                <w:szCs w:val="21"/>
                <w:highlight w:val="none"/>
                <w:u w:val="none" w:color="auto"/>
                <w:lang w:val="en-US" w:eastAsia="zh-CN" w:bidi="ar-SA"/>
              </w:rPr>
              <w:t>2.184t</w:t>
            </w:r>
          </w:p>
        </w:tc>
        <w:tc>
          <w:tcPr>
            <w:tcW w:w="1019" w:type="dxa"/>
            <w:noWrap w:val="0"/>
            <w:vAlign w:val="center"/>
          </w:tcPr>
          <w:p w14:paraId="5CE7C745">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52D3DB53">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0.04368</w:t>
            </w:r>
          </w:p>
        </w:tc>
      </w:tr>
      <w:tr w14:paraId="79477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89C3E57">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8</w:t>
            </w:r>
          </w:p>
        </w:tc>
        <w:tc>
          <w:tcPr>
            <w:tcW w:w="1241" w:type="dxa"/>
            <w:noWrap w:val="0"/>
            <w:vAlign w:val="center"/>
          </w:tcPr>
          <w:p w14:paraId="10A39416">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废油桶</w:t>
            </w:r>
          </w:p>
        </w:tc>
        <w:tc>
          <w:tcPr>
            <w:tcW w:w="1065" w:type="dxa"/>
            <w:noWrap w:val="0"/>
            <w:vAlign w:val="center"/>
          </w:tcPr>
          <w:p w14:paraId="6C168460">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5A303279">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6EE3161F">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36B9E59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02763801">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50t</w:t>
            </w:r>
          </w:p>
        </w:tc>
        <w:tc>
          <w:tcPr>
            <w:tcW w:w="932" w:type="dxa"/>
            <w:noWrap w:val="0"/>
            <w:vAlign w:val="center"/>
          </w:tcPr>
          <w:p w14:paraId="353A1748">
            <w:pPr>
              <w:pStyle w:val="25"/>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0.002</w:t>
            </w:r>
          </w:p>
        </w:tc>
      </w:tr>
      <w:tr w14:paraId="5948F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2DBB11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9</w:t>
            </w:r>
          </w:p>
        </w:tc>
        <w:tc>
          <w:tcPr>
            <w:tcW w:w="1241" w:type="dxa"/>
            <w:noWrap w:val="0"/>
            <w:vAlign w:val="center"/>
          </w:tcPr>
          <w:p w14:paraId="101439E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废含油抹布及手套</w:t>
            </w:r>
          </w:p>
        </w:tc>
        <w:tc>
          <w:tcPr>
            <w:tcW w:w="1065" w:type="dxa"/>
            <w:noWrap w:val="0"/>
            <w:vAlign w:val="center"/>
          </w:tcPr>
          <w:p w14:paraId="177AD1A5">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固体</w:t>
            </w:r>
          </w:p>
        </w:tc>
        <w:tc>
          <w:tcPr>
            <w:tcW w:w="1320" w:type="dxa"/>
            <w:noWrap w:val="0"/>
            <w:vAlign w:val="center"/>
          </w:tcPr>
          <w:p w14:paraId="03E87140">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236CCF10">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6ABD5BB2">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0.01t</w:t>
            </w:r>
          </w:p>
        </w:tc>
        <w:tc>
          <w:tcPr>
            <w:tcW w:w="1019" w:type="dxa"/>
            <w:noWrap w:val="0"/>
            <w:vAlign w:val="center"/>
          </w:tcPr>
          <w:p w14:paraId="5513E778">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2B8B708C">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0.0002</w:t>
            </w:r>
          </w:p>
        </w:tc>
      </w:tr>
      <w:tr w14:paraId="49F2B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580E2A8D">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10</w:t>
            </w:r>
          </w:p>
        </w:tc>
        <w:tc>
          <w:tcPr>
            <w:tcW w:w="1241" w:type="dxa"/>
            <w:noWrap w:val="0"/>
            <w:vAlign w:val="center"/>
          </w:tcPr>
          <w:p w14:paraId="44154A4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天然气</w:t>
            </w:r>
          </w:p>
        </w:tc>
        <w:tc>
          <w:tcPr>
            <w:tcW w:w="1065" w:type="dxa"/>
            <w:noWrap w:val="0"/>
            <w:vAlign w:val="center"/>
          </w:tcPr>
          <w:p w14:paraId="0EEF78E2">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气态</w:t>
            </w:r>
          </w:p>
        </w:tc>
        <w:tc>
          <w:tcPr>
            <w:tcW w:w="1320" w:type="dxa"/>
            <w:noWrap w:val="0"/>
            <w:vAlign w:val="center"/>
          </w:tcPr>
          <w:p w14:paraId="19168733">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易燃</w:t>
            </w:r>
          </w:p>
        </w:tc>
        <w:tc>
          <w:tcPr>
            <w:tcW w:w="1333" w:type="dxa"/>
            <w:noWrap w:val="0"/>
            <w:vAlign w:val="center"/>
          </w:tcPr>
          <w:p w14:paraId="1DA17789">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管道在线</w:t>
            </w:r>
          </w:p>
        </w:tc>
        <w:tc>
          <w:tcPr>
            <w:tcW w:w="1071" w:type="dxa"/>
            <w:noWrap w:val="0"/>
            <w:vAlign w:val="center"/>
          </w:tcPr>
          <w:p w14:paraId="6E09A55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5CD4CFB7">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6A86763C">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6EF59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572" w:type="dxa"/>
            <w:gridSpan w:val="7"/>
            <w:noWrap w:val="0"/>
            <w:vAlign w:val="center"/>
          </w:tcPr>
          <w:p w14:paraId="6C92E546">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合计</w:t>
            </w:r>
          </w:p>
        </w:tc>
        <w:tc>
          <w:tcPr>
            <w:tcW w:w="932" w:type="dxa"/>
            <w:noWrap w:val="0"/>
            <w:vAlign w:val="center"/>
          </w:tcPr>
          <w:p w14:paraId="4DB4DE54">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0.07628</w:t>
            </w:r>
          </w:p>
        </w:tc>
      </w:tr>
      <w:tr w14:paraId="11203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504" w:type="dxa"/>
            <w:gridSpan w:val="8"/>
            <w:noWrap w:val="0"/>
            <w:vAlign w:val="center"/>
          </w:tcPr>
          <w:p w14:paraId="735315DF">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注：临界量Q</w:t>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rPr>
              <w:t>参照《建设项目环境风险评价技术导则》（HJ169-2018）附录B里所列的临界值，均以纯物质来计。</w:t>
            </w:r>
          </w:p>
        </w:tc>
      </w:tr>
    </w:tbl>
    <w:p w14:paraId="6E85438C">
      <w:pPr>
        <w:pStyle w:val="21"/>
        <w:bidi w:val="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按《建设项目环境风险评价技术导则》（</w:t>
      </w:r>
      <w:r>
        <w:rPr>
          <w:rFonts w:hint="default" w:ascii="Times New Roman" w:hAnsi="Times New Roman" w:cs="Times New Roman"/>
          <w:color w:val="auto"/>
          <w:highlight w:val="none"/>
          <w:u w:val="none" w:color="auto"/>
          <w:lang w:eastAsia="zh-CN"/>
        </w:rPr>
        <w:t>HJ169</w:t>
      </w:r>
      <w:r>
        <w:rPr>
          <w:rFonts w:hint="default" w:ascii="Times New Roman" w:hAnsi="Times New Roman" w:cs="Times New Roman"/>
          <w:color w:val="auto"/>
          <w:highlight w:val="none"/>
          <w:u w:val="none" w:color="auto"/>
        </w:rPr>
        <w:t>-20</w:t>
      </w:r>
      <w:r>
        <w:rPr>
          <w:rFonts w:hint="default" w:ascii="Times New Roman" w:hAnsi="Times New Roman" w:cs="Times New Roman"/>
          <w:color w:val="auto"/>
          <w:highlight w:val="none"/>
          <w:u w:val="none" w:color="auto"/>
          <w:lang w:val="en-US" w:eastAsia="zh-CN"/>
        </w:rPr>
        <w:t>18</w:t>
      </w:r>
      <w:r>
        <w:rPr>
          <w:rFonts w:hint="default" w:ascii="Times New Roman" w:hAnsi="Times New Roman" w:cs="Times New Roman"/>
          <w:color w:val="auto"/>
          <w:highlight w:val="none"/>
          <w:u w:val="none" w:color="auto"/>
        </w:rPr>
        <w:t>）中的相关内容确定，所以本项目危险物质数量与临界量比值Q=</w:t>
      </w:r>
      <w:r>
        <w:rPr>
          <w:rFonts w:hint="eastAsia" w:cs="Times New Roman"/>
          <w:color w:val="auto"/>
          <w:highlight w:val="none"/>
          <w:u w:val="none" w:color="auto"/>
          <w:lang w:val="en-US" w:eastAsia="zh-CN"/>
        </w:rPr>
        <w:t>0.07628</w:t>
      </w:r>
      <w:r>
        <w:rPr>
          <w:rFonts w:hint="default" w:ascii="Times New Roman" w:hAnsi="Times New Roman" w:cs="Times New Roman"/>
          <w:color w:val="auto"/>
          <w:highlight w:val="none"/>
          <w:u w:val="none" w:color="auto"/>
        </w:rPr>
        <w:t>＜1，风险潜势为</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 1 \* ROMAN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I</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w:t>
      </w:r>
      <w:r>
        <w:rPr>
          <w:rFonts w:hint="default" w:ascii="Times New Roman" w:hAnsi="Times New Roman" w:cs="Times New Roman"/>
          <w:color w:val="auto"/>
          <w:sz w:val="24"/>
          <w:highlight w:val="none"/>
          <w:u w:val="none" w:color="auto"/>
        </w:rPr>
        <w:t>本项目评价工作等级为简单分析。</w:t>
      </w:r>
    </w:p>
    <w:p w14:paraId="6470D395">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8</w:t>
      </w:r>
      <w:r>
        <w:rPr>
          <w:rFonts w:hint="default"/>
          <w:color w:val="auto"/>
          <w:u w:val="none" w:color="auto"/>
        </w:rPr>
        <w:t xml:space="preserve"> 风险评价等级划分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8"/>
        <w:gridCol w:w="1828"/>
        <w:gridCol w:w="831"/>
        <w:gridCol w:w="829"/>
        <w:gridCol w:w="2088"/>
      </w:tblGrid>
      <w:tr w14:paraId="502A7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8" w:type="dxa"/>
            <w:noWrap w:val="0"/>
            <w:vAlign w:val="center"/>
          </w:tcPr>
          <w:p w14:paraId="19BE6B50">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环境风险潜势</w:t>
            </w:r>
          </w:p>
        </w:tc>
        <w:tc>
          <w:tcPr>
            <w:tcW w:w="1828" w:type="dxa"/>
            <w:noWrap w:val="0"/>
            <w:vAlign w:val="center"/>
          </w:tcPr>
          <w:p w14:paraId="59F0E75F">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4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IV</w:t>
            </w:r>
            <w:r>
              <w:rPr>
                <w:rFonts w:hint="default" w:ascii="Times New Roman" w:hAnsi="Times New Roman" w:cs="Times New Roman"/>
                <w:color w:val="auto"/>
                <w:u w:val="none" w:color="auto"/>
                <w:lang w:val="en-US" w:eastAsia="zh-CN"/>
              </w:rPr>
              <w:fldChar w:fldCharType="end"/>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4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IV</w:t>
            </w:r>
            <w:r>
              <w:rPr>
                <w:rFonts w:hint="default" w:ascii="Times New Roman" w:hAnsi="Times New Roman" w:cs="Times New Roman"/>
                <w:color w:val="auto"/>
                <w:u w:val="none" w:color="auto"/>
                <w:lang w:val="en-US" w:eastAsia="zh-CN"/>
              </w:rPr>
              <w:fldChar w:fldCharType="end"/>
            </w:r>
            <w:r>
              <w:rPr>
                <w:rFonts w:hint="default" w:ascii="Times New Roman" w:hAnsi="Times New Roman" w:cs="Times New Roman"/>
                <w:color w:val="auto"/>
                <w:u w:val="none" w:color="auto"/>
                <w:vertAlign w:val="superscript"/>
                <w:lang w:val="en-US" w:eastAsia="zh-CN"/>
              </w:rPr>
              <w:t>+</w:t>
            </w:r>
          </w:p>
        </w:tc>
        <w:tc>
          <w:tcPr>
            <w:tcW w:w="831" w:type="dxa"/>
            <w:noWrap w:val="0"/>
            <w:vAlign w:val="center"/>
          </w:tcPr>
          <w:p w14:paraId="649B6866">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3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III</w:t>
            </w:r>
            <w:r>
              <w:rPr>
                <w:rFonts w:hint="default" w:ascii="Times New Roman" w:hAnsi="Times New Roman" w:cs="Times New Roman"/>
                <w:color w:val="auto"/>
                <w:u w:val="none" w:color="auto"/>
                <w:lang w:val="en-US" w:eastAsia="zh-CN"/>
              </w:rPr>
              <w:fldChar w:fldCharType="end"/>
            </w:r>
          </w:p>
        </w:tc>
        <w:tc>
          <w:tcPr>
            <w:tcW w:w="829" w:type="dxa"/>
            <w:noWrap w:val="0"/>
            <w:vAlign w:val="center"/>
          </w:tcPr>
          <w:p w14:paraId="10373AA2">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2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II</w:t>
            </w:r>
            <w:r>
              <w:rPr>
                <w:rFonts w:hint="default" w:ascii="Times New Roman" w:hAnsi="Times New Roman" w:cs="Times New Roman"/>
                <w:color w:val="auto"/>
                <w:u w:val="none" w:color="auto"/>
                <w:lang w:val="en-US" w:eastAsia="zh-CN"/>
              </w:rPr>
              <w:fldChar w:fldCharType="end"/>
            </w:r>
          </w:p>
        </w:tc>
        <w:tc>
          <w:tcPr>
            <w:tcW w:w="2088" w:type="dxa"/>
            <w:noWrap w:val="0"/>
            <w:vAlign w:val="center"/>
          </w:tcPr>
          <w:p w14:paraId="787AD71C">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1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lang w:val="en-US" w:eastAsia="zh-CN"/>
              </w:rPr>
              <w:fldChar w:fldCharType="end"/>
            </w:r>
          </w:p>
        </w:tc>
      </w:tr>
      <w:tr w14:paraId="16056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8" w:type="dxa"/>
            <w:noWrap w:val="0"/>
            <w:vAlign w:val="center"/>
          </w:tcPr>
          <w:p w14:paraId="2C9F8CC4">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评价工作等级</w:t>
            </w:r>
          </w:p>
        </w:tc>
        <w:tc>
          <w:tcPr>
            <w:tcW w:w="1828" w:type="dxa"/>
            <w:noWrap w:val="0"/>
            <w:vAlign w:val="center"/>
          </w:tcPr>
          <w:p w14:paraId="10E4CC22">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w:t>
            </w:r>
          </w:p>
        </w:tc>
        <w:tc>
          <w:tcPr>
            <w:tcW w:w="831" w:type="dxa"/>
            <w:noWrap w:val="0"/>
            <w:vAlign w:val="center"/>
          </w:tcPr>
          <w:p w14:paraId="05882830">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w:t>
            </w:r>
          </w:p>
        </w:tc>
        <w:tc>
          <w:tcPr>
            <w:tcW w:w="829" w:type="dxa"/>
            <w:noWrap w:val="0"/>
            <w:vAlign w:val="center"/>
          </w:tcPr>
          <w:p w14:paraId="64671C28">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w:t>
            </w:r>
          </w:p>
        </w:tc>
        <w:tc>
          <w:tcPr>
            <w:tcW w:w="2088" w:type="dxa"/>
            <w:noWrap w:val="0"/>
            <w:vAlign w:val="center"/>
          </w:tcPr>
          <w:p w14:paraId="32635F66">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简单分析</w:t>
            </w:r>
          </w:p>
        </w:tc>
      </w:tr>
      <w:bookmarkEnd w:id="486"/>
      <w:bookmarkEnd w:id="487"/>
      <w:bookmarkEnd w:id="488"/>
      <w:bookmarkEnd w:id="489"/>
      <w:bookmarkEnd w:id="490"/>
      <w:bookmarkEnd w:id="491"/>
      <w:bookmarkEnd w:id="492"/>
      <w:bookmarkEnd w:id="493"/>
      <w:bookmarkEnd w:id="494"/>
      <w:bookmarkEnd w:id="495"/>
      <w:bookmarkEnd w:id="496"/>
    </w:tbl>
    <w:p w14:paraId="7B029135">
      <w:pPr>
        <w:pStyle w:val="7"/>
        <w:bidi w:val="0"/>
        <w:rPr>
          <w:rFonts w:hint="default"/>
          <w:color w:val="auto"/>
          <w:u w:val="none" w:color="auto"/>
        </w:rPr>
      </w:pPr>
      <w:bookmarkStart w:id="497" w:name="_Toc331351315"/>
      <w:bookmarkStart w:id="498" w:name="_Toc353549401"/>
      <w:bookmarkStart w:id="499" w:name="_Toc336615588"/>
      <w:bookmarkStart w:id="500" w:name="_Toc372124932"/>
      <w:bookmarkStart w:id="501" w:name="_Toc8373_WPSOffice_Level2"/>
      <w:bookmarkStart w:id="502" w:name="_Toc10605_WPSOffice_Level2"/>
      <w:bookmarkStart w:id="503" w:name="_Toc13247"/>
      <w:bookmarkStart w:id="504" w:name="_Toc28994_WPSOffice_Level2"/>
      <w:bookmarkStart w:id="505" w:name="_Toc19537_WPSOffice_Level2"/>
      <w:bookmarkStart w:id="506" w:name="_Toc24604"/>
      <w:bookmarkStart w:id="507" w:name="_Toc20551_WPSOffice_Level2"/>
      <w:bookmarkStart w:id="508" w:name="_Toc8452_WPSOffice_Level2"/>
      <w:bookmarkStart w:id="509" w:name="_Toc17614"/>
      <w:bookmarkStart w:id="510" w:name="_Toc14202"/>
      <w:bookmarkStart w:id="511" w:name="_Toc1901"/>
      <w:bookmarkStart w:id="512" w:name="_Toc20892"/>
      <w:bookmarkStart w:id="513" w:name="_Toc28408_WPSOffice_Level2"/>
      <w:bookmarkStart w:id="514" w:name="_Toc18050"/>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评价范围及环境敏感</w:t>
      </w:r>
      <w:bookmarkEnd w:id="497"/>
      <w:bookmarkEnd w:id="498"/>
      <w:bookmarkEnd w:id="499"/>
      <w:bookmarkEnd w:id="500"/>
      <w:r>
        <w:rPr>
          <w:rFonts w:hint="default"/>
          <w:color w:val="auto"/>
          <w:u w:val="none" w:color="auto"/>
        </w:rPr>
        <w:t>目标</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E9D87CA">
      <w:pPr>
        <w:pStyle w:val="8"/>
        <w:rPr>
          <w:rFonts w:hint="default" w:ascii="Times New Roman" w:hAnsi="Times New Roman" w:cs="Times New Roman"/>
          <w:color w:val="auto"/>
          <w:u w:val="none" w:color="auto"/>
        </w:rPr>
      </w:pPr>
      <w:bookmarkStart w:id="515" w:name="_Toc15321"/>
      <w:bookmarkStart w:id="516" w:name="_Toc31814"/>
      <w:bookmarkStart w:id="517" w:name="_Toc22145"/>
      <w:bookmarkStart w:id="518" w:name="_Toc4143"/>
      <w:bookmarkStart w:id="519" w:name="_Toc14404"/>
      <w:bookmarkStart w:id="520" w:name="_Toc15828"/>
      <w:bookmarkStart w:id="521" w:name="_Toc5870"/>
      <w:bookmarkStart w:id="522" w:name="_Toc11454"/>
      <w:bookmarkStart w:id="523" w:name="_Toc31381"/>
      <w:bookmarkStart w:id="524" w:name="_Toc6619"/>
      <w:bookmarkStart w:id="525" w:name="_Toc14164_WPSOffice_Level3"/>
      <w:bookmarkStart w:id="526" w:name="_Toc16655"/>
      <w:bookmarkStart w:id="527" w:name="_Toc29557_WPSOffice_Level3"/>
      <w:bookmarkStart w:id="528" w:name="_Toc12397"/>
      <w:bookmarkStart w:id="529" w:name="_Toc15585"/>
      <w:bookmarkStart w:id="530" w:name="_Toc9974"/>
      <w:bookmarkStart w:id="531" w:name="_Toc10195"/>
      <w:bookmarkStart w:id="532" w:name="_Toc8479"/>
      <w:bookmarkStart w:id="533" w:name="_Toc1134"/>
      <w:bookmarkStart w:id="534" w:name="_Toc14128"/>
      <w:bookmarkStart w:id="535" w:name="_Toc12729"/>
      <w:bookmarkStart w:id="536" w:name="_Toc17533"/>
      <w:bookmarkStart w:id="537" w:name="_Toc23095"/>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.1评价范围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CE8DE6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根据项目环境影响评价工作等级，评价范围见表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-1。</w:t>
      </w:r>
    </w:p>
    <w:p w14:paraId="5AEE1F6C">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-1 项目评价范围一览表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37"/>
      </w:tblGrid>
      <w:tr w14:paraId="62AF2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6637051">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评价因子</w:t>
            </w:r>
          </w:p>
        </w:tc>
        <w:tc>
          <w:tcPr>
            <w:tcW w:w="7137" w:type="dxa"/>
            <w:tcBorders>
              <w:tl2br w:val="nil"/>
              <w:tr2bl w:val="nil"/>
            </w:tcBorders>
            <w:noWrap w:val="0"/>
            <w:vAlign w:val="center"/>
          </w:tcPr>
          <w:p w14:paraId="097EBEA9">
            <w:pPr>
              <w:pStyle w:val="25"/>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  价  范  围</w:t>
            </w:r>
          </w:p>
        </w:tc>
      </w:tr>
      <w:tr w14:paraId="1C89F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601DBFB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地表水环境</w:t>
            </w:r>
          </w:p>
        </w:tc>
        <w:tc>
          <w:tcPr>
            <w:tcW w:w="7137" w:type="dxa"/>
            <w:tcBorders>
              <w:tl2br w:val="nil"/>
              <w:tr2bl w:val="nil"/>
            </w:tcBorders>
            <w:noWrap w:val="0"/>
            <w:vAlign w:val="center"/>
          </w:tcPr>
          <w:p w14:paraId="353A3E93">
            <w:pPr>
              <w:pStyle w:val="25"/>
              <w:rPr>
                <w:rFonts w:hint="default" w:ascii="Times New Roman" w:hAnsi="Times New Roman" w:cs="Times New Roman"/>
                <w:color w:val="auto"/>
                <w:u w:val="none" w:color="auto"/>
              </w:rPr>
            </w:pPr>
            <w:r>
              <w:rPr>
                <w:color w:val="auto"/>
                <w:u w:val="none" w:color="auto"/>
              </w:rPr>
              <w:t>核实废水处理的可行性和处理后污水处理厂接纳的可行性分析</w:t>
            </w:r>
          </w:p>
        </w:tc>
      </w:tr>
      <w:tr w14:paraId="76CA1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00D27D5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地下水环境</w:t>
            </w:r>
          </w:p>
        </w:tc>
        <w:tc>
          <w:tcPr>
            <w:tcW w:w="7137" w:type="dxa"/>
            <w:tcBorders>
              <w:tl2br w:val="nil"/>
              <w:tr2bl w:val="nil"/>
            </w:tcBorders>
            <w:noWrap w:val="0"/>
            <w:vAlign w:val="center"/>
          </w:tcPr>
          <w:p w14:paraId="6C9B21BE">
            <w:pPr>
              <w:pStyle w:val="25"/>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lang w:eastAsia="zh-CN"/>
              </w:rPr>
              <w:t>向东侧至厂界外1</w:t>
            </w:r>
            <w:r>
              <w:rPr>
                <w:rFonts w:hint="eastAsia"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lang w:eastAsia="zh-CN"/>
              </w:rPr>
              <w:t>00m，北侧至厂界外</w:t>
            </w:r>
            <w:r>
              <w:rPr>
                <w:rFonts w:hint="eastAsia" w:ascii="Times New Roman" w:hAnsi="Times New Roman" w:eastAsia="宋体" w:cs="Times New Roman"/>
                <w:color w:val="auto"/>
                <w:u w:val="none" w:color="auto"/>
                <w:lang w:val="en-US" w:eastAsia="zh-CN"/>
              </w:rPr>
              <w:t>20</w:t>
            </w:r>
            <w:r>
              <w:rPr>
                <w:rFonts w:hint="default" w:ascii="Times New Roman" w:hAnsi="Times New Roman" w:eastAsia="宋体" w:cs="Times New Roman"/>
                <w:color w:val="auto"/>
                <w:u w:val="none" w:color="auto"/>
                <w:lang w:eastAsia="zh-CN"/>
              </w:rPr>
              <w:t>00m，西侧至厂界外1</w:t>
            </w:r>
            <w:r>
              <w:rPr>
                <w:rFonts w:hint="eastAsia" w:ascii="Times New Roman" w:hAnsi="Times New Roman" w:eastAsia="宋体" w:cs="Times New Roman"/>
                <w:color w:val="auto"/>
                <w:u w:val="none" w:color="auto"/>
                <w:lang w:val="en-US" w:eastAsia="zh-CN"/>
              </w:rPr>
              <w:t>00</w:t>
            </w:r>
            <w:r>
              <w:rPr>
                <w:rFonts w:hint="default" w:ascii="Times New Roman" w:hAnsi="Times New Roman" w:eastAsia="宋体" w:cs="Times New Roman"/>
                <w:color w:val="auto"/>
                <w:u w:val="none" w:color="auto"/>
                <w:lang w:eastAsia="zh-CN"/>
              </w:rPr>
              <w:t>0m，南侧至厂界外1000m的水文地质区域，面积约</w:t>
            </w: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eastAsia="zh-CN"/>
              </w:rPr>
              <w:t>km</w:t>
            </w:r>
            <w:r>
              <w:rPr>
                <w:rFonts w:hint="default" w:ascii="Times New Roman" w:hAnsi="Times New Roman" w:eastAsia="宋体" w:cs="Times New Roman"/>
                <w:color w:val="auto"/>
                <w:u w:val="none" w:color="auto"/>
                <w:vertAlign w:val="superscript"/>
                <w:lang w:eastAsia="zh-CN"/>
              </w:rPr>
              <w:t>2</w:t>
            </w:r>
            <w:r>
              <w:rPr>
                <w:color w:val="auto"/>
                <w:highlight w:val="none"/>
                <w:u w:val="none" w:color="auto"/>
              </w:rPr>
              <w:t>。</w:t>
            </w:r>
          </w:p>
        </w:tc>
      </w:tr>
      <w:tr w14:paraId="24E14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4542278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环境空气</w:t>
            </w:r>
          </w:p>
        </w:tc>
        <w:tc>
          <w:tcPr>
            <w:tcW w:w="7137" w:type="dxa"/>
            <w:tcBorders>
              <w:tl2br w:val="nil"/>
              <w:tr2bl w:val="nil"/>
            </w:tcBorders>
            <w:noWrap w:val="0"/>
            <w:vAlign w:val="center"/>
          </w:tcPr>
          <w:p w14:paraId="29974905">
            <w:pPr>
              <w:pStyle w:val="25"/>
              <w:rPr>
                <w:rFonts w:hint="default" w:ascii="Times New Roman" w:hAnsi="Times New Roman" w:cs="Times New Roman"/>
                <w:color w:val="auto"/>
                <w:u w:val="none" w:color="auto"/>
              </w:rPr>
            </w:pPr>
            <w:r>
              <w:rPr>
                <w:rFonts w:hint="default" w:ascii="Times New Roman" w:hAnsi="Times New Roman" w:cs="Times New Roman"/>
                <w:color w:val="auto"/>
                <w:kern w:val="2"/>
                <w:szCs w:val="24"/>
                <w:u w:val="none" w:color="auto"/>
                <w:lang w:val="en-US" w:eastAsia="zh-CN"/>
              </w:rPr>
              <w:t>以项目厂址为中心区域，边长为5km的矩形范围</w:t>
            </w:r>
          </w:p>
        </w:tc>
      </w:tr>
      <w:tr w14:paraId="092EC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38E09F1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    声</w:t>
            </w:r>
          </w:p>
        </w:tc>
        <w:tc>
          <w:tcPr>
            <w:tcW w:w="7137" w:type="dxa"/>
            <w:tcBorders>
              <w:tl2br w:val="nil"/>
              <w:tr2bl w:val="nil"/>
            </w:tcBorders>
            <w:noWrap w:val="0"/>
            <w:vAlign w:val="center"/>
          </w:tcPr>
          <w:p w14:paraId="6693BCEF">
            <w:pPr>
              <w:pStyle w:val="25"/>
              <w:rPr>
                <w:rFonts w:hint="default" w:ascii="Times New Roman" w:hAnsi="Times New Roman" w:cs="Times New Roman"/>
                <w:color w:val="auto"/>
                <w:u w:val="none" w:color="auto"/>
              </w:rPr>
            </w:pPr>
            <w:r>
              <w:rPr>
                <w:rFonts w:hint="default" w:ascii="Times New Roman" w:hAnsi="Times New Roman"/>
                <w:color w:val="auto"/>
                <w:szCs w:val="24"/>
                <w:u w:val="none" w:color="auto"/>
              </w:rPr>
              <w:t>以项目边界向外200m范围</w:t>
            </w:r>
          </w:p>
        </w:tc>
      </w:tr>
      <w:tr w14:paraId="61819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FAE5AC3">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生态环境</w:t>
            </w:r>
          </w:p>
        </w:tc>
        <w:tc>
          <w:tcPr>
            <w:tcW w:w="7137" w:type="dxa"/>
            <w:tcBorders>
              <w:tl2br w:val="nil"/>
              <w:tr2bl w:val="nil"/>
            </w:tcBorders>
            <w:noWrap w:val="0"/>
            <w:vAlign w:val="center"/>
          </w:tcPr>
          <w:p w14:paraId="58485858">
            <w:pPr>
              <w:pStyle w:val="25"/>
              <w:rPr>
                <w:rFonts w:hint="default" w:ascii="Times New Roman" w:hAnsi="Times New Roman" w:cs="Times New Roman"/>
                <w:color w:val="auto"/>
                <w:u w:val="none" w:color="auto"/>
              </w:rPr>
            </w:pPr>
            <w:r>
              <w:rPr>
                <w:rFonts w:hint="eastAsia" w:ascii="Times New Roman" w:hAnsi="Times New Roman" w:cs="Times New Roman"/>
                <w:color w:val="auto"/>
                <w:kern w:val="2"/>
                <w:szCs w:val="24"/>
                <w:u w:val="none" w:color="auto"/>
                <w:lang w:val="en-US" w:eastAsia="zh-CN"/>
              </w:rPr>
              <w:t>/</w:t>
            </w:r>
          </w:p>
        </w:tc>
      </w:tr>
      <w:tr w14:paraId="732B9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173334F4">
            <w:pPr>
              <w:pStyle w:val="25"/>
              <w:rPr>
                <w:rFonts w:hint="default" w:ascii="Times New Roman" w:hAnsi="Times New Roman" w:eastAsia="宋体" w:cs="Times New Roman"/>
                <w:color w:val="auto"/>
                <w:u w:val="none" w:color="auto"/>
                <w:lang w:val="en-US" w:eastAsia="zh-CN"/>
              </w:rPr>
            </w:pPr>
            <w:bookmarkStart w:id="538" w:name="_Toc28059"/>
            <w:bookmarkStart w:id="539" w:name="_Toc28930"/>
            <w:bookmarkStart w:id="540" w:name="_Toc2046"/>
            <w:bookmarkStart w:id="541" w:name="_Toc5181"/>
            <w:bookmarkStart w:id="542" w:name="_Toc23839"/>
            <w:bookmarkStart w:id="543" w:name="_Toc3161"/>
            <w:bookmarkStart w:id="544" w:name="_Toc9880"/>
            <w:bookmarkStart w:id="545" w:name="_Toc10661"/>
            <w:bookmarkStart w:id="546" w:name="_Toc26523"/>
            <w:bookmarkStart w:id="547" w:name="_Toc12799"/>
            <w:bookmarkStart w:id="548" w:name="_Toc9293"/>
            <w:bookmarkStart w:id="549" w:name="_Toc8963"/>
            <w:bookmarkStart w:id="550" w:name="_Toc24616_WPSOffice_Level3"/>
            <w:bookmarkStart w:id="551" w:name="_Toc29824"/>
            <w:bookmarkStart w:id="552" w:name="_Toc16169_WPSOffice_Level3"/>
            <w:bookmarkStart w:id="553" w:name="_Toc20139"/>
            <w:bookmarkStart w:id="554" w:name="_Toc28937"/>
            <w:bookmarkStart w:id="555" w:name="_Toc22430"/>
            <w:bookmarkStart w:id="556" w:name="_Toc1265"/>
            <w:bookmarkStart w:id="557" w:name="_Toc6917"/>
            <w:r>
              <w:rPr>
                <w:rFonts w:hint="eastAsia" w:ascii="Times New Roman" w:hAnsi="Times New Roman" w:cs="Times New Roman"/>
                <w:color w:val="auto"/>
                <w:u w:val="none" w:color="auto"/>
                <w:lang w:val="en-US" w:eastAsia="zh-CN"/>
              </w:rPr>
              <w:t>环境风险</w:t>
            </w:r>
          </w:p>
        </w:tc>
        <w:tc>
          <w:tcPr>
            <w:tcW w:w="7137" w:type="dxa"/>
            <w:tcBorders>
              <w:tl2br w:val="nil"/>
              <w:tr2bl w:val="nil"/>
            </w:tcBorders>
            <w:noWrap w:val="0"/>
            <w:vAlign w:val="center"/>
          </w:tcPr>
          <w:p w14:paraId="67542460">
            <w:pPr>
              <w:pStyle w:val="25"/>
              <w:rPr>
                <w:rFonts w:hint="default" w:ascii="Times New Roman" w:hAnsi="Times New Roman" w:cs="Times New Roman"/>
                <w:color w:val="auto"/>
                <w:kern w:val="2"/>
                <w:szCs w:val="24"/>
                <w:u w:val="none" w:color="auto"/>
                <w:lang w:val="en-US" w:eastAsia="zh-CN"/>
              </w:rPr>
            </w:pPr>
            <w:r>
              <w:rPr>
                <w:rFonts w:hint="eastAsia" w:ascii="Times New Roman" w:hAnsi="Times New Roman" w:cs="Times New Roman"/>
                <w:color w:val="auto"/>
                <w:kern w:val="2"/>
                <w:szCs w:val="24"/>
                <w:u w:val="none" w:color="auto"/>
                <w:lang w:val="en-US" w:eastAsia="zh-CN"/>
              </w:rPr>
              <w:t>/</w:t>
            </w:r>
          </w:p>
        </w:tc>
      </w:tr>
      <w:tr w14:paraId="49CD7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5FBE25E4">
            <w:pPr>
              <w:pStyle w:val="25"/>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土壤</w:t>
            </w:r>
          </w:p>
        </w:tc>
        <w:tc>
          <w:tcPr>
            <w:tcW w:w="7137" w:type="dxa"/>
            <w:tcBorders>
              <w:tl2br w:val="nil"/>
              <w:tr2bl w:val="nil"/>
            </w:tcBorders>
            <w:noWrap w:val="0"/>
            <w:vAlign w:val="center"/>
          </w:tcPr>
          <w:p w14:paraId="19D184A5">
            <w:pPr>
              <w:pStyle w:val="25"/>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olor w:val="auto"/>
                <w:szCs w:val="24"/>
                <w:u w:val="none" w:color="auto"/>
              </w:rPr>
              <w:t>以项目边界向外</w:t>
            </w:r>
            <w:r>
              <w:rPr>
                <w:rFonts w:hint="eastAsia" w:ascii="Times New Roman" w:hAnsi="Times New Roman"/>
                <w:color w:val="auto"/>
                <w:szCs w:val="24"/>
                <w:u w:val="none" w:color="auto"/>
                <w:lang w:val="en-US" w:eastAsia="zh-CN"/>
              </w:rPr>
              <w:t>20</w:t>
            </w:r>
            <w:r>
              <w:rPr>
                <w:rFonts w:hint="default" w:ascii="Times New Roman" w:hAnsi="Times New Roman"/>
                <w:color w:val="auto"/>
                <w:szCs w:val="24"/>
                <w:u w:val="none" w:color="auto"/>
              </w:rPr>
              <w:t>0m范围</w:t>
            </w:r>
          </w:p>
        </w:tc>
      </w:tr>
    </w:tbl>
    <w:p w14:paraId="03393653">
      <w:pPr>
        <w:pStyle w:val="8"/>
        <w:rPr>
          <w:rFonts w:hint="default" w:ascii="Times New Roman" w:hAnsi="Times New Roman" w:cs="Times New Roman"/>
          <w:color w:val="auto"/>
          <w:u w:val="none" w:color="auto"/>
        </w:rPr>
      </w:pPr>
      <w:bookmarkStart w:id="558" w:name="_Toc4869"/>
      <w:bookmarkStart w:id="559" w:name="_Toc2860"/>
      <w:bookmarkStart w:id="560" w:name="_Toc25728"/>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.2环境敏感目标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1B33FFB">
      <w:pPr>
        <w:pStyle w:val="21"/>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根据现场勘查，项目评价范围内的主要环境敏感保护目标有：人口集中的居民区、村庄、河流等，具体见表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-2和表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-3</w:t>
      </w:r>
      <w:r>
        <w:rPr>
          <w:rFonts w:hint="default" w:ascii="Times New Roman" w:hAnsi="Times New Roman" w:cs="Times New Roman"/>
          <w:color w:val="auto"/>
          <w:u w:val="none" w:color="auto"/>
          <w:lang w:eastAsia="zh-CN"/>
        </w:rPr>
        <w:t>。</w:t>
      </w:r>
    </w:p>
    <w:p w14:paraId="285F8413">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-2 项目环境空气保护目标</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091"/>
        <w:gridCol w:w="835"/>
        <w:gridCol w:w="750"/>
        <w:gridCol w:w="1155"/>
        <w:gridCol w:w="1275"/>
        <w:gridCol w:w="1020"/>
        <w:gridCol w:w="915"/>
        <w:gridCol w:w="982"/>
      </w:tblGrid>
      <w:tr w14:paraId="6DE48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vMerge w:val="restart"/>
            <w:noWrap w:val="0"/>
            <w:vAlign w:val="center"/>
          </w:tcPr>
          <w:p w14:paraId="0B6C682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序号</w:t>
            </w:r>
          </w:p>
        </w:tc>
        <w:tc>
          <w:tcPr>
            <w:tcW w:w="1091" w:type="dxa"/>
            <w:vMerge w:val="restart"/>
            <w:noWrap w:val="0"/>
            <w:vAlign w:val="center"/>
          </w:tcPr>
          <w:p w14:paraId="5180BDE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名称</w:t>
            </w:r>
          </w:p>
        </w:tc>
        <w:tc>
          <w:tcPr>
            <w:tcW w:w="1585" w:type="dxa"/>
            <w:gridSpan w:val="2"/>
            <w:noWrap w:val="0"/>
            <w:vAlign w:val="center"/>
          </w:tcPr>
          <w:p w14:paraId="19988EB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rPr>
              <w:t>坐标</w:t>
            </w:r>
          </w:p>
        </w:tc>
        <w:tc>
          <w:tcPr>
            <w:tcW w:w="1155" w:type="dxa"/>
            <w:vMerge w:val="restart"/>
            <w:noWrap w:val="0"/>
            <w:vAlign w:val="center"/>
          </w:tcPr>
          <w:p w14:paraId="4D05D8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保护对象</w:t>
            </w:r>
          </w:p>
        </w:tc>
        <w:tc>
          <w:tcPr>
            <w:tcW w:w="1275" w:type="dxa"/>
            <w:vMerge w:val="restart"/>
            <w:noWrap w:val="0"/>
            <w:vAlign w:val="center"/>
          </w:tcPr>
          <w:p w14:paraId="27D2E5F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保护内容</w:t>
            </w:r>
          </w:p>
        </w:tc>
        <w:tc>
          <w:tcPr>
            <w:tcW w:w="1020" w:type="dxa"/>
            <w:vMerge w:val="restart"/>
            <w:noWrap w:val="0"/>
            <w:vAlign w:val="center"/>
          </w:tcPr>
          <w:p w14:paraId="122D9F2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保护功能区</w:t>
            </w:r>
            <w:r>
              <w:rPr>
                <w:rFonts w:hint="default"/>
                <w:color w:val="auto"/>
                <w:highlight w:val="none"/>
                <w:u w:val="none" w:color="auto"/>
                <w:lang w:eastAsia="zh-CN"/>
              </w:rPr>
              <w:t>二类区</w:t>
            </w:r>
          </w:p>
          <w:p w14:paraId="5ECE61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15" w:type="dxa"/>
            <w:vMerge w:val="restart"/>
            <w:noWrap w:val="0"/>
            <w:vAlign w:val="center"/>
          </w:tcPr>
          <w:p w14:paraId="6FE65B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相对厂址方位</w:t>
            </w:r>
          </w:p>
        </w:tc>
        <w:tc>
          <w:tcPr>
            <w:tcW w:w="982" w:type="dxa"/>
            <w:vMerge w:val="restart"/>
            <w:noWrap w:val="0"/>
            <w:vAlign w:val="center"/>
          </w:tcPr>
          <w:p w14:paraId="78F2D7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相对厂界距离/m</w:t>
            </w:r>
          </w:p>
        </w:tc>
      </w:tr>
      <w:tr w14:paraId="39C11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vMerge w:val="continue"/>
            <w:noWrap w:val="0"/>
            <w:vAlign w:val="center"/>
          </w:tcPr>
          <w:p w14:paraId="060F03E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091" w:type="dxa"/>
            <w:vMerge w:val="continue"/>
            <w:noWrap w:val="0"/>
            <w:vAlign w:val="center"/>
          </w:tcPr>
          <w:p w14:paraId="5E5EC89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835" w:type="dxa"/>
            <w:noWrap w:val="0"/>
            <w:vAlign w:val="center"/>
          </w:tcPr>
          <w:p w14:paraId="7268E94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X</w:t>
            </w:r>
          </w:p>
        </w:tc>
        <w:tc>
          <w:tcPr>
            <w:tcW w:w="750" w:type="dxa"/>
            <w:noWrap w:val="0"/>
            <w:vAlign w:val="center"/>
          </w:tcPr>
          <w:p w14:paraId="44C0B0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Y</w:t>
            </w:r>
          </w:p>
        </w:tc>
        <w:tc>
          <w:tcPr>
            <w:tcW w:w="1155" w:type="dxa"/>
            <w:vMerge w:val="continue"/>
            <w:noWrap w:val="0"/>
            <w:vAlign w:val="center"/>
          </w:tcPr>
          <w:p w14:paraId="6D22C24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275" w:type="dxa"/>
            <w:vMerge w:val="continue"/>
            <w:noWrap w:val="0"/>
            <w:vAlign w:val="center"/>
          </w:tcPr>
          <w:p w14:paraId="5D4C4D0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020" w:type="dxa"/>
            <w:vMerge w:val="continue"/>
            <w:noWrap w:val="0"/>
            <w:vAlign w:val="center"/>
          </w:tcPr>
          <w:p w14:paraId="3683FB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15" w:type="dxa"/>
            <w:vMerge w:val="continue"/>
            <w:noWrap w:val="0"/>
            <w:vAlign w:val="center"/>
          </w:tcPr>
          <w:p w14:paraId="4AB45E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82" w:type="dxa"/>
            <w:vMerge w:val="continue"/>
            <w:noWrap w:val="0"/>
            <w:vAlign w:val="center"/>
          </w:tcPr>
          <w:p w14:paraId="05D5B7D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r>
      <w:tr w14:paraId="5C2C8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A3D7FD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1</w:t>
            </w:r>
          </w:p>
        </w:tc>
        <w:tc>
          <w:tcPr>
            <w:tcW w:w="1091" w:type="dxa"/>
            <w:noWrap w:val="0"/>
            <w:vAlign w:val="center"/>
          </w:tcPr>
          <w:p w14:paraId="4F67D20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关塘墈上</w:t>
            </w:r>
          </w:p>
        </w:tc>
        <w:tc>
          <w:tcPr>
            <w:tcW w:w="835" w:type="dxa"/>
            <w:noWrap w:val="0"/>
            <w:vAlign w:val="center"/>
          </w:tcPr>
          <w:p w14:paraId="5943FD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-2334</w:t>
            </w:r>
          </w:p>
        </w:tc>
        <w:tc>
          <w:tcPr>
            <w:tcW w:w="750" w:type="dxa"/>
            <w:noWrap w:val="0"/>
            <w:vAlign w:val="center"/>
          </w:tcPr>
          <w:p w14:paraId="06A466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1890</w:t>
            </w:r>
          </w:p>
        </w:tc>
        <w:tc>
          <w:tcPr>
            <w:tcW w:w="1155" w:type="dxa"/>
            <w:noWrap w:val="0"/>
            <w:vAlign w:val="center"/>
          </w:tcPr>
          <w:p w14:paraId="13C527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76AFAC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约30户、105人</w:t>
            </w:r>
          </w:p>
        </w:tc>
        <w:tc>
          <w:tcPr>
            <w:tcW w:w="1020" w:type="dxa"/>
            <w:vMerge w:val="restart"/>
            <w:noWrap w:val="0"/>
            <w:vAlign w:val="center"/>
          </w:tcPr>
          <w:p w14:paraId="4BD5553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二类区</w:t>
            </w:r>
          </w:p>
        </w:tc>
        <w:tc>
          <w:tcPr>
            <w:tcW w:w="915" w:type="dxa"/>
            <w:noWrap w:val="0"/>
            <w:vAlign w:val="center"/>
          </w:tcPr>
          <w:p w14:paraId="7A35AE3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40BAD1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2950-3220</w:t>
            </w:r>
          </w:p>
        </w:tc>
      </w:tr>
      <w:tr w14:paraId="52BEB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51933D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2</w:t>
            </w:r>
          </w:p>
        </w:tc>
        <w:tc>
          <w:tcPr>
            <w:tcW w:w="1091" w:type="dxa"/>
            <w:noWrap w:val="0"/>
            <w:vAlign w:val="center"/>
          </w:tcPr>
          <w:p w14:paraId="3A79743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窑塘坡</w:t>
            </w:r>
          </w:p>
        </w:tc>
        <w:tc>
          <w:tcPr>
            <w:tcW w:w="835" w:type="dxa"/>
            <w:noWrap w:val="0"/>
            <w:vAlign w:val="center"/>
          </w:tcPr>
          <w:p w14:paraId="48560E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-1988</w:t>
            </w:r>
          </w:p>
        </w:tc>
        <w:tc>
          <w:tcPr>
            <w:tcW w:w="750" w:type="dxa"/>
            <w:noWrap w:val="0"/>
            <w:vAlign w:val="center"/>
          </w:tcPr>
          <w:p w14:paraId="04EC4E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1155" w:type="dxa"/>
            <w:noWrap w:val="0"/>
            <w:vAlign w:val="center"/>
          </w:tcPr>
          <w:p w14:paraId="06528126">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2FE508C7">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约30户、105人</w:t>
            </w:r>
          </w:p>
        </w:tc>
        <w:tc>
          <w:tcPr>
            <w:tcW w:w="1020" w:type="dxa"/>
            <w:vMerge w:val="continue"/>
            <w:noWrap w:val="0"/>
            <w:vAlign w:val="center"/>
          </w:tcPr>
          <w:p w14:paraId="5C7D2EA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0CF800F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2ED0498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2710-3050</w:t>
            </w:r>
          </w:p>
        </w:tc>
      </w:tr>
      <w:tr w14:paraId="3EC77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9A1365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3</w:t>
            </w:r>
          </w:p>
        </w:tc>
        <w:tc>
          <w:tcPr>
            <w:tcW w:w="1091" w:type="dxa"/>
            <w:noWrap w:val="0"/>
            <w:vAlign w:val="center"/>
          </w:tcPr>
          <w:p w14:paraId="6949111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梨树脚</w:t>
            </w:r>
          </w:p>
        </w:tc>
        <w:tc>
          <w:tcPr>
            <w:tcW w:w="835" w:type="dxa"/>
            <w:noWrap w:val="0"/>
            <w:vAlign w:val="center"/>
          </w:tcPr>
          <w:p w14:paraId="522387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50" w:type="dxa"/>
            <w:noWrap w:val="0"/>
            <w:vAlign w:val="center"/>
          </w:tcPr>
          <w:p w14:paraId="18A6FC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1890</w:t>
            </w:r>
          </w:p>
        </w:tc>
        <w:tc>
          <w:tcPr>
            <w:tcW w:w="1155" w:type="dxa"/>
            <w:noWrap w:val="0"/>
            <w:vAlign w:val="center"/>
          </w:tcPr>
          <w:p w14:paraId="3C8DFC6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72A5AB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50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175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184A937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4857B45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3435594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2270-2745</w:t>
            </w:r>
          </w:p>
        </w:tc>
      </w:tr>
      <w:tr w14:paraId="14A9A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81" w:type="dxa"/>
            <w:noWrap w:val="0"/>
            <w:vAlign w:val="center"/>
          </w:tcPr>
          <w:p w14:paraId="4F00C17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4</w:t>
            </w:r>
          </w:p>
        </w:tc>
        <w:tc>
          <w:tcPr>
            <w:tcW w:w="1091" w:type="dxa"/>
            <w:noWrap w:val="0"/>
            <w:vAlign w:val="center"/>
          </w:tcPr>
          <w:p w14:paraId="10AFB30E">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刘家咀</w:t>
            </w:r>
          </w:p>
        </w:tc>
        <w:tc>
          <w:tcPr>
            <w:tcW w:w="835" w:type="dxa"/>
            <w:noWrap w:val="0"/>
            <w:vAlign w:val="center"/>
          </w:tcPr>
          <w:p w14:paraId="7BEA39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-1215</w:t>
            </w:r>
          </w:p>
        </w:tc>
        <w:tc>
          <w:tcPr>
            <w:tcW w:w="750" w:type="dxa"/>
            <w:noWrap w:val="0"/>
            <w:vAlign w:val="center"/>
          </w:tcPr>
          <w:p w14:paraId="72FA66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2124</w:t>
            </w:r>
          </w:p>
        </w:tc>
        <w:tc>
          <w:tcPr>
            <w:tcW w:w="1155" w:type="dxa"/>
            <w:noWrap w:val="0"/>
            <w:vAlign w:val="center"/>
          </w:tcPr>
          <w:p w14:paraId="6AFBD5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40A10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50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175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A0C61D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BC4EA8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7685C3E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2245-2580</w:t>
            </w:r>
          </w:p>
        </w:tc>
      </w:tr>
      <w:tr w14:paraId="1AA00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D2ED42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5</w:t>
            </w:r>
          </w:p>
        </w:tc>
        <w:tc>
          <w:tcPr>
            <w:tcW w:w="1091" w:type="dxa"/>
            <w:noWrap w:val="0"/>
            <w:vAlign w:val="center"/>
          </w:tcPr>
          <w:p w14:paraId="19013BF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金家屋场</w:t>
            </w:r>
          </w:p>
        </w:tc>
        <w:tc>
          <w:tcPr>
            <w:tcW w:w="835" w:type="dxa"/>
            <w:noWrap w:val="0"/>
            <w:vAlign w:val="center"/>
          </w:tcPr>
          <w:p w14:paraId="3FE76A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-1266</w:t>
            </w:r>
          </w:p>
        </w:tc>
        <w:tc>
          <w:tcPr>
            <w:tcW w:w="750" w:type="dxa"/>
            <w:noWrap w:val="0"/>
            <w:vAlign w:val="center"/>
          </w:tcPr>
          <w:p w14:paraId="58C202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1514</w:t>
            </w:r>
          </w:p>
        </w:tc>
        <w:tc>
          <w:tcPr>
            <w:tcW w:w="1155" w:type="dxa"/>
            <w:noWrap w:val="0"/>
            <w:vAlign w:val="center"/>
          </w:tcPr>
          <w:p w14:paraId="6BC9D4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406A52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451B72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FF335D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6B36E2D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1615-2135</w:t>
            </w:r>
          </w:p>
        </w:tc>
      </w:tr>
      <w:tr w14:paraId="7B24E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40A6A9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6</w:t>
            </w:r>
          </w:p>
        </w:tc>
        <w:tc>
          <w:tcPr>
            <w:tcW w:w="1091" w:type="dxa"/>
            <w:noWrap w:val="0"/>
            <w:vAlign w:val="center"/>
          </w:tcPr>
          <w:p w14:paraId="3440057C">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下头屋</w:t>
            </w:r>
          </w:p>
        </w:tc>
        <w:tc>
          <w:tcPr>
            <w:tcW w:w="835" w:type="dxa"/>
            <w:noWrap w:val="0"/>
            <w:vAlign w:val="center"/>
          </w:tcPr>
          <w:p w14:paraId="6589E3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-838</w:t>
            </w:r>
          </w:p>
        </w:tc>
        <w:tc>
          <w:tcPr>
            <w:tcW w:w="750" w:type="dxa"/>
            <w:noWrap w:val="0"/>
            <w:vAlign w:val="center"/>
          </w:tcPr>
          <w:p w14:paraId="2EDFC2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1829</w:t>
            </w:r>
          </w:p>
        </w:tc>
        <w:tc>
          <w:tcPr>
            <w:tcW w:w="1155" w:type="dxa"/>
            <w:noWrap w:val="0"/>
            <w:vAlign w:val="center"/>
          </w:tcPr>
          <w:p w14:paraId="026C480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A327B5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3AE7F0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76FAEC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3358ED9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1805-2000</w:t>
            </w:r>
          </w:p>
        </w:tc>
      </w:tr>
      <w:tr w14:paraId="74998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80E558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7</w:t>
            </w:r>
          </w:p>
        </w:tc>
        <w:tc>
          <w:tcPr>
            <w:tcW w:w="1091" w:type="dxa"/>
            <w:noWrap w:val="0"/>
            <w:vAlign w:val="center"/>
          </w:tcPr>
          <w:p w14:paraId="137CAF5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木门楼</w:t>
            </w:r>
          </w:p>
        </w:tc>
        <w:tc>
          <w:tcPr>
            <w:tcW w:w="835" w:type="dxa"/>
            <w:noWrap w:val="0"/>
            <w:vAlign w:val="center"/>
          </w:tcPr>
          <w:p w14:paraId="1F5DAF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750" w:type="dxa"/>
            <w:noWrap w:val="0"/>
            <w:vAlign w:val="center"/>
          </w:tcPr>
          <w:p w14:paraId="0D97B2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1849</w:t>
            </w:r>
          </w:p>
        </w:tc>
        <w:tc>
          <w:tcPr>
            <w:tcW w:w="1155" w:type="dxa"/>
            <w:noWrap w:val="0"/>
            <w:vAlign w:val="center"/>
          </w:tcPr>
          <w:p w14:paraId="79B176C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4DCF080">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50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175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16BB5BF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5016945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432635C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1795-2035</w:t>
            </w:r>
          </w:p>
        </w:tc>
      </w:tr>
      <w:tr w14:paraId="2B037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AA7347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8</w:t>
            </w:r>
          </w:p>
        </w:tc>
        <w:tc>
          <w:tcPr>
            <w:tcW w:w="1091" w:type="dxa"/>
            <w:noWrap w:val="0"/>
            <w:vAlign w:val="center"/>
          </w:tcPr>
          <w:p w14:paraId="1E08B05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上园里屋</w:t>
            </w:r>
          </w:p>
        </w:tc>
        <w:tc>
          <w:tcPr>
            <w:tcW w:w="835" w:type="dxa"/>
            <w:noWrap w:val="0"/>
            <w:vAlign w:val="center"/>
          </w:tcPr>
          <w:p w14:paraId="0D6468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750" w:type="dxa"/>
            <w:noWrap w:val="0"/>
            <w:vAlign w:val="center"/>
          </w:tcPr>
          <w:p w14:paraId="29A697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2418</w:t>
            </w:r>
          </w:p>
        </w:tc>
        <w:tc>
          <w:tcPr>
            <w:tcW w:w="1155" w:type="dxa"/>
            <w:noWrap w:val="0"/>
            <w:vAlign w:val="center"/>
          </w:tcPr>
          <w:p w14:paraId="056CA572">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530A6B4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10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35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C715EC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71138E8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982" w:type="dxa"/>
            <w:noWrap w:val="0"/>
            <w:vAlign w:val="center"/>
          </w:tcPr>
          <w:p w14:paraId="5AD478B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2375-2755</w:t>
            </w:r>
          </w:p>
        </w:tc>
      </w:tr>
      <w:tr w14:paraId="1A14D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DB64A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9</w:t>
            </w:r>
          </w:p>
        </w:tc>
        <w:tc>
          <w:tcPr>
            <w:tcW w:w="1091" w:type="dxa"/>
            <w:noWrap w:val="0"/>
            <w:vAlign w:val="center"/>
          </w:tcPr>
          <w:p w14:paraId="7093036A">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公家坝</w:t>
            </w:r>
          </w:p>
        </w:tc>
        <w:tc>
          <w:tcPr>
            <w:tcW w:w="835" w:type="dxa"/>
            <w:noWrap w:val="0"/>
            <w:vAlign w:val="center"/>
          </w:tcPr>
          <w:p w14:paraId="4EFC19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50" w:type="dxa"/>
            <w:noWrap w:val="0"/>
            <w:vAlign w:val="center"/>
          </w:tcPr>
          <w:p w14:paraId="482BC2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2093</w:t>
            </w:r>
          </w:p>
        </w:tc>
        <w:tc>
          <w:tcPr>
            <w:tcW w:w="1155" w:type="dxa"/>
            <w:noWrap w:val="0"/>
            <w:vAlign w:val="center"/>
          </w:tcPr>
          <w:p w14:paraId="207EEFC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C4E0D2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87F569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1DA41F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北</w:t>
            </w:r>
          </w:p>
        </w:tc>
        <w:tc>
          <w:tcPr>
            <w:tcW w:w="982" w:type="dxa"/>
            <w:noWrap w:val="0"/>
            <w:vAlign w:val="center"/>
          </w:tcPr>
          <w:p w14:paraId="6F262F7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1915-2400</w:t>
            </w:r>
          </w:p>
        </w:tc>
      </w:tr>
      <w:tr w14:paraId="728B7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noWrap w:val="0"/>
            <w:vAlign w:val="center"/>
          </w:tcPr>
          <w:p w14:paraId="61584F7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10</w:t>
            </w:r>
          </w:p>
        </w:tc>
        <w:tc>
          <w:tcPr>
            <w:tcW w:w="1091" w:type="dxa"/>
            <w:noWrap w:val="0"/>
            <w:vAlign w:val="center"/>
          </w:tcPr>
          <w:p w14:paraId="65750D9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铁头磅</w:t>
            </w:r>
          </w:p>
        </w:tc>
        <w:tc>
          <w:tcPr>
            <w:tcW w:w="835" w:type="dxa"/>
            <w:noWrap w:val="0"/>
            <w:vAlign w:val="center"/>
          </w:tcPr>
          <w:p w14:paraId="7908A1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322</w:t>
            </w:r>
          </w:p>
        </w:tc>
        <w:tc>
          <w:tcPr>
            <w:tcW w:w="750" w:type="dxa"/>
            <w:noWrap w:val="0"/>
            <w:vAlign w:val="center"/>
          </w:tcPr>
          <w:p w14:paraId="62FF69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2418</w:t>
            </w:r>
          </w:p>
        </w:tc>
        <w:tc>
          <w:tcPr>
            <w:tcW w:w="1155" w:type="dxa"/>
            <w:noWrap w:val="0"/>
            <w:vAlign w:val="center"/>
          </w:tcPr>
          <w:p w14:paraId="713FA55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15CAFE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F50259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895195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东北</w:t>
            </w:r>
          </w:p>
        </w:tc>
        <w:tc>
          <w:tcPr>
            <w:tcW w:w="982" w:type="dxa"/>
            <w:noWrap w:val="0"/>
            <w:vAlign w:val="center"/>
          </w:tcPr>
          <w:p w14:paraId="328932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2445-2465</w:t>
            </w:r>
          </w:p>
        </w:tc>
      </w:tr>
      <w:tr w14:paraId="0702E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AA7B4C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11</w:t>
            </w:r>
          </w:p>
        </w:tc>
        <w:tc>
          <w:tcPr>
            <w:tcW w:w="1091" w:type="dxa"/>
            <w:noWrap w:val="0"/>
            <w:vAlign w:val="center"/>
          </w:tcPr>
          <w:p w14:paraId="269FD54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莲花学校</w:t>
            </w:r>
          </w:p>
        </w:tc>
        <w:tc>
          <w:tcPr>
            <w:tcW w:w="835" w:type="dxa"/>
            <w:noWrap w:val="0"/>
            <w:vAlign w:val="center"/>
          </w:tcPr>
          <w:p w14:paraId="75C67D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607</w:t>
            </w:r>
          </w:p>
        </w:tc>
        <w:tc>
          <w:tcPr>
            <w:tcW w:w="750" w:type="dxa"/>
            <w:noWrap w:val="0"/>
            <w:vAlign w:val="center"/>
          </w:tcPr>
          <w:p w14:paraId="059A06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2367</w:t>
            </w:r>
          </w:p>
        </w:tc>
        <w:tc>
          <w:tcPr>
            <w:tcW w:w="1155" w:type="dxa"/>
            <w:noWrap w:val="0"/>
            <w:vAlign w:val="center"/>
          </w:tcPr>
          <w:p w14:paraId="6C50F3E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1275" w:type="dxa"/>
            <w:noWrap w:val="0"/>
            <w:vAlign w:val="center"/>
          </w:tcPr>
          <w:p w14:paraId="7536C9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21"/>
                <w:szCs w:val="21"/>
                <w:highlight w:val="none"/>
                <w:u w:val="none" w:color="auto"/>
              </w:rPr>
            </w:pPr>
            <w:r>
              <w:rPr>
                <w:rFonts w:hint="eastAsia" w:ascii="宋体" w:hAnsi="宋体" w:eastAsia="宋体" w:cs="宋体"/>
                <w:kern w:val="0"/>
                <w:sz w:val="21"/>
                <w:szCs w:val="21"/>
                <w:u w:val="none" w:color="auto"/>
                <w:lang w:val="en-US" w:eastAsia="zh-CN" w:bidi="ar"/>
              </w:rPr>
              <w:t>学生</w:t>
            </w:r>
            <w:r>
              <w:rPr>
                <w:rFonts w:hint="default" w:ascii="Times New Roman" w:hAnsi="Times New Roman" w:eastAsia="宋体" w:cs="Times New Roman"/>
                <w:kern w:val="0"/>
                <w:sz w:val="21"/>
                <w:szCs w:val="21"/>
                <w:u w:val="none" w:color="auto"/>
                <w:lang w:val="en-US" w:eastAsia="zh-CN" w:bidi="ar"/>
              </w:rPr>
              <w:t>300</w:t>
            </w:r>
            <w:r>
              <w:rPr>
                <w:rFonts w:hint="eastAsia" w:ascii="宋体" w:hAnsi="宋体" w:eastAsia="宋体" w:cs="宋体"/>
                <w:kern w:val="0"/>
                <w:sz w:val="21"/>
                <w:szCs w:val="21"/>
                <w:u w:val="none" w:color="auto"/>
                <w:lang w:val="en-US" w:eastAsia="zh-CN" w:bidi="ar"/>
              </w:rPr>
              <w:t>余人，教职工</w:t>
            </w:r>
            <w:r>
              <w:rPr>
                <w:rFonts w:hint="eastAsia"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余人</w:t>
            </w:r>
          </w:p>
        </w:tc>
        <w:tc>
          <w:tcPr>
            <w:tcW w:w="1020" w:type="dxa"/>
            <w:vMerge w:val="continue"/>
            <w:noWrap w:val="0"/>
            <w:vAlign w:val="center"/>
          </w:tcPr>
          <w:p w14:paraId="1F26D27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0AD959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0528345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2345</w:t>
            </w:r>
          </w:p>
        </w:tc>
      </w:tr>
      <w:tr w14:paraId="2318E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2AE1F0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12</w:t>
            </w:r>
          </w:p>
        </w:tc>
        <w:tc>
          <w:tcPr>
            <w:tcW w:w="1091" w:type="dxa"/>
            <w:noWrap w:val="0"/>
            <w:vAlign w:val="center"/>
          </w:tcPr>
          <w:p w14:paraId="075EADC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谢家新屋</w:t>
            </w:r>
          </w:p>
        </w:tc>
        <w:tc>
          <w:tcPr>
            <w:tcW w:w="835" w:type="dxa"/>
            <w:noWrap w:val="0"/>
            <w:vAlign w:val="center"/>
          </w:tcPr>
          <w:p w14:paraId="664A97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750" w:type="dxa"/>
            <w:noWrap w:val="0"/>
            <w:vAlign w:val="center"/>
          </w:tcPr>
          <w:p w14:paraId="783692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1992</w:t>
            </w:r>
          </w:p>
        </w:tc>
        <w:tc>
          <w:tcPr>
            <w:tcW w:w="1155" w:type="dxa"/>
            <w:noWrap w:val="0"/>
            <w:vAlign w:val="center"/>
          </w:tcPr>
          <w:p w14:paraId="2DE8519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1DEC7F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10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35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A52EA7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05E88CD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4FE2FEC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1880-2025</w:t>
            </w:r>
          </w:p>
        </w:tc>
      </w:tr>
      <w:tr w14:paraId="09BE5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CE71B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13</w:t>
            </w:r>
          </w:p>
        </w:tc>
        <w:tc>
          <w:tcPr>
            <w:tcW w:w="1091" w:type="dxa"/>
            <w:noWrap w:val="0"/>
            <w:vAlign w:val="center"/>
          </w:tcPr>
          <w:p w14:paraId="06F2062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大屋场</w:t>
            </w:r>
          </w:p>
        </w:tc>
        <w:tc>
          <w:tcPr>
            <w:tcW w:w="835" w:type="dxa"/>
            <w:noWrap w:val="0"/>
            <w:vAlign w:val="center"/>
          </w:tcPr>
          <w:p w14:paraId="3A1D10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567</w:t>
            </w:r>
          </w:p>
        </w:tc>
        <w:tc>
          <w:tcPr>
            <w:tcW w:w="750" w:type="dxa"/>
            <w:noWrap w:val="0"/>
            <w:vAlign w:val="center"/>
          </w:tcPr>
          <w:p w14:paraId="614962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2144</w:t>
            </w:r>
          </w:p>
        </w:tc>
        <w:tc>
          <w:tcPr>
            <w:tcW w:w="1155" w:type="dxa"/>
            <w:noWrap w:val="0"/>
            <w:vAlign w:val="center"/>
          </w:tcPr>
          <w:p w14:paraId="237034E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C224EC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10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35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0D3728A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34A6C2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408565D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2105-2300</w:t>
            </w:r>
          </w:p>
        </w:tc>
      </w:tr>
      <w:tr w14:paraId="4F5A9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67B7E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14</w:t>
            </w:r>
          </w:p>
        </w:tc>
        <w:tc>
          <w:tcPr>
            <w:tcW w:w="1091" w:type="dxa"/>
            <w:noWrap w:val="0"/>
            <w:vAlign w:val="center"/>
          </w:tcPr>
          <w:p w14:paraId="43476C2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赤塘</w:t>
            </w:r>
          </w:p>
        </w:tc>
        <w:tc>
          <w:tcPr>
            <w:tcW w:w="835" w:type="dxa"/>
            <w:noWrap w:val="0"/>
            <w:vAlign w:val="center"/>
          </w:tcPr>
          <w:p w14:paraId="0B052C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343</w:t>
            </w:r>
          </w:p>
        </w:tc>
        <w:tc>
          <w:tcPr>
            <w:tcW w:w="750" w:type="dxa"/>
            <w:noWrap w:val="0"/>
            <w:vAlign w:val="center"/>
          </w:tcPr>
          <w:p w14:paraId="4106FC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1646</w:t>
            </w:r>
          </w:p>
        </w:tc>
        <w:tc>
          <w:tcPr>
            <w:tcW w:w="1155" w:type="dxa"/>
            <w:noWrap w:val="0"/>
            <w:vAlign w:val="center"/>
          </w:tcPr>
          <w:p w14:paraId="63DEF51C">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11B2E62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50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175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BCACC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3A50D5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6D3C60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1405-1925</w:t>
            </w:r>
          </w:p>
        </w:tc>
      </w:tr>
      <w:tr w14:paraId="5EFA9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62C73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15</w:t>
            </w:r>
          </w:p>
        </w:tc>
        <w:tc>
          <w:tcPr>
            <w:tcW w:w="1091" w:type="dxa"/>
            <w:noWrap w:val="0"/>
            <w:vAlign w:val="center"/>
          </w:tcPr>
          <w:p w14:paraId="3B53A7B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干冲里</w:t>
            </w:r>
          </w:p>
        </w:tc>
        <w:tc>
          <w:tcPr>
            <w:tcW w:w="835" w:type="dxa"/>
            <w:noWrap w:val="0"/>
            <w:vAlign w:val="center"/>
          </w:tcPr>
          <w:p w14:paraId="03C3D1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1045</w:t>
            </w:r>
          </w:p>
        </w:tc>
        <w:tc>
          <w:tcPr>
            <w:tcW w:w="750" w:type="dxa"/>
            <w:noWrap w:val="0"/>
            <w:vAlign w:val="center"/>
          </w:tcPr>
          <w:p w14:paraId="20ED54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2235</w:t>
            </w:r>
          </w:p>
        </w:tc>
        <w:tc>
          <w:tcPr>
            <w:tcW w:w="1155" w:type="dxa"/>
            <w:noWrap w:val="0"/>
            <w:vAlign w:val="center"/>
          </w:tcPr>
          <w:p w14:paraId="43A704C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048533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83F48F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788CA7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38AAEE6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2175-2500</w:t>
            </w:r>
          </w:p>
        </w:tc>
      </w:tr>
      <w:tr w14:paraId="77662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54F0D5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16</w:t>
            </w:r>
          </w:p>
        </w:tc>
        <w:tc>
          <w:tcPr>
            <w:tcW w:w="1091" w:type="dxa"/>
            <w:noWrap w:val="0"/>
            <w:vAlign w:val="center"/>
          </w:tcPr>
          <w:p w14:paraId="164C438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旧屋场</w:t>
            </w:r>
          </w:p>
        </w:tc>
        <w:tc>
          <w:tcPr>
            <w:tcW w:w="835" w:type="dxa"/>
            <w:noWrap w:val="0"/>
            <w:vAlign w:val="center"/>
          </w:tcPr>
          <w:p w14:paraId="676DF8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984</w:t>
            </w:r>
          </w:p>
        </w:tc>
        <w:tc>
          <w:tcPr>
            <w:tcW w:w="750" w:type="dxa"/>
            <w:noWrap w:val="0"/>
            <w:vAlign w:val="center"/>
          </w:tcPr>
          <w:p w14:paraId="539760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1860</w:t>
            </w:r>
          </w:p>
        </w:tc>
        <w:tc>
          <w:tcPr>
            <w:tcW w:w="1155" w:type="dxa"/>
            <w:noWrap w:val="0"/>
            <w:vAlign w:val="center"/>
          </w:tcPr>
          <w:p w14:paraId="79A0C0F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9B6250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B2EAE2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490ABD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29E1AB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1650-2300</w:t>
            </w:r>
          </w:p>
        </w:tc>
      </w:tr>
      <w:tr w14:paraId="3ECB9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574BF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17</w:t>
            </w:r>
          </w:p>
        </w:tc>
        <w:tc>
          <w:tcPr>
            <w:tcW w:w="1091" w:type="dxa"/>
            <w:noWrap w:val="0"/>
            <w:vAlign w:val="center"/>
          </w:tcPr>
          <w:p w14:paraId="32F687D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梅塘湾</w:t>
            </w:r>
          </w:p>
        </w:tc>
        <w:tc>
          <w:tcPr>
            <w:tcW w:w="835" w:type="dxa"/>
            <w:noWrap w:val="0"/>
            <w:vAlign w:val="center"/>
          </w:tcPr>
          <w:p w14:paraId="12CCED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1544</w:t>
            </w:r>
          </w:p>
        </w:tc>
        <w:tc>
          <w:tcPr>
            <w:tcW w:w="750" w:type="dxa"/>
            <w:noWrap w:val="0"/>
            <w:vAlign w:val="center"/>
          </w:tcPr>
          <w:p w14:paraId="646680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1931</w:t>
            </w:r>
          </w:p>
        </w:tc>
        <w:tc>
          <w:tcPr>
            <w:tcW w:w="1155" w:type="dxa"/>
            <w:noWrap w:val="0"/>
            <w:vAlign w:val="center"/>
          </w:tcPr>
          <w:p w14:paraId="3DC4715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72592A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50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175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47E05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767E04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37CE33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2235-2575</w:t>
            </w:r>
          </w:p>
        </w:tc>
      </w:tr>
      <w:tr w14:paraId="41EC4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D37849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18</w:t>
            </w:r>
          </w:p>
        </w:tc>
        <w:tc>
          <w:tcPr>
            <w:tcW w:w="1091" w:type="dxa"/>
            <w:noWrap w:val="0"/>
            <w:vAlign w:val="center"/>
          </w:tcPr>
          <w:p w14:paraId="0476927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杉湾里</w:t>
            </w:r>
          </w:p>
        </w:tc>
        <w:tc>
          <w:tcPr>
            <w:tcW w:w="835" w:type="dxa"/>
            <w:noWrap w:val="0"/>
            <w:vAlign w:val="center"/>
          </w:tcPr>
          <w:p w14:paraId="2A0133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1697</w:t>
            </w:r>
          </w:p>
        </w:tc>
        <w:tc>
          <w:tcPr>
            <w:tcW w:w="750" w:type="dxa"/>
            <w:noWrap w:val="0"/>
            <w:vAlign w:val="center"/>
          </w:tcPr>
          <w:p w14:paraId="087E39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2266</w:t>
            </w:r>
          </w:p>
        </w:tc>
        <w:tc>
          <w:tcPr>
            <w:tcW w:w="1155" w:type="dxa"/>
            <w:noWrap w:val="0"/>
            <w:vAlign w:val="center"/>
          </w:tcPr>
          <w:p w14:paraId="6A8D0A0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6EEA7CB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9FB64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516C9C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0B7484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2530-2950</w:t>
            </w:r>
          </w:p>
        </w:tc>
      </w:tr>
      <w:tr w14:paraId="5EDB0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92C33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19</w:t>
            </w:r>
          </w:p>
        </w:tc>
        <w:tc>
          <w:tcPr>
            <w:tcW w:w="1091" w:type="dxa"/>
            <w:noWrap w:val="0"/>
            <w:vAlign w:val="center"/>
          </w:tcPr>
          <w:p w14:paraId="7283096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黎家冲</w:t>
            </w:r>
          </w:p>
        </w:tc>
        <w:tc>
          <w:tcPr>
            <w:tcW w:w="835" w:type="dxa"/>
            <w:noWrap w:val="0"/>
            <w:vAlign w:val="center"/>
          </w:tcPr>
          <w:p w14:paraId="00FD2A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2317</w:t>
            </w:r>
          </w:p>
        </w:tc>
        <w:tc>
          <w:tcPr>
            <w:tcW w:w="750" w:type="dxa"/>
            <w:noWrap w:val="0"/>
            <w:vAlign w:val="center"/>
          </w:tcPr>
          <w:p w14:paraId="59B483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2388</w:t>
            </w:r>
          </w:p>
        </w:tc>
        <w:tc>
          <w:tcPr>
            <w:tcW w:w="1155" w:type="dxa"/>
            <w:noWrap w:val="0"/>
            <w:vAlign w:val="center"/>
          </w:tcPr>
          <w:p w14:paraId="0962B55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573EE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06D4855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20B37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3E7716D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3130-3435</w:t>
            </w:r>
          </w:p>
        </w:tc>
      </w:tr>
      <w:tr w14:paraId="5EF38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3379FE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20</w:t>
            </w:r>
          </w:p>
        </w:tc>
        <w:tc>
          <w:tcPr>
            <w:tcW w:w="1091" w:type="dxa"/>
            <w:noWrap w:val="0"/>
            <w:vAlign w:val="center"/>
          </w:tcPr>
          <w:p w14:paraId="1642DFA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思源塘</w:t>
            </w:r>
          </w:p>
        </w:tc>
        <w:tc>
          <w:tcPr>
            <w:tcW w:w="835" w:type="dxa"/>
            <w:noWrap w:val="0"/>
            <w:vAlign w:val="center"/>
          </w:tcPr>
          <w:p w14:paraId="7D43C7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2429</w:t>
            </w:r>
          </w:p>
        </w:tc>
        <w:tc>
          <w:tcPr>
            <w:tcW w:w="750" w:type="dxa"/>
            <w:noWrap w:val="0"/>
            <w:vAlign w:val="center"/>
          </w:tcPr>
          <w:p w14:paraId="7C325F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1271</w:t>
            </w:r>
          </w:p>
        </w:tc>
        <w:tc>
          <w:tcPr>
            <w:tcW w:w="1155" w:type="dxa"/>
            <w:noWrap w:val="0"/>
            <w:vAlign w:val="center"/>
          </w:tcPr>
          <w:p w14:paraId="57DD49AB">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761772E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B281C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45F223A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0A7A4C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2290-2840</w:t>
            </w:r>
          </w:p>
        </w:tc>
      </w:tr>
      <w:tr w14:paraId="3565A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128792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21</w:t>
            </w:r>
          </w:p>
        </w:tc>
        <w:tc>
          <w:tcPr>
            <w:tcW w:w="1091" w:type="dxa"/>
            <w:noWrap w:val="0"/>
            <w:vAlign w:val="center"/>
          </w:tcPr>
          <w:p w14:paraId="3BBA9B2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大冲里</w:t>
            </w:r>
          </w:p>
        </w:tc>
        <w:tc>
          <w:tcPr>
            <w:tcW w:w="835" w:type="dxa"/>
            <w:noWrap w:val="0"/>
            <w:vAlign w:val="center"/>
          </w:tcPr>
          <w:p w14:paraId="14A116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1778</w:t>
            </w:r>
          </w:p>
        </w:tc>
        <w:tc>
          <w:tcPr>
            <w:tcW w:w="750" w:type="dxa"/>
            <w:noWrap w:val="0"/>
            <w:vAlign w:val="center"/>
          </w:tcPr>
          <w:p w14:paraId="3811B5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1047</w:t>
            </w:r>
          </w:p>
        </w:tc>
        <w:tc>
          <w:tcPr>
            <w:tcW w:w="1155" w:type="dxa"/>
            <w:noWrap w:val="0"/>
            <w:vAlign w:val="center"/>
          </w:tcPr>
          <w:p w14:paraId="64F6D01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62372E8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B4FA1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F265C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71AF47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1915-2180</w:t>
            </w:r>
          </w:p>
        </w:tc>
      </w:tr>
      <w:tr w14:paraId="244B3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C3DC18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22</w:t>
            </w:r>
          </w:p>
        </w:tc>
        <w:tc>
          <w:tcPr>
            <w:tcW w:w="1091" w:type="dxa"/>
            <w:noWrap w:val="0"/>
            <w:vAlign w:val="center"/>
          </w:tcPr>
          <w:p w14:paraId="6FE9C54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烟竹塘</w:t>
            </w:r>
          </w:p>
        </w:tc>
        <w:tc>
          <w:tcPr>
            <w:tcW w:w="835" w:type="dxa"/>
            <w:noWrap w:val="0"/>
            <w:vAlign w:val="center"/>
          </w:tcPr>
          <w:p w14:paraId="362E8A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2134</w:t>
            </w:r>
          </w:p>
        </w:tc>
        <w:tc>
          <w:tcPr>
            <w:tcW w:w="750" w:type="dxa"/>
            <w:noWrap w:val="0"/>
            <w:vAlign w:val="center"/>
          </w:tcPr>
          <w:p w14:paraId="048C82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682</w:t>
            </w:r>
          </w:p>
        </w:tc>
        <w:tc>
          <w:tcPr>
            <w:tcW w:w="1155" w:type="dxa"/>
            <w:noWrap w:val="0"/>
            <w:vAlign w:val="center"/>
          </w:tcPr>
          <w:p w14:paraId="1C982F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E73269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F97989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6421A0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0B22536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2080-2320</w:t>
            </w:r>
          </w:p>
        </w:tc>
      </w:tr>
      <w:tr w14:paraId="67588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AB0BD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23</w:t>
            </w:r>
          </w:p>
        </w:tc>
        <w:tc>
          <w:tcPr>
            <w:tcW w:w="1091" w:type="dxa"/>
            <w:noWrap w:val="0"/>
            <w:vAlign w:val="center"/>
          </w:tcPr>
          <w:p w14:paraId="22B5007F">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叶家塘</w:t>
            </w:r>
          </w:p>
        </w:tc>
        <w:tc>
          <w:tcPr>
            <w:tcW w:w="835" w:type="dxa"/>
            <w:noWrap w:val="0"/>
            <w:vAlign w:val="center"/>
          </w:tcPr>
          <w:p w14:paraId="6DA574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1809</w:t>
            </w:r>
          </w:p>
        </w:tc>
        <w:tc>
          <w:tcPr>
            <w:tcW w:w="750" w:type="dxa"/>
            <w:noWrap w:val="0"/>
            <w:vAlign w:val="center"/>
          </w:tcPr>
          <w:p w14:paraId="623AE4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1155" w:type="dxa"/>
            <w:noWrap w:val="0"/>
            <w:vAlign w:val="center"/>
          </w:tcPr>
          <w:p w14:paraId="25FF232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E662C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245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3F9E17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21D31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982" w:type="dxa"/>
            <w:noWrap w:val="0"/>
            <w:vAlign w:val="center"/>
          </w:tcPr>
          <w:p w14:paraId="5BBB460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1280-2145</w:t>
            </w:r>
          </w:p>
        </w:tc>
      </w:tr>
      <w:tr w14:paraId="44CF0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C4AE9B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24</w:t>
            </w:r>
          </w:p>
        </w:tc>
        <w:tc>
          <w:tcPr>
            <w:tcW w:w="1091" w:type="dxa"/>
            <w:noWrap w:val="0"/>
            <w:vAlign w:val="center"/>
          </w:tcPr>
          <w:p w14:paraId="521BA5E2">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石头咀</w:t>
            </w:r>
          </w:p>
        </w:tc>
        <w:tc>
          <w:tcPr>
            <w:tcW w:w="835" w:type="dxa"/>
            <w:noWrap w:val="0"/>
            <w:vAlign w:val="center"/>
          </w:tcPr>
          <w:p w14:paraId="72F0AC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w:t>
            </w:r>
          </w:p>
        </w:tc>
        <w:tc>
          <w:tcPr>
            <w:tcW w:w="750" w:type="dxa"/>
            <w:noWrap w:val="0"/>
            <w:vAlign w:val="center"/>
          </w:tcPr>
          <w:p w14:paraId="11BA8A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w:t>
            </w:r>
          </w:p>
        </w:tc>
        <w:tc>
          <w:tcPr>
            <w:tcW w:w="1155" w:type="dxa"/>
            <w:noWrap w:val="0"/>
            <w:vAlign w:val="center"/>
          </w:tcPr>
          <w:p w14:paraId="02B22B1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49821B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13EF6B8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B0FB2B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982" w:type="dxa"/>
            <w:noWrap w:val="0"/>
            <w:vAlign w:val="center"/>
          </w:tcPr>
          <w:p w14:paraId="7E88B7A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650-1095</w:t>
            </w:r>
          </w:p>
        </w:tc>
      </w:tr>
      <w:tr w14:paraId="598BE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CF8ECB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25</w:t>
            </w:r>
          </w:p>
        </w:tc>
        <w:tc>
          <w:tcPr>
            <w:tcW w:w="1091" w:type="dxa"/>
            <w:noWrap w:val="0"/>
            <w:vAlign w:val="center"/>
          </w:tcPr>
          <w:p w14:paraId="5E14483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湘北学校</w:t>
            </w:r>
          </w:p>
        </w:tc>
        <w:tc>
          <w:tcPr>
            <w:tcW w:w="835" w:type="dxa"/>
            <w:noWrap w:val="0"/>
            <w:vAlign w:val="center"/>
          </w:tcPr>
          <w:p w14:paraId="5643C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750" w:type="dxa"/>
            <w:noWrap w:val="0"/>
            <w:vAlign w:val="center"/>
          </w:tcPr>
          <w:p w14:paraId="259899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895</w:t>
            </w:r>
          </w:p>
        </w:tc>
        <w:tc>
          <w:tcPr>
            <w:tcW w:w="1155" w:type="dxa"/>
            <w:noWrap w:val="0"/>
            <w:vAlign w:val="center"/>
          </w:tcPr>
          <w:p w14:paraId="4056AB6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1275" w:type="dxa"/>
            <w:noWrap w:val="0"/>
            <w:vAlign w:val="center"/>
          </w:tcPr>
          <w:p w14:paraId="0304FFF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学生</w:t>
            </w:r>
            <w:r>
              <w:rPr>
                <w:rFonts w:hint="default" w:ascii="Times New Roman" w:hAnsi="Times New Roman" w:eastAsia="宋体" w:cs="Times New Roman"/>
                <w:kern w:val="0"/>
                <w:sz w:val="21"/>
                <w:szCs w:val="21"/>
                <w:u w:val="none" w:color="auto"/>
                <w:lang w:val="en-US" w:eastAsia="zh-CN" w:bidi="ar"/>
              </w:rPr>
              <w:t>3000</w:t>
            </w:r>
            <w:r>
              <w:rPr>
                <w:rFonts w:hint="eastAsia" w:ascii="宋体" w:hAnsi="宋体" w:eastAsia="宋体" w:cs="宋体"/>
                <w:kern w:val="0"/>
                <w:sz w:val="21"/>
                <w:szCs w:val="21"/>
                <w:u w:val="none" w:color="auto"/>
                <w:lang w:val="en-US" w:eastAsia="zh-CN" w:bidi="ar"/>
              </w:rPr>
              <w:t>余人，教职工</w:t>
            </w:r>
            <w:r>
              <w:rPr>
                <w:rFonts w:hint="eastAsia" w:ascii="Times New Roman" w:hAnsi="Times New Roman" w:eastAsia="宋体" w:cs="Times New Roman"/>
                <w:kern w:val="0"/>
                <w:sz w:val="21"/>
                <w:szCs w:val="21"/>
                <w:u w:val="none" w:color="auto"/>
                <w:lang w:val="en-US" w:eastAsia="zh-CN" w:bidi="ar"/>
              </w:rPr>
              <w:t>200</w:t>
            </w:r>
            <w:r>
              <w:rPr>
                <w:rFonts w:hint="eastAsia" w:ascii="宋体" w:hAnsi="宋体" w:eastAsia="宋体" w:cs="宋体"/>
                <w:kern w:val="0"/>
                <w:sz w:val="21"/>
                <w:szCs w:val="21"/>
                <w:u w:val="none" w:color="auto"/>
                <w:lang w:val="en-US" w:eastAsia="zh-CN" w:bidi="ar"/>
              </w:rPr>
              <w:t>余人</w:t>
            </w:r>
          </w:p>
        </w:tc>
        <w:tc>
          <w:tcPr>
            <w:tcW w:w="1020" w:type="dxa"/>
            <w:vMerge w:val="continue"/>
            <w:noWrap w:val="0"/>
            <w:vAlign w:val="center"/>
          </w:tcPr>
          <w:p w14:paraId="6D57AE2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1788CE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东北</w:t>
            </w:r>
          </w:p>
        </w:tc>
        <w:tc>
          <w:tcPr>
            <w:tcW w:w="982" w:type="dxa"/>
            <w:noWrap w:val="0"/>
            <w:vAlign w:val="center"/>
          </w:tcPr>
          <w:p w14:paraId="7E822B7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905-1565</w:t>
            </w:r>
          </w:p>
        </w:tc>
      </w:tr>
      <w:tr w14:paraId="32B2B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56CBD6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26</w:t>
            </w:r>
          </w:p>
        </w:tc>
        <w:tc>
          <w:tcPr>
            <w:tcW w:w="1091" w:type="dxa"/>
            <w:noWrap w:val="0"/>
            <w:vAlign w:val="center"/>
          </w:tcPr>
          <w:p w14:paraId="1C72A98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桑子园</w:t>
            </w:r>
          </w:p>
        </w:tc>
        <w:tc>
          <w:tcPr>
            <w:tcW w:w="835" w:type="dxa"/>
            <w:noWrap w:val="0"/>
            <w:vAlign w:val="center"/>
          </w:tcPr>
          <w:p w14:paraId="42ACB9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750" w:type="dxa"/>
            <w:noWrap w:val="0"/>
            <w:vAlign w:val="center"/>
          </w:tcPr>
          <w:p w14:paraId="7D8453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956</w:t>
            </w:r>
          </w:p>
        </w:tc>
        <w:tc>
          <w:tcPr>
            <w:tcW w:w="1155" w:type="dxa"/>
            <w:noWrap w:val="0"/>
            <w:vAlign w:val="center"/>
          </w:tcPr>
          <w:p w14:paraId="34099D69">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2E87567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245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722F90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A52F20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北</w:t>
            </w:r>
          </w:p>
        </w:tc>
        <w:tc>
          <w:tcPr>
            <w:tcW w:w="982" w:type="dxa"/>
            <w:noWrap w:val="0"/>
            <w:vAlign w:val="center"/>
          </w:tcPr>
          <w:p w14:paraId="1446B8B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865-1495</w:t>
            </w:r>
          </w:p>
        </w:tc>
      </w:tr>
      <w:tr w14:paraId="3B85F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030C6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27</w:t>
            </w:r>
          </w:p>
        </w:tc>
        <w:tc>
          <w:tcPr>
            <w:tcW w:w="1091" w:type="dxa"/>
            <w:noWrap w:val="0"/>
            <w:vAlign w:val="center"/>
          </w:tcPr>
          <w:p w14:paraId="60B8CA7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张家咀</w:t>
            </w:r>
          </w:p>
        </w:tc>
        <w:tc>
          <w:tcPr>
            <w:tcW w:w="835" w:type="dxa"/>
            <w:noWrap w:val="0"/>
            <w:vAlign w:val="center"/>
          </w:tcPr>
          <w:p w14:paraId="6EEB29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750" w:type="dxa"/>
            <w:noWrap w:val="0"/>
            <w:vAlign w:val="center"/>
          </w:tcPr>
          <w:p w14:paraId="635480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1291</w:t>
            </w:r>
          </w:p>
        </w:tc>
        <w:tc>
          <w:tcPr>
            <w:tcW w:w="1155" w:type="dxa"/>
            <w:noWrap w:val="0"/>
            <w:vAlign w:val="center"/>
          </w:tcPr>
          <w:p w14:paraId="6FB0955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C67605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F6A6C8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207482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982" w:type="dxa"/>
            <w:noWrap w:val="0"/>
            <w:vAlign w:val="center"/>
          </w:tcPr>
          <w:p w14:paraId="4B97A4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1165-1425</w:t>
            </w:r>
          </w:p>
        </w:tc>
      </w:tr>
      <w:tr w14:paraId="126B1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C4A0A1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28</w:t>
            </w:r>
          </w:p>
        </w:tc>
        <w:tc>
          <w:tcPr>
            <w:tcW w:w="1091" w:type="dxa"/>
            <w:noWrap w:val="0"/>
            <w:vAlign w:val="center"/>
          </w:tcPr>
          <w:p w14:paraId="5C568D4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孙家垄</w:t>
            </w:r>
          </w:p>
        </w:tc>
        <w:tc>
          <w:tcPr>
            <w:tcW w:w="835" w:type="dxa"/>
            <w:noWrap w:val="0"/>
            <w:vAlign w:val="center"/>
          </w:tcPr>
          <w:p w14:paraId="030A7A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-1683</w:t>
            </w:r>
          </w:p>
        </w:tc>
        <w:tc>
          <w:tcPr>
            <w:tcW w:w="750" w:type="dxa"/>
            <w:noWrap w:val="0"/>
            <w:vAlign w:val="center"/>
          </w:tcPr>
          <w:p w14:paraId="0918B5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986</w:t>
            </w:r>
          </w:p>
        </w:tc>
        <w:tc>
          <w:tcPr>
            <w:tcW w:w="1155" w:type="dxa"/>
            <w:noWrap w:val="0"/>
            <w:vAlign w:val="center"/>
          </w:tcPr>
          <w:p w14:paraId="5EE688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2BCD06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C7C8FC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386B7F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982" w:type="dxa"/>
            <w:noWrap w:val="0"/>
            <w:vAlign w:val="center"/>
          </w:tcPr>
          <w:p w14:paraId="0812C97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1785-2045</w:t>
            </w:r>
          </w:p>
        </w:tc>
      </w:tr>
      <w:tr w14:paraId="30AC9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9EAA0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29</w:t>
            </w:r>
          </w:p>
        </w:tc>
        <w:tc>
          <w:tcPr>
            <w:tcW w:w="1091" w:type="dxa"/>
            <w:noWrap w:val="0"/>
            <w:vAlign w:val="center"/>
          </w:tcPr>
          <w:p w14:paraId="4F636A2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苏家冲</w:t>
            </w:r>
          </w:p>
        </w:tc>
        <w:tc>
          <w:tcPr>
            <w:tcW w:w="835" w:type="dxa"/>
            <w:noWrap w:val="0"/>
            <w:vAlign w:val="center"/>
          </w:tcPr>
          <w:p w14:paraId="2AA742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-2253</w:t>
            </w:r>
          </w:p>
        </w:tc>
        <w:tc>
          <w:tcPr>
            <w:tcW w:w="750" w:type="dxa"/>
            <w:noWrap w:val="0"/>
            <w:vAlign w:val="center"/>
          </w:tcPr>
          <w:p w14:paraId="4E61E7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1291</w:t>
            </w:r>
          </w:p>
        </w:tc>
        <w:tc>
          <w:tcPr>
            <w:tcW w:w="1155" w:type="dxa"/>
            <w:noWrap w:val="0"/>
            <w:vAlign w:val="center"/>
          </w:tcPr>
          <w:p w14:paraId="0FBDC02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E71654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238679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69488A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982" w:type="dxa"/>
            <w:noWrap w:val="0"/>
            <w:vAlign w:val="center"/>
          </w:tcPr>
          <w:p w14:paraId="1DD88F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2370-2965</w:t>
            </w:r>
          </w:p>
        </w:tc>
      </w:tr>
      <w:tr w14:paraId="3BD50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569DA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30</w:t>
            </w:r>
          </w:p>
        </w:tc>
        <w:tc>
          <w:tcPr>
            <w:tcW w:w="1091" w:type="dxa"/>
            <w:noWrap w:val="0"/>
            <w:vAlign w:val="center"/>
          </w:tcPr>
          <w:p w14:paraId="3768390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王家园</w:t>
            </w:r>
          </w:p>
        </w:tc>
        <w:tc>
          <w:tcPr>
            <w:tcW w:w="835" w:type="dxa"/>
            <w:noWrap w:val="0"/>
            <w:vAlign w:val="center"/>
          </w:tcPr>
          <w:p w14:paraId="4AD0B1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-2355</w:t>
            </w:r>
          </w:p>
        </w:tc>
        <w:tc>
          <w:tcPr>
            <w:tcW w:w="750" w:type="dxa"/>
            <w:noWrap w:val="0"/>
            <w:vAlign w:val="center"/>
          </w:tcPr>
          <w:p w14:paraId="03FCDE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844</w:t>
            </w:r>
          </w:p>
        </w:tc>
        <w:tc>
          <w:tcPr>
            <w:tcW w:w="1155" w:type="dxa"/>
            <w:noWrap w:val="0"/>
            <w:vAlign w:val="center"/>
          </w:tcPr>
          <w:p w14:paraId="3ADE882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94BC73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191D45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BD3F85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982" w:type="dxa"/>
            <w:noWrap w:val="0"/>
            <w:vAlign w:val="center"/>
          </w:tcPr>
          <w:p w14:paraId="473DA30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2405-2655</w:t>
            </w:r>
          </w:p>
        </w:tc>
      </w:tr>
      <w:tr w14:paraId="565E2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5A3037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31</w:t>
            </w:r>
          </w:p>
        </w:tc>
        <w:tc>
          <w:tcPr>
            <w:tcW w:w="1091" w:type="dxa"/>
            <w:noWrap w:val="0"/>
            <w:vAlign w:val="center"/>
          </w:tcPr>
          <w:p w14:paraId="6950172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熊家湾</w:t>
            </w:r>
          </w:p>
        </w:tc>
        <w:tc>
          <w:tcPr>
            <w:tcW w:w="835" w:type="dxa"/>
            <w:noWrap w:val="0"/>
            <w:vAlign w:val="center"/>
          </w:tcPr>
          <w:p w14:paraId="29A7F8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-2273</w:t>
            </w:r>
          </w:p>
        </w:tc>
        <w:tc>
          <w:tcPr>
            <w:tcW w:w="750" w:type="dxa"/>
            <w:noWrap w:val="0"/>
            <w:vAlign w:val="center"/>
          </w:tcPr>
          <w:p w14:paraId="0CBE3B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155" w:type="dxa"/>
            <w:noWrap w:val="0"/>
            <w:vAlign w:val="center"/>
          </w:tcPr>
          <w:p w14:paraId="0F7461F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6A9ADD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3C26E9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9B853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w:t>
            </w:r>
          </w:p>
        </w:tc>
        <w:tc>
          <w:tcPr>
            <w:tcW w:w="982" w:type="dxa"/>
            <w:noWrap w:val="0"/>
            <w:vAlign w:val="center"/>
          </w:tcPr>
          <w:p w14:paraId="1A62D0E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2020-2365</w:t>
            </w:r>
          </w:p>
        </w:tc>
      </w:tr>
      <w:tr w14:paraId="36FCD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548BC4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32</w:t>
            </w:r>
          </w:p>
        </w:tc>
        <w:tc>
          <w:tcPr>
            <w:tcW w:w="1091" w:type="dxa"/>
            <w:noWrap w:val="0"/>
            <w:vAlign w:val="center"/>
          </w:tcPr>
          <w:p w14:paraId="03BCDB0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山脚老屋</w:t>
            </w:r>
          </w:p>
        </w:tc>
        <w:tc>
          <w:tcPr>
            <w:tcW w:w="835" w:type="dxa"/>
            <w:noWrap w:val="0"/>
            <w:vAlign w:val="center"/>
          </w:tcPr>
          <w:p w14:paraId="052EAA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-1612</w:t>
            </w:r>
          </w:p>
        </w:tc>
        <w:tc>
          <w:tcPr>
            <w:tcW w:w="750" w:type="dxa"/>
            <w:noWrap w:val="0"/>
            <w:vAlign w:val="center"/>
          </w:tcPr>
          <w:p w14:paraId="4573E8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w:t>
            </w:r>
          </w:p>
        </w:tc>
        <w:tc>
          <w:tcPr>
            <w:tcW w:w="1155" w:type="dxa"/>
            <w:noWrap w:val="0"/>
            <w:vAlign w:val="center"/>
          </w:tcPr>
          <w:p w14:paraId="53FC9859">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7E41CA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A1F4C0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F2E784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西北</w:t>
            </w:r>
          </w:p>
        </w:tc>
        <w:tc>
          <w:tcPr>
            <w:tcW w:w="982" w:type="dxa"/>
            <w:noWrap w:val="0"/>
            <w:vAlign w:val="center"/>
          </w:tcPr>
          <w:p w14:paraId="71A0310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1425-1710</w:t>
            </w:r>
          </w:p>
        </w:tc>
      </w:tr>
      <w:tr w14:paraId="6A445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7173F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33</w:t>
            </w:r>
          </w:p>
        </w:tc>
        <w:tc>
          <w:tcPr>
            <w:tcW w:w="1091" w:type="dxa"/>
            <w:noWrap w:val="0"/>
            <w:vAlign w:val="center"/>
          </w:tcPr>
          <w:p w14:paraId="18057B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贺公塘</w:t>
            </w:r>
          </w:p>
        </w:tc>
        <w:tc>
          <w:tcPr>
            <w:tcW w:w="835" w:type="dxa"/>
            <w:noWrap w:val="0"/>
            <w:vAlign w:val="center"/>
          </w:tcPr>
          <w:p w14:paraId="4073FE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-1215</w:t>
            </w:r>
          </w:p>
        </w:tc>
        <w:tc>
          <w:tcPr>
            <w:tcW w:w="750" w:type="dxa"/>
            <w:noWrap w:val="0"/>
            <w:vAlign w:val="center"/>
          </w:tcPr>
          <w:p w14:paraId="38D76F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1155" w:type="dxa"/>
            <w:noWrap w:val="0"/>
            <w:vAlign w:val="center"/>
          </w:tcPr>
          <w:p w14:paraId="1499CAF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5652DD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CF8215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BB2731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w:t>
            </w:r>
          </w:p>
        </w:tc>
        <w:tc>
          <w:tcPr>
            <w:tcW w:w="982" w:type="dxa"/>
            <w:noWrap w:val="0"/>
            <w:vAlign w:val="center"/>
          </w:tcPr>
          <w:p w14:paraId="56BB8B9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1210-1475</w:t>
            </w:r>
          </w:p>
        </w:tc>
      </w:tr>
      <w:tr w14:paraId="7AA12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4C8AB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34</w:t>
            </w:r>
          </w:p>
        </w:tc>
        <w:tc>
          <w:tcPr>
            <w:tcW w:w="1091" w:type="dxa"/>
            <w:noWrap w:val="0"/>
            <w:vAlign w:val="center"/>
          </w:tcPr>
          <w:p w14:paraId="0513909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王塘湾</w:t>
            </w:r>
          </w:p>
        </w:tc>
        <w:tc>
          <w:tcPr>
            <w:tcW w:w="835" w:type="dxa"/>
            <w:noWrap w:val="0"/>
            <w:vAlign w:val="center"/>
          </w:tcPr>
          <w:p w14:paraId="289459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-1123</w:t>
            </w:r>
          </w:p>
        </w:tc>
        <w:tc>
          <w:tcPr>
            <w:tcW w:w="750" w:type="dxa"/>
            <w:noWrap w:val="0"/>
            <w:vAlign w:val="center"/>
          </w:tcPr>
          <w:p w14:paraId="3188BC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-790</w:t>
            </w:r>
          </w:p>
        </w:tc>
        <w:tc>
          <w:tcPr>
            <w:tcW w:w="1155" w:type="dxa"/>
            <w:noWrap w:val="0"/>
            <w:vAlign w:val="center"/>
          </w:tcPr>
          <w:p w14:paraId="39D5395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A523FF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87098F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F2101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3F3C3D4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1315-1540</w:t>
            </w:r>
          </w:p>
        </w:tc>
      </w:tr>
      <w:tr w14:paraId="08EE3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DE7FEA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35</w:t>
            </w:r>
          </w:p>
        </w:tc>
        <w:tc>
          <w:tcPr>
            <w:tcW w:w="1091" w:type="dxa"/>
            <w:noWrap w:val="0"/>
            <w:vAlign w:val="center"/>
          </w:tcPr>
          <w:p w14:paraId="5549FFE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西竹庵</w:t>
            </w:r>
          </w:p>
        </w:tc>
        <w:tc>
          <w:tcPr>
            <w:tcW w:w="835" w:type="dxa"/>
            <w:noWrap w:val="0"/>
            <w:vAlign w:val="center"/>
          </w:tcPr>
          <w:p w14:paraId="53C983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-1591</w:t>
            </w:r>
          </w:p>
        </w:tc>
        <w:tc>
          <w:tcPr>
            <w:tcW w:w="750" w:type="dxa"/>
            <w:noWrap w:val="0"/>
            <w:vAlign w:val="center"/>
          </w:tcPr>
          <w:p w14:paraId="36192D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1155" w:type="dxa"/>
            <w:noWrap w:val="0"/>
            <w:vAlign w:val="center"/>
          </w:tcPr>
          <w:p w14:paraId="12DB98E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E4832E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8E2A0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4A7B3D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449EAEE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1560-1875</w:t>
            </w:r>
          </w:p>
        </w:tc>
      </w:tr>
      <w:tr w14:paraId="1F43E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19250B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36</w:t>
            </w:r>
          </w:p>
        </w:tc>
        <w:tc>
          <w:tcPr>
            <w:tcW w:w="1091" w:type="dxa"/>
            <w:noWrap w:val="0"/>
            <w:vAlign w:val="center"/>
          </w:tcPr>
          <w:p w14:paraId="107CEE2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坪上屋</w:t>
            </w:r>
          </w:p>
        </w:tc>
        <w:tc>
          <w:tcPr>
            <w:tcW w:w="835" w:type="dxa"/>
            <w:noWrap w:val="0"/>
            <w:vAlign w:val="center"/>
          </w:tcPr>
          <w:p w14:paraId="3FAA90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50" w:type="dxa"/>
            <w:noWrap w:val="0"/>
            <w:vAlign w:val="center"/>
          </w:tcPr>
          <w:p w14:paraId="398AFE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-1176</w:t>
            </w:r>
          </w:p>
        </w:tc>
        <w:tc>
          <w:tcPr>
            <w:tcW w:w="1155" w:type="dxa"/>
            <w:noWrap w:val="0"/>
            <w:vAlign w:val="center"/>
          </w:tcPr>
          <w:p w14:paraId="3EC45E3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F226AE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1B5EC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41D9B2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2E9AB77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1465-2060</w:t>
            </w:r>
          </w:p>
        </w:tc>
      </w:tr>
      <w:tr w14:paraId="72701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0576DF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37</w:t>
            </w:r>
          </w:p>
        </w:tc>
        <w:tc>
          <w:tcPr>
            <w:tcW w:w="1091" w:type="dxa"/>
            <w:noWrap w:val="0"/>
            <w:vAlign w:val="center"/>
          </w:tcPr>
          <w:p w14:paraId="49A0F46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新屋里</w:t>
            </w:r>
          </w:p>
        </w:tc>
        <w:tc>
          <w:tcPr>
            <w:tcW w:w="835" w:type="dxa"/>
            <w:noWrap w:val="0"/>
            <w:vAlign w:val="center"/>
          </w:tcPr>
          <w:p w14:paraId="4B22AA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-1367</w:t>
            </w:r>
          </w:p>
        </w:tc>
        <w:tc>
          <w:tcPr>
            <w:tcW w:w="750" w:type="dxa"/>
            <w:noWrap w:val="0"/>
            <w:vAlign w:val="center"/>
          </w:tcPr>
          <w:p w14:paraId="54A0EF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-1745</w:t>
            </w:r>
          </w:p>
        </w:tc>
        <w:tc>
          <w:tcPr>
            <w:tcW w:w="1155" w:type="dxa"/>
            <w:noWrap w:val="0"/>
            <w:vAlign w:val="center"/>
          </w:tcPr>
          <w:p w14:paraId="218BC45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717EB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EEAAC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49270E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5FC6BE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2110-2455</w:t>
            </w:r>
          </w:p>
        </w:tc>
      </w:tr>
      <w:tr w14:paraId="14228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A7DB5F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38</w:t>
            </w:r>
          </w:p>
        </w:tc>
        <w:tc>
          <w:tcPr>
            <w:tcW w:w="1091" w:type="dxa"/>
            <w:noWrap w:val="0"/>
            <w:vAlign w:val="center"/>
          </w:tcPr>
          <w:p w14:paraId="291D960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朱家老屋</w:t>
            </w:r>
          </w:p>
        </w:tc>
        <w:tc>
          <w:tcPr>
            <w:tcW w:w="835" w:type="dxa"/>
            <w:noWrap w:val="0"/>
            <w:vAlign w:val="center"/>
          </w:tcPr>
          <w:p w14:paraId="38E462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-1031</w:t>
            </w:r>
          </w:p>
        </w:tc>
        <w:tc>
          <w:tcPr>
            <w:tcW w:w="750" w:type="dxa"/>
            <w:noWrap w:val="0"/>
            <w:vAlign w:val="center"/>
          </w:tcPr>
          <w:p w14:paraId="00A822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-1623</w:t>
            </w:r>
          </w:p>
        </w:tc>
        <w:tc>
          <w:tcPr>
            <w:tcW w:w="1155" w:type="dxa"/>
            <w:noWrap w:val="0"/>
            <w:vAlign w:val="center"/>
          </w:tcPr>
          <w:p w14:paraId="5E251456">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47F837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63DA47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F35E2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53B1459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1565-2310</w:t>
            </w:r>
          </w:p>
        </w:tc>
      </w:tr>
      <w:tr w14:paraId="2A11C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2EBCF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39</w:t>
            </w:r>
          </w:p>
        </w:tc>
        <w:tc>
          <w:tcPr>
            <w:tcW w:w="1091" w:type="dxa"/>
            <w:noWrap w:val="0"/>
            <w:vAlign w:val="center"/>
          </w:tcPr>
          <w:p w14:paraId="2989766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彭家新屋</w:t>
            </w:r>
          </w:p>
        </w:tc>
        <w:tc>
          <w:tcPr>
            <w:tcW w:w="835" w:type="dxa"/>
            <w:noWrap w:val="0"/>
            <w:vAlign w:val="center"/>
          </w:tcPr>
          <w:p w14:paraId="1F5829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-1449</w:t>
            </w:r>
          </w:p>
        </w:tc>
        <w:tc>
          <w:tcPr>
            <w:tcW w:w="750" w:type="dxa"/>
            <w:noWrap w:val="0"/>
            <w:vAlign w:val="center"/>
          </w:tcPr>
          <w:p w14:paraId="6131E8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-2283</w:t>
            </w:r>
          </w:p>
        </w:tc>
        <w:tc>
          <w:tcPr>
            <w:tcW w:w="1155" w:type="dxa"/>
            <w:noWrap w:val="0"/>
            <w:vAlign w:val="center"/>
          </w:tcPr>
          <w:p w14:paraId="6330DE7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C1A7CB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24B1093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2E1102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57A091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2660-2885</w:t>
            </w:r>
          </w:p>
        </w:tc>
      </w:tr>
      <w:tr w14:paraId="5939A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133AD2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40</w:t>
            </w:r>
          </w:p>
        </w:tc>
        <w:tc>
          <w:tcPr>
            <w:tcW w:w="1091" w:type="dxa"/>
            <w:noWrap w:val="0"/>
            <w:vAlign w:val="center"/>
          </w:tcPr>
          <w:p w14:paraId="565308CD">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乙家湾</w:t>
            </w:r>
          </w:p>
        </w:tc>
        <w:tc>
          <w:tcPr>
            <w:tcW w:w="835" w:type="dxa"/>
            <w:noWrap w:val="0"/>
            <w:vAlign w:val="center"/>
          </w:tcPr>
          <w:p w14:paraId="73B308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-858</w:t>
            </w:r>
          </w:p>
        </w:tc>
        <w:tc>
          <w:tcPr>
            <w:tcW w:w="750" w:type="dxa"/>
            <w:noWrap w:val="0"/>
            <w:vAlign w:val="center"/>
          </w:tcPr>
          <w:p w14:paraId="229C1E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-2364</w:t>
            </w:r>
          </w:p>
        </w:tc>
        <w:tc>
          <w:tcPr>
            <w:tcW w:w="1155" w:type="dxa"/>
            <w:noWrap w:val="0"/>
            <w:vAlign w:val="center"/>
          </w:tcPr>
          <w:p w14:paraId="337BCE3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FDB2C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约65户，约230人</w:t>
            </w:r>
          </w:p>
        </w:tc>
        <w:tc>
          <w:tcPr>
            <w:tcW w:w="1020" w:type="dxa"/>
            <w:vMerge w:val="continue"/>
            <w:noWrap w:val="0"/>
            <w:vAlign w:val="center"/>
          </w:tcPr>
          <w:p w14:paraId="5577E8A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70F35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982" w:type="dxa"/>
            <w:noWrap w:val="0"/>
            <w:vAlign w:val="center"/>
          </w:tcPr>
          <w:p w14:paraId="26D86F4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2455-2710</w:t>
            </w:r>
          </w:p>
        </w:tc>
      </w:tr>
      <w:tr w14:paraId="659AE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noWrap w:val="0"/>
            <w:vAlign w:val="center"/>
          </w:tcPr>
          <w:p w14:paraId="6095BC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41</w:t>
            </w:r>
          </w:p>
        </w:tc>
        <w:tc>
          <w:tcPr>
            <w:tcW w:w="1091" w:type="dxa"/>
            <w:noWrap w:val="0"/>
            <w:vAlign w:val="center"/>
          </w:tcPr>
          <w:p w14:paraId="3F79208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黄泥塘</w:t>
            </w:r>
          </w:p>
        </w:tc>
        <w:tc>
          <w:tcPr>
            <w:tcW w:w="835" w:type="dxa"/>
            <w:noWrap w:val="0"/>
            <w:vAlign w:val="center"/>
          </w:tcPr>
          <w:p w14:paraId="2E8AEB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750" w:type="dxa"/>
            <w:noWrap w:val="0"/>
            <w:vAlign w:val="center"/>
          </w:tcPr>
          <w:p w14:paraId="6C9F4B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-2070</w:t>
            </w:r>
          </w:p>
        </w:tc>
        <w:tc>
          <w:tcPr>
            <w:tcW w:w="1155" w:type="dxa"/>
            <w:noWrap w:val="0"/>
            <w:vAlign w:val="center"/>
          </w:tcPr>
          <w:p w14:paraId="14BD0C2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C4E13C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约45户，约160人</w:t>
            </w:r>
          </w:p>
        </w:tc>
        <w:tc>
          <w:tcPr>
            <w:tcW w:w="1020" w:type="dxa"/>
            <w:vMerge w:val="continue"/>
            <w:noWrap w:val="0"/>
            <w:vAlign w:val="center"/>
          </w:tcPr>
          <w:p w14:paraId="203EE6E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428A4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南</w:t>
            </w:r>
          </w:p>
        </w:tc>
        <w:tc>
          <w:tcPr>
            <w:tcW w:w="982" w:type="dxa"/>
            <w:noWrap w:val="0"/>
            <w:vAlign w:val="center"/>
          </w:tcPr>
          <w:p w14:paraId="67E927E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1490-2460</w:t>
            </w:r>
          </w:p>
        </w:tc>
      </w:tr>
      <w:tr w14:paraId="24532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63738C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42</w:t>
            </w:r>
          </w:p>
        </w:tc>
        <w:tc>
          <w:tcPr>
            <w:tcW w:w="1091" w:type="dxa"/>
            <w:noWrap w:val="0"/>
            <w:vAlign w:val="center"/>
          </w:tcPr>
          <w:p w14:paraId="3101521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青山铺镇</w:t>
            </w:r>
          </w:p>
        </w:tc>
        <w:tc>
          <w:tcPr>
            <w:tcW w:w="835" w:type="dxa"/>
            <w:noWrap w:val="0"/>
            <w:vAlign w:val="center"/>
          </w:tcPr>
          <w:p w14:paraId="552A22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923</w:t>
            </w:r>
          </w:p>
        </w:tc>
        <w:tc>
          <w:tcPr>
            <w:tcW w:w="750" w:type="dxa"/>
            <w:noWrap w:val="0"/>
            <w:vAlign w:val="center"/>
          </w:tcPr>
          <w:p w14:paraId="0FD1A0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-1897</w:t>
            </w:r>
          </w:p>
        </w:tc>
        <w:tc>
          <w:tcPr>
            <w:tcW w:w="1155" w:type="dxa"/>
            <w:noWrap w:val="0"/>
            <w:vAlign w:val="center"/>
          </w:tcPr>
          <w:p w14:paraId="4300E1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CCAFD5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9</w:t>
            </w:r>
            <w:r>
              <w:rPr>
                <w:rFonts w:hint="eastAsia" w:ascii="Times New Roman" w:hAnsi="Times New Roman" w:eastAsia="宋体" w:cs="Times New Roman"/>
                <w:kern w:val="0"/>
                <w:sz w:val="21"/>
                <w:szCs w:val="21"/>
                <w:u w:val="none" w:color="auto"/>
                <w:lang w:val="en-US" w:eastAsia="zh-CN" w:bidi="ar"/>
              </w:rPr>
              <w:t>00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77CE754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40154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2040D7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1850-2560</w:t>
            </w:r>
          </w:p>
        </w:tc>
      </w:tr>
      <w:tr w14:paraId="0174D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4278B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43</w:t>
            </w:r>
          </w:p>
        </w:tc>
        <w:tc>
          <w:tcPr>
            <w:tcW w:w="1091" w:type="dxa"/>
            <w:noWrap w:val="0"/>
            <w:vAlign w:val="center"/>
          </w:tcPr>
          <w:p w14:paraId="186E4C5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袁家大屋</w:t>
            </w:r>
          </w:p>
        </w:tc>
        <w:tc>
          <w:tcPr>
            <w:tcW w:w="835" w:type="dxa"/>
            <w:noWrap w:val="0"/>
            <w:vAlign w:val="center"/>
          </w:tcPr>
          <w:p w14:paraId="1CC52B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974</w:t>
            </w:r>
          </w:p>
        </w:tc>
        <w:tc>
          <w:tcPr>
            <w:tcW w:w="750" w:type="dxa"/>
            <w:noWrap w:val="0"/>
            <w:vAlign w:val="center"/>
          </w:tcPr>
          <w:p w14:paraId="726216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-1623</w:t>
            </w:r>
          </w:p>
        </w:tc>
        <w:tc>
          <w:tcPr>
            <w:tcW w:w="1155" w:type="dxa"/>
            <w:noWrap w:val="0"/>
            <w:vAlign w:val="center"/>
          </w:tcPr>
          <w:p w14:paraId="41F7E5A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7657C85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约45户，约160人</w:t>
            </w:r>
          </w:p>
        </w:tc>
        <w:tc>
          <w:tcPr>
            <w:tcW w:w="1020" w:type="dxa"/>
            <w:vMerge w:val="continue"/>
            <w:noWrap w:val="0"/>
            <w:vAlign w:val="center"/>
          </w:tcPr>
          <w:p w14:paraId="6AEC477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2E35B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200C5F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1645-2045</w:t>
            </w:r>
          </w:p>
        </w:tc>
      </w:tr>
      <w:tr w14:paraId="1271B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170994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44</w:t>
            </w:r>
          </w:p>
        </w:tc>
        <w:tc>
          <w:tcPr>
            <w:tcW w:w="1091" w:type="dxa"/>
            <w:noWrap w:val="0"/>
            <w:vAlign w:val="center"/>
          </w:tcPr>
          <w:p w14:paraId="177867B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毛屋垄</w:t>
            </w:r>
          </w:p>
        </w:tc>
        <w:tc>
          <w:tcPr>
            <w:tcW w:w="835" w:type="dxa"/>
            <w:noWrap w:val="0"/>
            <w:vAlign w:val="center"/>
          </w:tcPr>
          <w:p w14:paraId="7447F2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709</w:t>
            </w:r>
          </w:p>
        </w:tc>
        <w:tc>
          <w:tcPr>
            <w:tcW w:w="750" w:type="dxa"/>
            <w:noWrap w:val="0"/>
            <w:vAlign w:val="center"/>
          </w:tcPr>
          <w:p w14:paraId="569BBB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-943</w:t>
            </w:r>
          </w:p>
        </w:tc>
        <w:tc>
          <w:tcPr>
            <w:tcW w:w="1155" w:type="dxa"/>
            <w:noWrap w:val="0"/>
            <w:vAlign w:val="center"/>
          </w:tcPr>
          <w:p w14:paraId="19A4C498">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1275" w:type="dxa"/>
            <w:noWrap w:val="0"/>
            <w:vAlign w:val="center"/>
          </w:tcPr>
          <w:p w14:paraId="539209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50A550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B3E324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300DA7D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1105-1565</w:t>
            </w:r>
          </w:p>
        </w:tc>
      </w:tr>
      <w:tr w14:paraId="45E61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19D32F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45</w:t>
            </w:r>
          </w:p>
        </w:tc>
        <w:tc>
          <w:tcPr>
            <w:tcW w:w="1091" w:type="dxa"/>
            <w:noWrap w:val="0"/>
            <w:vAlign w:val="center"/>
          </w:tcPr>
          <w:p w14:paraId="670DE1D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皮公塘</w:t>
            </w:r>
          </w:p>
        </w:tc>
        <w:tc>
          <w:tcPr>
            <w:tcW w:w="835" w:type="dxa"/>
            <w:noWrap w:val="0"/>
            <w:vAlign w:val="center"/>
          </w:tcPr>
          <w:p w14:paraId="4747E1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750" w:type="dxa"/>
            <w:noWrap w:val="0"/>
            <w:vAlign w:val="center"/>
          </w:tcPr>
          <w:p w14:paraId="11985A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1155" w:type="dxa"/>
            <w:noWrap w:val="0"/>
            <w:vAlign w:val="center"/>
          </w:tcPr>
          <w:p w14:paraId="334DC53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79DB5E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30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105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7278CF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EFA744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180035C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480-1000</w:t>
            </w:r>
          </w:p>
        </w:tc>
      </w:tr>
      <w:tr w14:paraId="2A483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5E0C9E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46</w:t>
            </w:r>
          </w:p>
        </w:tc>
        <w:tc>
          <w:tcPr>
            <w:tcW w:w="1091" w:type="dxa"/>
            <w:noWrap w:val="0"/>
            <w:vAlign w:val="center"/>
          </w:tcPr>
          <w:p w14:paraId="21F9B29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李家大屋</w:t>
            </w:r>
          </w:p>
        </w:tc>
        <w:tc>
          <w:tcPr>
            <w:tcW w:w="835" w:type="dxa"/>
            <w:noWrap w:val="0"/>
            <w:vAlign w:val="center"/>
          </w:tcPr>
          <w:p w14:paraId="3F58E6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750" w:type="dxa"/>
            <w:noWrap w:val="0"/>
            <w:vAlign w:val="center"/>
          </w:tcPr>
          <w:p w14:paraId="5DB286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155" w:type="dxa"/>
            <w:noWrap w:val="0"/>
            <w:vAlign w:val="center"/>
          </w:tcPr>
          <w:p w14:paraId="42F3D10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A3FFFB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7F1781D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6789FB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w:t>
            </w:r>
          </w:p>
        </w:tc>
        <w:tc>
          <w:tcPr>
            <w:tcW w:w="982" w:type="dxa"/>
            <w:noWrap w:val="0"/>
            <w:vAlign w:val="center"/>
          </w:tcPr>
          <w:p w14:paraId="31EC86F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155-630</w:t>
            </w:r>
          </w:p>
        </w:tc>
      </w:tr>
      <w:tr w14:paraId="3984D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2A13FA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47</w:t>
            </w:r>
          </w:p>
        </w:tc>
        <w:tc>
          <w:tcPr>
            <w:tcW w:w="1091" w:type="dxa"/>
            <w:noWrap w:val="0"/>
            <w:vAlign w:val="center"/>
          </w:tcPr>
          <w:p w14:paraId="24D79CC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上高冲</w:t>
            </w:r>
          </w:p>
        </w:tc>
        <w:tc>
          <w:tcPr>
            <w:tcW w:w="835" w:type="dxa"/>
            <w:noWrap w:val="0"/>
            <w:vAlign w:val="center"/>
          </w:tcPr>
          <w:p w14:paraId="49B1CE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750" w:type="dxa"/>
            <w:noWrap w:val="0"/>
            <w:vAlign w:val="center"/>
          </w:tcPr>
          <w:p w14:paraId="52B5AB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1155" w:type="dxa"/>
            <w:noWrap w:val="0"/>
            <w:vAlign w:val="center"/>
          </w:tcPr>
          <w:p w14:paraId="1802690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6711A95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10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35</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6DB14F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FB739B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东北</w:t>
            </w:r>
          </w:p>
        </w:tc>
        <w:tc>
          <w:tcPr>
            <w:tcW w:w="982" w:type="dxa"/>
            <w:noWrap w:val="0"/>
            <w:vAlign w:val="center"/>
          </w:tcPr>
          <w:p w14:paraId="2749695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260-500</w:t>
            </w:r>
          </w:p>
        </w:tc>
      </w:tr>
      <w:tr w14:paraId="02493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781082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48</w:t>
            </w:r>
          </w:p>
        </w:tc>
        <w:tc>
          <w:tcPr>
            <w:tcW w:w="1091" w:type="dxa"/>
            <w:noWrap w:val="0"/>
            <w:vAlign w:val="center"/>
          </w:tcPr>
          <w:p w14:paraId="2A842A2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普盛公寓</w:t>
            </w:r>
          </w:p>
        </w:tc>
        <w:tc>
          <w:tcPr>
            <w:tcW w:w="835" w:type="dxa"/>
            <w:noWrap w:val="0"/>
            <w:vAlign w:val="center"/>
          </w:tcPr>
          <w:p w14:paraId="75D9CC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750" w:type="dxa"/>
            <w:noWrap w:val="0"/>
            <w:vAlign w:val="center"/>
          </w:tcPr>
          <w:p w14:paraId="14A0C0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1155" w:type="dxa"/>
            <w:noWrap w:val="0"/>
            <w:vAlign w:val="center"/>
          </w:tcPr>
          <w:p w14:paraId="7E125C6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03BC51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约200户</w:t>
            </w:r>
            <w:r>
              <w:rPr>
                <w:rFonts w:hint="eastAsia" w:ascii="Times New Roman" w:hAnsi="Times New Roman" w:eastAsia="宋体" w:cs="Times New Roman"/>
                <w:color w:val="auto"/>
                <w:kern w:val="2"/>
                <w:sz w:val="21"/>
                <w:szCs w:val="21"/>
                <w:highlight w:val="none"/>
                <w:u w:val="none" w:color="auto"/>
                <w:lang w:val="en-US" w:eastAsia="zh-CN" w:bidi="ar-SA"/>
              </w:rPr>
              <w:t>，600人</w:t>
            </w:r>
          </w:p>
        </w:tc>
        <w:tc>
          <w:tcPr>
            <w:tcW w:w="1020" w:type="dxa"/>
            <w:vMerge w:val="continue"/>
            <w:noWrap w:val="0"/>
            <w:vAlign w:val="center"/>
          </w:tcPr>
          <w:p w14:paraId="61FE8F2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2BAC6F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北</w:t>
            </w:r>
          </w:p>
        </w:tc>
        <w:tc>
          <w:tcPr>
            <w:tcW w:w="982" w:type="dxa"/>
            <w:noWrap w:val="0"/>
            <w:vAlign w:val="center"/>
          </w:tcPr>
          <w:p w14:paraId="7DF962B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300</w:t>
            </w:r>
          </w:p>
        </w:tc>
      </w:tr>
      <w:tr w14:paraId="34A27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AF9E1F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49</w:t>
            </w:r>
          </w:p>
        </w:tc>
        <w:tc>
          <w:tcPr>
            <w:tcW w:w="1091" w:type="dxa"/>
            <w:noWrap w:val="0"/>
            <w:vAlign w:val="center"/>
          </w:tcPr>
          <w:p w14:paraId="61A683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汨水华府</w:t>
            </w:r>
          </w:p>
        </w:tc>
        <w:tc>
          <w:tcPr>
            <w:tcW w:w="835" w:type="dxa"/>
            <w:noWrap w:val="0"/>
            <w:vAlign w:val="center"/>
          </w:tcPr>
          <w:p w14:paraId="5078DE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750" w:type="dxa"/>
            <w:noWrap w:val="0"/>
            <w:vAlign w:val="center"/>
          </w:tcPr>
          <w:p w14:paraId="2B40E6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155" w:type="dxa"/>
            <w:noWrap w:val="0"/>
            <w:vAlign w:val="center"/>
          </w:tcPr>
          <w:p w14:paraId="4FF6940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5BC60CF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约459户，约1600人</w:t>
            </w:r>
          </w:p>
        </w:tc>
        <w:tc>
          <w:tcPr>
            <w:tcW w:w="1020" w:type="dxa"/>
            <w:vMerge w:val="continue"/>
            <w:noWrap w:val="0"/>
            <w:vAlign w:val="center"/>
          </w:tcPr>
          <w:p w14:paraId="33FC736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E725FD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北</w:t>
            </w:r>
          </w:p>
        </w:tc>
        <w:tc>
          <w:tcPr>
            <w:tcW w:w="982" w:type="dxa"/>
            <w:noWrap w:val="0"/>
            <w:vAlign w:val="center"/>
          </w:tcPr>
          <w:p w14:paraId="4E1DEC3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210-550</w:t>
            </w:r>
          </w:p>
        </w:tc>
      </w:tr>
      <w:tr w14:paraId="11A0D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303B1C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50</w:t>
            </w:r>
          </w:p>
        </w:tc>
        <w:tc>
          <w:tcPr>
            <w:tcW w:w="1091" w:type="dxa"/>
            <w:noWrap w:val="0"/>
            <w:vAlign w:val="center"/>
          </w:tcPr>
          <w:p w14:paraId="23EC71E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园区管委会</w:t>
            </w:r>
          </w:p>
        </w:tc>
        <w:tc>
          <w:tcPr>
            <w:tcW w:w="835" w:type="dxa"/>
            <w:noWrap w:val="0"/>
            <w:vAlign w:val="center"/>
          </w:tcPr>
          <w:p w14:paraId="319714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750" w:type="dxa"/>
            <w:noWrap w:val="0"/>
            <w:vAlign w:val="center"/>
          </w:tcPr>
          <w:p w14:paraId="75821F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1155" w:type="dxa"/>
            <w:noWrap w:val="0"/>
            <w:vAlign w:val="center"/>
          </w:tcPr>
          <w:p w14:paraId="05A181E2">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工作人员</w:t>
            </w:r>
          </w:p>
        </w:tc>
        <w:tc>
          <w:tcPr>
            <w:tcW w:w="1275" w:type="dxa"/>
            <w:noWrap w:val="0"/>
            <w:vAlign w:val="center"/>
          </w:tcPr>
          <w:p w14:paraId="3EBF945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约120人</w:t>
            </w:r>
          </w:p>
        </w:tc>
        <w:tc>
          <w:tcPr>
            <w:tcW w:w="1020" w:type="dxa"/>
            <w:vMerge w:val="continue"/>
            <w:noWrap w:val="0"/>
            <w:vAlign w:val="center"/>
          </w:tcPr>
          <w:p w14:paraId="1EF83B8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F29462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西北</w:t>
            </w:r>
          </w:p>
        </w:tc>
        <w:tc>
          <w:tcPr>
            <w:tcW w:w="982" w:type="dxa"/>
            <w:noWrap w:val="0"/>
            <w:vAlign w:val="center"/>
          </w:tcPr>
          <w:p w14:paraId="71583F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240</w:t>
            </w:r>
          </w:p>
        </w:tc>
      </w:tr>
      <w:tr w14:paraId="1A88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4A0221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51</w:t>
            </w:r>
          </w:p>
        </w:tc>
        <w:tc>
          <w:tcPr>
            <w:tcW w:w="1091" w:type="dxa"/>
            <w:noWrap w:val="0"/>
            <w:vAlign w:val="center"/>
          </w:tcPr>
          <w:p w14:paraId="17977B0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大云坡</w:t>
            </w:r>
          </w:p>
        </w:tc>
        <w:tc>
          <w:tcPr>
            <w:tcW w:w="835" w:type="dxa"/>
            <w:noWrap w:val="0"/>
            <w:vAlign w:val="center"/>
          </w:tcPr>
          <w:p w14:paraId="0A1738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1116</w:t>
            </w:r>
          </w:p>
        </w:tc>
        <w:tc>
          <w:tcPr>
            <w:tcW w:w="750" w:type="dxa"/>
            <w:noWrap w:val="0"/>
            <w:vAlign w:val="center"/>
          </w:tcPr>
          <w:p w14:paraId="62C614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1155" w:type="dxa"/>
            <w:noWrap w:val="0"/>
            <w:vAlign w:val="center"/>
          </w:tcPr>
          <w:p w14:paraId="2E44782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AD09F4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约65户，约230人</w:t>
            </w:r>
          </w:p>
        </w:tc>
        <w:tc>
          <w:tcPr>
            <w:tcW w:w="1020" w:type="dxa"/>
            <w:vMerge w:val="continue"/>
            <w:noWrap w:val="0"/>
            <w:vAlign w:val="center"/>
          </w:tcPr>
          <w:p w14:paraId="71DB2D8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1C2006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07DD164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1060-1775</w:t>
            </w:r>
          </w:p>
        </w:tc>
      </w:tr>
      <w:tr w14:paraId="3B3DF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2165A1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52</w:t>
            </w:r>
          </w:p>
        </w:tc>
        <w:tc>
          <w:tcPr>
            <w:tcW w:w="1091" w:type="dxa"/>
            <w:noWrap w:val="0"/>
            <w:vAlign w:val="center"/>
          </w:tcPr>
          <w:p w14:paraId="4F30E5A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天华村</w:t>
            </w:r>
          </w:p>
        </w:tc>
        <w:tc>
          <w:tcPr>
            <w:tcW w:w="835" w:type="dxa"/>
            <w:noWrap w:val="0"/>
            <w:vAlign w:val="center"/>
          </w:tcPr>
          <w:p w14:paraId="7B8A99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1859</w:t>
            </w:r>
          </w:p>
        </w:tc>
        <w:tc>
          <w:tcPr>
            <w:tcW w:w="750" w:type="dxa"/>
            <w:noWrap w:val="0"/>
            <w:vAlign w:val="center"/>
          </w:tcPr>
          <w:p w14:paraId="2490A4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-932</w:t>
            </w:r>
          </w:p>
        </w:tc>
        <w:tc>
          <w:tcPr>
            <w:tcW w:w="1155" w:type="dxa"/>
            <w:noWrap w:val="0"/>
            <w:vAlign w:val="center"/>
          </w:tcPr>
          <w:p w14:paraId="45723EA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98FF59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约90户，约315人</w:t>
            </w:r>
          </w:p>
        </w:tc>
        <w:tc>
          <w:tcPr>
            <w:tcW w:w="1020" w:type="dxa"/>
            <w:vMerge w:val="continue"/>
            <w:noWrap w:val="0"/>
            <w:vAlign w:val="center"/>
          </w:tcPr>
          <w:p w14:paraId="232789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1CDDD4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62515A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1925-2600</w:t>
            </w:r>
          </w:p>
        </w:tc>
      </w:tr>
      <w:tr w14:paraId="3DD4F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0CB400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53</w:t>
            </w:r>
          </w:p>
        </w:tc>
        <w:tc>
          <w:tcPr>
            <w:tcW w:w="1091" w:type="dxa"/>
            <w:noWrap w:val="0"/>
            <w:vAlign w:val="center"/>
          </w:tcPr>
          <w:p w14:paraId="485F498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青山村</w:t>
            </w:r>
          </w:p>
        </w:tc>
        <w:tc>
          <w:tcPr>
            <w:tcW w:w="835" w:type="dxa"/>
            <w:noWrap w:val="0"/>
            <w:vAlign w:val="center"/>
          </w:tcPr>
          <w:p w14:paraId="605D5D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1595</w:t>
            </w:r>
          </w:p>
        </w:tc>
        <w:tc>
          <w:tcPr>
            <w:tcW w:w="750" w:type="dxa"/>
            <w:noWrap w:val="0"/>
            <w:vAlign w:val="center"/>
          </w:tcPr>
          <w:p w14:paraId="3F4396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-1369</w:t>
            </w:r>
          </w:p>
        </w:tc>
        <w:tc>
          <w:tcPr>
            <w:tcW w:w="1155" w:type="dxa"/>
            <w:noWrap w:val="0"/>
            <w:vAlign w:val="center"/>
          </w:tcPr>
          <w:p w14:paraId="27BDB8D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A3ECE2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60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210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FED6BB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71931E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223949C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2000-2400</w:t>
            </w:r>
          </w:p>
        </w:tc>
      </w:tr>
      <w:tr w14:paraId="1CAFD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52FD8E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54</w:t>
            </w:r>
          </w:p>
        </w:tc>
        <w:tc>
          <w:tcPr>
            <w:tcW w:w="1091" w:type="dxa"/>
            <w:noWrap w:val="0"/>
            <w:vAlign w:val="center"/>
          </w:tcPr>
          <w:p w14:paraId="4132803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青山铺镇中心小学</w:t>
            </w:r>
          </w:p>
        </w:tc>
        <w:tc>
          <w:tcPr>
            <w:tcW w:w="835" w:type="dxa"/>
            <w:noWrap w:val="0"/>
            <w:vAlign w:val="center"/>
          </w:tcPr>
          <w:p w14:paraId="231450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1737</w:t>
            </w:r>
          </w:p>
        </w:tc>
        <w:tc>
          <w:tcPr>
            <w:tcW w:w="750" w:type="dxa"/>
            <w:noWrap w:val="0"/>
            <w:vAlign w:val="center"/>
          </w:tcPr>
          <w:p w14:paraId="61D0F3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-1603</w:t>
            </w:r>
          </w:p>
        </w:tc>
        <w:tc>
          <w:tcPr>
            <w:tcW w:w="1155" w:type="dxa"/>
            <w:noWrap w:val="0"/>
            <w:vAlign w:val="center"/>
          </w:tcPr>
          <w:p w14:paraId="5E1DD6F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1275" w:type="dxa"/>
            <w:noWrap w:val="0"/>
            <w:vAlign w:val="center"/>
          </w:tcPr>
          <w:p w14:paraId="0569399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000000"/>
                <w:sz w:val="21"/>
                <w:szCs w:val="21"/>
                <w:highlight w:val="none"/>
                <w:lang w:val="en-US" w:eastAsia="zh-CN"/>
              </w:rPr>
              <w:t>在校师生约450人</w:t>
            </w:r>
          </w:p>
        </w:tc>
        <w:tc>
          <w:tcPr>
            <w:tcW w:w="1020" w:type="dxa"/>
            <w:vMerge w:val="continue"/>
            <w:noWrap w:val="0"/>
            <w:vAlign w:val="center"/>
          </w:tcPr>
          <w:p w14:paraId="3372A82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42DBF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2C829FA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2295</w:t>
            </w:r>
          </w:p>
        </w:tc>
      </w:tr>
      <w:tr w14:paraId="48DC4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D1CC9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55</w:t>
            </w:r>
          </w:p>
        </w:tc>
        <w:tc>
          <w:tcPr>
            <w:tcW w:w="1091" w:type="dxa"/>
            <w:noWrap w:val="0"/>
            <w:vAlign w:val="center"/>
          </w:tcPr>
          <w:p w14:paraId="790414B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寺冲里</w:t>
            </w:r>
          </w:p>
        </w:tc>
        <w:tc>
          <w:tcPr>
            <w:tcW w:w="835" w:type="dxa"/>
            <w:noWrap w:val="0"/>
            <w:vAlign w:val="center"/>
          </w:tcPr>
          <w:p w14:paraId="0803DD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2205</w:t>
            </w:r>
          </w:p>
        </w:tc>
        <w:tc>
          <w:tcPr>
            <w:tcW w:w="750" w:type="dxa"/>
            <w:noWrap w:val="0"/>
            <w:vAlign w:val="center"/>
          </w:tcPr>
          <w:p w14:paraId="5E4313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-1440</w:t>
            </w:r>
          </w:p>
        </w:tc>
        <w:tc>
          <w:tcPr>
            <w:tcW w:w="1155" w:type="dxa"/>
            <w:noWrap w:val="0"/>
            <w:vAlign w:val="center"/>
          </w:tcPr>
          <w:p w14:paraId="0F78A05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7195E8D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20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70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7763F69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53431B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568373D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2530-2875</w:t>
            </w:r>
          </w:p>
        </w:tc>
      </w:tr>
      <w:tr w14:paraId="6B985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C32CC6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56</w:t>
            </w:r>
          </w:p>
        </w:tc>
        <w:tc>
          <w:tcPr>
            <w:tcW w:w="1091" w:type="dxa"/>
            <w:noWrap w:val="0"/>
            <w:vAlign w:val="center"/>
          </w:tcPr>
          <w:p w14:paraId="3C834F1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坳上屋</w:t>
            </w:r>
          </w:p>
        </w:tc>
        <w:tc>
          <w:tcPr>
            <w:tcW w:w="835" w:type="dxa"/>
            <w:noWrap w:val="0"/>
            <w:vAlign w:val="center"/>
          </w:tcPr>
          <w:p w14:paraId="546C9B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50" w:type="dxa"/>
            <w:noWrap w:val="0"/>
            <w:vAlign w:val="center"/>
          </w:tcPr>
          <w:p w14:paraId="0DEFF2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-2303</w:t>
            </w:r>
          </w:p>
        </w:tc>
        <w:tc>
          <w:tcPr>
            <w:tcW w:w="1155" w:type="dxa"/>
            <w:noWrap w:val="0"/>
            <w:vAlign w:val="center"/>
          </w:tcPr>
          <w:p w14:paraId="57DAA36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6E3440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宋体" w:hAnsi="宋体" w:eastAsia="宋体" w:cs="宋体"/>
                <w:kern w:val="0"/>
                <w:sz w:val="21"/>
                <w:szCs w:val="21"/>
                <w:u w:val="none" w:color="auto"/>
                <w:lang w:val="en-US" w:eastAsia="zh-CN" w:bidi="ar"/>
              </w:rPr>
              <w:t>约</w:t>
            </w:r>
            <w:r>
              <w:rPr>
                <w:rFonts w:hint="default" w:ascii="Times New Roman" w:hAnsi="Times New Roman" w:eastAsia="宋体" w:cs="Times New Roman"/>
                <w:kern w:val="0"/>
                <w:sz w:val="21"/>
                <w:szCs w:val="21"/>
                <w:u w:val="none" w:color="auto"/>
                <w:lang w:val="en-US" w:eastAsia="zh-CN" w:bidi="ar"/>
              </w:rPr>
              <w:t>40</w:t>
            </w:r>
            <w:r>
              <w:rPr>
                <w:rFonts w:hint="eastAsia" w:ascii="宋体" w:hAnsi="宋体" w:eastAsia="宋体" w:cs="宋体"/>
                <w:kern w:val="0"/>
                <w:sz w:val="21"/>
                <w:szCs w:val="21"/>
                <w:u w:val="none" w:color="auto"/>
                <w:lang w:val="en-US" w:eastAsia="zh-CN" w:bidi="ar"/>
              </w:rPr>
              <w:t>户、</w:t>
            </w:r>
            <w:r>
              <w:rPr>
                <w:rFonts w:hint="default" w:ascii="Times New Roman" w:hAnsi="Times New Roman" w:eastAsia="宋体" w:cs="Times New Roman"/>
                <w:kern w:val="0"/>
                <w:sz w:val="21"/>
                <w:szCs w:val="21"/>
                <w:u w:val="none" w:color="auto"/>
                <w:lang w:val="en-US" w:eastAsia="zh-CN" w:bidi="ar"/>
              </w:rPr>
              <w:t>140</w:t>
            </w:r>
            <w:r>
              <w:rPr>
                <w:rFonts w:hint="eastAsia" w:ascii="宋体" w:hAnsi="宋体" w:eastAsia="宋体" w:cs="宋体"/>
                <w:kern w:val="0"/>
                <w:sz w:val="21"/>
                <w:szCs w:val="21"/>
                <w:u w:val="none" w:color="auto"/>
                <w:lang w:val="en-US" w:eastAsia="zh-CN" w:bidi="ar"/>
              </w:rPr>
              <w:t>人</w:t>
            </w:r>
          </w:p>
        </w:tc>
        <w:tc>
          <w:tcPr>
            <w:tcW w:w="1020" w:type="dxa"/>
            <w:vMerge w:val="continue"/>
            <w:noWrap w:val="0"/>
            <w:vAlign w:val="center"/>
          </w:tcPr>
          <w:p w14:paraId="4F926A3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46C2F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982" w:type="dxa"/>
            <w:noWrap w:val="0"/>
            <w:vAlign w:val="center"/>
          </w:tcPr>
          <w:p w14:paraId="2C8F3E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2700-3395</w:t>
            </w:r>
          </w:p>
        </w:tc>
      </w:tr>
      <w:tr w14:paraId="2AFD7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9"/>
            <w:noWrap w:val="0"/>
            <w:vAlign w:val="center"/>
          </w:tcPr>
          <w:p w14:paraId="1FF04E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w:t>
            </w:r>
            <w:r>
              <w:rPr>
                <w:rFonts w:hint="default" w:ascii="Times New Roman" w:hAnsi="Times New Roman" w:eastAsia="宋体" w:cs="Times New Roman"/>
                <w:b w:val="0"/>
                <w:bCs/>
                <w:color w:val="auto"/>
                <w:sz w:val="21"/>
                <w:szCs w:val="21"/>
                <w:u w:val="none" w:color="auto"/>
                <w:lang w:val="en-US" w:eastAsia="zh-CN"/>
              </w:rPr>
              <w:t>113.142721</w:t>
            </w:r>
            <w:r>
              <w:rPr>
                <w:rFonts w:hint="eastAsia" w:ascii="Times New Roman" w:hAnsi="Times New Roman" w:eastAsia="宋体" w:cs="Times New Roman"/>
                <w:b w:val="0"/>
                <w:bCs/>
                <w:color w:val="auto"/>
                <w:sz w:val="21"/>
                <w:szCs w:val="21"/>
                <w:u w:val="none" w:color="auto"/>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北纬</w:t>
            </w:r>
            <w:r>
              <w:rPr>
                <w:rFonts w:hint="default" w:ascii="Times New Roman" w:hAnsi="Times New Roman" w:eastAsia="宋体" w:cs="Times New Roman"/>
                <w:b w:val="0"/>
                <w:bCs/>
                <w:color w:val="auto"/>
                <w:sz w:val="21"/>
                <w:szCs w:val="21"/>
                <w:u w:val="none" w:color="auto"/>
                <w:lang w:val="en-US" w:eastAsia="zh-CN"/>
              </w:rPr>
              <w:t>28.766549</w:t>
            </w:r>
            <w:r>
              <w:rPr>
                <w:rFonts w:hint="eastAsia" w:ascii="Times New Roman" w:hAnsi="Times New Roman" w:eastAsia="宋体" w:cs="Times New Roman"/>
                <w:color w:val="auto"/>
                <w:kern w:val="2"/>
                <w:sz w:val="21"/>
                <w:szCs w:val="21"/>
                <w:highlight w:val="none"/>
                <w:u w:val="none" w:color="auto"/>
                <w:lang w:val="en-US" w:eastAsia="zh-CN" w:bidi="ar-SA"/>
              </w:rPr>
              <w:t>）</w:t>
            </w:r>
          </w:p>
        </w:tc>
      </w:tr>
    </w:tbl>
    <w:p w14:paraId="3CA50D66">
      <w:pPr>
        <w:pStyle w:val="23"/>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项目周边主要环境敏感目标和保护目标一览表</w:t>
      </w:r>
      <w:bookmarkStart w:id="561" w:name="_Toc10838"/>
      <w:bookmarkStart w:id="562" w:name="_Toc324516210"/>
      <w:bookmarkStart w:id="563" w:name="_Toc331351318"/>
      <w:bookmarkStart w:id="564" w:name="_Toc353549404"/>
      <w:bookmarkStart w:id="565" w:name="_Toc372124935"/>
      <w:bookmarkStart w:id="566" w:name="_Toc336615591"/>
      <w:bookmarkStart w:id="567" w:name="_Toc324754194"/>
    </w:p>
    <w:tbl>
      <w:tblPr>
        <w:tblStyle w:val="16"/>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704"/>
        <w:gridCol w:w="6"/>
        <w:gridCol w:w="2141"/>
        <w:gridCol w:w="1262"/>
        <w:gridCol w:w="2364"/>
      </w:tblGrid>
      <w:tr w14:paraId="5573B7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754DFD23">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环境因素</w:t>
            </w:r>
          </w:p>
        </w:tc>
        <w:tc>
          <w:tcPr>
            <w:tcW w:w="1710" w:type="dxa"/>
            <w:gridSpan w:val="2"/>
            <w:noWrap w:val="0"/>
            <w:vAlign w:val="center"/>
          </w:tcPr>
          <w:p w14:paraId="040ABECE">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环境保护目标</w:t>
            </w:r>
          </w:p>
        </w:tc>
        <w:tc>
          <w:tcPr>
            <w:tcW w:w="2141" w:type="dxa"/>
            <w:noWrap w:val="0"/>
            <w:vAlign w:val="center"/>
          </w:tcPr>
          <w:p w14:paraId="4C7E2F48">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与项目相对方位和距离</w:t>
            </w:r>
          </w:p>
        </w:tc>
        <w:tc>
          <w:tcPr>
            <w:tcW w:w="1262" w:type="dxa"/>
            <w:noWrap w:val="0"/>
            <w:vAlign w:val="center"/>
          </w:tcPr>
          <w:p w14:paraId="763C688E">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功能/规模</w:t>
            </w:r>
          </w:p>
        </w:tc>
        <w:tc>
          <w:tcPr>
            <w:tcW w:w="2364" w:type="dxa"/>
            <w:noWrap w:val="0"/>
            <w:vAlign w:val="center"/>
          </w:tcPr>
          <w:p w14:paraId="4DC782C4">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保护对象及等级</w:t>
            </w:r>
          </w:p>
        </w:tc>
      </w:tr>
      <w:tr w14:paraId="7EF3B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027" w:type="dxa"/>
            <w:noWrap w:val="0"/>
            <w:vAlign w:val="center"/>
          </w:tcPr>
          <w:p w14:paraId="763478F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w:t>
            </w:r>
          </w:p>
        </w:tc>
        <w:tc>
          <w:tcPr>
            <w:tcW w:w="1710" w:type="dxa"/>
            <w:gridSpan w:val="2"/>
            <w:noWrap w:val="0"/>
            <w:vAlign w:val="center"/>
          </w:tcPr>
          <w:p w14:paraId="675853C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白沙河</w:t>
            </w:r>
          </w:p>
        </w:tc>
        <w:tc>
          <w:tcPr>
            <w:tcW w:w="2141" w:type="dxa"/>
            <w:noWrap w:val="0"/>
            <w:vAlign w:val="center"/>
          </w:tcPr>
          <w:p w14:paraId="352447AF">
            <w:pPr>
              <w:jc w:val="center"/>
              <w:rPr>
                <w:rFonts w:hint="default" w:ascii="Times New Roman" w:hAnsi="Times New Roman" w:eastAsia="宋体" w:cs="Times New Roman"/>
                <w:color w:val="auto"/>
                <w:highlight w:val="none"/>
                <w:u w:val="none" w:color="auto"/>
                <w:lang w:val="en-US"/>
              </w:rPr>
            </w:pPr>
            <w:r>
              <w:rPr>
                <w:rFonts w:hint="eastAsia" w:ascii="Times New Roman" w:hAnsi="Times New Roman" w:eastAsia="宋体" w:cs="Times New Roman"/>
                <w:color w:val="auto"/>
                <w:kern w:val="0"/>
                <w:szCs w:val="21"/>
                <w:highlight w:val="none"/>
                <w:u w:val="none" w:color="auto"/>
                <w:lang w:val="en-US" w:eastAsia="zh-CN"/>
              </w:rPr>
              <w:t>西，3.4km</w:t>
            </w:r>
          </w:p>
        </w:tc>
        <w:tc>
          <w:tcPr>
            <w:tcW w:w="1262" w:type="dxa"/>
            <w:noWrap w:val="0"/>
            <w:vAlign w:val="center"/>
          </w:tcPr>
          <w:p w14:paraId="7CE3B474">
            <w:pPr>
              <w:widowControl w:val="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农</w:t>
            </w:r>
            <w:r>
              <w:rPr>
                <w:rFonts w:ascii="Times New Roman" w:hAnsi="Times New Roman" w:eastAsia="宋体" w:cs="Times New Roman"/>
                <w:color w:val="auto"/>
                <w:kern w:val="2"/>
                <w:sz w:val="21"/>
                <w:szCs w:val="24"/>
                <w:highlight w:val="none"/>
                <w:u w:val="none" w:color="auto"/>
                <w:lang w:val="en-US" w:eastAsia="zh-CN" w:bidi="ar-SA"/>
              </w:rPr>
              <w:t>业用水</w:t>
            </w:r>
          </w:p>
        </w:tc>
        <w:tc>
          <w:tcPr>
            <w:tcW w:w="2364" w:type="dxa"/>
            <w:noWrap w:val="0"/>
            <w:vAlign w:val="center"/>
          </w:tcPr>
          <w:p w14:paraId="228EC62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《地表水环境质量标准》（GB3838-2002）Ⅲ类标准</w:t>
            </w:r>
          </w:p>
        </w:tc>
      </w:tr>
      <w:tr w14:paraId="608416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321B9BCF">
            <w:pPr>
              <w:pStyle w:val="25"/>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声环境</w:t>
            </w:r>
          </w:p>
        </w:tc>
        <w:tc>
          <w:tcPr>
            <w:tcW w:w="1704" w:type="dxa"/>
            <w:noWrap w:val="0"/>
            <w:vAlign w:val="center"/>
          </w:tcPr>
          <w:p w14:paraId="7C09E0B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李家大屋</w:t>
            </w:r>
          </w:p>
        </w:tc>
        <w:tc>
          <w:tcPr>
            <w:tcW w:w="2147" w:type="dxa"/>
            <w:gridSpan w:val="2"/>
            <w:noWrap w:val="0"/>
            <w:vAlign w:val="center"/>
          </w:tcPr>
          <w:p w14:paraId="0DBE805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东，155-200m</w:t>
            </w:r>
          </w:p>
        </w:tc>
        <w:tc>
          <w:tcPr>
            <w:tcW w:w="1262" w:type="dxa"/>
            <w:noWrap w:val="0"/>
            <w:vAlign w:val="center"/>
          </w:tcPr>
          <w:p w14:paraId="31188C2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5户，约20人</w:t>
            </w:r>
          </w:p>
        </w:tc>
        <w:tc>
          <w:tcPr>
            <w:tcW w:w="2364" w:type="dxa"/>
            <w:noWrap w:val="0"/>
            <w:vAlign w:val="center"/>
          </w:tcPr>
          <w:p w14:paraId="7AE26893">
            <w:pPr>
              <w:pStyle w:val="25"/>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《声环境质量标准》(GB3096-2008)</w:t>
            </w:r>
            <w:r>
              <w:rPr>
                <w:rFonts w:hint="eastAsia" w:ascii="Times New Roman" w:hAnsi="Times New Roman" w:eastAsia="宋体" w:cs="Times New Roman"/>
                <w:color w:val="auto"/>
                <w:sz w:val="21"/>
                <w:szCs w:val="21"/>
                <w:highlight w:val="none"/>
                <w:u w:val="none" w:color="auto"/>
                <w:lang w:val="en-US" w:eastAsia="zh-CN"/>
              </w:rPr>
              <w:t>4a</w:t>
            </w:r>
            <w:r>
              <w:rPr>
                <w:rFonts w:hint="default" w:ascii="Times New Roman" w:hAnsi="Times New Roman" w:eastAsia="宋体" w:cs="Times New Roman"/>
                <w:color w:val="auto"/>
                <w:sz w:val="21"/>
                <w:szCs w:val="21"/>
                <w:highlight w:val="none"/>
                <w:u w:val="none" w:color="auto"/>
              </w:rPr>
              <w:t>类标准</w:t>
            </w:r>
          </w:p>
        </w:tc>
      </w:tr>
      <w:tr w14:paraId="2C8FD2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3F17C198">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地下水环境</w:t>
            </w:r>
          </w:p>
        </w:tc>
        <w:tc>
          <w:tcPr>
            <w:tcW w:w="5113" w:type="dxa"/>
            <w:gridSpan w:val="4"/>
            <w:noWrap w:val="0"/>
            <w:vAlign w:val="center"/>
          </w:tcPr>
          <w:p w14:paraId="4B03665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sz w:val="21"/>
                <w:szCs w:val="21"/>
                <w:lang w:eastAsia="zh-CN"/>
              </w:rPr>
              <w:t>向东侧至</w:t>
            </w:r>
            <w:r>
              <w:rPr>
                <w:rFonts w:hint="eastAsia"/>
                <w:sz w:val="21"/>
                <w:szCs w:val="21"/>
                <w:lang w:val="en-US" w:eastAsia="zh-CN"/>
              </w:rPr>
              <w:t>厂界外1000m</w:t>
            </w:r>
            <w:r>
              <w:rPr>
                <w:rFonts w:hint="eastAsia"/>
                <w:sz w:val="21"/>
                <w:szCs w:val="21"/>
                <w:lang w:eastAsia="zh-CN"/>
              </w:rPr>
              <w:t>，北侧</w:t>
            </w:r>
            <w:r>
              <w:rPr>
                <w:rFonts w:hint="eastAsia"/>
                <w:sz w:val="21"/>
                <w:szCs w:val="21"/>
                <w:lang w:val="en-US" w:eastAsia="zh-CN"/>
              </w:rPr>
              <w:t>至厂界外2000m</w:t>
            </w:r>
            <w:r>
              <w:rPr>
                <w:rFonts w:hint="eastAsia"/>
                <w:sz w:val="21"/>
                <w:szCs w:val="21"/>
                <w:lang w:eastAsia="zh-CN"/>
              </w:rPr>
              <w:t>，西侧至厂界外</w:t>
            </w:r>
            <w:r>
              <w:rPr>
                <w:rFonts w:hint="eastAsia"/>
                <w:sz w:val="21"/>
                <w:szCs w:val="21"/>
                <w:lang w:val="en-US" w:eastAsia="zh-CN"/>
              </w:rPr>
              <w:t>100</w:t>
            </w:r>
            <w:r>
              <w:rPr>
                <w:rFonts w:hint="eastAsia"/>
                <w:sz w:val="21"/>
                <w:szCs w:val="21"/>
                <w:lang w:eastAsia="zh-CN"/>
              </w:rPr>
              <w:t>0m，南侧至厂界外1</w:t>
            </w:r>
            <w:r>
              <w:rPr>
                <w:rFonts w:hint="eastAsia"/>
                <w:sz w:val="21"/>
                <w:szCs w:val="21"/>
                <w:lang w:val="en-US" w:eastAsia="zh-CN"/>
              </w:rPr>
              <w:t>0</w:t>
            </w:r>
            <w:r>
              <w:rPr>
                <w:rFonts w:hint="eastAsia"/>
                <w:sz w:val="21"/>
                <w:szCs w:val="21"/>
                <w:lang w:eastAsia="zh-CN"/>
              </w:rPr>
              <w:t>00m的水文地质区域，面积约</w:t>
            </w:r>
            <w:r>
              <w:rPr>
                <w:rFonts w:hint="eastAsia"/>
                <w:sz w:val="21"/>
                <w:szCs w:val="21"/>
                <w:lang w:val="en-US" w:eastAsia="zh-CN"/>
              </w:rPr>
              <w:t>6</w:t>
            </w:r>
            <w:r>
              <w:rPr>
                <w:rFonts w:hint="eastAsia"/>
                <w:sz w:val="21"/>
                <w:szCs w:val="21"/>
                <w:lang w:eastAsia="zh-CN"/>
              </w:rPr>
              <w:t>km</w:t>
            </w:r>
            <w:r>
              <w:rPr>
                <w:rFonts w:hint="eastAsia"/>
                <w:sz w:val="21"/>
                <w:szCs w:val="21"/>
                <w:vertAlign w:val="superscript"/>
                <w:lang w:eastAsia="zh-CN"/>
              </w:rPr>
              <w:t>2</w:t>
            </w:r>
            <w:r>
              <w:rPr>
                <w:color w:val="auto"/>
                <w:highlight w:val="none"/>
                <w:u w:val="none" w:color="auto"/>
              </w:rPr>
              <w:t>。</w:t>
            </w:r>
          </w:p>
        </w:tc>
        <w:tc>
          <w:tcPr>
            <w:tcW w:w="2364" w:type="dxa"/>
            <w:noWrap w:val="0"/>
            <w:vAlign w:val="center"/>
          </w:tcPr>
          <w:p w14:paraId="0C27DDC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《地下水质量标准》（GB/T14848-2017）III类</w:t>
            </w:r>
          </w:p>
        </w:tc>
      </w:tr>
      <w:tr w14:paraId="100D6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1B7CD45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生态环境</w:t>
            </w:r>
          </w:p>
        </w:tc>
        <w:tc>
          <w:tcPr>
            <w:tcW w:w="5113" w:type="dxa"/>
            <w:gridSpan w:val="4"/>
            <w:noWrap w:val="0"/>
            <w:vAlign w:val="center"/>
          </w:tcPr>
          <w:p w14:paraId="66A72C0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周边生态环境</w:t>
            </w:r>
          </w:p>
        </w:tc>
        <w:tc>
          <w:tcPr>
            <w:tcW w:w="2364" w:type="dxa"/>
            <w:noWrap w:val="0"/>
            <w:vAlign w:val="center"/>
          </w:tcPr>
          <w:p w14:paraId="03664279">
            <w:pPr>
              <w:widowControl w:val="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植被不受破坏</w:t>
            </w:r>
            <w:r>
              <w:rPr>
                <w:rFonts w:hint="eastAsia" w:ascii="Times New Roman" w:hAnsi="Times New Roman" w:eastAsia="宋体" w:cs="Times New Roman"/>
                <w:color w:val="auto"/>
                <w:kern w:val="2"/>
                <w:sz w:val="21"/>
                <w:szCs w:val="24"/>
                <w:highlight w:val="none"/>
                <w:u w:val="none" w:color="auto"/>
                <w:lang w:val="en-US" w:eastAsia="zh-CN" w:bidi="ar-SA"/>
              </w:rPr>
              <w:t>，生态系统完整</w:t>
            </w:r>
          </w:p>
        </w:tc>
      </w:tr>
      <w:tr w14:paraId="2B502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76C8A335">
            <w:pPr>
              <w:widowControl w:val="0"/>
              <w:jc w:val="center"/>
              <w:rPr>
                <w:rFonts w:hint="default" w:ascii="Times New Roman" w:hAnsi="Times New Roman" w:eastAsia="宋体" w:cs="Times New Roman"/>
                <w:color w:val="auto"/>
                <w:kern w:val="2"/>
                <w:sz w:val="21"/>
                <w:szCs w:val="24"/>
                <w:highlight w:val="none"/>
                <w:u w:val="none" w:color="auto"/>
                <w:lang w:val="en-US" w:eastAsia="zh-CN" w:bidi="ar-SA"/>
              </w:rPr>
            </w:pPr>
            <w:bookmarkStart w:id="568" w:name="_Toc23597_WPSOffice_Level3"/>
            <w:bookmarkStart w:id="569" w:name="_Toc20789"/>
            <w:bookmarkStart w:id="570" w:name="_Toc25563_WPSOffice_Level3"/>
            <w:bookmarkStart w:id="571" w:name="_Toc2361_WPSOffice_Level1"/>
            <w:bookmarkStart w:id="572" w:name="_Toc17469_WPSOffice_Level1"/>
            <w:bookmarkStart w:id="573" w:name="_Toc367"/>
            <w:bookmarkStart w:id="574" w:name="_Toc20978"/>
            <w:bookmarkStart w:id="575" w:name="_Toc25274_WPSOffice_Level1"/>
            <w:r>
              <w:rPr>
                <w:rFonts w:hint="eastAsia" w:ascii="Times New Roman" w:hAnsi="Times New Roman" w:eastAsia="宋体" w:cs="Times New Roman"/>
                <w:color w:val="auto"/>
                <w:kern w:val="2"/>
                <w:sz w:val="21"/>
                <w:szCs w:val="24"/>
                <w:highlight w:val="none"/>
                <w:u w:val="none" w:color="auto"/>
                <w:lang w:val="en-US" w:eastAsia="zh-CN" w:bidi="ar-SA"/>
              </w:rPr>
              <w:t>土壤环境</w:t>
            </w:r>
          </w:p>
        </w:tc>
        <w:tc>
          <w:tcPr>
            <w:tcW w:w="5113" w:type="dxa"/>
            <w:gridSpan w:val="4"/>
            <w:noWrap w:val="0"/>
            <w:vAlign w:val="center"/>
          </w:tcPr>
          <w:p w14:paraId="397559CF">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kern w:val="2"/>
                <w:sz w:val="21"/>
                <w:szCs w:val="24"/>
                <w:highlight w:val="none"/>
                <w:u w:val="none" w:color="auto"/>
                <w:lang w:val="en-US" w:eastAsia="zh-CN" w:bidi="ar-SA"/>
              </w:rPr>
            </w:pPr>
            <w:r>
              <w:rPr>
                <w:rFonts w:hint="eastAsia"/>
                <w:color w:val="000000"/>
                <w:u w:val="none" w:color="auto"/>
                <w:lang w:val="en-US" w:eastAsia="zh-CN"/>
              </w:rPr>
              <w:t>以项目为中心，0.2km范围内的建设用地</w:t>
            </w:r>
          </w:p>
        </w:tc>
        <w:tc>
          <w:tcPr>
            <w:tcW w:w="2364" w:type="dxa"/>
            <w:noWrap w:val="0"/>
            <w:vAlign w:val="center"/>
          </w:tcPr>
          <w:p w14:paraId="181C2E82">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宋体" w:cs="Times New Roman"/>
                <w:color w:val="000000"/>
                <w:kern w:val="2"/>
                <w:sz w:val="21"/>
                <w:szCs w:val="24"/>
                <w:highlight w:val="none"/>
                <w:u w:val="none" w:color="auto"/>
                <w:lang w:val="en-US" w:eastAsia="zh-CN" w:bidi="ar-SA"/>
              </w:rPr>
            </w:pPr>
            <w:r>
              <w:rPr>
                <w:color w:val="000000"/>
                <w:u w:val="none" w:color="auto"/>
              </w:rPr>
              <w:t>《土壤环境质量建设用地土壤污染风险管控标准》（GB36600-2018）</w:t>
            </w:r>
            <w:r>
              <w:rPr>
                <w:rFonts w:hint="eastAsia"/>
                <w:color w:val="000000"/>
                <w:u w:val="none" w:color="auto"/>
                <w:lang w:val="en-US" w:eastAsia="zh-CN"/>
              </w:rPr>
              <w:t>第一类、第二类用地筛选值</w:t>
            </w:r>
          </w:p>
        </w:tc>
      </w:tr>
    </w:tbl>
    <w:p w14:paraId="26471F50">
      <w:pPr>
        <w:pStyle w:val="6"/>
        <w:bidi w:val="0"/>
        <w:outlineLvl w:val="0"/>
        <w:rPr>
          <w:rFonts w:hint="default"/>
          <w:color w:val="auto"/>
          <w:u w:val="none" w:color="auto"/>
          <w:lang w:val="en-US" w:eastAsia="zh-CN"/>
        </w:rPr>
      </w:pPr>
      <w:r>
        <w:rPr>
          <w:rFonts w:hint="default" w:ascii="Times New Roman" w:hAnsi="Times New Roman" w:eastAsia="宋体" w:cs="Times New Roman"/>
          <w:color w:val="auto"/>
          <w:u w:val="none" w:color="auto"/>
          <w:lang w:val="en-US" w:eastAsia="zh-CN"/>
        </w:rPr>
        <w:br w:type="page"/>
      </w:r>
      <w:bookmarkEnd w:id="568"/>
      <w:bookmarkEnd w:id="569"/>
      <w:bookmarkEnd w:id="570"/>
      <w:bookmarkEnd w:id="571"/>
      <w:bookmarkEnd w:id="572"/>
      <w:bookmarkStart w:id="576" w:name="_Toc10842"/>
      <w:bookmarkStart w:id="577" w:name="_Toc32561"/>
      <w:bookmarkStart w:id="578" w:name="_Toc10214"/>
      <w:r>
        <w:rPr>
          <w:rFonts w:hint="eastAsia" w:ascii="Times New Roman" w:hAnsi="Times New Roman" w:eastAsia="宋体" w:cs="Times New Roman"/>
          <w:color w:val="auto"/>
          <w:u w:val="none" w:color="auto"/>
          <w:lang w:val="en-US" w:eastAsia="zh-CN"/>
        </w:rPr>
        <w:t>3</w:t>
      </w:r>
      <w:r>
        <w:rPr>
          <w:rFonts w:hint="eastAsia"/>
          <w:color w:val="auto"/>
          <w:u w:val="none" w:color="auto"/>
          <w:lang w:val="en-US" w:eastAsia="zh-CN"/>
        </w:rPr>
        <w:t>、工程概况</w:t>
      </w:r>
      <w:bookmarkEnd w:id="576"/>
    </w:p>
    <w:p w14:paraId="4B011F25">
      <w:pPr>
        <w:pStyle w:val="7"/>
        <w:bidi w:val="0"/>
        <w:rPr>
          <w:rFonts w:hint="default"/>
          <w:color w:val="auto"/>
          <w:u w:val="none" w:color="auto"/>
          <w:lang w:val="en-US" w:eastAsia="zh-CN"/>
        </w:rPr>
      </w:pPr>
      <w:bookmarkStart w:id="579" w:name="_Toc19418"/>
      <w:r>
        <w:rPr>
          <w:rFonts w:hint="eastAsia"/>
          <w:color w:val="auto"/>
          <w:u w:val="none" w:color="auto"/>
          <w:lang w:val="en-US" w:eastAsia="zh-CN"/>
        </w:rPr>
        <w:t>3.1项目概况</w:t>
      </w:r>
      <w:bookmarkEnd w:id="579"/>
    </w:p>
    <w:bookmarkEnd w:id="577"/>
    <w:bookmarkEnd w:id="578"/>
    <w:p w14:paraId="2E787C98">
      <w:pPr>
        <w:pStyle w:val="8"/>
        <w:bidi w:val="0"/>
        <w:rPr>
          <w:rFonts w:hint="eastAsia"/>
          <w:color w:val="auto"/>
          <w:u w:val="none" w:color="auto"/>
          <w:lang w:val="en-US" w:eastAsia="zh-CN"/>
        </w:rPr>
      </w:pPr>
      <w:bookmarkStart w:id="580" w:name="_Toc2941"/>
      <w:bookmarkStart w:id="581" w:name="_Toc25439"/>
      <w:bookmarkStart w:id="582" w:name="_Toc27299"/>
      <w:r>
        <w:rPr>
          <w:rFonts w:hint="eastAsia"/>
          <w:color w:val="auto"/>
          <w:u w:val="none" w:color="auto"/>
          <w:lang w:val="en-US" w:eastAsia="zh-CN"/>
        </w:rPr>
        <w:t>3.1.1项目基本情况</w:t>
      </w:r>
      <w:bookmarkEnd w:id="580"/>
      <w:bookmarkEnd w:id="581"/>
      <w:bookmarkEnd w:id="582"/>
    </w:p>
    <w:p w14:paraId="06B5C16E">
      <w:pPr>
        <w:pStyle w:val="21"/>
        <w:bidi w:val="0"/>
        <w:rPr>
          <w:rFonts w:hint="eastAsia" w:cs="Times New Roman"/>
          <w:color w:val="auto"/>
          <w:sz w:val="24"/>
          <w:u w:val="none" w:color="auto"/>
          <w:lang w:eastAsia="zh-CN"/>
        </w:rPr>
      </w:pPr>
      <w:r>
        <w:rPr>
          <w:rFonts w:hint="eastAsia"/>
          <w:b/>
          <w:bCs/>
          <w:color w:val="auto"/>
          <w:u w:val="none" w:color="auto"/>
          <w:lang w:val="en-US" w:eastAsia="zh-CN"/>
        </w:rPr>
        <w:t>项目名称：</w:t>
      </w:r>
      <w:r>
        <w:rPr>
          <w:rFonts w:hint="eastAsia" w:cs="Times New Roman"/>
          <w:color w:val="auto"/>
          <w:sz w:val="24"/>
          <w:u w:val="none" w:color="auto"/>
          <w:lang w:eastAsia="zh-CN"/>
        </w:rPr>
        <w:t>湖南宏翰新能源科技有限公司年产20万套锂电池石墨匣钵建设项目；</w:t>
      </w:r>
    </w:p>
    <w:p w14:paraId="7F091E5E">
      <w:pPr>
        <w:pStyle w:val="21"/>
        <w:bidi w:val="0"/>
        <w:rPr>
          <w:rFonts w:hint="eastAsia" w:cs="Times New Roman"/>
          <w:color w:val="auto"/>
          <w:sz w:val="24"/>
          <w:u w:val="none" w:color="auto"/>
          <w:lang w:val="en-US" w:eastAsia="zh-CN"/>
        </w:rPr>
      </w:pPr>
      <w:r>
        <w:rPr>
          <w:rFonts w:hint="eastAsia" w:cs="Times New Roman"/>
          <w:b/>
          <w:bCs/>
          <w:color w:val="auto"/>
          <w:sz w:val="24"/>
          <w:u w:val="none" w:color="auto"/>
          <w:lang w:val="en-US" w:eastAsia="zh-CN"/>
        </w:rPr>
        <w:t>建设单位：</w:t>
      </w:r>
      <w:r>
        <w:rPr>
          <w:rFonts w:hint="eastAsia" w:cs="Times New Roman"/>
          <w:color w:val="auto"/>
          <w:sz w:val="24"/>
          <w:u w:val="none" w:color="auto"/>
          <w:lang w:eastAsia="zh-CN"/>
        </w:rPr>
        <w:t>湖南宏翰新能源科技有限公司</w:t>
      </w:r>
      <w:r>
        <w:rPr>
          <w:rFonts w:hint="eastAsia" w:cs="Times New Roman"/>
          <w:color w:val="auto"/>
          <w:sz w:val="24"/>
          <w:u w:val="none" w:color="auto"/>
          <w:lang w:val="en-US" w:eastAsia="zh-CN"/>
        </w:rPr>
        <w:t>；</w:t>
      </w:r>
    </w:p>
    <w:p w14:paraId="02386413">
      <w:pPr>
        <w:pStyle w:val="21"/>
        <w:bidi w:val="0"/>
        <w:rPr>
          <w:rFonts w:hint="eastAsia"/>
          <w:color w:val="auto"/>
          <w:u w:val="none" w:color="auto"/>
          <w:lang w:val="en-US" w:eastAsia="zh-CN"/>
        </w:rPr>
      </w:pPr>
      <w:r>
        <w:rPr>
          <w:rFonts w:hint="eastAsia" w:cs="Times New Roman"/>
          <w:b/>
          <w:bCs/>
          <w:color w:val="auto"/>
          <w:sz w:val="24"/>
          <w:u w:val="none" w:color="auto"/>
          <w:lang w:val="en-US" w:eastAsia="zh-CN"/>
        </w:rPr>
        <w:t>建设地点：</w:t>
      </w:r>
      <w:r>
        <w:rPr>
          <w:rFonts w:hint="eastAsia"/>
          <w:color w:val="auto"/>
          <w:u w:val="none" w:color="auto"/>
          <w:lang w:val="en-US" w:eastAsia="zh-CN"/>
        </w:rPr>
        <w:t>湖南省岳阳市汨罗市湖南汨罗高新技术产业开发区弼时片区大里塘村立新南路（</w:t>
      </w:r>
      <w:r>
        <w:rPr>
          <w:rFonts w:hAnsi="宋体"/>
          <w:color w:val="auto"/>
          <w:sz w:val="24"/>
          <w:u w:val="none" w:color="auto"/>
        </w:rPr>
        <w:t>东经</w:t>
      </w:r>
      <w:r>
        <w:rPr>
          <w:rFonts w:hint="eastAsia"/>
          <w:color w:val="auto"/>
          <w:sz w:val="24"/>
          <w:u w:val="none" w:color="auto"/>
        </w:rPr>
        <w:t>113.150629</w:t>
      </w:r>
      <w:r>
        <w:rPr>
          <w:rFonts w:hAnsi="宋体"/>
          <w:color w:val="auto"/>
          <w:sz w:val="24"/>
          <w:u w:val="none" w:color="auto"/>
        </w:rPr>
        <w:t>、北纬</w:t>
      </w:r>
      <w:r>
        <w:rPr>
          <w:rFonts w:hint="eastAsia"/>
          <w:color w:val="auto"/>
          <w:sz w:val="24"/>
          <w:u w:val="none" w:color="auto"/>
        </w:rPr>
        <w:t>28.484262</w:t>
      </w:r>
      <w:r>
        <w:rPr>
          <w:rFonts w:hint="eastAsia"/>
          <w:color w:val="auto"/>
          <w:u w:val="none" w:color="auto"/>
          <w:lang w:val="en-US" w:eastAsia="zh-CN"/>
        </w:rPr>
        <w:t>）；</w:t>
      </w:r>
    </w:p>
    <w:p w14:paraId="638CE171">
      <w:pPr>
        <w:pStyle w:val="21"/>
        <w:bidi w:val="0"/>
        <w:rPr>
          <w:rFonts w:hint="eastAsia"/>
          <w:color w:val="auto"/>
          <w:u w:val="none" w:color="auto"/>
          <w:lang w:val="en-US" w:eastAsia="zh-CN"/>
        </w:rPr>
      </w:pPr>
      <w:r>
        <w:rPr>
          <w:rFonts w:hint="eastAsia"/>
          <w:b/>
          <w:bCs/>
          <w:color w:val="auto"/>
          <w:u w:val="none" w:color="auto"/>
          <w:lang w:val="en-US" w:eastAsia="zh-CN"/>
        </w:rPr>
        <w:t>建设性质：</w:t>
      </w:r>
      <w:r>
        <w:rPr>
          <w:rFonts w:hint="eastAsia"/>
          <w:b w:val="0"/>
          <w:bCs w:val="0"/>
          <w:color w:val="auto"/>
          <w:u w:val="none" w:color="auto"/>
          <w:lang w:val="en-US" w:eastAsia="zh-CN"/>
        </w:rPr>
        <w:t>新建</w:t>
      </w:r>
      <w:r>
        <w:rPr>
          <w:rFonts w:hint="eastAsia"/>
          <w:color w:val="auto"/>
          <w:u w:val="none" w:color="auto"/>
          <w:lang w:val="en-US" w:eastAsia="zh-CN"/>
        </w:rPr>
        <w:t>；</w:t>
      </w:r>
    </w:p>
    <w:p w14:paraId="4983F334">
      <w:pPr>
        <w:pStyle w:val="21"/>
        <w:bidi w:val="0"/>
        <w:rPr>
          <w:rFonts w:hint="default"/>
          <w:color w:val="auto"/>
          <w:u w:val="none" w:color="auto"/>
          <w:lang w:val="en-US" w:eastAsia="zh-CN"/>
        </w:rPr>
      </w:pPr>
      <w:r>
        <w:rPr>
          <w:rFonts w:hint="eastAsia"/>
          <w:b/>
          <w:bCs/>
          <w:color w:val="auto"/>
          <w:u w:val="none" w:color="auto"/>
          <w:lang w:val="en-US" w:eastAsia="zh-CN"/>
        </w:rPr>
        <w:t>主要建设内容及规模：</w:t>
      </w:r>
      <w:r>
        <w:rPr>
          <w:rFonts w:hint="eastAsia"/>
          <w:b w:val="0"/>
          <w:bCs w:val="0"/>
          <w:color w:val="auto"/>
          <w:u w:val="none" w:color="auto"/>
          <w:lang w:val="en-US" w:eastAsia="zh-CN"/>
        </w:rPr>
        <w:t>项目租赁汨罗市乾源碳素材料有限公司场地进行生产，租赁面积约4000m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，建筑面积约3500m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，建设2条生产线及相关配套环保设施，年产</w:t>
      </w:r>
      <w:r>
        <w:rPr>
          <w:rFonts w:hint="eastAsia" w:cs="Times New Roman"/>
          <w:color w:val="auto"/>
          <w:sz w:val="24"/>
          <w:u w:val="none" w:color="auto"/>
          <w:lang w:eastAsia="zh-CN"/>
        </w:rPr>
        <w:t>20万套锂电池石墨匣钵</w:t>
      </w:r>
      <w:r>
        <w:rPr>
          <w:rFonts w:hint="eastAsia"/>
          <w:color w:val="auto"/>
          <w:u w:val="none" w:color="auto"/>
          <w:lang w:val="en-US" w:eastAsia="zh-CN"/>
        </w:rPr>
        <w:t>；</w:t>
      </w:r>
    </w:p>
    <w:p w14:paraId="25F775B6">
      <w:pPr>
        <w:pStyle w:val="21"/>
        <w:bidi w:val="0"/>
        <w:rPr>
          <w:rFonts w:hint="eastAsia"/>
          <w:color w:val="auto"/>
          <w:highlight w:val="none"/>
          <w:u w:val="none" w:color="auto"/>
          <w:lang w:val="en-US" w:eastAsia="zh-CN"/>
        </w:rPr>
      </w:pPr>
      <w:r>
        <w:rPr>
          <w:rFonts w:hint="eastAsia"/>
          <w:b/>
          <w:bCs/>
          <w:i w:val="0"/>
          <w:iCs w:val="0"/>
          <w:color w:val="auto"/>
          <w:highlight w:val="none"/>
          <w:u w:val="none" w:color="auto"/>
          <w:lang w:val="en-US" w:eastAsia="zh-CN"/>
        </w:rPr>
        <w:t>项目投资：</w:t>
      </w:r>
      <w:r>
        <w:rPr>
          <w:rFonts w:hint="eastAsia"/>
          <w:color w:val="auto"/>
          <w:highlight w:val="none"/>
          <w:u w:val="none" w:color="auto"/>
          <w:lang w:val="en-US" w:eastAsia="zh-CN"/>
        </w:rPr>
        <w:t>项目总投资1000万元，其中环保投资52万元，占项目总投资的5.2%。</w:t>
      </w:r>
    </w:p>
    <w:p w14:paraId="5BFF152D">
      <w:pPr>
        <w:pStyle w:val="8"/>
        <w:bidi w:val="0"/>
        <w:rPr>
          <w:rFonts w:hint="eastAsia"/>
          <w:color w:val="auto"/>
          <w:u w:val="none" w:color="auto"/>
          <w:lang w:val="en-US" w:eastAsia="zh-CN"/>
        </w:rPr>
      </w:pPr>
      <w:bookmarkStart w:id="583" w:name="_Toc7104"/>
      <w:bookmarkStart w:id="584" w:name="_Toc5748"/>
      <w:bookmarkStart w:id="585" w:name="_Toc12055"/>
      <w:r>
        <w:rPr>
          <w:rFonts w:hint="eastAsia"/>
          <w:color w:val="auto"/>
          <w:u w:val="none" w:color="auto"/>
          <w:lang w:val="en-US" w:eastAsia="zh-CN"/>
        </w:rPr>
        <w:t>3.1.2项目组成</w:t>
      </w:r>
      <w:bookmarkEnd w:id="583"/>
      <w:bookmarkEnd w:id="584"/>
      <w:bookmarkEnd w:id="585"/>
    </w:p>
    <w:p w14:paraId="3FA157DB">
      <w:pPr>
        <w:pStyle w:val="21"/>
        <w:bidi w:val="0"/>
        <w:rPr>
          <w:rFonts w:hint="eastAsia"/>
          <w:color w:val="auto"/>
          <w:u w:val="none" w:color="auto"/>
          <w:lang w:val="en-US" w:eastAsia="zh-CN"/>
        </w:rPr>
      </w:pPr>
      <w:r>
        <w:rPr>
          <w:rFonts w:hint="eastAsia"/>
          <w:color w:val="auto"/>
          <w:u w:val="none" w:color="auto"/>
          <w:lang w:val="en-US" w:eastAsia="zh-CN"/>
        </w:rPr>
        <w:t>本项目为新建项目，</w:t>
      </w:r>
      <w:r>
        <w:rPr>
          <w:rFonts w:hint="eastAsia"/>
          <w:b w:val="0"/>
          <w:bCs w:val="0"/>
          <w:color w:val="auto"/>
          <w:u w:val="none" w:color="auto"/>
          <w:lang w:val="en-US" w:eastAsia="zh-CN"/>
        </w:rPr>
        <w:t>租赁汨罗市乾源碳素材料有限公司场地进行生产</w:t>
      </w:r>
      <w:r>
        <w:rPr>
          <w:rFonts w:hint="eastAsia"/>
          <w:color w:val="auto"/>
          <w:u w:val="none" w:color="auto"/>
          <w:lang w:val="en-US" w:eastAsia="zh-CN"/>
        </w:rPr>
        <w:t>，项目主要为两栋标准化厂房，在厂房内进行功能分区，1#厂房分别布置原料区、配料区、上料区、混捏区、凉片区、磨粉区、筛分区、液压区1、半成品摆放区1、成品摆放区1、焙烧区1、不合格品区1、配电区、制冷区等主体工程，2#厂房分别布置冷却区、液压区2、半成品摆放区2、成品摆放区2、焙烧区2、不合格品区2等，并配套建设环保工程。本项目工程组成见下表。</w:t>
      </w:r>
    </w:p>
    <w:p w14:paraId="158397FE">
      <w:pPr>
        <w:pStyle w:val="23"/>
        <w:bidi w:val="0"/>
        <w:rPr>
          <w:rFonts w:hint="default"/>
          <w:color w:val="auto"/>
          <w:u w:val="none" w:color="auto"/>
          <w:lang w:val="en-US" w:eastAsia="zh-CN"/>
        </w:rPr>
      </w:pPr>
      <w:r>
        <w:rPr>
          <w:rFonts w:hint="eastAsia"/>
          <w:color w:val="auto"/>
          <w:u w:val="none" w:color="auto"/>
          <w:lang w:val="en-US" w:eastAsia="zh-CN"/>
        </w:rPr>
        <w:t>表3.1-1  工程建设一览表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65"/>
        <w:gridCol w:w="1132"/>
        <w:gridCol w:w="1312"/>
        <w:gridCol w:w="270"/>
        <w:gridCol w:w="2873"/>
        <w:gridCol w:w="1071"/>
      </w:tblGrid>
      <w:tr w14:paraId="0E2D6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noWrap w:val="0"/>
            <w:vAlign w:val="center"/>
          </w:tcPr>
          <w:p w14:paraId="53EC08D7">
            <w:pPr>
              <w:pStyle w:val="38"/>
              <w:bidi w:val="0"/>
              <w:rPr>
                <w:b/>
                <w:bCs/>
                <w:color w:val="auto"/>
                <w:u w:val="none" w:color="auto"/>
              </w:rPr>
            </w:pPr>
            <w:bookmarkStart w:id="586" w:name="_Toc19502"/>
            <w:bookmarkStart w:id="587" w:name="_Toc27626"/>
            <w:r>
              <w:rPr>
                <w:b/>
                <w:bCs/>
                <w:color w:val="auto"/>
                <w:u w:val="none" w:color="auto"/>
              </w:rPr>
              <w:t>工程类别</w:t>
            </w:r>
          </w:p>
        </w:tc>
        <w:tc>
          <w:tcPr>
            <w:tcW w:w="1065" w:type="dxa"/>
            <w:noWrap w:val="0"/>
            <w:vAlign w:val="center"/>
          </w:tcPr>
          <w:p w14:paraId="41E36705">
            <w:pPr>
              <w:pStyle w:val="38"/>
              <w:bidi w:val="0"/>
              <w:rPr>
                <w:b/>
                <w:bCs/>
                <w:color w:val="auto"/>
                <w:u w:val="none" w:color="auto"/>
              </w:rPr>
            </w:pPr>
            <w:r>
              <w:rPr>
                <w:b/>
                <w:bCs/>
                <w:color w:val="auto"/>
                <w:u w:val="none" w:color="auto"/>
              </w:rPr>
              <w:t>工程名称</w:t>
            </w:r>
          </w:p>
        </w:tc>
        <w:tc>
          <w:tcPr>
            <w:tcW w:w="2714" w:type="dxa"/>
            <w:gridSpan w:val="3"/>
            <w:noWrap w:val="0"/>
            <w:vAlign w:val="center"/>
          </w:tcPr>
          <w:p w14:paraId="2747C444">
            <w:pPr>
              <w:pStyle w:val="38"/>
              <w:bidi w:val="0"/>
              <w:rPr>
                <w:rFonts w:hint="eastAsia"/>
                <w:b/>
                <w:bCs/>
                <w:color w:val="auto"/>
                <w:u w:val="none" w:color="auto"/>
              </w:rPr>
            </w:pPr>
            <w:r>
              <w:rPr>
                <w:b/>
                <w:bCs/>
                <w:color w:val="auto"/>
                <w:u w:val="none" w:color="auto"/>
              </w:rPr>
              <w:t>工程内容</w:t>
            </w:r>
          </w:p>
        </w:tc>
        <w:tc>
          <w:tcPr>
            <w:tcW w:w="2873" w:type="dxa"/>
            <w:noWrap w:val="0"/>
            <w:vAlign w:val="center"/>
          </w:tcPr>
          <w:p w14:paraId="0B994330">
            <w:pPr>
              <w:pStyle w:val="38"/>
              <w:bidi w:val="0"/>
              <w:rPr>
                <w:b/>
                <w:bCs/>
                <w:color w:val="auto"/>
                <w:u w:val="none" w:color="auto"/>
              </w:rPr>
            </w:pPr>
            <w:r>
              <w:rPr>
                <w:b/>
                <w:bCs/>
                <w:color w:val="auto"/>
                <w:u w:val="none" w:color="auto"/>
              </w:rPr>
              <w:t>生产功能</w:t>
            </w:r>
          </w:p>
        </w:tc>
        <w:tc>
          <w:tcPr>
            <w:tcW w:w="1071" w:type="dxa"/>
            <w:noWrap w:val="0"/>
            <w:vAlign w:val="center"/>
          </w:tcPr>
          <w:p w14:paraId="26283B5F">
            <w:pPr>
              <w:pStyle w:val="38"/>
              <w:bidi w:val="0"/>
              <w:rPr>
                <w:rFonts w:hint="eastAsia"/>
                <w:b/>
                <w:bCs/>
                <w:color w:val="auto"/>
                <w:u w:val="none" w:color="auto"/>
              </w:rPr>
            </w:pPr>
            <w:r>
              <w:rPr>
                <w:b/>
                <w:bCs/>
                <w:color w:val="auto"/>
                <w:u w:val="none" w:color="auto"/>
              </w:rPr>
              <w:t>备注</w:t>
            </w:r>
          </w:p>
        </w:tc>
      </w:tr>
      <w:tr w14:paraId="298EA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52844082">
            <w:pPr>
              <w:pStyle w:val="38"/>
              <w:bidi w:val="0"/>
              <w:rPr>
                <w:rFonts w:hint="eastAsia"/>
                <w:color w:val="auto"/>
                <w:u w:val="none" w:color="auto"/>
              </w:rPr>
            </w:pPr>
            <w:r>
              <w:rPr>
                <w:rFonts w:hint="eastAsia"/>
                <w:color w:val="auto"/>
                <w:u w:val="none" w:color="auto"/>
              </w:rPr>
              <w:t>主体工程</w:t>
            </w:r>
          </w:p>
        </w:tc>
        <w:tc>
          <w:tcPr>
            <w:tcW w:w="1065" w:type="dxa"/>
            <w:noWrap w:val="0"/>
            <w:vAlign w:val="center"/>
          </w:tcPr>
          <w:p w14:paraId="63106666">
            <w:pPr>
              <w:pStyle w:val="38"/>
              <w:bidi w:val="0"/>
              <w:rPr>
                <w:rFonts w:hint="default"/>
                <w:color w:val="auto"/>
                <w:u w:val="none" w:color="auto"/>
                <w:lang w:val="en-US" w:eastAsia="zh-CN"/>
              </w:rPr>
            </w:pPr>
            <w:r>
              <w:rPr>
                <w:rFonts w:hint="eastAsia"/>
                <w:color w:val="auto"/>
                <w:u w:val="none" w:color="auto"/>
                <w:lang w:val="en-US" w:eastAsia="zh-CN"/>
              </w:rPr>
              <w:t>1#厂房</w:t>
            </w:r>
          </w:p>
        </w:tc>
        <w:tc>
          <w:tcPr>
            <w:tcW w:w="2714" w:type="dxa"/>
            <w:gridSpan w:val="3"/>
            <w:noWrap w:val="0"/>
            <w:vAlign w:val="center"/>
          </w:tcPr>
          <w:p w14:paraId="26EBFF04">
            <w:pPr>
              <w:pStyle w:val="38"/>
              <w:bidi w:val="0"/>
              <w:rPr>
                <w:rFonts w:hint="eastAsia"/>
                <w:color w:val="auto"/>
                <w:u w:val="none" w:color="auto"/>
                <w:lang w:val="en-US" w:eastAsia="zh-CN"/>
              </w:rPr>
            </w:pPr>
            <w:r>
              <w:rPr>
                <w:rFonts w:hint="eastAsia"/>
                <w:color w:val="auto"/>
                <w:u w:val="none" w:color="auto"/>
                <w:lang w:val="en-US" w:eastAsia="zh-CN"/>
              </w:rPr>
              <w:t>1F、单层轻钢框架结构，建筑面积1450m</w:t>
            </w:r>
            <w:r>
              <w:rPr>
                <w:rFonts w:hint="eastAsia"/>
                <w:color w:val="auto"/>
                <w:u w:val="none" w:color="auto"/>
                <w:vertAlign w:val="superscript"/>
                <w:lang w:val="en-US" w:eastAsia="zh-CN"/>
              </w:rPr>
              <w:t>2</w:t>
            </w:r>
          </w:p>
        </w:tc>
        <w:tc>
          <w:tcPr>
            <w:tcW w:w="2873" w:type="dxa"/>
            <w:noWrap w:val="0"/>
            <w:vAlign w:val="center"/>
          </w:tcPr>
          <w:p w14:paraId="37BD1588">
            <w:pPr>
              <w:pStyle w:val="38"/>
              <w:bidi w:val="0"/>
              <w:rPr>
                <w:rFonts w:hint="default"/>
                <w:color w:val="auto"/>
                <w:u w:val="none" w:color="auto"/>
                <w:lang w:val="en-US" w:eastAsia="zh-CN"/>
              </w:rPr>
            </w:pPr>
            <w:r>
              <w:rPr>
                <w:rFonts w:hint="eastAsia"/>
                <w:color w:val="auto"/>
                <w:u w:val="none" w:color="auto"/>
                <w:lang w:val="en-US" w:eastAsia="zh-CN"/>
              </w:rPr>
              <w:t>建设1条生产线，包含原料区、配料区、上料区、混捏区、凉片区、磨粉区、筛分区、液压区1、半成品摆放区1、成品摆放区1、焙烧区1、不合格品区1、配电区、制冷区</w:t>
            </w:r>
          </w:p>
        </w:tc>
        <w:tc>
          <w:tcPr>
            <w:tcW w:w="1071" w:type="dxa"/>
            <w:noWrap w:val="0"/>
            <w:vAlign w:val="center"/>
          </w:tcPr>
          <w:p w14:paraId="7863C839">
            <w:pPr>
              <w:pStyle w:val="38"/>
              <w:bidi w:val="0"/>
              <w:rPr>
                <w:rFonts w:hint="default"/>
                <w:color w:val="auto"/>
                <w:u w:val="none" w:color="auto"/>
                <w:lang w:val="en-US" w:eastAsia="zh-CN"/>
              </w:rPr>
            </w:pPr>
            <w:r>
              <w:rPr>
                <w:rFonts w:hint="eastAsia"/>
                <w:color w:val="auto"/>
                <w:u w:val="none" w:color="auto"/>
                <w:lang w:val="en-US" w:eastAsia="zh-CN"/>
              </w:rPr>
              <w:t>厂房依托乾源现有，购置设备布置</w:t>
            </w:r>
          </w:p>
        </w:tc>
      </w:tr>
      <w:tr w14:paraId="2252E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42502964">
            <w:pPr>
              <w:pStyle w:val="38"/>
              <w:bidi w:val="0"/>
              <w:rPr>
                <w:rFonts w:hint="eastAsia"/>
                <w:color w:val="auto"/>
                <w:u w:val="none" w:color="auto"/>
              </w:rPr>
            </w:pPr>
          </w:p>
        </w:tc>
        <w:tc>
          <w:tcPr>
            <w:tcW w:w="1065" w:type="dxa"/>
            <w:noWrap w:val="0"/>
            <w:vAlign w:val="center"/>
          </w:tcPr>
          <w:p w14:paraId="425EED40">
            <w:pPr>
              <w:pStyle w:val="38"/>
              <w:bidi w:val="0"/>
              <w:rPr>
                <w:rFonts w:hint="default"/>
                <w:color w:val="auto"/>
                <w:u w:val="none" w:color="auto"/>
                <w:lang w:val="en-US" w:eastAsia="zh-CN"/>
              </w:rPr>
            </w:pPr>
            <w:r>
              <w:rPr>
                <w:rFonts w:hint="eastAsia"/>
                <w:color w:val="auto"/>
                <w:u w:val="none" w:color="auto"/>
                <w:lang w:val="en-US" w:eastAsia="zh-CN"/>
              </w:rPr>
              <w:t>2#厂房</w:t>
            </w:r>
          </w:p>
        </w:tc>
        <w:tc>
          <w:tcPr>
            <w:tcW w:w="2714" w:type="dxa"/>
            <w:gridSpan w:val="3"/>
            <w:noWrap w:val="0"/>
            <w:vAlign w:val="center"/>
          </w:tcPr>
          <w:p w14:paraId="58C30F54">
            <w:pPr>
              <w:pStyle w:val="38"/>
              <w:bidi w:val="0"/>
              <w:rPr>
                <w:rFonts w:hint="eastAsia"/>
                <w:color w:val="auto"/>
                <w:u w:val="none" w:color="auto"/>
                <w:lang w:val="en-US" w:eastAsia="zh-CN"/>
              </w:rPr>
            </w:pPr>
            <w:r>
              <w:rPr>
                <w:rFonts w:hint="eastAsia"/>
                <w:color w:val="auto"/>
                <w:u w:val="none" w:color="auto"/>
                <w:lang w:val="en-US" w:eastAsia="zh-CN"/>
              </w:rPr>
              <w:t>1F、单层轻钢框架结构，建筑面积2050m</w:t>
            </w:r>
            <w:r>
              <w:rPr>
                <w:rFonts w:hint="eastAsia"/>
                <w:color w:val="auto"/>
                <w:u w:val="none" w:color="auto"/>
                <w:vertAlign w:val="superscript"/>
                <w:lang w:val="en-US" w:eastAsia="zh-CN"/>
              </w:rPr>
              <w:t>2</w:t>
            </w:r>
          </w:p>
        </w:tc>
        <w:tc>
          <w:tcPr>
            <w:tcW w:w="2873" w:type="dxa"/>
            <w:noWrap w:val="0"/>
            <w:vAlign w:val="center"/>
          </w:tcPr>
          <w:p w14:paraId="3D37028C">
            <w:pPr>
              <w:pStyle w:val="38"/>
              <w:bidi w:val="0"/>
              <w:rPr>
                <w:rFonts w:hint="default"/>
                <w:color w:val="auto"/>
                <w:u w:val="none" w:color="auto"/>
                <w:lang w:val="en-US" w:eastAsia="zh-CN"/>
              </w:rPr>
            </w:pPr>
            <w:r>
              <w:rPr>
                <w:rFonts w:hint="eastAsia"/>
                <w:color w:val="auto"/>
                <w:u w:val="none" w:color="auto"/>
                <w:lang w:val="en-US" w:eastAsia="zh-CN"/>
              </w:rPr>
              <w:t>建设1条生产线，包含冷却区、液压区2、半成品摆放区2、成品摆放区2、焙烧区2、不合格品区2</w:t>
            </w:r>
          </w:p>
        </w:tc>
        <w:tc>
          <w:tcPr>
            <w:tcW w:w="1071" w:type="dxa"/>
            <w:noWrap w:val="0"/>
            <w:vAlign w:val="center"/>
          </w:tcPr>
          <w:p w14:paraId="1F99C55C">
            <w:pPr>
              <w:pStyle w:val="38"/>
              <w:bidi w:val="0"/>
              <w:rPr>
                <w:rFonts w:hint="default"/>
                <w:color w:val="auto"/>
                <w:u w:val="none" w:color="auto"/>
                <w:lang w:val="en-US" w:eastAsia="zh-CN"/>
              </w:rPr>
            </w:pPr>
            <w:r>
              <w:rPr>
                <w:rFonts w:hint="eastAsia"/>
                <w:color w:val="auto"/>
                <w:u w:val="none" w:color="auto"/>
                <w:lang w:val="en-US" w:eastAsia="zh-CN"/>
              </w:rPr>
              <w:t>新建</w:t>
            </w:r>
          </w:p>
        </w:tc>
      </w:tr>
      <w:tr w14:paraId="37435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3A0FB3FD">
            <w:pPr>
              <w:pStyle w:val="38"/>
              <w:bidi w:val="0"/>
              <w:rPr>
                <w:color w:val="auto"/>
                <w:u w:val="none" w:color="auto"/>
              </w:rPr>
            </w:pPr>
            <w:r>
              <w:rPr>
                <w:rFonts w:hint="eastAsia"/>
                <w:color w:val="auto"/>
                <w:u w:val="none" w:color="auto"/>
                <w:lang w:val="en-US" w:eastAsia="zh-CN"/>
              </w:rPr>
              <w:t>储运</w:t>
            </w:r>
            <w:r>
              <w:rPr>
                <w:color w:val="auto"/>
                <w:u w:val="none" w:color="auto"/>
              </w:rPr>
              <w:t>工程</w:t>
            </w:r>
          </w:p>
        </w:tc>
        <w:tc>
          <w:tcPr>
            <w:tcW w:w="1065" w:type="dxa"/>
            <w:noWrap w:val="0"/>
            <w:vAlign w:val="center"/>
          </w:tcPr>
          <w:p w14:paraId="35BE3B4D">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原料区</w:t>
            </w:r>
          </w:p>
        </w:tc>
        <w:tc>
          <w:tcPr>
            <w:tcW w:w="2714" w:type="dxa"/>
            <w:gridSpan w:val="3"/>
            <w:noWrap w:val="0"/>
            <w:vAlign w:val="center"/>
          </w:tcPr>
          <w:p w14:paraId="1ED1B7D5">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位于1#厂房东南部，占地面积50m</w:t>
            </w:r>
            <w:r>
              <w:rPr>
                <w:rFonts w:hint="eastAsia"/>
                <w:color w:val="auto"/>
                <w:u w:val="none" w:color="auto"/>
                <w:vertAlign w:val="superscript"/>
                <w:lang w:val="en-US" w:eastAsia="zh-CN"/>
              </w:rPr>
              <w:t>2</w:t>
            </w:r>
          </w:p>
        </w:tc>
        <w:tc>
          <w:tcPr>
            <w:tcW w:w="2873" w:type="dxa"/>
            <w:noWrap w:val="0"/>
            <w:vAlign w:val="center"/>
          </w:tcPr>
          <w:p w14:paraId="0909C598">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用于原料的堆放</w:t>
            </w:r>
          </w:p>
        </w:tc>
        <w:tc>
          <w:tcPr>
            <w:tcW w:w="1071" w:type="dxa"/>
            <w:noWrap w:val="0"/>
            <w:vAlign w:val="center"/>
          </w:tcPr>
          <w:p w14:paraId="10E4C0C1">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2C419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4F2FA42C">
            <w:pPr>
              <w:pStyle w:val="38"/>
              <w:bidi w:val="0"/>
              <w:rPr>
                <w:rFonts w:hint="eastAsia"/>
                <w:color w:val="auto"/>
                <w:u w:val="none" w:color="auto"/>
                <w:lang w:val="en-US" w:eastAsia="zh-CN"/>
              </w:rPr>
            </w:pPr>
          </w:p>
        </w:tc>
        <w:tc>
          <w:tcPr>
            <w:tcW w:w="1065" w:type="dxa"/>
            <w:noWrap w:val="0"/>
            <w:vAlign w:val="center"/>
          </w:tcPr>
          <w:p w14:paraId="295E1024">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半成品摆放区1</w:t>
            </w:r>
          </w:p>
        </w:tc>
        <w:tc>
          <w:tcPr>
            <w:tcW w:w="2714" w:type="dxa"/>
            <w:gridSpan w:val="3"/>
            <w:noWrap w:val="0"/>
            <w:vAlign w:val="center"/>
          </w:tcPr>
          <w:p w14:paraId="66C82972">
            <w:pPr>
              <w:pStyle w:val="38"/>
              <w:bidi w:val="0"/>
              <w:ind w:firstLine="0" w:firstLineChars="0"/>
              <w:rPr>
                <w:rFonts w:hint="eastAsia"/>
                <w:color w:val="auto"/>
                <w:u w:val="none" w:color="auto"/>
                <w:lang w:val="en-US" w:eastAsia="zh-CN"/>
              </w:rPr>
            </w:pPr>
            <w:r>
              <w:rPr>
                <w:rFonts w:hint="eastAsia"/>
                <w:color w:val="auto"/>
                <w:u w:val="none" w:color="auto"/>
                <w:lang w:val="en-US" w:eastAsia="zh-CN"/>
              </w:rPr>
              <w:t>位于1#厂房中部，占地面积240m</w:t>
            </w:r>
            <w:r>
              <w:rPr>
                <w:rFonts w:hint="eastAsia"/>
                <w:color w:val="auto"/>
                <w:u w:val="none" w:color="auto"/>
                <w:vertAlign w:val="superscript"/>
                <w:lang w:val="en-US" w:eastAsia="zh-CN"/>
              </w:rPr>
              <w:t>2</w:t>
            </w:r>
          </w:p>
        </w:tc>
        <w:tc>
          <w:tcPr>
            <w:tcW w:w="2873" w:type="dxa"/>
            <w:noWrap w:val="0"/>
            <w:vAlign w:val="center"/>
          </w:tcPr>
          <w:p w14:paraId="56B4825B">
            <w:pPr>
              <w:pStyle w:val="38"/>
              <w:bidi w:val="0"/>
              <w:ind w:firstLine="0" w:firstLineChars="0"/>
              <w:rPr>
                <w:rFonts w:hint="default"/>
                <w:color w:val="auto"/>
                <w:u w:val="none" w:color="auto"/>
                <w:lang w:val="en-US" w:eastAsia="zh-CN"/>
              </w:rPr>
            </w:pPr>
            <w:r>
              <w:rPr>
                <w:rFonts w:hint="eastAsia"/>
                <w:color w:val="auto"/>
                <w:u w:val="none" w:color="auto"/>
                <w:lang w:val="en-US" w:eastAsia="zh-CN"/>
              </w:rPr>
              <w:t>用于压制成型后未焙烧的半成品堆放</w:t>
            </w:r>
          </w:p>
        </w:tc>
        <w:tc>
          <w:tcPr>
            <w:tcW w:w="1071" w:type="dxa"/>
            <w:noWrap w:val="0"/>
            <w:vAlign w:val="center"/>
          </w:tcPr>
          <w:p w14:paraId="2CB22717">
            <w:pPr>
              <w:pStyle w:val="38"/>
              <w:bidi w:val="0"/>
              <w:ind w:firstLine="0" w:firstLineChars="0"/>
              <w:rPr>
                <w:rFonts w:hint="default"/>
                <w:color w:val="auto"/>
                <w:u w:val="none" w:color="auto"/>
                <w:lang w:val="en-US" w:eastAsia="zh-CN"/>
              </w:rPr>
            </w:pPr>
            <w:r>
              <w:rPr>
                <w:rFonts w:hint="eastAsia"/>
                <w:color w:val="auto"/>
                <w:u w:val="none" w:color="auto"/>
                <w:lang w:val="en-US" w:eastAsia="zh-CN"/>
              </w:rPr>
              <w:t>新建</w:t>
            </w:r>
          </w:p>
        </w:tc>
      </w:tr>
      <w:tr w14:paraId="2062E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46A3583B">
            <w:pPr>
              <w:pStyle w:val="38"/>
              <w:bidi w:val="0"/>
              <w:rPr>
                <w:rFonts w:hint="eastAsia"/>
                <w:color w:val="auto"/>
                <w:u w:val="none" w:color="auto"/>
                <w:lang w:val="en-US" w:eastAsia="zh-CN"/>
              </w:rPr>
            </w:pPr>
          </w:p>
        </w:tc>
        <w:tc>
          <w:tcPr>
            <w:tcW w:w="1065" w:type="dxa"/>
            <w:noWrap w:val="0"/>
            <w:vAlign w:val="center"/>
          </w:tcPr>
          <w:p w14:paraId="2A382D6F">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成品摆放区1</w:t>
            </w:r>
          </w:p>
        </w:tc>
        <w:tc>
          <w:tcPr>
            <w:tcW w:w="2714" w:type="dxa"/>
            <w:gridSpan w:val="3"/>
            <w:noWrap w:val="0"/>
            <w:vAlign w:val="center"/>
          </w:tcPr>
          <w:p w14:paraId="297AAA0A">
            <w:pPr>
              <w:pStyle w:val="38"/>
              <w:bidi w:val="0"/>
              <w:ind w:firstLine="0" w:firstLineChars="0"/>
              <w:rPr>
                <w:rFonts w:hint="eastAsia"/>
                <w:color w:val="auto"/>
                <w:u w:val="none" w:color="auto"/>
                <w:lang w:val="en-US" w:eastAsia="zh-CN"/>
              </w:rPr>
            </w:pPr>
            <w:r>
              <w:rPr>
                <w:rFonts w:hint="eastAsia"/>
                <w:color w:val="auto"/>
                <w:u w:val="none" w:color="auto"/>
                <w:lang w:val="en-US" w:eastAsia="zh-CN"/>
              </w:rPr>
              <w:t>位于1#厂房中北部，占地面积300m</w:t>
            </w:r>
            <w:r>
              <w:rPr>
                <w:rFonts w:hint="eastAsia"/>
                <w:color w:val="auto"/>
                <w:u w:val="none" w:color="auto"/>
                <w:vertAlign w:val="superscript"/>
                <w:lang w:val="en-US" w:eastAsia="zh-CN"/>
              </w:rPr>
              <w:t>2</w:t>
            </w:r>
          </w:p>
        </w:tc>
        <w:tc>
          <w:tcPr>
            <w:tcW w:w="2873" w:type="dxa"/>
            <w:noWrap w:val="0"/>
            <w:vAlign w:val="center"/>
          </w:tcPr>
          <w:p w14:paraId="0C6E0494">
            <w:pPr>
              <w:pStyle w:val="38"/>
              <w:bidi w:val="0"/>
              <w:ind w:firstLine="0" w:firstLineChars="0"/>
              <w:rPr>
                <w:rFonts w:hint="default"/>
                <w:color w:val="auto"/>
                <w:u w:val="none" w:color="auto"/>
                <w:lang w:val="en-US" w:eastAsia="zh-CN"/>
              </w:rPr>
            </w:pPr>
            <w:r>
              <w:rPr>
                <w:rFonts w:hint="eastAsia"/>
                <w:color w:val="auto"/>
                <w:u w:val="none" w:color="auto"/>
                <w:lang w:val="en-US" w:eastAsia="zh-CN"/>
              </w:rPr>
              <w:t>用于成品堆放</w:t>
            </w:r>
          </w:p>
        </w:tc>
        <w:tc>
          <w:tcPr>
            <w:tcW w:w="1071" w:type="dxa"/>
            <w:noWrap w:val="0"/>
            <w:vAlign w:val="center"/>
          </w:tcPr>
          <w:p w14:paraId="339E0BBC">
            <w:pPr>
              <w:pStyle w:val="38"/>
              <w:bidi w:val="0"/>
              <w:ind w:firstLine="0" w:firstLineChars="0"/>
              <w:rPr>
                <w:rFonts w:hint="default"/>
                <w:color w:val="auto"/>
                <w:u w:val="none" w:color="auto"/>
                <w:lang w:val="en-US" w:eastAsia="zh-CN"/>
              </w:rPr>
            </w:pPr>
            <w:r>
              <w:rPr>
                <w:rFonts w:hint="eastAsia"/>
                <w:color w:val="auto"/>
                <w:u w:val="none" w:color="auto"/>
                <w:lang w:val="en-US" w:eastAsia="zh-CN"/>
              </w:rPr>
              <w:t>新建</w:t>
            </w:r>
          </w:p>
        </w:tc>
      </w:tr>
      <w:tr w14:paraId="134A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46676A2C">
            <w:pPr>
              <w:pStyle w:val="38"/>
              <w:bidi w:val="0"/>
              <w:rPr>
                <w:rFonts w:hint="eastAsia"/>
                <w:color w:val="auto"/>
                <w:u w:val="none" w:color="auto"/>
                <w:lang w:val="en-US" w:eastAsia="zh-CN"/>
              </w:rPr>
            </w:pPr>
          </w:p>
        </w:tc>
        <w:tc>
          <w:tcPr>
            <w:tcW w:w="1065" w:type="dxa"/>
            <w:noWrap w:val="0"/>
            <w:vAlign w:val="center"/>
          </w:tcPr>
          <w:p w14:paraId="0883B928">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半成品摆放区2</w:t>
            </w:r>
          </w:p>
        </w:tc>
        <w:tc>
          <w:tcPr>
            <w:tcW w:w="2714" w:type="dxa"/>
            <w:gridSpan w:val="3"/>
            <w:noWrap w:val="0"/>
            <w:vAlign w:val="center"/>
          </w:tcPr>
          <w:p w14:paraId="164F5985">
            <w:pPr>
              <w:pStyle w:val="38"/>
              <w:bidi w:val="0"/>
              <w:ind w:firstLine="0" w:firstLineChars="0"/>
              <w:rPr>
                <w:rFonts w:hint="eastAsia"/>
                <w:color w:val="auto"/>
                <w:u w:val="none" w:color="auto"/>
                <w:lang w:val="en-US" w:eastAsia="zh-CN"/>
              </w:rPr>
            </w:pPr>
            <w:r>
              <w:rPr>
                <w:rFonts w:hint="eastAsia"/>
                <w:color w:val="auto"/>
                <w:u w:val="none" w:color="auto"/>
                <w:lang w:val="en-US" w:eastAsia="zh-CN"/>
              </w:rPr>
              <w:t>位于2#厂房北部，占地面积650m</w:t>
            </w:r>
            <w:r>
              <w:rPr>
                <w:rFonts w:hint="eastAsia"/>
                <w:color w:val="auto"/>
                <w:u w:val="none" w:color="auto"/>
                <w:vertAlign w:val="superscript"/>
                <w:lang w:val="en-US" w:eastAsia="zh-CN"/>
              </w:rPr>
              <w:t>2</w:t>
            </w:r>
          </w:p>
        </w:tc>
        <w:tc>
          <w:tcPr>
            <w:tcW w:w="2873" w:type="dxa"/>
            <w:noWrap w:val="0"/>
            <w:vAlign w:val="center"/>
          </w:tcPr>
          <w:p w14:paraId="572D2383">
            <w:pPr>
              <w:pStyle w:val="38"/>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用于压制成型后未焙烧的半成品堆放</w:t>
            </w:r>
          </w:p>
        </w:tc>
        <w:tc>
          <w:tcPr>
            <w:tcW w:w="1071" w:type="dxa"/>
            <w:noWrap w:val="0"/>
            <w:vAlign w:val="center"/>
          </w:tcPr>
          <w:p w14:paraId="63D81C6C">
            <w:pPr>
              <w:pStyle w:val="38"/>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3AC51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0E81522D">
            <w:pPr>
              <w:pStyle w:val="38"/>
              <w:bidi w:val="0"/>
              <w:rPr>
                <w:rFonts w:hint="eastAsia"/>
                <w:color w:val="auto"/>
                <w:u w:val="none" w:color="auto"/>
                <w:lang w:val="en-US" w:eastAsia="zh-CN"/>
              </w:rPr>
            </w:pPr>
          </w:p>
        </w:tc>
        <w:tc>
          <w:tcPr>
            <w:tcW w:w="1065" w:type="dxa"/>
            <w:noWrap w:val="0"/>
            <w:vAlign w:val="center"/>
          </w:tcPr>
          <w:p w14:paraId="1E39F780">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成品摆放区2</w:t>
            </w:r>
          </w:p>
        </w:tc>
        <w:tc>
          <w:tcPr>
            <w:tcW w:w="2714" w:type="dxa"/>
            <w:gridSpan w:val="3"/>
            <w:noWrap w:val="0"/>
            <w:vAlign w:val="center"/>
          </w:tcPr>
          <w:p w14:paraId="32C4E1BA">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位于2#厂房中部，占地面积700m</w:t>
            </w:r>
            <w:r>
              <w:rPr>
                <w:rFonts w:hint="eastAsia"/>
                <w:color w:val="auto"/>
                <w:u w:val="none" w:color="auto"/>
                <w:vertAlign w:val="superscript"/>
                <w:lang w:val="en-US" w:eastAsia="zh-CN"/>
              </w:rPr>
              <w:t>2</w:t>
            </w:r>
          </w:p>
        </w:tc>
        <w:tc>
          <w:tcPr>
            <w:tcW w:w="2873" w:type="dxa"/>
            <w:noWrap w:val="0"/>
            <w:vAlign w:val="center"/>
          </w:tcPr>
          <w:p w14:paraId="7717A5ED">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用于成品堆放</w:t>
            </w:r>
          </w:p>
        </w:tc>
        <w:tc>
          <w:tcPr>
            <w:tcW w:w="1071" w:type="dxa"/>
            <w:noWrap w:val="0"/>
            <w:vAlign w:val="center"/>
          </w:tcPr>
          <w:p w14:paraId="33DF4DD6">
            <w:pPr>
              <w:pStyle w:val="38"/>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2E5D9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2ECD4159">
            <w:pPr>
              <w:pStyle w:val="38"/>
              <w:bidi w:val="0"/>
              <w:rPr>
                <w:rFonts w:hint="eastAsia"/>
                <w:color w:val="auto"/>
                <w:u w:val="none" w:color="auto"/>
                <w:lang w:val="en-US" w:eastAsia="zh-CN"/>
              </w:rPr>
            </w:pPr>
          </w:p>
        </w:tc>
        <w:tc>
          <w:tcPr>
            <w:tcW w:w="1065" w:type="dxa"/>
            <w:noWrap w:val="0"/>
            <w:vAlign w:val="center"/>
          </w:tcPr>
          <w:p w14:paraId="4D784C12">
            <w:pPr>
              <w:pStyle w:val="38"/>
              <w:bidi w:val="0"/>
              <w:rPr>
                <w:rFonts w:hint="default"/>
                <w:color w:val="auto"/>
                <w:u w:val="none" w:color="auto"/>
                <w:lang w:val="en-US" w:eastAsia="zh-CN"/>
              </w:rPr>
            </w:pPr>
            <w:r>
              <w:rPr>
                <w:rFonts w:hint="eastAsia"/>
                <w:color w:val="auto"/>
                <w:u w:val="none" w:color="auto"/>
                <w:lang w:val="en-US" w:eastAsia="zh-CN"/>
              </w:rPr>
              <w:t>运输</w:t>
            </w:r>
          </w:p>
        </w:tc>
        <w:tc>
          <w:tcPr>
            <w:tcW w:w="5587" w:type="dxa"/>
            <w:gridSpan w:val="4"/>
            <w:noWrap w:val="0"/>
            <w:vAlign w:val="center"/>
          </w:tcPr>
          <w:p w14:paraId="5C71C5C4">
            <w:pPr>
              <w:pStyle w:val="38"/>
              <w:bidi w:val="0"/>
              <w:rPr>
                <w:rFonts w:hint="default"/>
                <w:color w:val="auto"/>
                <w:u w:val="none" w:color="auto"/>
                <w:lang w:val="en-US" w:eastAsia="zh-CN"/>
              </w:rPr>
            </w:pPr>
            <w:r>
              <w:rPr>
                <w:rFonts w:hint="eastAsia"/>
                <w:color w:val="auto"/>
                <w:u w:val="none" w:color="auto"/>
                <w:lang w:val="en-US" w:eastAsia="zh-CN"/>
              </w:rPr>
              <w:t>物料厂内运输主要采用叉车，厂外运输采用汽车</w:t>
            </w:r>
          </w:p>
        </w:tc>
        <w:tc>
          <w:tcPr>
            <w:tcW w:w="1071" w:type="dxa"/>
            <w:noWrap w:val="0"/>
            <w:vAlign w:val="center"/>
          </w:tcPr>
          <w:p w14:paraId="2777C1AF">
            <w:pPr>
              <w:pStyle w:val="38"/>
              <w:bidi w:val="0"/>
              <w:rPr>
                <w:rFonts w:hint="default"/>
                <w:color w:val="auto"/>
                <w:u w:val="none" w:color="auto"/>
                <w:lang w:val="en-US" w:eastAsia="zh-CN"/>
              </w:rPr>
            </w:pPr>
            <w:r>
              <w:rPr>
                <w:rFonts w:hint="eastAsia"/>
                <w:color w:val="auto"/>
                <w:u w:val="none" w:color="auto"/>
                <w:lang w:val="en-US" w:eastAsia="zh-CN"/>
              </w:rPr>
              <w:t>新建</w:t>
            </w:r>
          </w:p>
        </w:tc>
      </w:tr>
      <w:tr w14:paraId="0CE60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noWrap w:val="0"/>
            <w:vAlign w:val="center"/>
          </w:tcPr>
          <w:p w14:paraId="3C42251F">
            <w:pPr>
              <w:pStyle w:val="38"/>
              <w:bidi w:val="0"/>
              <w:rPr>
                <w:color w:val="auto"/>
                <w:u w:val="none" w:color="auto"/>
              </w:rPr>
            </w:pPr>
            <w:r>
              <w:rPr>
                <w:color w:val="auto"/>
                <w:u w:val="none" w:color="auto"/>
              </w:rPr>
              <w:t>辅助工程</w:t>
            </w:r>
          </w:p>
        </w:tc>
        <w:tc>
          <w:tcPr>
            <w:tcW w:w="1065" w:type="dxa"/>
            <w:noWrap w:val="0"/>
            <w:vAlign w:val="center"/>
          </w:tcPr>
          <w:p w14:paraId="0F84BD9C">
            <w:pPr>
              <w:pStyle w:val="38"/>
              <w:bidi w:val="0"/>
              <w:rPr>
                <w:rFonts w:hint="default" w:eastAsia="宋体"/>
                <w:color w:val="auto"/>
                <w:u w:val="none" w:color="auto"/>
                <w:lang w:val="en-US" w:eastAsia="zh-CN"/>
              </w:rPr>
            </w:pPr>
            <w:r>
              <w:rPr>
                <w:rFonts w:hint="eastAsia"/>
                <w:color w:val="auto"/>
                <w:u w:val="none" w:color="auto"/>
                <w:lang w:val="en-US" w:eastAsia="zh-CN"/>
              </w:rPr>
              <w:t>办公室</w:t>
            </w:r>
          </w:p>
        </w:tc>
        <w:tc>
          <w:tcPr>
            <w:tcW w:w="2714" w:type="dxa"/>
            <w:gridSpan w:val="3"/>
            <w:noWrap w:val="0"/>
            <w:vAlign w:val="center"/>
          </w:tcPr>
          <w:p w14:paraId="4F875A52">
            <w:pPr>
              <w:pStyle w:val="38"/>
              <w:bidi w:val="0"/>
              <w:rPr>
                <w:rFonts w:hint="default"/>
                <w:color w:val="auto"/>
                <w:u w:val="none" w:color="auto"/>
                <w:vertAlign w:val="baseline"/>
                <w:lang w:val="en-US"/>
              </w:rPr>
            </w:pPr>
            <w:r>
              <w:rPr>
                <w:rFonts w:hint="eastAsia"/>
                <w:color w:val="auto"/>
                <w:u w:val="none" w:color="auto"/>
                <w:lang w:val="en-US" w:eastAsia="zh-CN"/>
              </w:rPr>
              <w:t>位于现有虹宇碳素厂区西北角，靠近厂区大门</w:t>
            </w:r>
          </w:p>
        </w:tc>
        <w:tc>
          <w:tcPr>
            <w:tcW w:w="2873" w:type="dxa"/>
            <w:noWrap w:val="0"/>
            <w:vAlign w:val="center"/>
          </w:tcPr>
          <w:p w14:paraId="02677567">
            <w:pPr>
              <w:pStyle w:val="38"/>
              <w:bidi w:val="0"/>
              <w:rPr>
                <w:rFonts w:hint="default" w:eastAsia="宋体"/>
                <w:color w:val="auto"/>
                <w:u w:val="none" w:color="auto"/>
                <w:lang w:val="en-US" w:eastAsia="zh-CN"/>
              </w:rPr>
            </w:pPr>
            <w:r>
              <w:rPr>
                <w:rFonts w:hint="eastAsia"/>
                <w:color w:val="auto"/>
                <w:u w:val="none" w:color="auto"/>
                <w:lang w:val="en-US" w:eastAsia="zh-CN"/>
              </w:rPr>
              <w:t>员工办公生活</w:t>
            </w:r>
          </w:p>
        </w:tc>
        <w:tc>
          <w:tcPr>
            <w:tcW w:w="1071" w:type="dxa"/>
            <w:noWrap w:val="0"/>
            <w:vAlign w:val="center"/>
          </w:tcPr>
          <w:p w14:paraId="24813387">
            <w:pPr>
              <w:pStyle w:val="38"/>
              <w:bidi w:val="0"/>
              <w:rPr>
                <w:rFonts w:hint="default" w:eastAsia="宋体"/>
                <w:color w:val="auto"/>
                <w:u w:val="none" w:color="auto"/>
                <w:lang w:val="en-US" w:eastAsia="zh-CN"/>
              </w:rPr>
            </w:pPr>
            <w:r>
              <w:rPr>
                <w:rFonts w:hint="eastAsia"/>
                <w:color w:val="auto"/>
                <w:u w:val="none" w:color="auto"/>
                <w:lang w:val="en-US" w:eastAsia="zh-CN"/>
              </w:rPr>
              <w:t>依托现有</w:t>
            </w:r>
          </w:p>
        </w:tc>
      </w:tr>
      <w:tr w14:paraId="5ACC7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50ECD583">
            <w:pPr>
              <w:pStyle w:val="38"/>
              <w:bidi w:val="0"/>
              <w:rPr>
                <w:color w:val="auto"/>
                <w:u w:val="none" w:color="auto"/>
              </w:rPr>
            </w:pPr>
            <w:r>
              <w:rPr>
                <w:color w:val="auto"/>
                <w:u w:val="none" w:color="auto"/>
              </w:rPr>
              <w:t>公用工程</w:t>
            </w:r>
          </w:p>
        </w:tc>
        <w:tc>
          <w:tcPr>
            <w:tcW w:w="1065" w:type="dxa"/>
            <w:noWrap w:val="0"/>
            <w:vAlign w:val="center"/>
          </w:tcPr>
          <w:p w14:paraId="5DF51332">
            <w:pPr>
              <w:pStyle w:val="38"/>
              <w:bidi w:val="0"/>
              <w:rPr>
                <w:color w:val="auto"/>
                <w:u w:val="none" w:color="auto"/>
              </w:rPr>
            </w:pPr>
            <w:r>
              <w:rPr>
                <w:color w:val="auto"/>
                <w:u w:val="none" w:color="auto"/>
              </w:rPr>
              <w:t>供电</w:t>
            </w:r>
          </w:p>
        </w:tc>
        <w:tc>
          <w:tcPr>
            <w:tcW w:w="5587" w:type="dxa"/>
            <w:gridSpan w:val="4"/>
            <w:noWrap w:val="0"/>
            <w:vAlign w:val="center"/>
          </w:tcPr>
          <w:p w14:paraId="7433474F">
            <w:pPr>
              <w:pStyle w:val="38"/>
              <w:bidi w:val="0"/>
              <w:rPr>
                <w:rFonts w:hint="eastAsia"/>
                <w:color w:val="auto"/>
                <w:u w:val="none" w:color="auto"/>
              </w:rPr>
            </w:pPr>
            <w:r>
              <w:rPr>
                <w:rFonts w:hint="eastAsia"/>
                <w:color w:val="auto"/>
                <w:u w:val="none" w:color="auto"/>
              </w:rPr>
              <w:t>工业园电网供给</w:t>
            </w:r>
          </w:p>
        </w:tc>
        <w:tc>
          <w:tcPr>
            <w:tcW w:w="1071" w:type="dxa"/>
            <w:vMerge w:val="restart"/>
            <w:noWrap w:val="0"/>
            <w:vAlign w:val="center"/>
          </w:tcPr>
          <w:p w14:paraId="29E19C89">
            <w:pPr>
              <w:pStyle w:val="38"/>
              <w:bidi w:val="0"/>
              <w:rPr>
                <w:rFonts w:hint="eastAsia"/>
                <w:color w:val="auto"/>
                <w:u w:val="none" w:color="auto"/>
              </w:rPr>
            </w:pPr>
            <w:r>
              <w:rPr>
                <w:rFonts w:hint="eastAsia"/>
                <w:color w:val="auto"/>
                <w:u w:val="none" w:color="auto"/>
              </w:rPr>
              <w:t>依托</w:t>
            </w:r>
          </w:p>
        </w:tc>
      </w:tr>
      <w:tr w14:paraId="7D9BC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4892D9B2">
            <w:pPr>
              <w:pStyle w:val="38"/>
              <w:bidi w:val="0"/>
              <w:rPr>
                <w:color w:val="auto"/>
                <w:u w:val="none" w:color="auto"/>
              </w:rPr>
            </w:pPr>
          </w:p>
        </w:tc>
        <w:tc>
          <w:tcPr>
            <w:tcW w:w="1065" w:type="dxa"/>
            <w:noWrap w:val="0"/>
            <w:vAlign w:val="center"/>
          </w:tcPr>
          <w:p w14:paraId="63C3EC37">
            <w:pPr>
              <w:pStyle w:val="38"/>
              <w:bidi w:val="0"/>
              <w:rPr>
                <w:color w:val="auto"/>
                <w:u w:val="none" w:color="auto"/>
              </w:rPr>
            </w:pPr>
            <w:r>
              <w:rPr>
                <w:color w:val="auto"/>
                <w:u w:val="none" w:color="auto"/>
              </w:rPr>
              <w:t>给水</w:t>
            </w:r>
          </w:p>
        </w:tc>
        <w:tc>
          <w:tcPr>
            <w:tcW w:w="5587" w:type="dxa"/>
            <w:gridSpan w:val="4"/>
            <w:noWrap w:val="0"/>
            <w:vAlign w:val="center"/>
          </w:tcPr>
          <w:p w14:paraId="585FEBEB">
            <w:pPr>
              <w:pStyle w:val="38"/>
              <w:bidi w:val="0"/>
              <w:rPr>
                <w:rFonts w:hint="default" w:eastAsia="宋体"/>
                <w:color w:val="auto"/>
                <w:u w:val="none" w:color="auto"/>
                <w:lang w:val="en-US" w:eastAsia="zh-CN"/>
              </w:rPr>
            </w:pPr>
            <w:r>
              <w:rPr>
                <w:rFonts w:hint="eastAsia"/>
                <w:color w:val="auto"/>
                <w:u w:val="none" w:color="auto"/>
              </w:rPr>
              <w:t>由园区自来水管网供应</w:t>
            </w:r>
          </w:p>
        </w:tc>
        <w:tc>
          <w:tcPr>
            <w:tcW w:w="1071" w:type="dxa"/>
            <w:vMerge w:val="continue"/>
            <w:noWrap w:val="0"/>
            <w:vAlign w:val="center"/>
          </w:tcPr>
          <w:p w14:paraId="20C6125A">
            <w:pPr>
              <w:pStyle w:val="38"/>
              <w:bidi w:val="0"/>
              <w:rPr>
                <w:color w:val="auto"/>
                <w:u w:val="none" w:color="auto"/>
              </w:rPr>
            </w:pPr>
          </w:p>
        </w:tc>
      </w:tr>
      <w:tr w14:paraId="497F7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9FA0483">
            <w:pPr>
              <w:pStyle w:val="38"/>
              <w:bidi w:val="0"/>
              <w:rPr>
                <w:color w:val="auto"/>
                <w:u w:val="none" w:color="auto"/>
              </w:rPr>
            </w:pPr>
          </w:p>
        </w:tc>
        <w:tc>
          <w:tcPr>
            <w:tcW w:w="1065" w:type="dxa"/>
            <w:noWrap w:val="0"/>
            <w:vAlign w:val="center"/>
          </w:tcPr>
          <w:p w14:paraId="664EEC36">
            <w:pPr>
              <w:pStyle w:val="38"/>
              <w:bidi w:val="0"/>
              <w:rPr>
                <w:rFonts w:hint="eastAsia" w:eastAsia="宋体"/>
                <w:color w:val="auto"/>
                <w:u w:val="none" w:color="auto"/>
                <w:lang w:val="en-US" w:eastAsia="zh-CN"/>
              </w:rPr>
            </w:pPr>
            <w:r>
              <w:rPr>
                <w:rFonts w:hint="eastAsia"/>
                <w:color w:val="auto"/>
                <w:u w:val="none" w:color="auto"/>
                <w:lang w:val="en-US" w:eastAsia="zh-CN"/>
              </w:rPr>
              <w:t>供热</w:t>
            </w:r>
          </w:p>
        </w:tc>
        <w:tc>
          <w:tcPr>
            <w:tcW w:w="5587" w:type="dxa"/>
            <w:gridSpan w:val="4"/>
            <w:noWrap w:val="0"/>
            <w:vAlign w:val="center"/>
          </w:tcPr>
          <w:p w14:paraId="46F70E29">
            <w:pPr>
              <w:pStyle w:val="38"/>
              <w:bidi w:val="0"/>
              <w:rPr>
                <w:rFonts w:hint="default" w:eastAsia="宋体"/>
                <w:color w:val="auto"/>
                <w:u w:val="none" w:color="auto"/>
                <w:lang w:val="en-US" w:eastAsia="zh-CN"/>
              </w:rPr>
            </w:pPr>
            <w:r>
              <w:rPr>
                <w:rFonts w:hint="eastAsia"/>
                <w:color w:val="auto"/>
                <w:u w:val="none" w:color="auto"/>
                <w:lang w:val="en-US" w:eastAsia="zh-CN"/>
              </w:rPr>
              <w:t>园区天然气管网供应</w:t>
            </w:r>
          </w:p>
        </w:tc>
        <w:tc>
          <w:tcPr>
            <w:tcW w:w="1071" w:type="dxa"/>
            <w:vMerge w:val="continue"/>
            <w:noWrap w:val="0"/>
            <w:vAlign w:val="center"/>
          </w:tcPr>
          <w:p w14:paraId="2C6FB7F3">
            <w:pPr>
              <w:pStyle w:val="38"/>
              <w:bidi w:val="0"/>
              <w:rPr>
                <w:rFonts w:hint="eastAsia" w:eastAsia="宋体"/>
                <w:color w:val="auto"/>
                <w:u w:val="none" w:color="auto"/>
                <w:lang w:val="en-US" w:eastAsia="zh-CN"/>
              </w:rPr>
            </w:pPr>
          </w:p>
        </w:tc>
      </w:tr>
      <w:tr w14:paraId="24CA7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73879E7C">
            <w:pPr>
              <w:pStyle w:val="38"/>
              <w:bidi w:val="0"/>
              <w:rPr>
                <w:color w:val="auto"/>
                <w:u w:val="none" w:color="auto"/>
              </w:rPr>
            </w:pPr>
            <w:r>
              <w:rPr>
                <w:color w:val="auto"/>
                <w:u w:val="none" w:color="auto"/>
              </w:rPr>
              <w:t>环保工程</w:t>
            </w:r>
          </w:p>
        </w:tc>
        <w:tc>
          <w:tcPr>
            <w:tcW w:w="1065" w:type="dxa"/>
            <w:vMerge w:val="restart"/>
            <w:noWrap w:val="0"/>
            <w:vAlign w:val="center"/>
          </w:tcPr>
          <w:p w14:paraId="3B9F63A7">
            <w:pPr>
              <w:pStyle w:val="38"/>
              <w:bidi w:val="0"/>
              <w:rPr>
                <w:color w:val="auto"/>
                <w:u w:val="none" w:color="auto"/>
              </w:rPr>
            </w:pPr>
            <w:r>
              <w:rPr>
                <w:color w:val="auto"/>
                <w:u w:val="none" w:color="auto"/>
              </w:rPr>
              <w:t>废气治理设施</w:t>
            </w:r>
          </w:p>
        </w:tc>
        <w:tc>
          <w:tcPr>
            <w:tcW w:w="1132" w:type="dxa"/>
            <w:noWrap w:val="0"/>
            <w:vAlign w:val="center"/>
          </w:tcPr>
          <w:p w14:paraId="06456A4C">
            <w:pPr>
              <w:pStyle w:val="38"/>
              <w:bidi w:val="0"/>
              <w:rPr>
                <w:rFonts w:hint="default"/>
                <w:color w:val="auto"/>
                <w:u w:val="none" w:color="auto"/>
                <w:lang w:val="en-US" w:eastAsia="zh-CN"/>
              </w:rPr>
            </w:pPr>
            <w:r>
              <w:rPr>
                <w:rFonts w:hint="eastAsia"/>
                <w:color w:val="auto"/>
                <w:u w:val="none" w:color="auto"/>
                <w:lang w:val="en-US" w:eastAsia="zh-CN"/>
              </w:rPr>
              <w:t>配料废气</w:t>
            </w:r>
          </w:p>
        </w:tc>
        <w:tc>
          <w:tcPr>
            <w:tcW w:w="4455" w:type="dxa"/>
            <w:gridSpan w:val="3"/>
            <w:noWrap w:val="0"/>
            <w:vAlign w:val="center"/>
          </w:tcPr>
          <w:p w14:paraId="400E274C">
            <w:pPr>
              <w:pStyle w:val="38"/>
              <w:bidi w:val="0"/>
              <w:rPr>
                <w:rFonts w:hint="default"/>
                <w:color w:val="auto"/>
                <w:u w:val="none" w:color="auto"/>
                <w:lang w:val="en-US" w:eastAsia="zh-CN"/>
              </w:rPr>
            </w:pPr>
            <w:r>
              <w:rPr>
                <w:rFonts w:hint="eastAsia"/>
                <w:color w:val="auto"/>
                <w:u w:val="none" w:color="auto"/>
                <w:lang w:val="en-US" w:eastAsia="zh-CN"/>
              </w:rPr>
              <w:t>车间沉降</w:t>
            </w:r>
          </w:p>
        </w:tc>
        <w:tc>
          <w:tcPr>
            <w:tcW w:w="1071" w:type="dxa"/>
            <w:noWrap w:val="0"/>
            <w:vAlign w:val="center"/>
          </w:tcPr>
          <w:p w14:paraId="0486F0F5">
            <w:pPr>
              <w:pStyle w:val="38"/>
              <w:bidi w:val="0"/>
              <w:rPr>
                <w:rFonts w:hint="default"/>
                <w:color w:val="auto"/>
                <w:u w:val="none" w:color="auto"/>
                <w:lang w:val="en-US" w:eastAsia="zh-CN"/>
              </w:rPr>
            </w:pPr>
            <w:r>
              <w:rPr>
                <w:rFonts w:hint="eastAsia"/>
                <w:color w:val="auto"/>
                <w:u w:val="none" w:color="auto"/>
                <w:lang w:val="en-US" w:eastAsia="zh-CN"/>
              </w:rPr>
              <w:t>新建</w:t>
            </w:r>
          </w:p>
        </w:tc>
      </w:tr>
      <w:tr w14:paraId="0B55F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75330C2D">
            <w:pPr>
              <w:pStyle w:val="38"/>
              <w:bidi w:val="0"/>
              <w:rPr>
                <w:color w:val="auto"/>
                <w:u w:val="none" w:color="auto"/>
              </w:rPr>
            </w:pPr>
          </w:p>
        </w:tc>
        <w:tc>
          <w:tcPr>
            <w:tcW w:w="1065" w:type="dxa"/>
            <w:vMerge w:val="continue"/>
            <w:noWrap w:val="0"/>
            <w:vAlign w:val="center"/>
          </w:tcPr>
          <w:p w14:paraId="1587072F">
            <w:pPr>
              <w:pStyle w:val="38"/>
              <w:bidi w:val="0"/>
              <w:rPr>
                <w:color w:val="auto"/>
                <w:u w:val="none" w:color="auto"/>
              </w:rPr>
            </w:pPr>
          </w:p>
        </w:tc>
        <w:tc>
          <w:tcPr>
            <w:tcW w:w="1132" w:type="dxa"/>
            <w:noWrap w:val="0"/>
            <w:vAlign w:val="center"/>
          </w:tcPr>
          <w:p w14:paraId="2E0EC0A5">
            <w:pPr>
              <w:pStyle w:val="38"/>
              <w:bidi w:val="0"/>
              <w:rPr>
                <w:rFonts w:hint="default"/>
                <w:color w:val="auto"/>
                <w:u w:val="none" w:color="auto"/>
                <w:lang w:val="en-US" w:eastAsia="zh-CN"/>
              </w:rPr>
            </w:pPr>
            <w:r>
              <w:rPr>
                <w:rFonts w:hint="eastAsia"/>
                <w:color w:val="auto"/>
                <w:u w:val="none" w:color="auto"/>
                <w:lang w:val="en-US" w:eastAsia="zh-CN"/>
              </w:rPr>
              <w:t>加热混捏废气、冷却废气、磨粉废气、混合废气</w:t>
            </w:r>
          </w:p>
        </w:tc>
        <w:tc>
          <w:tcPr>
            <w:tcW w:w="4455" w:type="dxa"/>
            <w:gridSpan w:val="3"/>
            <w:noWrap w:val="0"/>
            <w:vAlign w:val="center"/>
          </w:tcPr>
          <w:p w14:paraId="6E0B761D">
            <w:pPr>
              <w:pStyle w:val="38"/>
              <w:bidi w:val="0"/>
              <w:rPr>
                <w:rFonts w:hint="default"/>
                <w:color w:val="auto"/>
                <w:u w:val="none" w:color="auto"/>
                <w:lang w:val="en-US"/>
              </w:rPr>
            </w:pPr>
            <w:r>
              <w:rPr>
                <w:rFonts w:hint="eastAsia"/>
                <w:color w:val="auto"/>
                <w:u w:val="none" w:color="auto"/>
                <w:lang w:val="en-US" w:eastAsia="zh-CN"/>
              </w:rPr>
              <w:t>管道+脉冲布袋除尘器+活性炭吸附装置+15m高排气筒（DA001）</w:t>
            </w:r>
          </w:p>
        </w:tc>
        <w:tc>
          <w:tcPr>
            <w:tcW w:w="1071" w:type="dxa"/>
            <w:noWrap w:val="0"/>
            <w:vAlign w:val="center"/>
          </w:tcPr>
          <w:p w14:paraId="0EBEF8D0">
            <w:pPr>
              <w:pStyle w:val="38"/>
              <w:bidi w:val="0"/>
              <w:rPr>
                <w:rFonts w:hint="default"/>
                <w:color w:val="auto"/>
                <w:u w:val="none" w:color="auto"/>
                <w:lang w:val="en-US" w:eastAsia="zh-CN"/>
              </w:rPr>
            </w:pPr>
            <w:r>
              <w:rPr>
                <w:rFonts w:hint="eastAsia"/>
                <w:color w:val="auto"/>
                <w:u w:val="none" w:color="auto"/>
                <w:lang w:val="en-US" w:eastAsia="zh-CN"/>
              </w:rPr>
              <w:t>新建</w:t>
            </w:r>
          </w:p>
        </w:tc>
      </w:tr>
      <w:tr w14:paraId="161E1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61B1B5F">
            <w:pPr>
              <w:pStyle w:val="38"/>
              <w:bidi w:val="0"/>
              <w:rPr>
                <w:color w:val="auto"/>
                <w:u w:val="none" w:color="auto"/>
              </w:rPr>
            </w:pPr>
          </w:p>
        </w:tc>
        <w:tc>
          <w:tcPr>
            <w:tcW w:w="1065" w:type="dxa"/>
            <w:vMerge w:val="continue"/>
            <w:noWrap w:val="0"/>
            <w:vAlign w:val="center"/>
          </w:tcPr>
          <w:p w14:paraId="5029AB45">
            <w:pPr>
              <w:pStyle w:val="38"/>
              <w:bidi w:val="0"/>
              <w:rPr>
                <w:color w:val="auto"/>
                <w:u w:val="none" w:color="auto"/>
              </w:rPr>
            </w:pPr>
          </w:p>
        </w:tc>
        <w:tc>
          <w:tcPr>
            <w:tcW w:w="1132" w:type="dxa"/>
            <w:noWrap w:val="0"/>
            <w:vAlign w:val="center"/>
          </w:tcPr>
          <w:p w14:paraId="1B054F0C">
            <w:pPr>
              <w:pStyle w:val="38"/>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1#厂房焙烧</w:t>
            </w:r>
            <w:r>
              <w:rPr>
                <w:rFonts w:hint="eastAsia"/>
                <w:color w:val="auto"/>
                <w:u w:val="none" w:color="auto"/>
              </w:rPr>
              <w:t>废气</w:t>
            </w:r>
          </w:p>
        </w:tc>
        <w:tc>
          <w:tcPr>
            <w:tcW w:w="4455" w:type="dxa"/>
            <w:gridSpan w:val="3"/>
            <w:noWrap w:val="0"/>
            <w:vAlign w:val="center"/>
          </w:tcPr>
          <w:p w14:paraId="6C00E0C8">
            <w:pPr>
              <w:pStyle w:val="38"/>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管道+焚烧炉1#+15m高排气筒（DA002）</w:t>
            </w:r>
          </w:p>
        </w:tc>
        <w:tc>
          <w:tcPr>
            <w:tcW w:w="1071" w:type="dxa"/>
            <w:noWrap w:val="0"/>
            <w:vAlign w:val="center"/>
          </w:tcPr>
          <w:p w14:paraId="36A5481E">
            <w:pPr>
              <w:pStyle w:val="38"/>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23181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5E18E5EA">
            <w:pPr>
              <w:pStyle w:val="38"/>
              <w:bidi w:val="0"/>
              <w:rPr>
                <w:color w:val="auto"/>
                <w:u w:val="none" w:color="auto"/>
              </w:rPr>
            </w:pPr>
          </w:p>
        </w:tc>
        <w:tc>
          <w:tcPr>
            <w:tcW w:w="1065" w:type="dxa"/>
            <w:vMerge w:val="continue"/>
            <w:noWrap w:val="0"/>
            <w:vAlign w:val="center"/>
          </w:tcPr>
          <w:p w14:paraId="299F214D">
            <w:pPr>
              <w:pStyle w:val="38"/>
              <w:bidi w:val="0"/>
              <w:rPr>
                <w:color w:val="auto"/>
                <w:u w:val="none" w:color="auto"/>
              </w:rPr>
            </w:pPr>
          </w:p>
        </w:tc>
        <w:tc>
          <w:tcPr>
            <w:tcW w:w="1132" w:type="dxa"/>
            <w:noWrap w:val="0"/>
            <w:vAlign w:val="center"/>
          </w:tcPr>
          <w:p w14:paraId="1B98988C">
            <w:pPr>
              <w:pStyle w:val="38"/>
              <w:bidi w:val="0"/>
              <w:rPr>
                <w:rFonts w:hint="default"/>
                <w:color w:val="auto"/>
                <w:u w:val="none" w:color="auto"/>
                <w:lang w:val="en-US" w:eastAsia="zh-CN"/>
              </w:rPr>
            </w:pPr>
            <w:r>
              <w:rPr>
                <w:rFonts w:hint="eastAsia"/>
                <w:color w:val="auto"/>
                <w:u w:val="none" w:color="auto"/>
                <w:lang w:val="en-US" w:eastAsia="zh-CN"/>
              </w:rPr>
              <w:t>2#厂房焙烧废气</w:t>
            </w:r>
          </w:p>
        </w:tc>
        <w:tc>
          <w:tcPr>
            <w:tcW w:w="4455" w:type="dxa"/>
            <w:gridSpan w:val="3"/>
            <w:noWrap w:val="0"/>
            <w:vAlign w:val="center"/>
          </w:tcPr>
          <w:p w14:paraId="2BDD7D4A">
            <w:pPr>
              <w:pStyle w:val="38"/>
              <w:bidi w:val="0"/>
              <w:rPr>
                <w:rFonts w:hint="eastAsia"/>
                <w:color w:val="auto"/>
                <w:u w:val="none" w:color="auto"/>
                <w:lang w:val="en-US" w:eastAsia="zh-CN"/>
              </w:rPr>
            </w:pPr>
            <w:r>
              <w:rPr>
                <w:rFonts w:hint="eastAsia"/>
                <w:color w:val="auto"/>
                <w:u w:val="none" w:color="auto"/>
                <w:lang w:val="en-US" w:eastAsia="zh-CN"/>
              </w:rPr>
              <w:t>管道+焚烧炉2#+15m高排气筒（DA003）</w:t>
            </w:r>
          </w:p>
        </w:tc>
        <w:tc>
          <w:tcPr>
            <w:tcW w:w="1071" w:type="dxa"/>
            <w:noWrap w:val="0"/>
            <w:vAlign w:val="center"/>
          </w:tcPr>
          <w:p w14:paraId="6AA36CB6">
            <w:pPr>
              <w:pStyle w:val="38"/>
              <w:bidi w:val="0"/>
              <w:rPr>
                <w:rFonts w:hint="default"/>
                <w:color w:val="auto"/>
                <w:u w:val="none" w:color="auto"/>
                <w:lang w:val="en-US" w:eastAsia="zh-CN"/>
              </w:rPr>
            </w:pPr>
            <w:r>
              <w:rPr>
                <w:rFonts w:hint="eastAsia"/>
                <w:color w:val="auto"/>
                <w:u w:val="none" w:color="auto"/>
                <w:lang w:val="en-US" w:eastAsia="zh-CN"/>
              </w:rPr>
              <w:t>新建</w:t>
            </w:r>
          </w:p>
        </w:tc>
      </w:tr>
      <w:tr w14:paraId="03BAE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327116F">
            <w:pPr>
              <w:pStyle w:val="38"/>
              <w:bidi w:val="0"/>
              <w:rPr>
                <w:color w:val="auto"/>
                <w:u w:val="none" w:color="auto"/>
              </w:rPr>
            </w:pPr>
          </w:p>
        </w:tc>
        <w:tc>
          <w:tcPr>
            <w:tcW w:w="1065" w:type="dxa"/>
            <w:noWrap w:val="0"/>
            <w:vAlign w:val="center"/>
          </w:tcPr>
          <w:p w14:paraId="21B1502A">
            <w:pPr>
              <w:pStyle w:val="38"/>
              <w:bidi w:val="0"/>
              <w:rPr>
                <w:color w:val="auto"/>
                <w:u w:val="none" w:color="auto"/>
              </w:rPr>
            </w:pPr>
            <w:r>
              <w:rPr>
                <w:color w:val="auto"/>
                <w:u w:val="none" w:color="auto"/>
              </w:rPr>
              <w:t>噪声治理设施</w:t>
            </w:r>
          </w:p>
        </w:tc>
        <w:tc>
          <w:tcPr>
            <w:tcW w:w="1132" w:type="dxa"/>
            <w:noWrap w:val="0"/>
            <w:vAlign w:val="center"/>
          </w:tcPr>
          <w:p w14:paraId="2726DD1F">
            <w:pPr>
              <w:pStyle w:val="38"/>
              <w:bidi w:val="0"/>
              <w:rPr>
                <w:rFonts w:hint="default" w:eastAsia="宋体"/>
                <w:color w:val="auto"/>
                <w:u w:val="none" w:color="auto"/>
                <w:lang w:val="en-US" w:eastAsia="zh-CN"/>
              </w:rPr>
            </w:pPr>
            <w:r>
              <w:rPr>
                <w:rFonts w:hint="eastAsia"/>
                <w:color w:val="auto"/>
                <w:u w:val="none" w:color="auto"/>
                <w:lang w:val="en-US" w:eastAsia="zh-CN"/>
              </w:rPr>
              <w:t>噪声治理</w:t>
            </w:r>
          </w:p>
        </w:tc>
        <w:tc>
          <w:tcPr>
            <w:tcW w:w="4455" w:type="dxa"/>
            <w:gridSpan w:val="3"/>
            <w:noWrap w:val="0"/>
            <w:vAlign w:val="center"/>
          </w:tcPr>
          <w:p w14:paraId="56044EEA">
            <w:pPr>
              <w:pStyle w:val="38"/>
              <w:bidi w:val="0"/>
              <w:rPr>
                <w:color w:val="auto"/>
                <w:u w:val="none" w:color="auto"/>
              </w:rPr>
            </w:pPr>
            <w:r>
              <w:rPr>
                <w:rFonts w:hint="default" w:ascii="Times New Roman" w:hAnsi="Times New Roman" w:eastAsia="宋体" w:cs="Times New Roman"/>
                <w:color w:val="auto"/>
                <w:sz w:val="21"/>
                <w:szCs w:val="21"/>
                <w:u w:val="none" w:color="auto"/>
                <w:lang w:eastAsia="zh-CN"/>
              </w:rPr>
              <w:t>选择低噪声设备，合理布设各类高噪声设备，并采取隔声、减震措施</w:t>
            </w:r>
          </w:p>
        </w:tc>
        <w:tc>
          <w:tcPr>
            <w:tcW w:w="1071" w:type="dxa"/>
            <w:noWrap w:val="0"/>
            <w:vAlign w:val="center"/>
          </w:tcPr>
          <w:p w14:paraId="6FED8C09">
            <w:pPr>
              <w:pStyle w:val="38"/>
              <w:bidi w:val="0"/>
              <w:rPr>
                <w:rFonts w:hint="eastAsia"/>
                <w:color w:val="auto"/>
                <w:u w:val="none" w:color="auto"/>
                <w:lang w:eastAsia="zh-CN"/>
              </w:rPr>
            </w:pPr>
            <w:r>
              <w:rPr>
                <w:rFonts w:hint="eastAsia"/>
                <w:color w:val="auto"/>
                <w:u w:val="none" w:color="auto"/>
                <w:lang w:val="en-US" w:eastAsia="zh-CN"/>
              </w:rPr>
              <w:t>/</w:t>
            </w:r>
          </w:p>
        </w:tc>
      </w:tr>
      <w:tr w14:paraId="4CCCF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EFBF33D">
            <w:pPr>
              <w:pStyle w:val="38"/>
              <w:bidi w:val="0"/>
              <w:rPr>
                <w:color w:val="auto"/>
                <w:u w:val="none" w:color="auto"/>
              </w:rPr>
            </w:pPr>
          </w:p>
        </w:tc>
        <w:tc>
          <w:tcPr>
            <w:tcW w:w="1065" w:type="dxa"/>
            <w:noWrap w:val="0"/>
            <w:vAlign w:val="center"/>
          </w:tcPr>
          <w:p w14:paraId="2DB8FFC7">
            <w:pPr>
              <w:pStyle w:val="38"/>
              <w:bidi w:val="0"/>
              <w:rPr>
                <w:color w:val="auto"/>
                <w:u w:val="none" w:color="auto"/>
              </w:rPr>
            </w:pPr>
            <w:r>
              <w:rPr>
                <w:color w:val="auto"/>
                <w:u w:val="none" w:color="auto"/>
              </w:rPr>
              <w:t>废水治理设施</w:t>
            </w:r>
          </w:p>
        </w:tc>
        <w:tc>
          <w:tcPr>
            <w:tcW w:w="1132" w:type="dxa"/>
            <w:noWrap w:val="0"/>
            <w:vAlign w:val="center"/>
          </w:tcPr>
          <w:p w14:paraId="3A1B19C0">
            <w:pPr>
              <w:pStyle w:val="38"/>
              <w:bidi w:val="0"/>
              <w:rPr>
                <w:rFonts w:hint="default"/>
                <w:color w:val="auto"/>
                <w:u w:val="none" w:color="auto"/>
                <w:lang w:val="en-US" w:eastAsia="zh-CN"/>
              </w:rPr>
            </w:pPr>
            <w:r>
              <w:rPr>
                <w:rFonts w:hint="eastAsia"/>
                <w:color w:val="auto"/>
                <w:u w:val="none" w:color="auto"/>
                <w:lang w:val="en-US" w:eastAsia="zh-CN"/>
              </w:rPr>
              <w:t>生活污水</w:t>
            </w:r>
          </w:p>
        </w:tc>
        <w:tc>
          <w:tcPr>
            <w:tcW w:w="4455" w:type="dxa"/>
            <w:gridSpan w:val="3"/>
            <w:noWrap w:val="0"/>
            <w:vAlign w:val="center"/>
          </w:tcPr>
          <w:p w14:paraId="3D7E6D97">
            <w:pPr>
              <w:pStyle w:val="38"/>
              <w:bidi w:val="0"/>
              <w:rPr>
                <w:rFonts w:hint="default"/>
                <w:color w:val="auto"/>
                <w:u w:val="none" w:color="auto"/>
                <w:lang w:val="en-US" w:eastAsia="zh-CN"/>
              </w:rPr>
            </w:pPr>
            <w:r>
              <w:rPr>
                <w:rFonts w:hint="default" w:ascii="Times New Roman" w:hAnsi="Times New Roman" w:eastAsia="宋体" w:cs="Times New Roman"/>
                <w:color w:val="auto"/>
                <w:sz w:val="21"/>
                <w:szCs w:val="21"/>
                <w:u w:val="none" w:color="auto"/>
                <w:lang w:eastAsia="zh-CN"/>
              </w:rPr>
              <w:t>经</w:t>
            </w:r>
            <w:r>
              <w:rPr>
                <w:rFonts w:hint="default" w:ascii="Times New Roman" w:hAnsi="Times New Roman" w:eastAsia="宋体" w:cs="Times New Roman"/>
                <w:color w:val="auto"/>
                <w:sz w:val="21"/>
                <w:szCs w:val="21"/>
                <w:u w:val="none" w:color="auto"/>
              </w:rPr>
              <w:t>化粪池处理</w:t>
            </w:r>
            <w:r>
              <w:rPr>
                <w:rFonts w:hint="eastAsia"/>
                <w:color w:val="auto"/>
                <w:u w:val="none" w:color="auto"/>
                <w:lang w:val="en-US" w:eastAsia="zh-CN"/>
              </w:rPr>
              <w:t>后排入长沙经开区汨罗产业园污水处理厂</w:t>
            </w:r>
          </w:p>
        </w:tc>
        <w:tc>
          <w:tcPr>
            <w:tcW w:w="1071" w:type="dxa"/>
            <w:noWrap w:val="0"/>
            <w:vAlign w:val="center"/>
          </w:tcPr>
          <w:p w14:paraId="2EC86C40">
            <w:pPr>
              <w:pStyle w:val="38"/>
              <w:bidi w:val="0"/>
              <w:rPr>
                <w:rFonts w:hint="eastAsia" w:eastAsia="宋体"/>
                <w:color w:val="auto"/>
                <w:u w:val="none" w:color="auto"/>
                <w:lang w:val="en-US" w:eastAsia="zh-CN"/>
              </w:rPr>
            </w:pPr>
            <w:r>
              <w:rPr>
                <w:rFonts w:hint="eastAsia"/>
                <w:color w:val="auto"/>
                <w:u w:val="none" w:color="auto"/>
                <w:lang w:val="en-US" w:eastAsia="zh-CN"/>
              </w:rPr>
              <w:t>新建</w:t>
            </w:r>
          </w:p>
        </w:tc>
      </w:tr>
      <w:tr w14:paraId="7B738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608286B">
            <w:pPr>
              <w:pStyle w:val="38"/>
              <w:bidi w:val="0"/>
              <w:rPr>
                <w:color w:val="auto"/>
                <w:u w:val="none" w:color="auto"/>
              </w:rPr>
            </w:pPr>
          </w:p>
        </w:tc>
        <w:tc>
          <w:tcPr>
            <w:tcW w:w="1065" w:type="dxa"/>
            <w:vMerge w:val="restart"/>
            <w:noWrap w:val="0"/>
            <w:vAlign w:val="center"/>
          </w:tcPr>
          <w:p w14:paraId="793B421F">
            <w:pPr>
              <w:pStyle w:val="38"/>
              <w:bidi w:val="0"/>
              <w:rPr>
                <w:color w:val="auto"/>
                <w:u w:val="none" w:color="auto"/>
              </w:rPr>
            </w:pPr>
            <w:r>
              <w:rPr>
                <w:color w:val="auto"/>
                <w:u w:val="none" w:color="auto"/>
              </w:rPr>
              <w:t>固废治理设施</w:t>
            </w:r>
          </w:p>
        </w:tc>
        <w:tc>
          <w:tcPr>
            <w:tcW w:w="2444" w:type="dxa"/>
            <w:gridSpan w:val="2"/>
            <w:noWrap w:val="0"/>
            <w:vAlign w:val="center"/>
          </w:tcPr>
          <w:p w14:paraId="348907FA">
            <w:pPr>
              <w:pStyle w:val="38"/>
              <w:bidi w:val="0"/>
              <w:rPr>
                <w:rFonts w:hint="eastAsia"/>
                <w:color w:val="auto"/>
                <w:u w:val="none" w:color="auto"/>
              </w:rPr>
            </w:pPr>
            <w:r>
              <w:rPr>
                <w:color w:val="auto"/>
                <w:u w:val="none" w:color="auto"/>
              </w:rPr>
              <w:t>垃圾池</w:t>
            </w:r>
          </w:p>
        </w:tc>
        <w:tc>
          <w:tcPr>
            <w:tcW w:w="3143" w:type="dxa"/>
            <w:gridSpan w:val="2"/>
            <w:noWrap w:val="0"/>
            <w:vAlign w:val="center"/>
          </w:tcPr>
          <w:p w14:paraId="2E0CB5F4">
            <w:pPr>
              <w:pStyle w:val="38"/>
              <w:bidi w:val="0"/>
              <w:rPr>
                <w:rFonts w:hint="eastAsia"/>
                <w:color w:val="auto"/>
                <w:u w:val="none" w:color="auto"/>
              </w:rPr>
            </w:pPr>
            <w:r>
              <w:rPr>
                <w:color w:val="auto"/>
                <w:u w:val="none" w:color="auto"/>
              </w:rPr>
              <w:t>交由环卫部门定期清运</w:t>
            </w:r>
          </w:p>
        </w:tc>
        <w:tc>
          <w:tcPr>
            <w:tcW w:w="1071" w:type="dxa"/>
            <w:noWrap w:val="0"/>
            <w:vAlign w:val="center"/>
          </w:tcPr>
          <w:p w14:paraId="1155FEB1">
            <w:pPr>
              <w:pStyle w:val="38"/>
              <w:bidi w:val="0"/>
              <w:rPr>
                <w:color w:val="auto"/>
                <w:u w:val="none" w:color="auto"/>
              </w:rPr>
            </w:pPr>
            <w:r>
              <w:rPr>
                <w:rFonts w:hint="eastAsia"/>
                <w:color w:val="auto"/>
                <w:u w:val="none" w:color="auto"/>
              </w:rPr>
              <w:t>依托</w:t>
            </w:r>
          </w:p>
        </w:tc>
      </w:tr>
      <w:tr w14:paraId="1B31F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0F45992E">
            <w:pPr>
              <w:pStyle w:val="38"/>
              <w:bidi w:val="0"/>
              <w:rPr>
                <w:color w:val="auto"/>
                <w:u w:val="none" w:color="auto"/>
              </w:rPr>
            </w:pPr>
          </w:p>
        </w:tc>
        <w:tc>
          <w:tcPr>
            <w:tcW w:w="1065" w:type="dxa"/>
            <w:vMerge w:val="continue"/>
            <w:noWrap w:val="0"/>
            <w:vAlign w:val="center"/>
          </w:tcPr>
          <w:p w14:paraId="523D7E33">
            <w:pPr>
              <w:pStyle w:val="38"/>
              <w:bidi w:val="0"/>
              <w:rPr>
                <w:color w:val="auto"/>
                <w:u w:val="none" w:color="auto"/>
              </w:rPr>
            </w:pPr>
          </w:p>
        </w:tc>
        <w:tc>
          <w:tcPr>
            <w:tcW w:w="2444" w:type="dxa"/>
            <w:gridSpan w:val="2"/>
            <w:noWrap w:val="0"/>
            <w:vAlign w:val="center"/>
          </w:tcPr>
          <w:p w14:paraId="083DEEDF">
            <w:pPr>
              <w:pStyle w:val="38"/>
              <w:bidi w:val="0"/>
              <w:rPr>
                <w:rFonts w:hint="eastAsia"/>
                <w:color w:val="auto"/>
                <w:u w:val="none" w:color="auto"/>
                <w:lang w:eastAsia="zh-CN"/>
              </w:rPr>
            </w:pPr>
            <w:r>
              <w:rPr>
                <w:color w:val="auto"/>
                <w:u w:val="none" w:color="auto"/>
              </w:rPr>
              <w:t>危废暂存间</w:t>
            </w:r>
            <w:r>
              <w:rPr>
                <w:rFonts w:hint="eastAsia"/>
                <w:color w:val="auto"/>
                <w:u w:val="none" w:color="auto"/>
                <w:lang w:eastAsia="zh-CN"/>
              </w:rPr>
              <w:t>（</w:t>
            </w:r>
            <w:r>
              <w:rPr>
                <w:rFonts w:hint="eastAsia"/>
                <w:color w:val="auto"/>
                <w:u w:val="none" w:color="auto"/>
                <w:lang w:val="en-US" w:eastAsia="zh-CN"/>
              </w:rPr>
              <w:t>10m</w:t>
            </w:r>
            <w:r>
              <w:rPr>
                <w:rFonts w:hint="eastAsia"/>
                <w:color w:val="auto"/>
                <w:u w:val="none" w:color="auto"/>
                <w:vertAlign w:val="superscript"/>
                <w:lang w:val="en-US" w:eastAsia="zh-CN"/>
              </w:rPr>
              <w:t>2</w:t>
            </w:r>
            <w:r>
              <w:rPr>
                <w:rFonts w:hint="eastAsia"/>
                <w:color w:val="auto"/>
                <w:u w:val="none" w:color="auto"/>
                <w:lang w:eastAsia="zh-CN"/>
              </w:rPr>
              <w:t>）</w:t>
            </w:r>
          </w:p>
        </w:tc>
        <w:tc>
          <w:tcPr>
            <w:tcW w:w="3143" w:type="dxa"/>
            <w:gridSpan w:val="2"/>
            <w:noWrap w:val="0"/>
            <w:vAlign w:val="center"/>
          </w:tcPr>
          <w:p w14:paraId="4D6BC2C2">
            <w:pPr>
              <w:pStyle w:val="38"/>
              <w:bidi w:val="0"/>
              <w:rPr>
                <w:color w:val="auto"/>
                <w:u w:val="none" w:color="auto"/>
              </w:rPr>
            </w:pPr>
            <w:r>
              <w:rPr>
                <w:color w:val="auto"/>
                <w:u w:val="none" w:color="auto"/>
              </w:rPr>
              <w:t>经暂存后交由资质单位处理</w:t>
            </w:r>
          </w:p>
        </w:tc>
        <w:tc>
          <w:tcPr>
            <w:tcW w:w="1071" w:type="dxa"/>
            <w:noWrap w:val="0"/>
            <w:vAlign w:val="center"/>
          </w:tcPr>
          <w:p w14:paraId="16EC2E80">
            <w:pPr>
              <w:pStyle w:val="38"/>
              <w:bidi w:val="0"/>
              <w:rPr>
                <w:rFonts w:hint="eastAsia"/>
                <w:color w:val="auto"/>
                <w:u w:val="none" w:color="auto"/>
                <w:lang w:eastAsia="zh-CN"/>
              </w:rPr>
            </w:pPr>
            <w:r>
              <w:rPr>
                <w:rFonts w:hint="eastAsia"/>
                <w:color w:val="auto"/>
                <w:u w:val="none" w:color="auto"/>
                <w:lang w:val="en-US" w:eastAsia="zh-CN"/>
              </w:rPr>
              <w:t>依托</w:t>
            </w:r>
          </w:p>
        </w:tc>
      </w:tr>
      <w:tr w14:paraId="6F806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1D54570A">
            <w:pPr>
              <w:pStyle w:val="38"/>
              <w:bidi w:val="0"/>
              <w:rPr>
                <w:color w:val="auto"/>
                <w:u w:val="none" w:color="auto"/>
              </w:rPr>
            </w:pPr>
          </w:p>
        </w:tc>
        <w:tc>
          <w:tcPr>
            <w:tcW w:w="1065" w:type="dxa"/>
            <w:vMerge w:val="continue"/>
            <w:noWrap w:val="0"/>
            <w:vAlign w:val="center"/>
          </w:tcPr>
          <w:p w14:paraId="34020458">
            <w:pPr>
              <w:pStyle w:val="38"/>
              <w:bidi w:val="0"/>
              <w:rPr>
                <w:color w:val="auto"/>
                <w:u w:val="none" w:color="auto"/>
              </w:rPr>
            </w:pPr>
          </w:p>
        </w:tc>
        <w:tc>
          <w:tcPr>
            <w:tcW w:w="2444" w:type="dxa"/>
            <w:gridSpan w:val="2"/>
            <w:noWrap w:val="0"/>
            <w:vAlign w:val="center"/>
          </w:tcPr>
          <w:p w14:paraId="2C3FBAD5">
            <w:pPr>
              <w:pStyle w:val="38"/>
              <w:bidi w:val="0"/>
              <w:rPr>
                <w:rFonts w:hint="default"/>
                <w:color w:val="auto"/>
                <w:u w:val="none" w:color="auto"/>
                <w:lang w:val="en-US" w:eastAsia="zh-CN"/>
              </w:rPr>
            </w:pPr>
            <w:r>
              <w:rPr>
                <w:rFonts w:hint="eastAsia"/>
                <w:color w:val="auto"/>
                <w:u w:val="none" w:color="auto"/>
                <w:lang w:val="en-US" w:eastAsia="zh-CN"/>
              </w:rPr>
              <w:t>一般固废暂存区（30m</w:t>
            </w:r>
            <w:r>
              <w:rPr>
                <w:rFonts w:hint="eastAsia"/>
                <w:color w:val="auto"/>
                <w:u w:val="none" w:color="auto"/>
                <w:vertAlign w:val="superscript"/>
                <w:lang w:val="en-US" w:eastAsia="zh-CN"/>
              </w:rPr>
              <w:t>2</w:t>
            </w:r>
            <w:r>
              <w:rPr>
                <w:rFonts w:hint="eastAsia"/>
                <w:color w:val="auto"/>
                <w:u w:val="none" w:color="auto"/>
                <w:lang w:val="en-US" w:eastAsia="zh-CN"/>
              </w:rPr>
              <w:t>）</w:t>
            </w:r>
          </w:p>
        </w:tc>
        <w:tc>
          <w:tcPr>
            <w:tcW w:w="3143" w:type="dxa"/>
            <w:gridSpan w:val="2"/>
            <w:noWrap w:val="0"/>
            <w:vAlign w:val="center"/>
          </w:tcPr>
          <w:p w14:paraId="0B74FF30">
            <w:pPr>
              <w:pStyle w:val="38"/>
              <w:bidi w:val="0"/>
              <w:rPr>
                <w:rFonts w:hint="default"/>
                <w:color w:val="auto"/>
                <w:u w:val="none" w:color="auto"/>
                <w:lang w:val="en-US" w:eastAsia="zh-CN"/>
              </w:rPr>
            </w:pPr>
            <w:r>
              <w:rPr>
                <w:rFonts w:hint="eastAsia"/>
                <w:color w:val="auto"/>
                <w:u w:val="none" w:color="auto"/>
                <w:lang w:val="en-US" w:eastAsia="zh-CN"/>
              </w:rPr>
              <w:t>综合利用，合理处置</w:t>
            </w:r>
          </w:p>
        </w:tc>
        <w:tc>
          <w:tcPr>
            <w:tcW w:w="1071" w:type="dxa"/>
            <w:noWrap w:val="0"/>
            <w:vAlign w:val="center"/>
          </w:tcPr>
          <w:p w14:paraId="76F084FB">
            <w:pPr>
              <w:pStyle w:val="38"/>
              <w:bidi w:val="0"/>
              <w:rPr>
                <w:rFonts w:hint="eastAsia"/>
                <w:color w:val="auto"/>
                <w:u w:val="none" w:color="auto"/>
                <w:lang w:val="en-US" w:eastAsia="zh-CN"/>
              </w:rPr>
            </w:pPr>
            <w:r>
              <w:rPr>
                <w:rFonts w:hint="eastAsia"/>
                <w:color w:val="auto"/>
                <w:u w:val="none" w:color="auto"/>
                <w:lang w:val="en-US" w:eastAsia="zh-CN"/>
              </w:rPr>
              <w:t>依托</w:t>
            </w:r>
          </w:p>
        </w:tc>
      </w:tr>
    </w:tbl>
    <w:p w14:paraId="0C1F7F49">
      <w:pPr>
        <w:pStyle w:val="8"/>
        <w:bidi w:val="0"/>
        <w:rPr>
          <w:rFonts w:hint="eastAsia"/>
          <w:color w:val="auto"/>
          <w:u w:val="none" w:color="auto"/>
          <w:lang w:val="en-US" w:eastAsia="zh-CN"/>
        </w:rPr>
      </w:pPr>
      <w:bookmarkStart w:id="588" w:name="_Toc16190"/>
      <w:r>
        <w:rPr>
          <w:rFonts w:hint="eastAsia"/>
          <w:color w:val="auto"/>
          <w:u w:val="none" w:color="auto"/>
          <w:lang w:val="en-US" w:eastAsia="zh-CN"/>
        </w:rPr>
        <w:t>3.1.3项目产品方案</w:t>
      </w:r>
      <w:bookmarkEnd w:id="586"/>
      <w:bookmarkEnd w:id="587"/>
      <w:bookmarkEnd w:id="588"/>
    </w:p>
    <w:p w14:paraId="606A89F7">
      <w:pPr>
        <w:pStyle w:val="21"/>
        <w:bidi w:val="0"/>
        <w:rPr>
          <w:rFonts w:hint="eastAsia"/>
          <w:color w:val="auto"/>
          <w:u w:val="none" w:color="auto"/>
          <w:lang w:val="en-US" w:eastAsia="zh-CN"/>
        </w:rPr>
      </w:pPr>
      <w:r>
        <w:rPr>
          <w:rFonts w:hint="eastAsia"/>
          <w:color w:val="auto"/>
          <w:u w:val="none" w:color="auto"/>
          <w:lang w:val="en-US" w:eastAsia="zh-CN"/>
        </w:rPr>
        <w:t>项目产品方案见下表。</w:t>
      </w:r>
    </w:p>
    <w:p w14:paraId="5FDD79E0">
      <w:pPr>
        <w:tabs>
          <w:tab w:val="left" w:pos="1021"/>
        </w:tabs>
        <w:snapToGrid w:val="0"/>
        <w:spacing w:line="240" w:lineRule="auto"/>
        <w:jc w:val="center"/>
        <w:rPr>
          <w:b/>
          <w:color w:val="auto"/>
          <w:sz w:val="21"/>
          <w:szCs w:val="21"/>
          <w:u w:val="none" w:color="auto"/>
        </w:rPr>
      </w:pPr>
      <w:bookmarkStart w:id="589" w:name="_Ref429647018"/>
      <w:bookmarkStart w:id="590" w:name="_Ref429646934"/>
      <w:r>
        <w:rPr>
          <w:b/>
          <w:color w:val="auto"/>
          <w:sz w:val="21"/>
          <w:szCs w:val="21"/>
          <w:u w:val="none" w:color="auto"/>
        </w:rPr>
        <w:t>表</w:t>
      </w:r>
      <w:r>
        <w:rPr>
          <w:rFonts w:hint="eastAsia"/>
          <w:b/>
          <w:color w:val="auto"/>
          <w:sz w:val="21"/>
          <w:szCs w:val="21"/>
          <w:u w:val="none" w:color="auto"/>
          <w:lang w:val="en-US" w:eastAsia="zh-CN"/>
        </w:rPr>
        <w:t>3</w:t>
      </w:r>
      <w:r>
        <w:rPr>
          <w:b/>
          <w:color w:val="auto"/>
          <w:sz w:val="21"/>
          <w:szCs w:val="21"/>
          <w:u w:val="none" w:color="auto"/>
        </w:rPr>
        <w:t>.1-</w:t>
      </w:r>
      <w:r>
        <w:rPr>
          <w:rFonts w:hint="eastAsia"/>
          <w:b/>
          <w:color w:val="auto"/>
          <w:sz w:val="21"/>
          <w:szCs w:val="21"/>
          <w:u w:val="none" w:color="auto"/>
          <w:lang w:val="en-US" w:eastAsia="zh-CN"/>
        </w:rPr>
        <w:t>2</w:t>
      </w:r>
      <w:r>
        <w:rPr>
          <w:b/>
          <w:color w:val="auto"/>
          <w:sz w:val="21"/>
          <w:szCs w:val="21"/>
          <w:u w:val="none" w:color="auto"/>
        </w:rPr>
        <w:t xml:space="preserve">  </w:t>
      </w:r>
      <w:r>
        <w:rPr>
          <w:rFonts w:hint="eastAsia"/>
          <w:b/>
          <w:color w:val="auto"/>
          <w:sz w:val="21"/>
          <w:szCs w:val="21"/>
          <w:u w:val="none" w:color="auto"/>
          <w:lang w:val="en-US" w:eastAsia="zh-CN"/>
        </w:rPr>
        <w:t>项目</w:t>
      </w:r>
      <w:r>
        <w:rPr>
          <w:b/>
          <w:color w:val="auto"/>
          <w:sz w:val="21"/>
          <w:szCs w:val="21"/>
          <w:u w:val="none" w:color="auto"/>
        </w:rPr>
        <w:t>产品方案一览表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098"/>
        <w:gridCol w:w="855"/>
        <w:gridCol w:w="735"/>
        <w:gridCol w:w="5120"/>
      </w:tblGrid>
      <w:tr w14:paraId="73FC4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6" w:type="dxa"/>
            <w:noWrap w:val="0"/>
            <w:vAlign w:val="center"/>
          </w:tcPr>
          <w:p w14:paraId="7ED01D51">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1098" w:type="dxa"/>
            <w:noWrap w:val="0"/>
            <w:vAlign w:val="center"/>
          </w:tcPr>
          <w:p w14:paraId="29A78DA6">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产品</w:t>
            </w:r>
          </w:p>
        </w:tc>
        <w:tc>
          <w:tcPr>
            <w:tcW w:w="855" w:type="dxa"/>
            <w:noWrap w:val="0"/>
            <w:vAlign w:val="center"/>
          </w:tcPr>
          <w:p w14:paraId="0EA07D6D">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单位</w:t>
            </w:r>
          </w:p>
        </w:tc>
        <w:tc>
          <w:tcPr>
            <w:tcW w:w="735" w:type="dxa"/>
            <w:noWrap w:val="0"/>
            <w:vAlign w:val="center"/>
          </w:tcPr>
          <w:p w14:paraId="161333DF">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产量</w:t>
            </w:r>
          </w:p>
        </w:tc>
        <w:tc>
          <w:tcPr>
            <w:tcW w:w="5120" w:type="dxa"/>
            <w:noWrap w:val="0"/>
            <w:vAlign w:val="center"/>
          </w:tcPr>
          <w:p w14:paraId="7F87EAD0">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规格</w:t>
            </w:r>
          </w:p>
        </w:tc>
      </w:tr>
      <w:tr w14:paraId="79A90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6" w:type="dxa"/>
            <w:noWrap w:val="0"/>
            <w:vAlign w:val="center"/>
          </w:tcPr>
          <w:p w14:paraId="3DBF4E5C">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1098" w:type="dxa"/>
            <w:noWrap w:val="0"/>
            <w:vAlign w:val="center"/>
          </w:tcPr>
          <w:p w14:paraId="083297C0">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石墨匣钵</w:t>
            </w:r>
          </w:p>
        </w:tc>
        <w:tc>
          <w:tcPr>
            <w:tcW w:w="855" w:type="dxa"/>
            <w:noWrap w:val="0"/>
            <w:vAlign w:val="center"/>
          </w:tcPr>
          <w:p w14:paraId="121182EB">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万套</w:t>
            </w:r>
            <w:r>
              <w:rPr>
                <w:rFonts w:hint="default" w:ascii="Times New Roman" w:hAnsi="Times New Roman" w:cs="Times New Roman"/>
                <w:color w:val="auto"/>
                <w:u w:val="none"/>
                <w:lang w:val="en-US" w:eastAsia="zh-CN"/>
              </w:rPr>
              <w:t>/a</w:t>
            </w:r>
          </w:p>
        </w:tc>
        <w:tc>
          <w:tcPr>
            <w:tcW w:w="735" w:type="dxa"/>
            <w:noWrap w:val="0"/>
            <w:vAlign w:val="center"/>
          </w:tcPr>
          <w:p w14:paraId="2C4CE163">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20</w:t>
            </w:r>
          </w:p>
        </w:tc>
        <w:tc>
          <w:tcPr>
            <w:tcW w:w="5120" w:type="dxa"/>
            <w:noWrap w:val="0"/>
            <w:vAlign w:val="center"/>
          </w:tcPr>
          <w:p w14:paraId="48288E7C">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主要用于锂电池材料正、负级焙烧用的容器，产品规格包括</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210mm，355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220mm，355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355</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240mm，340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340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200mm，340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340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220mm</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330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330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170mm，330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330</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190mm等</w:t>
            </w:r>
          </w:p>
        </w:tc>
      </w:tr>
      <w:bookmarkEnd w:id="589"/>
      <w:bookmarkEnd w:id="590"/>
    </w:tbl>
    <w:p w14:paraId="016D595D">
      <w:pPr>
        <w:pStyle w:val="30"/>
        <w:bidi w:val="0"/>
        <w:rPr>
          <w:rFonts w:hint="default"/>
          <w:lang w:val="en-US" w:eastAsia="zh-CN"/>
        </w:rPr>
      </w:pPr>
      <w:bookmarkStart w:id="591" w:name="_Toc469"/>
      <w:bookmarkStart w:id="592" w:name="_Toc21809"/>
      <w:r>
        <w:rPr>
          <w:rFonts w:hint="eastAsia"/>
          <w:lang w:val="en-US" w:eastAsia="zh-CN"/>
        </w:rPr>
        <w:t>本项目石墨匣钵规格众多，故以平均重量计算，平均单套石墨匣钵约为12.2kg，20万套约2440t/a。</w:t>
      </w:r>
    </w:p>
    <w:p w14:paraId="3344FDCA">
      <w:pPr>
        <w:pStyle w:val="8"/>
        <w:bidi w:val="0"/>
        <w:rPr>
          <w:rFonts w:hint="eastAsia"/>
          <w:color w:val="auto"/>
          <w:u w:val="none" w:color="auto"/>
          <w:lang w:val="en-US" w:eastAsia="zh-CN"/>
        </w:rPr>
      </w:pPr>
      <w:bookmarkStart w:id="593" w:name="_Toc30324"/>
      <w:r>
        <w:rPr>
          <w:rFonts w:hint="eastAsia"/>
          <w:color w:val="auto"/>
          <w:u w:val="none" w:color="auto"/>
          <w:lang w:val="en-US" w:eastAsia="zh-CN"/>
        </w:rPr>
        <w:t>3.1.4项目主要原辅材料及能源消耗</w:t>
      </w:r>
      <w:bookmarkEnd w:id="591"/>
      <w:bookmarkEnd w:id="592"/>
      <w:bookmarkEnd w:id="593"/>
    </w:p>
    <w:p w14:paraId="37268C9E">
      <w:pPr>
        <w:pStyle w:val="21"/>
        <w:bidi w:val="0"/>
        <w:rPr>
          <w:rFonts w:hint="eastAsia"/>
          <w:color w:val="auto"/>
          <w:u w:val="none" w:color="auto"/>
          <w:lang w:val="en-US" w:eastAsia="zh-CN"/>
        </w:rPr>
      </w:pPr>
      <w:r>
        <w:rPr>
          <w:rFonts w:hint="eastAsia"/>
          <w:color w:val="auto"/>
          <w:u w:val="none" w:color="auto"/>
          <w:lang w:val="en-US" w:eastAsia="zh-CN"/>
        </w:rPr>
        <w:t>项目主要原材料消耗及资源能源消耗情况见下表。</w:t>
      </w:r>
    </w:p>
    <w:p w14:paraId="2C3B9218">
      <w:pPr>
        <w:pStyle w:val="23"/>
        <w:bidi w:val="0"/>
        <w:rPr>
          <w:rFonts w:hint="eastAsia"/>
          <w:color w:val="auto"/>
          <w:u w:val="none" w:color="auto"/>
          <w:lang w:val="en-US" w:eastAsia="zh-CN"/>
        </w:rPr>
      </w:pPr>
      <w:r>
        <w:rPr>
          <w:rFonts w:hint="eastAsia"/>
          <w:color w:val="auto"/>
          <w:u w:val="none" w:color="auto"/>
          <w:lang w:val="en-US" w:eastAsia="zh-CN"/>
        </w:rPr>
        <w:t>表3.1-3 项目主要原辅材料及资源能源消耗情况表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505"/>
        <w:gridCol w:w="1452"/>
        <w:gridCol w:w="1059"/>
        <w:gridCol w:w="1046"/>
        <w:gridCol w:w="689"/>
        <w:gridCol w:w="915"/>
        <w:gridCol w:w="1409"/>
        <w:gridCol w:w="977"/>
      </w:tblGrid>
      <w:tr w14:paraId="7300A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3BE47F96">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1957" w:type="dxa"/>
            <w:gridSpan w:val="2"/>
            <w:noWrap w:val="0"/>
            <w:vAlign w:val="center"/>
          </w:tcPr>
          <w:p w14:paraId="4A087DD6">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名称</w:t>
            </w:r>
          </w:p>
        </w:tc>
        <w:tc>
          <w:tcPr>
            <w:tcW w:w="1059" w:type="dxa"/>
            <w:noWrap w:val="0"/>
            <w:vAlign w:val="center"/>
          </w:tcPr>
          <w:p w14:paraId="1809F617">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年耗量（t）</w:t>
            </w:r>
          </w:p>
        </w:tc>
        <w:tc>
          <w:tcPr>
            <w:tcW w:w="1046" w:type="dxa"/>
            <w:noWrap w:val="0"/>
            <w:vAlign w:val="center"/>
          </w:tcPr>
          <w:p w14:paraId="07E90FB5">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最大存放量（t）</w:t>
            </w:r>
          </w:p>
        </w:tc>
        <w:tc>
          <w:tcPr>
            <w:tcW w:w="689" w:type="dxa"/>
            <w:noWrap w:val="0"/>
            <w:vAlign w:val="center"/>
          </w:tcPr>
          <w:p w14:paraId="1E67BCE8">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来源</w:t>
            </w:r>
          </w:p>
        </w:tc>
        <w:tc>
          <w:tcPr>
            <w:tcW w:w="915" w:type="dxa"/>
            <w:noWrap w:val="0"/>
            <w:vAlign w:val="center"/>
          </w:tcPr>
          <w:p w14:paraId="6F514CDE">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形态</w:t>
            </w:r>
          </w:p>
        </w:tc>
        <w:tc>
          <w:tcPr>
            <w:tcW w:w="1409" w:type="dxa"/>
            <w:noWrap w:val="0"/>
            <w:vAlign w:val="center"/>
          </w:tcPr>
          <w:p w14:paraId="51A171DD">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包装方式</w:t>
            </w:r>
          </w:p>
        </w:tc>
        <w:tc>
          <w:tcPr>
            <w:tcW w:w="977" w:type="dxa"/>
            <w:noWrap w:val="0"/>
            <w:vAlign w:val="center"/>
          </w:tcPr>
          <w:p w14:paraId="141AA021">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储存位置</w:t>
            </w:r>
          </w:p>
        </w:tc>
      </w:tr>
      <w:tr w14:paraId="10603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3B0A241F">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505" w:type="dxa"/>
            <w:vMerge w:val="restart"/>
            <w:noWrap w:val="0"/>
            <w:vAlign w:val="center"/>
          </w:tcPr>
          <w:p w14:paraId="4E315EA2">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主料</w:t>
            </w:r>
          </w:p>
        </w:tc>
        <w:tc>
          <w:tcPr>
            <w:tcW w:w="1452" w:type="dxa"/>
            <w:noWrap w:val="0"/>
            <w:vAlign w:val="center"/>
          </w:tcPr>
          <w:p w14:paraId="1FD3B346">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石墨粉</w:t>
            </w:r>
          </w:p>
        </w:tc>
        <w:tc>
          <w:tcPr>
            <w:tcW w:w="1059" w:type="dxa"/>
            <w:noWrap w:val="0"/>
            <w:vAlign w:val="center"/>
          </w:tcPr>
          <w:p w14:paraId="6A45107F">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2000</w:t>
            </w:r>
          </w:p>
        </w:tc>
        <w:tc>
          <w:tcPr>
            <w:tcW w:w="1046" w:type="dxa"/>
            <w:noWrap w:val="0"/>
            <w:vAlign w:val="center"/>
          </w:tcPr>
          <w:p w14:paraId="7604D00B">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w:t>
            </w:r>
          </w:p>
        </w:tc>
        <w:tc>
          <w:tcPr>
            <w:tcW w:w="689" w:type="dxa"/>
            <w:noWrap w:val="0"/>
            <w:vAlign w:val="center"/>
          </w:tcPr>
          <w:p w14:paraId="30852A8E">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外购</w:t>
            </w:r>
          </w:p>
        </w:tc>
        <w:tc>
          <w:tcPr>
            <w:tcW w:w="915" w:type="dxa"/>
            <w:noWrap w:val="0"/>
            <w:vAlign w:val="center"/>
          </w:tcPr>
          <w:p w14:paraId="55984956">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粉状</w:t>
            </w:r>
          </w:p>
        </w:tc>
        <w:tc>
          <w:tcPr>
            <w:tcW w:w="1409" w:type="dxa"/>
            <w:noWrap w:val="0"/>
            <w:vAlign w:val="center"/>
          </w:tcPr>
          <w:p w14:paraId="77FDA354">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桶装</w:t>
            </w:r>
          </w:p>
        </w:tc>
        <w:tc>
          <w:tcPr>
            <w:tcW w:w="977" w:type="dxa"/>
            <w:noWrap w:val="0"/>
            <w:vAlign w:val="center"/>
          </w:tcPr>
          <w:p w14:paraId="29D20B0B">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原料区</w:t>
            </w:r>
          </w:p>
        </w:tc>
      </w:tr>
      <w:tr w14:paraId="7D48C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791E4FCC">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p>
        </w:tc>
        <w:tc>
          <w:tcPr>
            <w:tcW w:w="505" w:type="dxa"/>
            <w:vMerge w:val="continue"/>
            <w:noWrap w:val="0"/>
            <w:vAlign w:val="center"/>
          </w:tcPr>
          <w:p w14:paraId="3088E04E">
            <w:pPr>
              <w:pStyle w:val="25"/>
              <w:bidi w:val="0"/>
              <w:rPr>
                <w:rFonts w:hint="default" w:ascii="Times New Roman" w:hAnsi="Times New Roman" w:cs="Times New Roman"/>
                <w:color w:val="auto"/>
                <w:u w:val="none"/>
                <w:lang w:val="en-US" w:eastAsia="zh-CN"/>
              </w:rPr>
            </w:pPr>
          </w:p>
        </w:tc>
        <w:tc>
          <w:tcPr>
            <w:tcW w:w="1452" w:type="dxa"/>
            <w:noWrap w:val="0"/>
            <w:vAlign w:val="center"/>
          </w:tcPr>
          <w:p w14:paraId="2A9E4F95">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酚醛树脂</w:t>
            </w:r>
          </w:p>
        </w:tc>
        <w:tc>
          <w:tcPr>
            <w:tcW w:w="1059" w:type="dxa"/>
            <w:noWrap w:val="0"/>
            <w:vAlign w:val="center"/>
          </w:tcPr>
          <w:p w14:paraId="2B0DFC02">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600</w:t>
            </w:r>
          </w:p>
        </w:tc>
        <w:tc>
          <w:tcPr>
            <w:tcW w:w="1046" w:type="dxa"/>
            <w:noWrap w:val="0"/>
            <w:vAlign w:val="center"/>
          </w:tcPr>
          <w:p w14:paraId="4CFF9C29">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c>
          <w:tcPr>
            <w:tcW w:w="689" w:type="dxa"/>
            <w:noWrap w:val="0"/>
            <w:vAlign w:val="center"/>
          </w:tcPr>
          <w:p w14:paraId="4181D67C">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1BD93E53">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液态</w:t>
            </w:r>
          </w:p>
        </w:tc>
        <w:tc>
          <w:tcPr>
            <w:tcW w:w="1409" w:type="dxa"/>
            <w:noWrap w:val="0"/>
            <w:vAlign w:val="center"/>
          </w:tcPr>
          <w:p w14:paraId="6F003514">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桶装</w:t>
            </w:r>
          </w:p>
        </w:tc>
        <w:tc>
          <w:tcPr>
            <w:tcW w:w="977" w:type="dxa"/>
            <w:noWrap w:val="0"/>
            <w:vAlign w:val="center"/>
          </w:tcPr>
          <w:p w14:paraId="01374AFE">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原料区</w:t>
            </w:r>
          </w:p>
        </w:tc>
      </w:tr>
      <w:tr w14:paraId="0B4C8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3B432D5">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w:t>
            </w:r>
          </w:p>
        </w:tc>
        <w:tc>
          <w:tcPr>
            <w:tcW w:w="505" w:type="dxa"/>
            <w:vMerge w:val="restart"/>
            <w:noWrap w:val="0"/>
            <w:vAlign w:val="center"/>
          </w:tcPr>
          <w:p w14:paraId="268D2407">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能源</w:t>
            </w:r>
          </w:p>
        </w:tc>
        <w:tc>
          <w:tcPr>
            <w:tcW w:w="1452" w:type="dxa"/>
            <w:noWrap w:val="0"/>
            <w:vAlign w:val="center"/>
          </w:tcPr>
          <w:p w14:paraId="19597D44">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水</w:t>
            </w:r>
          </w:p>
        </w:tc>
        <w:tc>
          <w:tcPr>
            <w:tcW w:w="2105" w:type="dxa"/>
            <w:gridSpan w:val="2"/>
            <w:noWrap w:val="0"/>
            <w:vAlign w:val="center"/>
          </w:tcPr>
          <w:p w14:paraId="421065B4">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1520</w:t>
            </w:r>
          </w:p>
        </w:tc>
        <w:tc>
          <w:tcPr>
            <w:tcW w:w="3990" w:type="dxa"/>
            <w:gridSpan w:val="4"/>
            <w:noWrap w:val="0"/>
            <w:vAlign w:val="center"/>
          </w:tcPr>
          <w:p w14:paraId="20666B65">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市政管网供给</w:t>
            </w:r>
          </w:p>
        </w:tc>
      </w:tr>
      <w:tr w14:paraId="77434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noWrap w:val="0"/>
            <w:vAlign w:val="center"/>
          </w:tcPr>
          <w:p w14:paraId="36CD9798">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4</w:t>
            </w:r>
          </w:p>
        </w:tc>
        <w:tc>
          <w:tcPr>
            <w:tcW w:w="505" w:type="dxa"/>
            <w:vMerge w:val="continue"/>
            <w:noWrap w:val="0"/>
            <w:vAlign w:val="center"/>
          </w:tcPr>
          <w:p w14:paraId="3AAAD5CC">
            <w:pPr>
              <w:pStyle w:val="25"/>
              <w:bidi w:val="0"/>
              <w:rPr>
                <w:rFonts w:hint="default" w:ascii="Times New Roman" w:hAnsi="Times New Roman" w:cs="Times New Roman"/>
                <w:color w:val="auto"/>
                <w:u w:val="none"/>
                <w:lang w:val="en-US" w:eastAsia="zh-CN"/>
              </w:rPr>
            </w:pPr>
          </w:p>
        </w:tc>
        <w:tc>
          <w:tcPr>
            <w:tcW w:w="1452" w:type="dxa"/>
            <w:noWrap w:val="0"/>
            <w:vAlign w:val="center"/>
          </w:tcPr>
          <w:p w14:paraId="461233D2">
            <w:pPr>
              <w:pStyle w:val="25"/>
              <w:bidi w:val="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电</w:t>
            </w:r>
          </w:p>
        </w:tc>
        <w:tc>
          <w:tcPr>
            <w:tcW w:w="2105" w:type="dxa"/>
            <w:gridSpan w:val="2"/>
            <w:noWrap w:val="0"/>
            <w:vAlign w:val="center"/>
          </w:tcPr>
          <w:p w14:paraId="1DF338AF">
            <w:pPr>
              <w:pStyle w:val="25"/>
              <w:bidi w:val="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160万</w:t>
            </w:r>
            <w:r>
              <w:rPr>
                <w:rFonts w:hint="default" w:ascii="Times New Roman" w:hAnsi="Times New Roman" w:cs="Times New Roman"/>
                <w:color w:val="auto"/>
                <w:u w:val="none"/>
                <w:lang w:val="en-US" w:eastAsia="zh-CN"/>
              </w:rPr>
              <w:t>度/a</w:t>
            </w:r>
          </w:p>
        </w:tc>
        <w:tc>
          <w:tcPr>
            <w:tcW w:w="3990" w:type="dxa"/>
            <w:gridSpan w:val="4"/>
            <w:noWrap w:val="0"/>
            <w:vAlign w:val="center"/>
          </w:tcPr>
          <w:p w14:paraId="455D632A">
            <w:pPr>
              <w:pStyle w:val="25"/>
              <w:bidi w:val="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园区变电站供给</w:t>
            </w:r>
          </w:p>
        </w:tc>
      </w:tr>
      <w:tr w14:paraId="07163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noWrap w:val="0"/>
            <w:vAlign w:val="center"/>
          </w:tcPr>
          <w:p w14:paraId="2F99F0CB">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w:t>
            </w:r>
          </w:p>
        </w:tc>
        <w:tc>
          <w:tcPr>
            <w:tcW w:w="505" w:type="dxa"/>
            <w:vMerge w:val="continue"/>
            <w:noWrap w:val="0"/>
            <w:vAlign w:val="center"/>
          </w:tcPr>
          <w:p w14:paraId="135E3182">
            <w:pPr>
              <w:pStyle w:val="25"/>
              <w:bidi w:val="0"/>
              <w:rPr>
                <w:rFonts w:hint="default" w:ascii="Times New Roman" w:hAnsi="Times New Roman" w:cs="Times New Roman"/>
                <w:color w:val="auto"/>
                <w:u w:val="none"/>
                <w:lang w:val="en-US" w:eastAsia="zh-CN"/>
              </w:rPr>
            </w:pPr>
          </w:p>
        </w:tc>
        <w:tc>
          <w:tcPr>
            <w:tcW w:w="1452" w:type="dxa"/>
            <w:noWrap w:val="0"/>
            <w:vAlign w:val="center"/>
          </w:tcPr>
          <w:p w14:paraId="4B8032E8">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天然气</w:t>
            </w:r>
          </w:p>
        </w:tc>
        <w:tc>
          <w:tcPr>
            <w:tcW w:w="2105" w:type="dxa"/>
            <w:gridSpan w:val="2"/>
            <w:noWrap w:val="0"/>
            <w:vAlign w:val="center"/>
          </w:tcPr>
          <w:p w14:paraId="51AA870D">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108万m</w:t>
            </w:r>
            <w:r>
              <w:rPr>
                <w:rFonts w:hint="eastAsia" w:ascii="Times New Roman" w:hAnsi="Times New Roman" w:cs="Times New Roman"/>
                <w:color w:val="auto"/>
                <w:u w:val="none"/>
                <w:vertAlign w:val="superscript"/>
                <w:lang w:val="en-US" w:eastAsia="zh-CN"/>
              </w:rPr>
              <w:t>3</w:t>
            </w:r>
            <w:r>
              <w:rPr>
                <w:rFonts w:hint="eastAsia" w:ascii="Times New Roman" w:hAnsi="Times New Roman" w:cs="Times New Roman"/>
                <w:color w:val="auto"/>
                <w:u w:val="none"/>
                <w:lang w:val="en-US" w:eastAsia="zh-CN"/>
              </w:rPr>
              <w:t>/a</w:t>
            </w:r>
          </w:p>
        </w:tc>
        <w:tc>
          <w:tcPr>
            <w:tcW w:w="3990" w:type="dxa"/>
            <w:gridSpan w:val="4"/>
            <w:noWrap w:val="0"/>
            <w:vAlign w:val="center"/>
          </w:tcPr>
          <w:p w14:paraId="032470D6">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园区管网供给</w:t>
            </w:r>
          </w:p>
        </w:tc>
      </w:tr>
      <w:tr w14:paraId="400A9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3F9ABD7C">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6</w:t>
            </w:r>
          </w:p>
        </w:tc>
        <w:tc>
          <w:tcPr>
            <w:tcW w:w="505" w:type="dxa"/>
            <w:vMerge w:val="restart"/>
            <w:noWrap w:val="0"/>
            <w:vAlign w:val="center"/>
          </w:tcPr>
          <w:p w14:paraId="54770F4A">
            <w:pPr>
              <w:pStyle w:val="25"/>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耗材</w:t>
            </w:r>
          </w:p>
        </w:tc>
        <w:tc>
          <w:tcPr>
            <w:tcW w:w="1452" w:type="dxa"/>
            <w:noWrap w:val="0"/>
            <w:vAlign w:val="center"/>
          </w:tcPr>
          <w:p w14:paraId="470ADD4F">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矿物油</w:t>
            </w:r>
          </w:p>
        </w:tc>
        <w:tc>
          <w:tcPr>
            <w:tcW w:w="2105" w:type="dxa"/>
            <w:gridSpan w:val="2"/>
            <w:noWrap w:val="0"/>
            <w:vAlign w:val="center"/>
          </w:tcPr>
          <w:p w14:paraId="777B9E3F">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0.1</w:t>
            </w:r>
          </w:p>
        </w:tc>
        <w:tc>
          <w:tcPr>
            <w:tcW w:w="689" w:type="dxa"/>
            <w:noWrap w:val="0"/>
            <w:vAlign w:val="center"/>
          </w:tcPr>
          <w:p w14:paraId="05EBA870">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外购</w:t>
            </w:r>
          </w:p>
        </w:tc>
        <w:tc>
          <w:tcPr>
            <w:tcW w:w="915" w:type="dxa"/>
            <w:noWrap w:val="0"/>
            <w:vAlign w:val="center"/>
          </w:tcPr>
          <w:p w14:paraId="1BAE5E5D">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液体</w:t>
            </w:r>
          </w:p>
        </w:tc>
        <w:tc>
          <w:tcPr>
            <w:tcW w:w="1409" w:type="dxa"/>
            <w:noWrap w:val="0"/>
            <w:vAlign w:val="center"/>
          </w:tcPr>
          <w:p w14:paraId="31A73F13">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桶装</w:t>
            </w:r>
          </w:p>
        </w:tc>
        <w:tc>
          <w:tcPr>
            <w:tcW w:w="977" w:type="dxa"/>
            <w:noWrap w:val="0"/>
            <w:vAlign w:val="center"/>
          </w:tcPr>
          <w:p w14:paraId="409BB549">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原料区</w:t>
            </w:r>
          </w:p>
        </w:tc>
      </w:tr>
      <w:tr w14:paraId="6223A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12DC472C">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7</w:t>
            </w:r>
          </w:p>
        </w:tc>
        <w:tc>
          <w:tcPr>
            <w:tcW w:w="505" w:type="dxa"/>
            <w:vMerge w:val="continue"/>
            <w:noWrap w:val="0"/>
            <w:vAlign w:val="center"/>
          </w:tcPr>
          <w:p w14:paraId="468DC701">
            <w:pPr>
              <w:pStyle w:val="25"/>
              <w:bidi w:val="0"/>
              <w:rPr>
                <w:rFonts w:hint="default" w:ascii="Times New Roman" w:hAnsi="Times New Roman" w:cs="Times New Roman"/>
                <w:color w:val="auto"/>
                <w:u w:val="none"/>
                <w:lang w:val="en-US" w:eastAsia="zh-CN"/>
              </w:rPr>
            </w:pPr>
          </w:p>
        </w:tc>
        <w:tc>
          <w:tcPr>
            <w:tcW w:w="1452" w:type="dxa"/>
            <w:noWrap w:val="0"/>
            <w:vAlign w:val="center"/>
          </w:tcPr>
          <w:p w14:paraId="3E67E455">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液压油</w:t>
            </w:r>
          </w:p>
        </w:tc>
        <w:tc>
          <w:tcPr>
            <w:tcW w:w="2105" w:type="dxa"/>
            <w:gridSpan w:val="2"/>
            <w:noWrap w:val="0"/>
            <w:vAlign w:val="center"/>
          </w:tcPr>
          <w:p w14:paraId="5A7A0216">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0.4</w:t>
            </w:r>
          </w:p>
        </w:tc>
        <w:tc>
          <w:tcPr>
            <w:tcW w:w="689" w:type="dxa"/>
            <w:noWrap w:val="0"/>
            <w:vAlign w:val="center"/>
          </w:tcPr>
          <w:p w14:paraId="2830167D">
            <w:pPr>
              <w:pStyle w:val="25"/>
              <w:bidi w:val="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外购</w:t>
            </w:r>
          </w:p>
        </w:tc>
        <w:tc>
          <w:tcPr>
            <w:tcW w:w="915" w:type="dxa"/>
            <w:noWrap w:val="0"/>
            <w:vAlign w:val="center"/>
          </w:tcPr>
          <w:p w14:paraId="47820D61">
            <w:pPr>
              <w:pStyle w:val="25"/>
              <w:bidi w:val="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液体</w:t>
            </w:r>
          </w:p>
        </w:tc>
        <w:tc>
          <w:tcPr>
            <w:tcW w:w="1409" w:type="dxa"/>
            <w:noWrap w:val="0"/>
            <w:vAlign w:val="center"/>
          </w:tcPr>
          <w:p w14:paraId="686E0672">
            <w:pPr>
              <w:pStyle w:val="25"/>
              <w:bidi w:val="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桶装</w:t>
            </w:r>
          </w:p>
        </w:tc>
        <w:tc>
          <w:tcPr>
            <w:tcW w:w="977" w:type="dxa"/>
            <w:noWrap w:val="0"/>
            <w:vAlign w:val="center"/>
          </w:tcPr>
          <w:p w14:paraId="19B48339">
            <w:pPr>
              <w:pStyle w:val="25"/>
              <w:bidi w:val="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原料区</w:t>
            </w:r>
          </w:p>
        </w:tc>
      </w:tr>
      <w:tr w14:paraId="016B5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65A5E64B">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8</w:t>
            </w:r>
          </w:p>
        </w:tc>
        <w:tc>
          <w:tcPr>
            <w:tcW w:w="505" w:type="dxa"/>
            <w:vMerge w:val="continue"/>
            <w:noWrap w:val="0"/>
            <w:vAlign w:val="center"/>
          </w:tcPr>
          <w:p w14:paraId="11C1A4C4">
            <w:pPr>
              <w:pStyle w:val="25"/>
              <w:bidi w:val="0"/>
              <w:rPr>
                <w:rFonts w:hint="default" w:ascii="Times New Roman" w:hAnsi="Times New Roman" w:cs="Times New Roman"/>
                <w:color w:val="auto"/>
                <w:u w:val="none"/>
                <w:lang w:val="en-US" w:eastAsia="zh-CN"/>
              </w:rPr>
            </w:pPr>
          </w:p>
        </w:tc>
        <w:tc>
          <w:tcPr>
            <w:tcW w:w="1452" w:type="dxa"/>
            <w:noWrap w:val="0"/>
            <w:vAlign w:val="center"/>
          </w:tcPr>
          <w:p w14:paraId="143E38DA">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导热油</w:t>
            </w:r>
          </w:p>
        </w:tc>
        <w:tc>
          <w:tcPr>
            <w:tcW w:w="2105" w:type="dxa"/>
            <w:gridSpan w:val="2"/>
            <w:noWrap w:val="0"/>
            <w:vAlign w:val="center"/>
          </w:tcPr>
          <w:p w14:paraId="76C45EBE">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0.5</w:t>
            </w:r>
          </w:p>
        </w:tc>
        <w:tc>
          <w:tcPr>
            <w:tcW w:w="689" w:type="dxa"/>
            <w:noWrap w:val="0"/>
            <w:vAlign w:val="center"/>
          </w:tcPr>
          <w:p w14:paraId="695BB74D">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外购</w:t>
            </w:r>
          </w:p>
        </w:tc>
        <w:tc>
          <w:tcPr>
            <w:tcW w:w="915" w:type="dxa"/>
            <w:noWrap w:val="0"/>
            <w:vAlign w:val="center"/>
          </w:tcPr>
          <w:p w14:paraId="46ADE9B8">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液体</w:t>
            </w:r>
          </w:p>
        </w:tc>
        <w:tc>
          <w:tcPr>
            <w:tcW w:w="1409" w:type="dxa"/>
            <w:noWrap w:val="0"/>
            <w:vAlign w:val="center"/>
          </w:tcPr>
          <w:p w14:paraId="148C793F">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桶装</w:t>
            </w:r>
          </w:p>
        </w:tc>
        <w:tc>
          <w:tcPr>
            <w:tcW w:w="977" w:type="dxa"/>
            <w:noWrap w:val="0"/>
            <w:vAlign w:val="center"/>
          </w:tcPr>
          <w:p w14:paraId="6BCA6CE6">
            <w:pPr>
              <w:pStyle w:val="25"/>
              <w:bidi w:val="0"/>
              <w:rPr>
                <w:rFonts w:hint="eastAsia" w:ascii="Times New Roman" w:hAnsi="Times New Roman"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不储存，一次性更换</w:t>
            </w:r>
          </w:p>
        </w:tc>
      </w:tr>
      <w:tr w14:paraId="195B7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6FCBC126">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9</w:t>
            </w:r>
          </w:p>
        </w:tc>
        <w:tc>
          <w:tcPr>
            <w:tcW w:w="505" w:type="dxa"/>
            <w:vMerge w:val="continue"/>
            <w:noWrap w:val="0"/>
            <w:vAlign w:val="center"/>
          </w:tcPr>
          <w:p w14:paraId="01F90CA2">
            <w:pPr>
              <w:pStyle w:val="25"/>
              <w:bidi w:val="0"/>
              <w:rPr>
                <w:rFonts w:hint="default" w:ascii="Times New Roman" w:hAnsi="Times New Roman" w:cs="Times New Roman"/>
                <w:color w:val="auto"/>
                <w:u w:val="none"/>
                <w:lang w:val="en-US" w:eastAsia="zh-CN"/>
              </w:rPr>
            </w:pPr>
          </w:p>
        </w:tc>
        <w:tc>
          <w:tcPr>
            <w:tcW w:w="1452" w:type="dxa"/>
            <w:noWrap w:val="0"/>
            <w:vAlign w:val="center"/>
          </w:tcPr>
          <w:p w14:paraId="059A1689">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活性炭</w:t>
            </w:r>
          </w:p>
        </w:tc>
        <w:tc>
          <w:tcPr>
            <w:tcW w:w="2105" w:type="dxa"/>
            <w:gridSpan w:val="2"/>
            <w:noWrap w:val="0"/>
            <w:vAlign w:val="center"/>
          </w:tcPr>
          <w:p w14:paraId="4E73716D">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7</w:t>
            </w:r>
          </w:p>
        </w:tc>
        <w:tc>
          <w:tcPr>
            <w:tcW w:w="689" w:type="dxa"/>
            <w:noWrap w:val="0"/>
            <w:vAlign w:val="center"/>
          </w:tcPr>
          <w:p w14:paraId="5C8DE081">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外购</w:t>
            </w:r>
          </w:p>
        </w:tc>
        <w:tc>
          <w:tcPr>
            <w:tcW w:w="915" w:type="dxa"/>
            <w:noWrap w:val="0"/>
            <w:vAlign w:val="center"/>
          </w:tcPr>
          <w:p w14:paraId="74125B8B">
            <w:pPr>
              <w:pStyle w:val="25"/>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固体</w:t>
            </w:r>
          </w:p>
        </w:tc>
        <w:tc>
          <w:tcPr>
            <w:tcW w:w="1409" w:type="dxa"/>
            <w:noWrap w:val="0"/>
            <w:vAlign w:val="center"/>
          </w:tcPr>
          <w:p w14:paraId="61460A81">
            <w:pPr>
              <w:pStyle w:val="25"/>
              <w:bidi w:val="0"/>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25kg/袋</w:t>
            </w:r>
          </w:p>
        </w:tc>
        <w:tc>
          <w:tcPr>
            <w:tcW w:w="977" w:type="dxa"/>
            <w:noWrap w:val="0"/>
            <w:vAlign w:val="center"/>
          </w:tcPr>
          <w:p w14:paraId="6DB6F18F">
            <w:pPr>
              <w:pStyle w:val="25"/>
              <w:bidi w:val="0"/>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不储存，一次性更换</w:t>
            </w:r>
          </w:p>
        </w:tc>
      </w:tr>
    </w:tbl>
    <w:p w14:paraId="5D744CF2">
      <w:pPr>
        <w:pStyle w:val="21"/>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根据项目可知，本项目原辅材料均不属于《剧毒化学品目录</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2002版</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》中所列的335种剧毒化学品，也未涉及铬、铅、汞等重金属元素。项目原辅材料通过汽车运输至厂区内。</w:t>
      </w:r>
    </w:p>
    <w:p w14:paraId="051CBA78">
      <w:pPr>
        <w:adjustRightInd w:val="0"/>
        <w:snapToGrid w:val="0"/>
        <w:spacing w:line="360" w:lineRule="auto"/>
        <w:ind w:firstLine="48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主要原辅材料化学成分及物理化学性质：</w:t>
      </w:r>
    </w:p>
    <w:p w14:paraId="1106E7FA">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（1）石墨粉</w:t>
      </w:r>
      <w:r>
        <w:rPr>
          <w:rFonts w:hint="default" w:ascii="Times New Roman" w:hAnsi="Times New Roman" w:eastAsia="宋体" w:cs="Times New Roman"/>
          <w:color w:val="auto"/>
          <w:sz w:val="24"/>
          <w:szCs w:val="24"/>
          <w:u w:val="none"/>
          <w:lang w:val="en-US" w:eastAsia="zh-CN"/>
        </w:rPr>
        <w:t>：物料呈粉状，已高温石墨化，主要成分为固定碳。人造石墨，石墨资源丰富，有专业的石墨化原料制造工厂，来源充足，可满足生产需求</w:t>
      </w:r>
      <w:r>
        <w:rPr>
          <w:rFonts w:hint="eastAsia" w:ascii="Times New Roman" w:hAnsi="Times New Roman" w:eastAsia="宋体" w:cs="Times New Roman"/>
          <w:color w:val="auto"/>
          <w:sz w:val="24"/>
          <w:szCs w:val="24"/>
          <w:u w:val="none"/>
          <w:lang w:val="en-US" w:eastAsia="zh-CN"/>
        </w:rPr>
        <w:t>。</w:t>
      </w:r>
    </w:p>
    <w:p w14:paraId="33190AFF">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（2）酚醛树脂</w:t>
      </w:r>
      <w:r>
        <w:rPr>
          <w:rFonts w:hint="default" w:ascii="Times New Roman" w:hAnsi="Times New Roman" w:eastAsia="宋体" w:cs="Times New Roman"/>
          <w:color w:val="auto"/>
          <w:sz w:val="24"/>
          <w:szCs w:val="24"/>
          <w:u w:val="none"/>
          <w:lang w:val="en-US" w:eastAsia="zh-CN"/>
        </w:rPr>
        <w:t>：酚醛树脂是苯酚和甲醛在酸性或碱性催化剂作用下，通过缩聚反应而制得，分子式为(C</w:t>
      </w:r>
      <w:r>
        <w:rPr>
          <w:rFonts w:hint="eastAsia" w:ascii="Times New Roman" w:hAnsi="Times New Roman" w:eastAsia="宋体" w:cs="Times New Roman"/>
          <w:color w:val="auto"/>
          <w:sz w:val="24"/>
          <w:szCs w:val="24"/>
          <w:u w:val="none"/>
          <w:vertAlign w:val="subscript"/>
          <w:lang w:val="en-US" w:eastAsia="zh-CN"/>
        </w:rPr>
        <w:t>6</w:t>
      </w:r>
      <w:r>
        <w:rPr>
          <w:rFonts w:hint="default" w:ascii="Times New Roman" w:hAnsi="Times New Roman" w:eastAsia="宋体" w:cs="Times New Roman"/>
          <w:color w:val="auto"/>
          <w:sz w:val="24"/>
          <w:szCs w:val="24"/>
          <w:u w:val="none"/>
          <w:lang w:val="en-US" w:eastAsia="zh-CN"/>
        </w:rPr>
        <w:t>H</w:t>
      </w:r>
      <w:r>
        <w:rPr>
          <w:rFonts w:hint="eastAsia" w:ascii="Times New Roman" w:hAnsi="Times New Roman" w:eastAsia="宋体" w:cs="Times New Roman"/>
          <w:color w:val="auto"/>
          <w:sz w:val="24"/>
          <w:szCs w:val="24"/>
          <w:u w:val="none"/>
          <w:vertAlign w:val="subscript"/>
          <w:lang w:val="en-US" w:eastAsia="zh-CN"/>
        </w:rPr>
        <w:t>6</w:t>
      </w:r>
      <w:r>
        <w:rPr>
          <w:rFonts w:hint="default" w:ascii="Times New Roman" w:hAnsi="Times New Roman" w:eastAsia="宋体" w:cs="Times New Roman"/>
          <w:color w:val="auto"/>
          <w:sz w:val="24"/>
          <w:szCs w:val="24"/>
          <w:u w:val="none"/>
          <w:lang w:val="en-US" w:eastAsia="zh-CN"/>
        </w:rPr>
        <w:t>O·CH</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O)x。液体酚醛树脂为黄色、深棕色液体，对水、弱酸、弱碱溶液稳定，液态酚醛树脂沸点约181.8℃，与苯酚类似。具有耐高温性，200℃以下稳定存在，超过200℃会有氧化，大于340℃进入热分解阶段。</w:t>
      </w:r>
      <w:r>
        <w:rPr>
          <w:rFonts w:hint="eastAsia" w:ascii="Times New Roman" w:hAnsi="Times New Roman" w:eastAsia="宋体" w:cs="Times New Roman"/>
          <w:color w:val="auto"/>
          <w:sz w:val="24"/>
          <w:szCs w:val="24"/>
          <w:u w:val="none"/>
          <w:lang w:val="en-US" w:eastAsia="zh-CN"/>
        </w:rPr>
        <w:t>根据建设单位提供资料，本项目使用的酚醛树脂主要成分为：酚醛树脂、游离醛、游离酚、水分。</w:t>
      </w:r>
    </w:p>
    <w:p w14:paraId="4A2CA5B6">
      <w:pPr>
        <w:pStyle w:val="8"/>
        <w:bidi w:val="0"/>
        <w:rPr>
          <w:rFonts w:hint="eastAsia"/>
          <w:color w:val="auto"/>
          <w:u w:val="none" w:color="auto"/>
          <w:lang w:val="en-US" w:eastAsia="zh-CN"/>
        </w:rPr>
      </w:pPr>
      <w:bookmarkStart w:id="594" w:name="_Toc29045"/>
      <w:bookmarkStart w:id="595" w:name="_Toc5594"/>
      <w:bookmarkStart w:id="596" w:name="_Toc22854"/>
      <w:r>
        <w:rPr>
          <w:rFonts w:hint="eastAsia"/>
          <w:color w:val="auto"/>
          <w:u w:val="none" w:color="auto"/>
          <w:lang w:val="en-US" w:eastAsia="zh-CN"/>
        </w:rPr>
        <w:t>3.1.5项目主要生产设备</w:t>
      </w:r>
      <w:bookmarkEnd w:id="594"/>
      <w:bookmarkEnd w:id="595"/>
      <w:bookmarkEnd w:id="596"/>
    </w:p>
    <w:p w14:paraId="1A3544DA">
      <w:pPr>
        <w:pStyle w:val="21"/>
        <w:bidi w:val="0"/>
        <w:rPr>
          <w:rFonts w:hint="eastAsia"/>
          <w:color w:val="auto"/>
          <w:u w:val="none" w:color="auto"/>
          <w:lang w:val="en-US" w:eastAsia="zh-CN"/>
        </w:rPr>
      </w:pPr>
      <w:r>
        <w:rPr>
          <w:rFonts w:hint="eastAsia"/>
          <w:color w:val="auto"/>
          <w:u w:val="none" w:color="auto"/>
          <w:lang w:val="en-US" w:eastAsia="zh-CN"/>
        </w:rPr>
        <w:t>项目主要生产设备见下表。</w:t>
      </w:r>
    </w:p>
    <w:p w14:paraId="3357B0AC">
      <w:pPr>
        <w:pStyle w:val="23"/>
        <w:bidi w:val="0"/>
        <w:rPr>
          <w:rFonts w:hint="eastAsia"/>
          <w:color w:val="auto"/>
          <w:u w:val="none" w:color="auto"/>
          <w:lang w:val="en-US" w:eastAsia="zh-CN"/>
        </w:rPr>
      </w:pPr>
      <w:r>
        <w:rPr>
          <w:rFonts w:hint="eastAsia"/>
          <w:color w:val="auto"/>
          <w:u w:val="none" w:color="auto"/>
          <w:lang w:val="en-US" w:eastAsia="zh-CN"/>
        </w:rPr>
        <w:t>表3.1-4 项目主要生产设备表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2221"/>
        <w:gridCol w:w="2003"/>
        <w:gridCol w:w="1063"/>
        <w:gridCol w:w="878"/>
        <w:gridCol w:w="1557"/>
      </w:tblGrid>
      <w:tr w14:paraId="5DA48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72584B9E">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2221" w:type="dxa"/>
            <w:noWrap w:val="0"/>
            <w:vAlign w:val="center"/>
          </w:tcPr>
          <w:p w14:paraId="2D2B7A96">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设备名称</w:t>
            </w:r>
          </w:p>
        </w:tc>
        <w:tc>
          <w:tcPr>
            <w:tcW w:w="2003" w:type="dxa"/>
            <w:noWrap w:val="0"/>
            <w:vAlign w:val="center"/>
          </w:tcPr>
          <w:p w14:paraId="64EA208F">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型号规格</w:t>
            </w:r>
          </w:p>
        </w:tc>
        <w:tc>
          <w:tcPr>
            <w:tcW w:w="1063" w:type="dxa"/>
            <w:noWrap w:val="0"/>
            <w:vAlign w:val="center"/>
          </w:tcPr>
          <w:p w14:paraId="6C8A0F36">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单位</w:t>
            </w:r>
          </w:p>
        </w:tc>
        <w:tc>
          <w:tcPr>
            <w:tcW w:w="878" w:type="dxa"/>
            <w:noWrap w:val="0"/>
            <w:vAlign w:val="center"/>
          </w:tcPr>
          <w:p w14:paraId="26E016F1">
            <w:pPr>
              <w:pStyle w:val="25"/>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数量</w:t>
            </w:r>
          </w:p>
        </w:tc>
        <w:tc>
          <w:tcPr>
            <w:tcW w:w="1557" w:type="dxa"/>
            <w:noWrap w:val="0"/>
            <w:vAlign w:val="center"/>
          </w:tcPr>
          <w:p w14:paraId="58F6B7D6">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备注</w:t>
            </w:r>
          </w:p>
        </w:tc>
      </w:tr>
      <w:tr w14:paraId="27D038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04" w:type="dxa"/>
            <w:gridSpan w:val="6"/>
            <w:noWrap w:val="0"/>
            <w:vAlign w:val="center"/>
          </w:tcPr>
          <w:p w14:paraId="75E817B5">
            <w:pPr>
              <w:pStyle w:val="25"/>
              <w:rPr>
                <w:rFonts w:hint="default" w:ascii="Times New Roman" w:hAnsi="Times New Roman" w:cs="Times New Roman"/>
                <w:color w:val="auto"/>
                <w:kern w:val="2"/>
                <w:szCs w:val="24"/>
                <w:u w:val="none"/>
                <w:lang w:val="en-US" w:eastAsia="zh-CN"/>
              </w:rPr>
            </w:pPr>
            <w:r>
              <w:rPr>
                <w:rFonts w:hint="eastAsia" w:ascii="Times New Roman" w:hAnsi="Times New Roman" w:cs="Times New Roman"/>
                <w:color w:val="auto"/>
                <w:kern w:val="2"/>
                <w:szCs w:val="24"/>
                <w:u w:val="none"/>
                <w:lang w:val="en-US" w:eastAsia="zh-CN"/>
              </w:rPr>
              <w:t>1#厂房生产设备</w:t>
            </w:r>
          </w:p>
        </w:tc>
      </w:tr>
      <w:tr w14:paraId="1E952B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027929A2">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1</w:t>
            </w:r>
          </w:p>
        </w:tc>
        <w:tc>
          <w:tcPr>
            <w:tcW w:w="2221" w:type="dxa"/>
            <w:noWrap w:val="0"/>
            <w:vAlign w:val="center"/>
          </w:tcPr>
          <w:p w14:paraId="0727FFD9">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货物升降平台</w:t>
            </w:r>
          </w:p>
        </w:tc>
        <w:tc>
          <w:tcPr>
            <w:tcW w:w="2003" w:type="dxa"/>
            <w:noWrap w:val="0"/>
            <w:vAlign w:val="center"/>
          </w:tcPr>
          <w:p w14:paraId="49F398C8">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kern w:val="2"/>
                <w:sz w:val="21"/>
                <w:szCs w:val="21"/>
              </w:rPr>
              <w:t>1000公斤</w:t>
            </w:r>
          </w:p>
        </w:tc>
        <w:tc>
          <w:tcPr>
            <w:tcW w:w="1063" w:type="dxa"/>
            <w:noWrap w:val="0"/>
            <w:vAlign w:val="center"/>
          </w:tcPr>
          <w:p w14:paraId="63D7EC20">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套</w:t>
            </w:r>
          </w:p>
        </w:tc>
        <w:tc>
          <w:tcPr>
            <w:tcW w:w="878" w:type="dxa"/>
            <w:noWrap w:val="0"/>
            <w:vAlign w:val="center"/>
          </w:tcPr>
          <w:p w14:paraId="7619C6B9">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w:t>
            </w:r>
          </w:p>
        </w:tc>
        <w:tc>
          <w:tcPr>
            <w:tcW w:w="1557" w:type="dxa"/>
            <w:noWrap w:val="0"/>
            <w:vAlign w:val="center"/>
          </w:tcPr>
          <w:p w14:paraId="735EAAF0">
            <w:pPr>
              <w:pStyle w:val="25"/>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原料转运</w:t>
            </w:r>
          </w:p>
        </w:tc>
      </w:tr>
      <w:tr w14:paraId="5E063D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12A68998">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2</w:t>
            </w:r>
          </w:p>
        </w:tc>
        <w:tc>
          <w:tcPr>
            <w:tcW w:w="2221" w:type="dxa"/>
            <w:noWrap w:val="0"/>
            <w:vAlign w:val="center"/>
          </w:tcPr>
          <w:p w14:paraId="19E3145F">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捏合机</w:t>
            </w:r>
          </w:p>
        </w:tc>
        <w:tc>
          <w:tcPr>
            <w:tcW w:w="2003" w:type="dxa"/>
            <w:noWrap w:val="0"/>
            <w:vAlign w:val="center"/>
          </w:tcPr>
          <w:p w14:paraId="28C7C725">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kern w:val="2"/>
                <w:sz w:val="21"/>
                <w:szCs w:val="21"/>
              </w:rPr>
              <w:t>2000升</w:t>
            </w:r>
          </w:p>
        </w:tc>
        <w:tc>
          <w:tcPr>
            <w:tcW w:w="1063" w:type="dxa"/>
            <w:noWrap w:val="0"/>
            <w:vAlign w:val="center"/>
          </w:tcPr>
          <w:p w14:paraId="09451A07">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台</w:t>
            </w:r>
          </w:p>
        </w:tc>
        <w:tc>
          <w:tcPr>
            <w:tcW w:w="878" w:type="dxa"/>
            <w:noWrap w:val="0"/>
            <w:vAlign w:val="center"/>
          </w:tcPr>
          <w:p w14:paraId="39C74758">
            <w:pPr>
              <w:pStyle w:val="25"/>
              <w:rPr>
                <w:rFonts w:hint="default" w:ascii="Times New Roman" w:hAnsi="Times New Roman" w:cs="Times New Roman"/>
                <w:color w:val="auto"/>
                <w:kern w:val="2"/>
                <w:szCs w:val="24"/>
                <w:u w:val="none"/>
                <w:lang w:val="en-US" w:eastAsia="zh-CN"/>
              </w:rPr>
            </w:pPr>
            <w:r>
              <w:rPr>
                <w:rFonts w:hint="eastAsia" w:ascii="Times New Roman" w:hAnsi="Times New Roman" w:cs="Times New Roman"/>
                <w:color w:val="auto"/>
                <w:kern w:val="2"/>
                <w:szCs w:val="24"/>
                <w:u w:val="none"/>
                <w:lang w:val="en-US" w:eastAsia="zh-CN"/>
              </w:rPr>
              <w:t>2</w:t>
            </w:r>
          </w:p>
        </w:tc>
        <w:tc>
          <w:tcPr>
            <w:tcW w:w="1557" w:type="dxa"/>
            <w:noWrap w:val="0"/>
            <w:vAlign w:val="center"/>
          </w:tcPr>
          <w:p w14:paraId="1F1E18FE">
            <w:pPr>
              <w:pStyle w:val="25"/>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Cs w:val="24"/>
                <w:u w:val="none"/>
                <w:lang w:val="en-US" w:eastAsia="zh-CN"/>
              </w:rPr>
              <w:t xml:space="preserve">原料混合 </w:t>
            </w:r>
          </w:p>
        </w:tc>
      </w:tr>
      <w:tr w14:paraId="2CF255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61AF63A5">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3</w:t>
            </w:r>
          </w:p>
        </w:tc>
        <w:tc>
          <w:tcPr>
            <w:tcW w:w="2221" w:type="dxa"/>
            <w:noWrap w:val="0"/>
            <w:vAlign w:val="center"/>
          </w:tcPr>
          <w:p w14:paraId="4BB3411E">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lang w:val="en-US" w:eastAsia="zh-CN"/>
              </w:rPr>
              <w:t>配套</w:t>
            </w:r>
            <w:r>
              <w:rPr>
                <w:rFonts w:hint="eastAsia"/>
                <w:szCs w:val="32"/>
              </w:rPr>
              <w:t>导热</w:t>
            </w:r>
            <w:r>
              <w:rPr>
                <w:rFonts w:hint="eastAsia"/>
                <w:szCs w:val="32"/>
                <w:lang w:val="en-US" w:eastAsia="zh-CN"/>
              </w:rPr>
              <w:t>油</w:t>
            </w:r>
            <w:r>
              <w:rPr>
                <w:rFonts w:hint="eastAsia"/>
                <w:szCs w:val="32"/>
              </w:rPr>
              <w:t>炉</w:t>
            </w:r>
          </w:p>
        </w:tc>
        <w:tc>
          <w:tcPr>
            <w:tcW w:w="2003" w:type="dxa"/>
            <w:noWrap w:val="0"/>
            <w:vAlign w:val="center"/>
          </w:tcPr>
          <w:p w14:paraId="5951F5FD">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JEOT-96</w:t>
            </w:r>
          </w:p>
        </w:tc>
        <w:tc>
          <w:tcPr>
            <w:tcW w:w="1063" w:type="dxa"/>
            <w:noWrap w:val="0"/>
            <w:vAlign w:val="center"/>
          </w:tcPr>
          <w:p w14:paraId="7611CD79">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个</w:t>
            </w:r>
          </w:p>
        </w:tc>
        <w:tc>
          <w:tcPr>
            <w:tcW w:w="878" w:type="dxa"/>
            <w:noWrap w:val="0"/>
            <w:vAlign w:val="center"/>
          </w:tcPr>
          <w:p w14:paraId="6163B00F">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w:t>
            </w:r>
          </w:p>
        </w:tc>
        <w:tc>
          <w:tcPr>
            <w:tcW w:w="1557" w:type="dxa"/>
            <w:noWrap w:val="0"/>
            <w:vAlign w:val="center"/>
          </w:tcPr>
          <w:p w14:paraId="66120FC9">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u w:val="none"/>
                <w:lang w:val="en-US" w:eastAsia="zh-CN"/>
              </w:rPr>
              <w:t>间接加热</w:t>
            </w:r>
          </w:p>
        </w:tc>
      </w:tr>
      <w:tr w14:paraId="5BB54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7790602D">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4</w:t>
            </w:r>
          </w:p>
        </w:tc>
        <w:tc>
          <w:tcPr>
            <w:tcW w:w="2221" w:type="dxa"/>
            <w:noWrap w:val="0"/>
            <w:vAlign w:val="center"/>
          </w:tcPr>
          <w:p w14:paraId="2B639B94">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链板机</w:t>
            </w:r>
          </w:p>
        </w:tc>
        <w:tc>
          <w:tcPr>
            <w:tcW w:w="2003" w:type="dxa"/>
            <w:noWrap w:val="0"/>
            <w:vAlign w:val="center"/>
          </w:tcPr>
          <w:p w14:paraId="13C8B0F4">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GBZ1200</w:t>
            </w:r>
          </w:p>
        </w:tc>
        <w:tc>
          <w:tcPr>
            <w:tcW w:w="1063" w:type="dxa"/>
            <w:noWrap w:val="0"/>
            <w:vAlign w:val="center"/>
          </w:tcPr>
          <w:p w14:paraId="7D867A42">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台</w:t>
            </w:r>
          </w:p>
        </w:tc>
        <w:tc>
          <w:tcPr>
            <w:tcW w:w="878" w:type="dxa"/>
            <w:noWrap w:val="0"/>
            <w:vAlign w:val="center"/>
          </w:tcPr>
          <w:p w14:paraId="0AFD336D">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w:t>
            </w:r>
          </w:p>
        </w:tc>
        <w:tc>
          <w:tcPr>
            <w:tcW w:w="1557" w:type="dxa"/>
            <w:vMerge w:val="restart"/>
            <w:noWrap w:val="0"/>
            <w:vAlign w:val="center"/>
          </w:tcPr>
          <w:p w14:paraId="25C5327B">
            <w:pPr>
              <w:pStyle w:val="25"/>
              <w:rPr>
                <w:rFonts w:hint="default" w:ascii="Times New Roman" w:hAnsi="Times New Roman" w:cs="Times New Roman"/>
                <w:color w:val="auto"/>
                <w:u w:val="none"/>
                <w:lang w:val="en-US" w:eastAsia="zh-CN"/>
              </w:rPr>
            </w:pPr>
            <w:r>
              <w:rPr>
                <w:rFonts w:hint="eastAsia" w:cs="Times New Roman"/>
                <w:color w:val="auto"/>
                <w:u w:val="none"/>
                <w:lang w:val="en-US" w:eastAsia="zh-CN"/>
              </w:rPr>
              <w:t>冷却、运输</w:t>
            </w:r>
          </w:p>
        </w:tc>
      </w:tr>
      <w:tr w14:paraId="134A2D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23A7260E">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5</w:t>
            </w:r>
          </w:p>
        </w:tc>
        <w:tc>
          <w:tcPr>
            <w:tcW w:w="2221" w:type="dxa"/>
            <w:noWrap w:val="0"/>
            <w:vAlign w:val="center"/>
          </w:tcPr>
          <w:p w14:paraId="76280964">
            <w:pPr>
              <w:pStyle w:val="26"/>
              <w:ind w:firstLine="0" w:firstLineChars="0"/>
              <w:rPr>
                <w:rFonts w:hint="eastAsia" w:ascii="Times New Roman" w:hAnsi="Times New Roman" w:eastAsia="宋体" w:cs="Times New Roman"/>
                <w:spacing w:val="6"/>
                <w:kern w:val="24"/>
                <w:sz w:val="21"/>
                <w:szCs w:val="32"/>
                <w:lang w:val="en-US" w:eastAsia="zh-CN" w:bidi="ar-SA"/>
              </w:rPr>
            </w:pPr>
            <w:r>
              <w:rPr>
                <w:rFonts w:hint="eastAsia"/>
                <w:szCs w:val="32"/>
              </w:rPr>
              <w:t>提升爬坡</w:t>
            </w:r>
            <w:r>
              <w:rPr>
                <w:rFonts w:hint="eastAsia"/>
                <w:szCs w:val="32"/>
                <w:lang w:val="en-US" w:eastAsia="zh-CN"/>
              </w:rPr>
              <w:t>机</w:t>
            </w:r>
          </w:p>
        </w:tc>
        <w:tc>
          <w:tcPr>
            <w:tcW w:w="2003" w:type="dxa"/>
            <w:noWrap w:val="0"/>
            <w:vAlign w:val="center"/>
          </w:tcPr>
          <w:p w14:paraId="4347C939">
            <w:pPr>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GBZ1200</w:t>
            </w:r>
          </w:p>
        </w:tc>
        <w:tc>
          <w:tcPr>
            <w:tcW w:w="1063" w:type="dxa"/>
            <w:noWrap w:val="0"/>
            <w:vAlign w:val="center"/>
          </w:tcPr>
          <w:p w14:paraId="20AB0728">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台</w:t>
            </w:r>
          </w:p>
        </w:tc>
        <w:tc>
          <w:tcPr>
            <w:tcW w:w="878" w:type="dxa"/>
            <w:noWrap w:val="0"/>
            <w:vAlign w:val="center"/>
          </w:tcPr>
          <w:p w14:paraId="18E19AB6">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w:t>
            </w:r>
          </w:p>
        </w:tc>
        <w:tc>
          <w:tcPr>
            <w:tcW w:w="1557" w:type="dxa"/>
            <w:vMerge w:val="continue"/>
            <w:noWrap w:val="0"/>
            <w:vAlign w:val="center"/>
          </w:tcPr>
          <w:p w14:paraId="2FC4A0DA">
            <w:pPr>
              <w:pStyle w:val="25"/>
              <w:rPr>
                <w:rFonts w:hint="default" w:ascii="Times New Roman" w:hAnsi="Times New Roman" w:cs="Times New Roman"/>
                <w:color w:val="auto"/>
                <w:kern w:val="2"/>
                <w:sz w:val="21"/>
                <w:szCs w:val="21"/>
                <w:u w:val="none"/>
                <w:lang w:val="en-US" w:eastAsia="zh-CN" w:bidi="ar-SA"/>
              </w:rPr>
            </w:pPr>
          </w:p>
        </w:tc>
      </w:tr>
      <w:tr w14:paraId="56C39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0827AD44">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6</w:t>
            </w:r>
          </w:p>
        </w:tc>
        <w:tc>
          <w:tcPr>
            <w:tcW w:w="2221" w:type="dxa"/>
            <w:noWrap w:val="0"/>
            <w:vAlign w:val="center"/>
          </w:tcPr>
          <w:p w14:paraId="7E67363B">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凉片机</w:t>
            </w:r>
          </w:p>
        </w:tc>
        <w:tc>
          <w:tcPr>
            <w:tcW w:w="2003" w:type="dxa"/>
            <w:noWrap w:val="0"/>
            <w:vAlign w:val="center"/>
          </w:tcPr>
          <w:p w14:paraId="41CBAF9E">
            <w:pPr>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往复5层GBZ1200</w:t>
            </w:r>
          </w:p>
        </w:tc>
        <w:tc>
          <w:tcPr>
            <w:tcW w:w="1063" w:type="dxa"/>
            <w:noWrap w:val="0"/>
            <w:vAlign w:val="center"/>
          </w:tcPr>
          <w:p w14:paraId="0B0E5F74">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台</w:t>
            </w:r>
          </w:p>
        </w:tc>
        <w:tc>
          <w:tcPr>
            <w:tcW w:w="878" w:type="dxa"/>
            <w:noWrap w:val="0"/>
            <w:vAlign w:val="center"/>
          </w:tcPr>
          <w:p w14:paraId="34326569">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w:t>
            </w:r>
          </w:p>
        </w:tc>
        <w:tc>
          <w:tcPr>
            <w:tcW w:w="1557" w:type="dxa"/>
            <w:vMerge w:val="continue"/>
            <w:noWrap w:val="0"/>
            <w:vAlign w:val="center"/>
          </w:tcPr>
          <w:p w14:paraId="177BAFD4">
            <w:pPr>
              <w:pStyle w:val="25"/>
              <w:rPr>
                <w:rFonts w:hint="default" w:ascii="Times New Roman" w:hAnsi="Times New Roman" w:cs="Times New Roman"/>
                <w:color w:val="auto"/>
                <w:kern w:val="2"/>
                <w:sz w:val="21"/>
                <w:szCs w:val="21"/>
                <w:u w:val="none"/>
                <w:lang w:val="en-US" w:eastAsia="zh-CN" w:bidi="ar-SA"/>
              </w:rPr>
            </w:pPr>
          </w:p>
        </w:tc>
      </w:tr>
      <w:tr w14:paraId="4223E8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2B117D5D">
            <w:pPr>
              <w:pStyle w:val="25"/>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7</w:t>
            </w:r>
          </w:p>
        </w:tc>
        <w:tc>
          <w:tcPr>
            <w:tcW w:w="2221" w:type="dxa"/>
            <w:noWrap w:val="0"/>
            <w:vAlign w:val="center"/>
          </w:tcPr>
          <w:p w14:paraId="5E4D021B">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无尘粉碎机</w:t>
            </w:r>
          </w:p>
        </w:tc>
        <w:tc>
          <w:tcPr>
            <w:tcW w:w="2003" w:type="dxa"/>
            <w:noWrap w:val="0"/>
            <w:vAlign w:val="center"/>
          </w:tcPr>
          <w:p w14:paraId="5F433A2E">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kern w:val="2"/>
                <w:sz w:val="21"/>
                <w:szCs w:val="21"/>
              </w:rPr>
              <w:t>46千瓦</w:t>
            </w:r>
          </w:p>
        </w:tc>
        <w:tc>
          <w:tcPr>
            <w:tcW w:w="1063" w:type="dxa"/>
            <w:noWrap w:val="0"/>
            <w:vAlign w:val="center"/>
          </w:tcPr>
          <w:p w14:paraId="32A9B3FF">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台</w:t>
            </w:r>
          </w:p>
        </w:tc>
        <w:tc>
          <w:tcPr>
            <w:tcW w:w="878" w:type="dxa"/>
            <w:noWrap w:val="0"/>
            <w:vAlign w:val="center"/>
          </w:tcPr>
          <w:p w14:paraId="4AF7B09D">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w:t>
            </w:r>
          </w:p>
        </w:tc>
        <w:tc>
          <w:tcPr>
            <w:tcW w:w="1557" w:type="dxa"/>
            <w:noWrap w:val="0"/>
            <w:vAlign w:val="center"/>
          </w:tcPr>
          <w:p w14:paraId="6855CA97">
            <w:pPr>
              <w:pStyle w:val="25"/>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粉碎</w:t>
            </w:r>
          </w:p>
        </w:tc>
      </w:tr>
      <w:tr w14:paraId="2150B0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76CC61A6">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8</w:t>
            </w:r>
          </w:p>
        </w:tc>
        <w:tc>
          <w:tcPr>
            <w:tcW w:w="2221" w:type="dxa"/>
            <w:noWrap w:val="0"/>
            <w:vAlign w:val="center"/>
          </w:tcPr>
          <w:p w14:paraId="7E4D1102">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rPr>
              <w:t>高速混合机</w:t>
            </w:r>
          </w:p>
        </w:tc>
        <w:tc>
          <w:tcPr>
            <w:tcW w:w="2003" w:type="dxa"/>
            <w:noWrap w:val="0"/>
            <w:vAlign w:val="center"/>
          </w:tcPr>
          <w:p w14:paraId="7578B613">
            <w:pPr>
              <w:pStyle w:val="39"/>
              <w:snapToGrid w:val="0"/>
              <w:spacing w:line="240" w:lineRule="auto"/>
              <w:ind w:firstLine="0" w:firstLineChars="0"/>
              <w:jc w:val="center"/>
              <w:rPr>
                <w:rFonts w:hint="default" w:ascii="Times New Roman" w:hAnsi="Times New Roman" w:eastAsia="宋体" w:cs="Times New Roman"/>
                <w:spacing w:val="6"/>
                <w:kern w:val="2"/>
                <w:sz w:val="21"/>
                <w:szCs w:val="21"/>
                <w:lang w:val="en-US" w:eastAsia="zh-CN" w:bidi="ar-SA"/>
              </w:rPr>
            </w:pPr>
            <w:r>
              <w:rPr>
                <w:rFonts w:hint="eastAsia"/>
                <w:kern w:val="2"/>
                <w:sz w:val="21"/>
                <w:szCs w:val="21"/>
              </w:rPr>
              <w:t>25千瓦</w:t>
            </w:r>
          </w:p>
        </w:tc>
        <w:tc>
          <w:tcPr>
            <w:tcW w:w="1063" w:type="dxa"/>
            <w:noWrap w:val="0"/>
            <w:vAlign w:val="center"/>
          </w:tcPr>
          <w:p w14:paraId="7599ECA9">
            <w:pPr>
              <w:pStyle w:val="25"/>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台</w:t>
            </w:r>
          </w:p>
        </w:tc>
        <w:tc>
          <w:tcPr>
            <w:tcW w:w="878" w:type="dxa"/>
            <w:noWrap w:val="0"/>
            <w:vAlign w:val="center"/>
          </w:tcPr>
          <w:p w14:paraId="136C634C">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w:t>
            </w:r>
          </w:p>
        </w:tc>
        <w:tc>
          <w:tcPr>
            <w:tcW w:w="1557" w:type="dxa"/>
            <w:noWrap w:val="0"/>
            <w:vAlign w:val="center"/>
          </w:tcPr>
          <w:p w14:paraId="3CFE9192">
            <w:pPr>
              <w:pStyle w:val="25"/>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混合</w:t>
            </w:r>
          </w:p>
        </w:tc>
      </w:tr>
      <w:tr w14:paraId="5D8B9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10C3807F">
            <w:pPr>
              <w:pStyle w:val="25"/>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9</w:t>
            </w:r>
          </w:p>
        </w:tc>
        <w:tc>
          <w:tcPr>
            <w:tcW w:w="2221" w:type="dxa"/>
            <w:noWrap w:val="0"/>
            <w:vAlign w:val="center"/>
          </w:tcPr>
          <w:p w14:paraId="3D015E32">
            <w:pPr>
              <w:pStyle w:val="25"/>
              <w:rPr>
                <w:rFonts w:hint="default" w:ascii="Times New Roman" w:hAnsi="Times New Roman" w:cs="Times New Roman"/>
                <w:color w:val="auto"/>
                <w:u w:val="none"/>
                <w:lang w:val="en-US" w:eastAsia="zh-CN"/>
              </w:rPr>
            </w:pPr>
            <w:r>
              <w:rPr>
                <w:rFonts w:hint="eastAsia"/>
                <w:szCs w:val="32"/>
              </w:rPr>
              <w:t>奥亨压机</w:t>
            </w:r>
          </w:p>
        </w:tc>
        <w:tc>
          <w:tcPr>
            <w:tcW w:w="2003" w:type="dxa"/>
            <w:noWrap w:val="0"/>
            <w:vAlign w:val="center"/>
          </w:tcPr>
          <w:p w14:paraId="225C462C">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800T</w:t>
            </w:r>
          </w:p>
        </w:tc>
        <w:tc>
          <w:tcPr>
            <w:tcW w:w="1063" w:type="dxa"/>
            <w:noWrap w:val="0"/>
            <w:vAlign w:val="center"/>
          </w:tcPr>
          <w:p w14:paraId="1899C0FF">
            <w:pPr>
              <w:pStyle w:val="25"/>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台</w:t>
            </w:r>
          </w:p>
        </w:tc>
        <w:tc>
          <w:tcPr>
            <w:tcW w:w="878" w:type="dxa"/>
            <w:noWrap w:val="0"/>
            <w:vAlign w:val="center"/>
          </w:tcPr>
          <w:p w14:paraId="7A3CB7BA">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w:t>
            </w:r>
          </w:p>
        </w:tc>
        <w:tc>
          <w:tcPr>
            <w:tcW w:w="1557" w:type="dxa"/>
            <w:noWrap w:val="0"/>
            <w:vAlign w:val="center"/>
          </w:tcPr>
          <w:p w14:paraId="1900279A">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压制成型</w:t>
            </w:r>
          </w:p>
        </w:tc>
      </w:tr>
      <w:tr w14:paraId="1CEB8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33BB512F">
            <w:pPr>
              <w:pStyle w:val="25"/>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10</w:t>
            </w:r>
          </w:p>
        </w:tc>
        <w:tc>
          <w:tcPr>
            <w:tcW w:w="2221" w:type="dxa"/>
            <w:noWrap w:val="0"/>
            <w:vAlign w:val="center"/>
          </w:tcPr>
          <w:p w14:paraId="551F4C87">
            <w:pPr>
              <w:pStyle w:val="25"/>
              <w:rPr>
                <w:rFonts w:hint="eastAsia"/>
                <w:szCs w:val="32"/>
              </w:rPr>
            </w:pPr>
            <w:r>
              <w:rPr>
                <w:rFonts w:hint="eastAsia" w:ascii="Times New Roman" w:hAnsi="Times New Roman" w:eastAsia="宋体" w:cs="Times New Roman"/>
                <w:color w:val="auto"/>
                <w:kern w:val="2"/>
                <w:sz w:val="21"/>
                <w:szCs w:val="21"/>
                <w:u w:val="none" w:color="auto"/>
                <w:lang w:val="en-US" w:eastAsia="zh-CN" w:bidi="ar-SA"/>
              </w:rPr>
              <w:t>冷却机</w:t>
            </w:r>
          </w:p>
        </w:tc>
        <w:tc>
          <w:tcPr>
            <w:tcW w:w="2003" w:type="dxa"/>
            <w:noWrap w:val="0"/>
            <w:vAlign w:val="center"/>
          </w:tcPr>
          <w:p w14:paraId="546CD75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lang w:val="en-US" w:eastAsia="zh-CN" w:bidi="ar-SA"/>
              </w:rPr>
            </w:pPr>
            <w:r>
              <w:rPr>
                <w:rFonts w:hint="eastAsia"/>
                <w:kern w:val="2"/>
                <w:sz w:val="21"/>
                <w:szCs w:val="21"/>
              </w:rPr>
              <w:t>1.85千瓦</w:t>
            </w:r>
          </w:p>
        </w:tc>
        <w:tc>
          <w:tcPr>
            <w:tcW w:w="1063" w:type="dxa"/>
            <w:noWrap w:val="0"/>
            <w:vAlign w:val="center"/>
          </w:tcPr>
          <w:p w14:paraId="37A1A926">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台</w:t>
            </w:r>
          </w:p>
        </w:tc>
        <w:tc>
          <w:tcPr>
            <w:tcW w:w="878" w:type="dxa"/>
            <w:noWrap w:val="0"/>
            <w:vAlign w:val="center"/>
          </w:tcPr>
          <w:p w14:paraId="04B28060">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w:t>
            </w:r>
          </w:p>
        </w:tc>
        <w:tc>
          <w:tcPr>
            <w:tcW w:w="1557" w:type="dxa"/>
            <w:noWrap w:val="0"/>
            <w:vAlign w:val="center"/>
          </w:tcPr>
          <w:p w14:paraId="6600E669">
            <w:pPr>
              <w:pStyle w:val="25"/>
              <w:rPr>
                <w:rFonts w:hint="eastAsia" w:ascii="Times New Roman" w:hAnsi="Times New Roman" w:cs="Times New Roman"/>
                <w:color w:val="auto"/>
                <w:u w:val="none"/>
                <w:lang w:val="en-US" w:eastAsia="zh-CN"/>
              </w:rPr>
            </w:pPr>
            <w:r>
              <w:rPr>
                <w:rFonts w:hint="eastAsia" w:cs="Times New Roman"/>
                <w:color w:val="auto"/>
                <w:u w:val="none"/>
                <w:lang w:val="en-US" w:eastAsia="zh-CN"/>
              </w:rPr>
              <w:t>配套压机液压油降温</w:t>
            </w:r>
          </w:p>
        </w:tc>
      </w:tr>
      <w:tr w14:paraId="2654B9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165E5BD2">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11</w:t>
            </w:r>
          </w:p>
        </w:tc>
        <w:tc>
          <w:tcPr>
            <w:tcW w:w="2221" w:type="dxa"/>
            <w:noWrap w:val="0"/>
            <w:vAlign w:val="center"/>
          </w:tcPr>
          <w:p w14:paraId="4789FF31">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lang w:val="en-US" w:eastAsia="zh-CN"/>
              </w:rPr>
              <w:t>燃气梭式窑</w:t>
            </w:r>
          </w:p>
        </w:tc>
        <w:tc>
          <w:tcPr>
            <w:tcW w:w="2003" w:type="dxa"/>
            <w:noWrap w:val="0"/>
            <w:vAlign w:val="center"/>
          </w:tcPr>
          <w:p w14:paraId="64D89903">
            <w:pPr>
              <w:pStyle w:val="25"/>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u w:val="none"/>
                <w:lang w:val="en-US" w:eastAsia="zh-CN"/>
              </w:rPr>
              <w:t>HI-QSSY-52.9</w:t>
            </w:r>
          </w:p>
        </w:tc>
        <w:tc>
          <w:tcPr>
            <w:tcW w:w="1063" w:type="dxa"/>
            <w:vMerge w:val="restart"/>
            <w:noWrap w:val="0"/>
            <w:vAlign w:val="center"/>
          </w:tcPr>
          <w:p w14:paraId="13CA72D7">
            <w:pPr>
              <w:pStyle w:val="25"/>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套</w:t>
            </w:r>
          </w:p>
        </w:tc>
        <w:tc>
          <w:tcPr>
            <w:tcW w:w="878" w:type="dxa"/>
            <w:vMerge w:val="restart"/>
            <w:noWrap w:val="0"/>
            <w:vAlign w:val="center"/>
          </w:tcPr>
          <w:p w14:paraId="3EE651EB">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w:t>
            </w:r>
          </w:p>
        </w:tc>
        <w:tc>
          <w:tcPr>
            <w:tcW w:w="1557" w:type="dxa"/>
            <w:noWrap w:val="0"/>
            <w:vAlign w:val="center"/>
          </w:tcPr>
          <w:p w14:paraId="359E8244">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焙烧</w:t>
            </w:r>
          </w:p>
        </w:tc>
      </w:tr>
      <w:tr w14:paraId="56894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64A872B6">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12</w:t>
            </w:r>
          </w:p>
        </w:tc>
        <w:tc>
          <w:tcPr>
            <w:tcW w:w="2221" w:type="dxa"/>
            <w:noWrap w:val="0"/>
            <w:vAlign w:val="center"/>
          </w:tcPr>
          <w:p w14:paraId="1FE14B25">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lang w:val="en-US" w:eastAsia="zh-CN"/>
              </w:rPr>
              <w:t>尾气焚烧炉</w:t>
            </w:r>
          </w:p>
        </w:tc>
        <w:tc>
          <w:tcPr>
            <w:tcW w:w="2003" w:type="dxa"/>
            <w:noWrap w:val="0"/>
            <w:vAlign w:val="center"/>
          </w:tcPr>
          <w:p w14:paraId="73FCE252">
            <w:pPr>
              <w:pStyle w:val="25"/>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u w:val="none"/>
                <w:lang w:val="en-US" w:eastAsia="zh-CN"/>
              </w:rPr>
              <w:t>HI-RF-3000</w:t>
            </w:r>
          </w:p>
        </w:tc>
        <w:tc>
          <w:tcPr>
            <w:tcW w:w="1063" w:type="dxa"/>
            <w:vMerge w:val="continue"/>
            <w:noWrap w:val="0"/>
            <w:vAlign w:val="center"/>
          </w:tcPr>
          <w:p w14:paraId="6AF871B0">
            <w:pPr>
              <w:pStyle w:val="25"/>
              <w:rPr>
                <w:rFonts w:hint="default" w:ascii="Times New Roman" w:hAnsi="Times New Roman" w:cs="Times New Roman"/>
                <w:color w:val="auto"/>
                <w:u w:val="none"/>
              </w:rPr>
            </w:pPr>
          </w:p>
        </w:tc>
        <w:tc>
          <w:tcPr>
            <w:tcW w:w="878" w:type="dxa"/>
            <w:vMerge w:val="continue"/>
            <w:noWrap w:val="0"/>
            <w:vAlign w:val="center"/>
          </w:tcPr>
          <w:p w14:paraId="78D63DE7">
            <w:pPr>
              <w:pStyle w:val="25"/>
              <w:rPr>
                <w:rFonts w:hint="eastAsia" w:ascii="Times New Roman" w:hAnsi="Times New Roman" w:cs="Times New Roman"/>
                <w:color w:val="auto"/>
                <w:u w:val="none"/>
                <w:lang w:val="en-US" w:eastAsia="zh-CN"/>
              </w:rPr>
            </w:pPr>
          </w:p>
        </w:tc>
        <w:tc>
          <w:tcPr>
            <w:tcW w:w="1557" w:type="dxa"/>
            <w:noWrap w:val="0"/>
            <w:vAlign w:val="center"/>
          </w:tcPr>
          <w:p w14:paraId="67CEA5CA">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尾气处理</w:t>
            </w:r>
          </w:p>
        </w:tc>
      </w:tr>
      <w:tr w14:paraId="47C906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5293E8D9">
            <w:pPr>
              <w:pStyle w:val="25"/>
              <w:rPr>
                <w:rFonts w:hint="default"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13</w:t>
            </w:r>
          </w:p>
        </w:tc>
        <w:tc>
          <w:tcPr>
            <w:tcW w:w="2221" w:type="dxa"/>
            <w:noWrap w:val="0"/>
            <w:vAlign w:val="center"/>
          </w:tcPr>
          <w:p w14:paraId="4EFACA06">
            <w:pPr>
              <w:pStyle w:val="26"/>
              <w:ind w:firstLine="0" w:firstLineChars="0"/>
              <w:rPr>
                <w:rFonts w:hint="default"/>
                <w:szCs w:val="32"/>
                <w:lang w:val="en-US" w:eastAsia="zh-CN"/>
              </w:rPr>
            </w:pPr>
            <w:r>
              <w:rPr>
                <w:rFonts w:hint="eastAsia"/>
                <w:szCs w:val="32"/>
                <w:lang w:val="en-US" w:eastAsia="zh-CN"/>
              </w:rPr>
              <w:t>风机</w:t>
            </w:r>
          </w:p>
        </w:tc>
        <w:tc>
          <w:tcPr>
            <w:tcW w:w="2003" w:type="dxa"/>
            <w:noWrap w:val="0"/>
            <w:vAlign w:val="center"/>
          </w:tcPr>
          <w:p w14:paraId="35ABE798">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9-19-6.3A</w:t>
            </w:r>
          </w:p>
        </w:tc>
        <w:tc>
          <w:tcPr>
            <w:tcW w:w="1063" w:type="dxa"/>
            <w:noWrap w:val="0"/>
            <w:vAlign w:val="center"/>
          </w:tcPr>
          <w:p w14:paraId="0451B4C5">
            <w:pPr>
              <w:pStyle w:val="25"/>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台</w:t>
            </w:r>
          </w:p>
        </w:tc>
        <w:tc>
          <w:tcPr>
            <w:tcW w:w="878" w:type="dxa"/>
            <w:noWrap w:val="0"/>
            <w:vAlign w:val="center"/>
          </w:tcPr>
          <w:p w14:paraId="76DC7DEC">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w:t>
            </w:r>
          </w:p>
        </w:tc>
        <w:tc>
          <w:tcPr>
            <w:tcW w:w="1557" w:type="dxa"/>
            <w:noWrap w:val="0"/>
            <w:vAlign w:val="center"/>
          </w:tcPr>
          <w:p w14:paraId="61CB10F1">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t>
            </w:r>
          </w:p>
        </w:tc>
      </w:tr>
      <w:tr w14:paraId="6B27FA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04" w:type="dxa"/>
            <w:gridSpan w:val="6"/>
            <w:noWrap w:val="0"/>
            <w:vAlign w:val="center"/>
          </w:tcPr>
          <w:p w14:paraId="76EFB955">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2#厂房生产设备</w:t>
            </w:r>
          </w:p>
        </w:tc>
      </w:tr>
      <w:tr w14:paraId="4FBD3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0A0FF94D">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13</w:t>
            </w:r>
          </w:p>
        </w:tc>
        <w:tc>
          <w:tcPr>
            <w:tcW w:w="2221" w:type="dxa"/>
            <w:noWrap w:val="0"/>
            <w:vAlign w:val="center"/>
          </w:tcPr>
          <w:p w14:paraId="3BABEAF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冷却机</w:t>
            </w:r>
          </w:p>
        </w:tc>
        <w:tc>
          <w:tcPr>
            <w:tcW w:w="2003" w:type="dxa"/>
            <w:noWrap w:val="0"/>
            <w:vAlign w:val="center"/>
          </w:tcPr>
          <w:p w14:paraId="0EB59EF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kern w:val="2"/>
                <w:sz w:val="21"/>
                <w:szCs w:val="21"/>
              </w:rPr>
              <w:t>1.85千瓦</w:t>
            </w:r>
          </w:p>
        </w:tc>
        <w:tc>
          <w:tcPr>
            <w:tcW w:w="1063" w:type="dxa"/>
            <w:noWrap w:val="0"/>
            <w:vAlign w:val="center"/>
          </w:tcPr>
          <w:p w14:paraId="4B7FD74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eastAsia="zh-CN"/>
              </w:rPr>
              <w:t>台</w:t>
            </w:r>
          </w:p>
        </w:tc>
        <w:tc>
          <w:tcPr>
            <w:tcW w:w="878" w:type="dxa"/>
            <w:noWrap w:val="0"/>
            <w:vAlign w:val="center"/>
          </w:tcPr>
          <w:p w14:paraId="72BD23B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w:t>
            </w:r>
          </w:p>
        </w:tc>
        <w:tc>
          <w:tcPr>
            <w:tcW w:w="1557" w:type="dxa"/>
            <w:noWrap w:val="0"/>
            <w:vAlign w:val="center"/>
          </w:tcPr>
          <w:p w14:paraId="3971825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lang w:val="en-US" w:eastAsia="zh-CN"/>
              </w:rPr>
              <w:t>配套压机液压油降温</w:t>
            </w:r>
          </w:p>
        </w:tc>
      </w:tr>
      <w:tr w14:paraId="0CD3E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5128EE43">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14</w:t>
            </w:r>
          </w:p>
        </w:tc>
        <w:tc>
          <w:tcPr>
            <w:tcW w:w="2221" w:type="dxa"/>
            <w:noWrap w:val="0"/>
            <w:vAlign w:val="center"/>
          </w:tcPr>
          <w:p w14:paraId="31E45EA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szCs w:val="32"/>
              </w:rPr>
              <w:t>奥亨压机</w:t>
            </w:r>
          </w:p>
        </w:tc>
        <w:tc>
          <w:tcPr>
            <w:tcW w:w="2003" w:type="dxa"/>
            <w:noWrap w:val="0"/>
            <w:vAlign w:val="center"/>
          </w:tcPr>
          <w:p w14:paraId="0C88589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lang w:val="en-US" w:eastAsia="zh-CN"/>
              </w:rPr>
              <w:t>800T</w:t>
            </w:r>
          </w:p>
        </w:tc>
        <w:tc>
          <w:tcPr>
            <w:tcW w:w="1063" w:type="dxa"/>
            <w:noWrap w:val="0"/>
            <w:vAlign w:val="center"/>
          </w:tcPr>
          <w:p w14:paraId="02E844A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台</w:t>
            </w:r>
          </w:p>
        </w:tc>
        <w:tc>
          <w:tcPr>
            <w:tcW w:w="878" w:type="dxa"/>
            <w:noWrap w:val="0"/>
            <w:vAlign w:val="center"/>
          </w:tcPr>
          <w:p w14:paraId="3B0D7DB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w:t>
            </w:r>
          </w:p>
        </w:tc>
        <w:tc>
          <w:tcPr>
            <w:tcW w:w="1557" w:type="dxa"/>
            <w:noWrap w:val="0"/>
            <w:vAlign w:val="center"/>
          </w:tcPr>
          <w:p w14:paraId="06CB3F4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lang w:val="en-US" w:eastAsia="zh-CN"/>
              </w:rPr>
              <w:t>压制成型</w:t>
            </w:r>
          </w:p>
        </w:tc>
      </w:tr>
      <w:tr w14:paraId="722124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77EBF971">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15</w:t>
            </w:r>
          </w:p>
        </w:tc>
        <w:tc>
          <w:tcPr>
            <w:tcW w:w="2221" w:type="dxa"/>
            <w:noWrap w:val="0"/>
            <w:vAlign w:val="center"/>
          </w:tcPr>
          <w:p w14:paraId="7211ADE6">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lang w:val="en-US" w:eastAsia="zh-CN"/>
              </w:rPr>
              <w:t>燃气梭式窑</w:t>
            </w:r>
          </w:p>
        </w:tc>
        <w:tc>
          <w:tcPr>
            <w:tcW w:w="2003" w:type="dxa"/>
            <w:noWrap w:val="0"/>
            <w:vAlign w:val="center"/>
          </w:tcPr>
          <w:p w14:paraId="2CC272B9">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u w:val="none"/>
                <w:lang w:val="en-US" w:eastAsia="zh-CN"/>
              </w:rPr>
              <w:t>HI-QSSY-52.9</w:t>
            </w:r>
          </w:p>
        </w:tc>
        <w:tc>
          <w:tcPr>
            <w:tcW w:w="1063" w:type="dxa"/>
            <w:vMerge w:val="restart"/>
            <w:noWrap w:val="0"/>
            <w:vAlign w:val="center"/>
          </w:tcPr>
          <w:p w14:paraId="18CF8A1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套</w:t>
            </w:r>
          </w:p>
        </w:tc>
        <w:tc>
          <w:tcPr>
            <w:tcW w:w="878" w:type="dxa"/>
            <w:vMerge w:val="restart"/>
            <w:noWrap w:val="0"/>
            <w:vAlign w:val="center"/>
          </w:tcPr>
          <w:p w14:paraId="181A860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w:t>
            </w:r>
          </w:p>
        </w:tc>
        <w:tc>
          <w:tcPr>
            <w:tcW w:w="1557" w:type="dxa"/>
            <w:noWrap w:val="0"/>
            <w:vAlign w:val="center"/>
          </w:tcPr>
          <w:p w14:paraId="74DD9CFE">
            <w:pPr>
              <w:pStyle w:val="25"/>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焙烧</w:t>
            </w:r>
          </w:p>
        </w:tc>
      </w:tr>
      <w:tr w14:paraId="1216B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619075E1">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16</w:t>
            </w:r>
          </w:p>
        </w:tc>
        <w:tc>
          <w:tcPr>
            <w:tcW w:w="2221" w:type="dxa"/>
            <w:noWrap w:val="0"/>
            <w:vAlign w:val="center"/>
          </w:tcPr>
          <w:p w14:paraId="371BE481">
            <w:pPr>
              <w:pStyle w:val="26"/>
              <w:ind w:firstLine="0" w:firstLineChars="0"/>
              <w:rPr>
                <w:rFonts w:hint="default" w:ascii="Times New Roman" w:hAnsi="Times New Roman" w:eastAsia="宋体" w:cs="Times New Roman"/>
                <w:spacing w:val="6"/>
                <w:kern w:val="24"/>
                <w:sz w:val="21"/>
                <w:szCs w:val="32"/>
                <w:lang w:val="en-US" w:eastAsia="zh-CN" w:bidi="ar-SA"/>
              </w:rPr>
            </w:pPr>
            <w:r>
              <w:rPr>
                <w:rFonts w:hint="eastAsia"/>
                <w:szCs w:val="32"/>
                <w:lang w:val="en-US" w:eastAsia="zh-CN"/>
              </w:rPr>
              <w:t>尾气焚烧炉</w:t>
            </w:r>
          </w:p>
        </w:tc>
        <w:tc>
          <w:tcPr>
            <w:tcW w:w="2003" w:type="dxa"/>
            <w:noWrap w:val="0"/>
            <w:vAlign w:val="center"/>
          </w:tcPr>
          <w:p w14:paraId="2F558205">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u w:val="none"/>
                <w:lang w:val="en-US" w:eastAsia="zh-CN"/>
              </w:rPr>
              <w:t>HI-RF-3000</w:t>
            </w:r>
          </w:p>
        </w:tc>
        <w:tc>
          <w:tcPr>
            <w:tcW w:w="1063" w:type="dxa"/>
            <w:vMerge w:val="continue"/>
            <w:noWrap w:val="0"/>
            <w:vAlign w:val="center"/>
          </w:tcPr>
          <w:p w14:paraId="0CA6564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p>
        </w:tc>
        <w:tc>
          <w:tcPr>
            <w:tcW w:w="878" w:type="dxa"/>
            <w:vMerge w:val="continue"/>
            <w:noWrap w:val="0"/>
            <w:vAlign w:val="center"/>
          </w:tcPr>
          <w:p w14:paraId="4F50305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p>
        </w:tc>
        <w:tc>
          <w:tcPr>
            <w:tcW w:w="1557" w:type="dxa"/>
            <w:noWrap w:val="0"/>
            <w:vAlign w:val="center"/>
          </w:tcPr>
          <w:p w14:paraId="4D35EE2A">
            <w:pPr>
              <w:pStyle w:val="25"/>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尾气处理</w:t>
            </w:r>
          </w:p>
        </w:tc>
      </w:tr>
      <w:tr w14:paraId="58D8B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82" w:type="dxa"/>
            <w:noWrap w:val="0"/>
            <w:vAlign w:val="center"/>
          </w:tcPr>
          <w:p w14:paraId="0BA1394C">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17</w:t>
            </w:r>
          </w:p>
        </w:tc>
        <w:tc>
          <w:tcPr>
            <w:tcW w:w="2221" w:type="dxa"/>
            <w:noWrap w:val="0"/>
            <w:vAlign w:val="center"/>
          </w:tcPr>
          <w:p w14:paraId="03F3149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风机</w:t>
            </w:r>
          </w:p>
        </w:tc>
        <w:tc>
          <w:tcPr>
            <w:tcW w:w="2003" w:type="dxa"/>
            <w:noWrap w:val="0"/>
            <w:vAlign w:val="center"/>
          </w:tcPr>
          <w:p w14:paraId="0326EBD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lang w:val="en-US" w:eastAsia="zh-CN"/>
              </w:rPr>
              <w:t>9-19-6.3A</w:t>
            </w:r>
          </w:p>
        </w:tc>
        <w:tc>
          <w:tcPr>
            <w:tcW w:w="1063" w:type="dxa"/>
            <w:noWrap w:val="0"/>
            <w:vAlign w:val="center"/>
          </w:tcPr>
          <w:p w14:paraId="47AFF24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台</w:t>
            </w:r>
          </w:p>
        </w:tc>
        <w:tc>
          <w:tcPr>
            <w:tcW w:w="878" w:type="dxa"/>
            <w:noWrap w:val="0"/>
            <w:vAlign w:val="center"/>
          </w:tcPr>
          <w:p w14:paraId="1FAAD0D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w:t>
            </w:r>
          </w:p>
        </w:tc>
        <w:tc>
          <w:tcPr>
            <w:tcW w:w="1557" w:type="dxa"/>
            <w:noWrap w:val="0"/>
            <w:vAlign w:val="center"/>
          </w:tcPr>
          <w:p w14:paraId="2FCB51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r>
    </w:tbl>
    <w:p w14:paraId="21E4D170">
      <w:pPr>
        <w:pStyle w:val="21"/>
        <w:bidi w:val="0"/>
        <w:rPr>
          <w:rFonts w:hAnsi="宋体"/>
          <w:color w:val="auto"/>
          <w:sz w:val="24"/>
          <w:u w:val="none" w:color="auto"/>
        </w:rPr>
      </w:pPr>
      <w:r>
        <w:rPr>
          <w:rFonts w:hAnsi="宋体"/>
          <w:color w:val="auto"/>
          <w:sz w:val="24"/>
          <w:u w:val="none" w:color="auto"/>
        </w:rPr>
        <w:t>由《产业结构调整指导目录（</w:t>
      </w:r>
      <w:r>
        <w:rPr>
          <w:color w:val="auto"/>
          <w:sz w:val="24"/>
          <w:u w:val="none" w:color="auto"/>
        </w:rPr>
        <w:t>20</w:t>
      </w:r>
      <w:r>
        <w:rPr>
          <w:rFonts w:hint="eastAsia"/>
          <w:color w:val="auto"/>
          <w:sz w:val="24"/>
          <w:u w:val="none" w:color="auto"/>
          <w:lang w:val="en-US" w:eastAsia="zh-CN"/>
        </w:rPr>
        <w:t>24</w:t>
      </w:r>
      <w:r>
        <w:rPr>
          <w:rFonts w:hAnsi="宋体"/>
          <w:color w:val="auto"/>
          <w:sz w:val="24"/>
          <w:u w:val="none" w:color="auto"/>
        </w:rPr>
        <w:t>年本）》可知，项目所选设备均不属于国家淘汰和限制的产业类型，可满足正常生产的需要。</w:t>
      </w:r>
    </w:p>
    <w:p w14:paraId="20EBCC83">
      <w:pPr>
        <w:pStyle w:val="21"/>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产能</w:t>
      </w:r>
      <w:r>
        <w:rPr>
          <w:rFonts w:hint="eastAsia" w:ascii="Times New Roman" w:hAnsi="Times New Roman" w:eastAsia="宋体" w:cs="Times New Roman"/>
          <w:color w:val="auto"/>
          <w:sz w:val="24"/>
          <w:u w:val="none" w:color="auto"/>
          <w:lang w:val="en-US" w:eastAsia="zh-CN"/>
        </w:rPr>
        <w:t>匹配性</w:t>
      </w:r>
      <w:r>
        <w:rPr>
          <w:rFonts w:hint="default" w:ascii="Times New Roman" w:hAnsi="Times New Roman" w:eastAsia="宋体" w:cs="Times New Roman"/>
          <w:color w:val="auto"/>
          <w:sz w:val="24"/>
          <w:u w:val="none" w:color="auto"/>
          <w:lang w:val="en-US" w:eastAsia="zh-CN"/>
        </w:rPr>
        <w:t>：</w:t>
      </w:r>
    </w:p>
    <w:p w14:paraId="7EFA45F9">
      <w:pPr>
        <w:pStyle w:val="23"/>
        <w:bidi w:val="0"/>
        <w:rPr>
          <w:rFonts w:hint="eastAsia"/>
          <w:color w:val="auto"/>
          <w:u w:val="none" w:color="auto"/>
          <w:lang w:val="en-US" w:eastAsia="zh-CN"/>
        </w:rPr>
      </w:pPr>
      <w:r>
        <w:rPr>
          <w:rFonts w:hint="eastAsia"/>
          <w:color w:val="auto"/>
          <w:u w:val="none" w:color="auto"/>
          <w:lang w:val="en-US" w:eastAsia="zh-CN"/>
        </w:rPr>
        <w:t>表3.1-5 项目产能匹配性分析一览表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12"/>
        <w:gridCol w:w="892"/>
        <w:gridCol w:w="1092"/>
        <w:gridCol w:w="992"/>
        <w:gridCol w:w="992"/>
        <w:gridCol w:w="992"/>
        <w:gridCol w:w="992"/>
      </w:tblGrid>
      <w:tr w14:paraId="19CF0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noWrap w:val="0"/>
            <w:vAlign w:val="center"/>
          </w:tcPr>
          <w:p w14:paraId="16F98504">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序号</w:t>
            </w:r>
          </w:p>
        </w:tc>
        <w:tc>
          <w:tcPr>
            <w:tcW w:w="1712" w:type="dxa"/>
            <w:noWrap w:val="0"/>
            <w:vAlign w:val="center"/>
          </w:tcPr>
          <w:p w14:paraId="3C723626">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设备名称</w:t>
            </w:r>
          </w:p>
        </w:tc>
        <w:tc>
          <w:tcPr>
            <w:tcW w:w="892" w:type="dxa"/>
            <w:noWrap w:val="0"/>
            <w:vAlign w:val="center"/>
          </w:tcPr>
          <w:p w14:paraId="1D6CDBFC">
            <w:pPr>
              <w:pStyle w:val="25"/>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数量</w:t>
            </w:r>
          </w:p>
        </w:tc>
        <w:tc>
          <w:tcPr>
            <w:tcW w:w="1092" w:type="dxa"/>
            <w:noWrap w:val="0"/>
            <w:vAlign w:val="center"/>
          </w:tcPr>
          <w:p w14:paraId="58C57798">
            <w:pPr>
              <w:pStyle w:val="25"/>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台时产能（t/h）</w:t>
            </w:r>
          </w:p>
        </w:tc>
        <w:tc>
          <w:tcPr>
            <w:tcW w:w="992" w:type="dxa"/>
            <w:noWrap w:val="0"/>
            <w:vAlign w:val="center"/>
          </w:tcPr>
          <w:p w14:paraId="3F42CF9E">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工作时间（h）</w:t>
            </w:r>
          </w:p>
        </w:tc>
        <w:tc>
          <w:tcPr>
            <w:tcW w:w="992" w:type="dxa"/>
            <w:noWrap w:val="0"/>
            <w:vAlign w:val="center"/>
          </w:tcPr>
          <w:p w14:paraId="697A23CC">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理论产能（t/a）</w:t>
            </w:r>
          </w:p>
        </w:tc>
        <w:tc>
          <w:tcPr>
            <w:tcW w:w="992" w:type="dxa"/>
            <w:noWrap w:val="0"/>
            <w:vAlign w:val="center"/>
          </w:tcPr>
          <w:p w14:paraId="0893CDC1">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设计产能（t/a）</w:t>
            </w:r>
          </w:p>
        </w:tc>
        <w:tc>
          <w:tcPr>
            <w:tcW w:w="992" w:type="dxa"/>
            <w:noWrap w:val="0"/>
            <w:vAlign w:val="center"/>
          </w:tcPr>
          <w:p w14:paraId="32171D3D">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lang w:val="en-US" w:eastAsia="zh-CN"/>
              </w:rPr>
            </w:pPr>
            <w:r>
              <w:rPr>
                <w:rFonts w:hint="eastAsia" w:ascii="Times New Roman" w:hAnsi="Times New Roman" w:eastAsia="宋体" w:cs="Times New Roman"/>
                <w:b/>
                <w:bCs/>
                <w:color w:val="auto"/>
                <w:szCs w:val="20"/>
                <w:u w:val="none" w:color="auto"/>
                <w:lang w:val="en-US" w:eastAsia="zh-CN"/>
              </w:rPr>
              <w:t>是否匹配</w:t>
            </w:r>
          </w:p>
        </w:tc>
      </w:tr>
      <w:tr w14:paraId="17543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noWrap w:val="0"/>
            <w:vAlign w:val="center"/>
          </w:tcPr>
          <w:p w14:paraId="1976B355">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szCs w:val="20"/>
                <w:u w:val="none" w:color="auto"/>
              </w:rPr>
              <w:t>1</w:t>
            </w:r>
          </w:p>
        </w:tc>
        <w:tc>
          <w:tcPr>
            <w:tcW w:w="1712" w:type="dxa"/>
            <w:noWrap w:val="0"/>
            <w:vAlign w:val="center"/>
          </w:tcPr>
          <w:p w14:paraId="7CBF703A">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捏合机</w:t>
            </w:r>
          </w:p>
        </w:tc>
        <w:tc>
          <w:tcPr>
            <w:tcW w:w="892" w:type="dxa"/>
            <w:noWrap w:val="0"/>
            <w:vAlign w:val="center"/>
          </w:tcPr>
          <w:p w14:paraId="65B9F825">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w:t>
            </w:r>
          </w:p>
        </w:tc>
        <w:tc>
          <w:tcPr>
            <w:tcW w:w="1092" w:type="dxa"/>
            <w:noWrap w:val="0"/>
            <w:vAlign w:val="center"/>
          </w:tcPr>
          <w:p w14:paraId="16774A4B">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0.56</w:t>
            </w:r>
          </w:p>
        </w:tc>
        <w:tc>
          <w:tcPr>
            <w:tcW w:w="992" w:type="dxa"/>
            <w:noWrap w:val="0"/>
            <w:vAlign w:val="center"/>
          </w:tcPr>
          <w:p w14:paraId="04EE0BEB">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2400</w:t>
            </w:r>
          </w:p>
        </w:tc>
        <w:tc>
          <w:tcPr>
            <w:tcW w:w="992" w:type="dxa"/>
            <w:noWrap w:val="0"/>
            <w:vAlign w:val="center"/>
          </w:tcPr>
          <w:p w14:paraId="021FC2D0">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2688</w:t>
            </w:r>
          </w:p>
        </w:tc>
        <w:tc>
          <w:tcPr>
            <w:tcW w:w="992" w:type="dxa"/>
            <w:noWrap w:val="0"/>
            <w:vAlign w:val="center"/>
          </w:tcPr>
          <w:p w14:paraId="6C05D6A6">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2440</w:t>
            </w:r>
          </w:p>
        </w:tc>
        <w:tc>
          <w:tcPr>
            <w:tcW w:w="992" w:type="dxa"/>
            <w:noWrap w:val="0"/>
            <w:vAlign w:val="center"/>
          </w:tcPr>
          <w:p w14:paraId="1C353848">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是</w:t>
            </w:r>
          </w:p>
        </w:tc>
      </w:tr>
      <w:tr w14:paraId="3115D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noWrap w:val="0"/>
            <w:vAlign w:val="center"/>
          </w:tcPr>
          <w:p w14:paraId="0D44CB60">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default" w:ascii="Times New Roman" w:hAnsi="Times New Roman" w:eastAsia="宋体" w:cs="Times New Roman"/>
                <w:color w:val="auto"/>
                <w:szCs w:val="20"/>
                <w:u w:val="none" w:color="auto"/>
                <w:lang w:val="en-US" w:eastAsia="zh-CN"/>
              </w:rPr>
              <w:t>2</w:t>
            </w:r>
          </w:p>
        </w:tc>
        <w:tc>
          <w:tcPr>
            <w:tcW w:w="1712" w:type="dxa"/>
            <w:noWrap w:val="0"/>
            <w:vAlign w:val="center"/>
          </w:tcPr>
          <w:p w14:paraId="05FED627">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压机</w:t>
            </w:r>
          </w:p>
        </w:tc>
        <w:tc>
          <w:tcPr>
            <w:tcW w:w="892" w:type="dxa"/>
            <w:noWrap w:val="0"/>
            <w:vAlign w:val="center"/>
          </w:tcPr>
          <w:p w14:paraId="3FA977DA">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w:t>
            </w:r>
          </w:p>
        </w:tc>
        <w:tc>
          <w:tcPr>
            <w:tcW w:w="1092" w:type="dxa"/>
            <w:noWrap w:val="0"/>
            <w:vAlign w:val="center"/>
          </w:tcPr>
          <w:p w14:paraId="4A8E2F99">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0.22</w:t>
            </w:r>
          </w:p>
        </w:tc>
        <w:tc>
          <w:tcPr>
            <w:tcW w:w="992" w:type="dxa"/>
            <w:noWrap w:val="0"/>
            <w:vAlign w:val="center"/>
          </w:tcPr>
          <w:p w14:paraId="4A9FA848">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2400</w:t>
            </w:r>
          </w:p>
        </w:tc>
        <w:tc>
          <w:tcPr>
            <w:tcW w:w="992" w:type="dxa"/>
            <w:noWrap w:val="0"/>
            <w:vAlign w:val="center"/>
          </w:tcPr>
          <w:p w14:paraId="3A266341">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2640</w:t>
            </w:r>
          </w:p>
        </w:tc>
        <w:tc>
          <w:tcPr>
            <w:tcW w:w="992" w:type="dxa"/>
            <w:noWrap w:val="0"/>
            <w:vAlign w:val="center"/>
          </w:tcPr>
          <w:p w14:paraId="181EE6C2">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2440</w:t>
            </w:r>
          </w:p>
        </w:tc>
        <w:tc>
          <w:tcPr>
            <w:tcW w:w="992" w:type="dxa"/>
            <w:noWrap w:val="0"/>
            <w:vAlign w:val="center"/>
          </w:tcPr>
          <w:p w14:paraId="744B5E30">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是</w:t>
            </w:r>
          </w:p>
        </w:tc>
      </w:tr>
      <w:tr w14:paraId="49B74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noWrap w:val="0"/>
            <w:vAlign w:val="center"/>
          </w:tcPr>
          <w:p w14:paraId="2E9FC7C1">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eastAsia" w:ascii="Times New Roman" w:hAnsi="Times New Roman" w:eastAsia="宋体" w:cs="Times New Roman"/>
                <w:color w:val="auto"/>
                <w:szCs w:val="20"/>
                <w:u w:val="none" w:color="auto"/>
                <w:lang w:val="en-US" w:eastAsia="zh-CN"/>
              </w:rPr>
              <w:t>3</w:t>
            </w:r>
          </w:p>
        </w:tc>
        <w:tc>
          <w:tcPr>
            <w:tcW w:w="1712" w:type="dxa"/>
            <w:noWrap w:val="0"/>
            <w:vAlign w:val="center"/>
          </w:tcPr>
          <w:p w14:paraId="5E485FA2">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default" w:ascii="Times New Roman" w:hAnsi="Times New Roman" w:eastAsia="宋体" w:cs="Times New Roman"/>
                <w:color w:val="auto"/>
                <w:szCs w:val="20"/>
                <w:u w:val="none" w:color="auto"/>
                <w:lang w:val="en-US" w:eastAsia="zh-CN"/>
              </w:rPr>
              <w:t>燃气梭式窑</w:t>
            </w:r>
          </w:p>
        </w:tc>
        <w:tc>
          <w:tcPr>
            <w:tcW w:w="892" w:type="dxa"/>
            <w:noWrap w:val="0"/>
            <w:vAlign w:val="center"/>
          </w:tcPr>
          <w:p w14:paraId="442384E4">
            <w:pPr>
              <w:pStyle w:val="25"/>
              <w:keepNext w:val="0"/>
              <w:keepLines w:val="0"/>
              <w:widowControl w:val="0"/>
              <w:suppressLineNumbers w:val="0"/>
              <w:spacing w:before="0" w:beforeAutospacing="0" w:after="0" w:afterAutospacing="0"/>
              <w:ind w:left="0" w:right="0"/>
              <w:jc w:val="center"/>
              <w:rPr>
                <w:rFonts w:hint="default" w:cs="Times New Roman"/>
                <w:color w:val="auto"/>
                <w:szCs w:val="20"/>
                <w:highlight w:val="none"/>
                <w:u w:val="none" w:color="auto"/>
                <w:lang w:val="en-US" w:eastAsia="zh-CN"/>
              </w:rPr>
            </w:pPr>
            <w:r>
              <w:rPr>
                <w:rFonts w:hint="eastAsia" w:cs="Times New Roman"/>
                <w:color w:val="auto"/>
                <w:szCs w:val="20"/>
                <w:highlight w:val="none"/>
                <w:u w:val="none" w:color="auto"/>
                <w:lang w:val="en-US" w:eastAsia="zh-CN"/>
              </w:rPr>
              <w:t>2</w:t>
            </w:r>
          </w:p>
        </w:tc>
        <w:tc>
          <w:tcPr>
            <w:tcW w:w="1092" w:type="dxa"/>
            <w:noWrap w:val="0"/>
            <w:vAlign w:val="center"/>
          </w:tcPr>
          <w:p w14:paraId="3F711CEB">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highlight w:val="none"/>
                <w:u w:val="none" w:color="auto"/>
                <w:lang w:val="en-US" w:eastAsia="zh-CN"/>
              </w:rPr>
            </w:pPr>
            <w:r>
              <w:rPr>
                <w:rFonts w:hint="eastAsia" w:ascii="Times New Roman" w:hAnsi="Times New Roman" w:eastAsia="宋体" w:cs="Times New Roman"/>
                <w:color w:val="auto"/>
                <w:szCs w:val="20"/>
                <w:highlight w:val="none"/>
                <w:u w:val="none" w:color="auto"/>
                <w:lang w:val="en-US" w:eastAsia="zh-CN"/>
              </w:rPr>
              <w:t>26t/批</w:t>
            </w:r>
          </w:p>
        </w:tc>
        <w:tc>
          <w:tcPr>
            <w:tcW w:w="992" w:type="dxa"/>
            <w:noWrap w:val="0"/>
            <w:vAlign w:val="center"/>
          </w:tcPr>
          <w:p w14:paraId="4C79E506">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eastAsia" w:ascii="Times New Roman" w:hAnsi="Times New Roman" w:eastAsia="宋体" w:cs="Times New Roman"/>
                <w:color w:val="auto"/>
                <w:szCs w:val="20"/>
                <w:u w:val="none" w:color="auto"/>
                <w:lang w:val="en-US" w:eastAsia="zh-CN"/>
              </w:rPr>
              <w:t>50批</w:t>
            </w:r>
          </w:p>
        </w:tc>
        <w:tc>
          <w:tcPr>
            <w:tcW w:w="992" w:type="dxa"/>
            <w:noWrap w:val="0"/>
            <w:vAlign w:val="center"/>
          </w:tcPr>
          <w:p w14:paraId="64F5DFE2">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eastAsia" w:ascii="Times New Roman" w:hAnsi="Times New Roman" w:eastAsia="宋体" w:cs="Times New Roman"/>
                <w:color w:val="auto"/>
                <w:szCs w:val="20"/>
                <w:u w:val="none" w:color="auto"/>
                <w:lang w:val="en-US" w:eastAsia="zh-CN"/>
              </w:rPr>
              <w:t>2600</w:t>
            </w:r>
          </w:p>
        </w:tc>
        <w:tc>
          <w:tcPr>
            <w:tcW w:w="992" w:type="dxa"/>
            <w:noWrap w:val="0"/>
            <w:vAlign w:val="center"/>
          </w:tcPr>
          <w:p w14:paraId="26F8D241">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eastAsia" w:ascii="Times New Roman" w:hAnsi="Times New Roman" w:eastAsia="宋体" w:cs="Times New Roman"/>
                <w:color w:val="auto"/>
                <w:szCs w:val="20"/>
                <w:u w:val="none" w:color="auto"/>
                <w:lang w:val="en-US" w:eastAsia="zh-CN"/>
              </w:rPr>
              <w:t>2440</w:t>
            </w:r>
          </w:p>
        </w:tc>
        <w:tc>
          <w:tcPr>
            <w:tcW w:w="992" w:type="dxa"/>
            <w:noWrap w:val="0"/>
            <w:vAlign w:val="center"/>
          </w:tcPr>
          <w:p w14:paraId="30CB0630">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eastAsia" w:ascii="Times New Roman" w:hAnsi="Times New Roman" w:eastAsia="宋体" w:cs="Times New Roman"/>
                <w:color w:val="auto"/>
                <w:szCs w:val="20"/>
                <w:u w:val="none" w:color="auto"/>
                <w:lang w:val="en-US" w:eastAsia="zh-CN"/>
              </w:rPr>
              <w:t>是</w:t>
            </w:r>
          </w:p>
        </w:tc>
      </w:tr>
      <w:tr w14:paraId="60106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8"/>
            <w:noWrap w:val="0"/>
            <w:vAlign w:val="center"/>
          </w:tcPr>
          <w:p w14:paraId="4EF81C45">
            <w:pPr>
              <w:pStyle w:val="25"/>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Cs w:val="20"/>
                <w:u w:val="none" w:color="auto"/>
                <w:lang w:val="en-US" w:eastAsia="zh-CN"/>
              </w:rPr>
            </w:pPr>
            <w:bookmarkStart w:id="597" w:name="_Toc20079"/>
            <w:bookmarkStart w:id="598" w:name="_Toc9267"/>
            <w:r>
              <w:rPr>
                <w:rFonts w:hint="eastAsia" w:ascii="Times New Roman" w:hAnsi="Times New Roman" w:eastAsia="宋体" w:cs="Times New Roman"/>
                <w:color w:val="auto"/>
                <w:szCs w:val="20"/>
                <w:u w:val="none" w:color="auto"/>
                <w:lang w:val="en-US" w:eastAsia="zh-CN"/>
              </w:rPr>
              <w:t>备注：项目焙烧为批次生产，每批次约5天24小时不间断（含保温），即120h/批次</w:t>
            </w:r>
          </w:p>
        </w:tc>
      </w:tr>
    </w:tbl>
    <w:p w14:paraId="2B797BF9">
      <w:pPr>
        <w:pStyle w:val="8"/>
        <w:bidi w:val="0"/>
        <w:rPr>
          <w:rFonts w:hint="eastAsia"/>
          <w:color w:val="auto"/>
          <w:u w:val="none" w:color="auto"/>
          <w:lang w:val="en-US" w:eastAsia="zh-CN"/>
        </w:rPr>
      </w:pPr>
      <w:bookmarkStart w:id="599" w:name="_Toc6435"/>
      <w:r>
        <w:rPr>
          <w:rFonts w:hint="eastAsia"/>
          <w:color w:val="auto"/>
          <w:u w:val="none" w:color="auto"/>
          <w:lang w:val="en-US" w:eastAsia="zh-CN"/>
        </w:rPr>
        <w:t>3.1.6公用工程</w:t>
      </w:r>
      <w:bookmarkEnd w:id="597"/>
      <w:bookmarkEnd w:id="598"/>
      <w:bookmarkEnd w:id="599"/>
    </w:p>
    <w:p w14:paraId="7DC7193D">
      <w:pPr>
        <w:pStyle w:val="21"/>
        <w:bidi w:val="0"/>
        <w:rPr>
          <w:rFonts w:hint="eastAsia"/>
          <w:color w:val="auto"/>
          <w:u w:val="none" w:color="auto"/>
          <w:lang w:val="en-US" w:eastAsia="zh-CN"/>
        </w:rPr>
      </w:pPr>
      <w:r>
        <w:rPr>
          <w:rFonts w:hint="eastAsia"/>
          <w:color w:val="auto"/>
          <w:u w:val="none" w:color="auto"/>
          <w:lang w:val="en-US" w:eastAsia="zh-CN"/>
        </w:rPr>
        <w:t>（1）给水</w:t>
      </w:r>
    </w:p>
    <w:p w14:paraId="6B593216">
      <w:pPr>
        <w:pStyle w:val="21"/>
        <w:bidi w:val="0"/>
        <w:rPr>
          <w:rFonts w:hint="eastAsia"/>
          <w:color w:val="auto"/>
          <w:u w:val="none" w:color="auto"/>
          <w:lang w:val="en-US" w:eastAsia="zh-CN"/>
        </w:rPr>
      </w:pPr>
      <w:r>
        <w:rPr>
          <w:rFonts w:hint="eastAsia"/>
          <w:color w:val="auto"/>
          <w:u w:val="none" w:color="auto"/>
          <w:lang w:val="en-US" w:eastAsia="zh-CN"/>
        </w:rPr>
        <w:t>项目供水依托自来水管网供给，供厂区生活及消防使用，可满足本项目生活用水的需求。本项目用水情况如下表所示。</w:t>
      </w:r>
    </w:p>
    <w:p w14:paraId="26AC7BC1">
      <w:pPr>
        <w:pStyle w:val="23"/>
        <w:bidi w:val="0"/>
        <w:rPr>
          <w:rFonts w:hint="eastAsia"/>
          <w:color w:val="auto"/>
          <w:u w:val="none" w:color="auto"/>
          <w:lang w:val="en-US" w:eastAsia="zh-CN"/>
        </w:rPr>
      </w:pPr>
      <w:r>
        <w:rPr>
          <w:rFonts w:hint="eastAsia"/>
          <w:color w:val="auto"/>
          <w:u w:val="none" w:color="auto"/>
          <w:lang w:val="en-US" w:eastAsia="zh-CN"/>
        </w:rPr>
        <w:t>表3.1-6 项目用水明细一览表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12"/>
        <w:gridCol w:w="2209"/>
        <w:gridCol w:w="1655"/>
        <w:gridCol w:w="2088"/>
      </w:tblGrid>
      <w:tr w14:paraId="1F44A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14:paraId="1457B36A">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序号</w:t>
            </w:r>
          </w:p>
        </w:tc>
        <w:tc>
          <w:tcPr>
            <w:tcW w:w="1712" w:type="dxa"/>
            <w:noWrap w:val="0"/>
            <w:vAlign w:val="center"/>
          </w:tcPr>
          <w:p w14:paraId="508E78A3">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用水点</w:t>
            </w:r>
          </w:p>
        </w:tc>
        <w:tc>
          <w:tcPr>
            <w:tcW w:w="2209" w:type="dxa"/>
            <w:noWrap w:val="0"/>
            <w:vAlign w:val="center"/>
          </w:tcPr>
          <w:p w14:paraId="2226478A">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单位用水量</w:t>
            </w:r>
          </w:p>
        </w:tc>
        <w:tc>
          <w:tcPr>
            <w:tcW w:w="1655" w:type="dxa"/>
            <w:noWrap w:val="0"/>
            <w:vAlign w:val="center"/>
          </w:tcPr>
          <w:p w14:paraId="3CA362E7">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总水量</w:t>
            </w:r>
          </w:p>
        </w:tc>
        <w:tc>
          <w:tcPr>
            <w:tcW w:w="2088" w:type="dxa"/>
            <w:noWrap w:val="0"/>
            <w:vAlign w:val="center"/>
          </w:tcPr>
          <w:p w14:paraId="52EE4C46">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用途</w:t>
            </w:r>
          </w:p>
        </w:tc>
      </w:tr>
      <w:tr w14:paraId="542FE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14:paraId="74731AAF">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szCs w:val="20"/>
                <w:u w:val="none" w:color="auto"/>
              </w:rPr>
              <w:t>1</w:t>
            </w:r>
          </w:p>
        </w:tc>
        <w:tc>
          <w:tcPr>
            <w:tcW w:w="1712" w:type="dxa"/>
            <w:noWrap w:val="0"/>
            <w:vAlign w:val="center"/>
          </w:tcPr>
          <w:p w14:paraId="330ECFC7">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lang w:val="en-US" w:eastAsia="zh-CN"/>
              </w:rPr>
              <w:t>生活用水</w:t>
            </w:r>
          </w:p>
        </w:tc>
        <w:tc>
          <w:tcPr>
            <w:tcW w:w="2209" w:type="dxa"/>
            <w:noWrap w:val="0"/>
            <w:vAlign w:val="center"/>
          </w:tcPr>
          <w:p w14:paraId="135E1498">
            <w:pPr>
              <w:pStyle w:val="25"/>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5.07</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/天</w:t>
            </w:r>
          </w:p>
        </w:tc>
        <w:tc>
          <w:tcPr>
            <w:tcW w:w="1655" w:type="dxa"/>
            <w:noWrap w:val="0"/>
            <w:vAlign w:val="center"/>
          </w:tcPr>
          <w:p w14:paraId="2EB9846B">
            <w:pPr>
              <w:pStyle w:val="25"/>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1520</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/a</w:t>
            </w:r>
          </w:p>
        </w:tc>
        <w:tc>
          <w:tcPr>
            <w:tcW w:w="2088" w:type="dxa"/>
            <w:noWrap w:val="0"/>
            <w:vAlign w:val="center"/>
          </w:tcPr>
          <w:p w14:paraId="35681E10">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rPr>
              <w:t>员工用水</w:t>
            </w:r>
          </w:p>
        </w:tc>
      </w:tr>
      <w:tr w14:paraId="66D6E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2" w:type="dxa"/>
            <w:gridSpan w:val="2"/>
            <w:noWrap w:val="0"/>
            <w:vAlign w:val="center"/>
          </w:tcPr>
          <w:p w14:paraId="4A6477EA">
            <w:pPr>
              <w:pStyle w:val="2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szCs w:val="20"/>
                <w:u w:val="none" w:color="auto"/>
              </w:rPr>
              <w:t>合计</w:t>
            </w:r>
          </w:p>
        </w:tc>
        <w:tc>
          <w:tcPr>
            <w:tcW w:w="2209" w:type="dxa"/>
            <w:noWrap w:val="0"/>
            <w:vAlign w:val="center"/>
          </w:tcPr>
          <w:p w14:paraId="5B9A1A41">
            <w:pPr>
              <w:pStyle w:val="25"/>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5.07</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/天</w:t>
            </w:r>
          </w:p>
        </w:tc>
        <w:tc>
          <w:tcPr>
            <w:tcW w:w="1655" w:type="dxa"/>
            <w:noWrap w:val="0"/>
            <w:vAlign w:val="center"/>
          </w:tcPr>
          <w:p w14:paraId="575E5BCE">
            <w:pPr>
              <w:pStyle w:val="25"/>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1520</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/a</w:t>
            </w:r>
          </w:p>
        </w:tc>
        <w:tc>
          <w:tcPr>
            <w:tcW w:w="2088" w:type="dxa"/>
            <w:noWrap w:val="0"/>
            <w:vAlign w:val="center"/>
          </w:tcPr>
          <w:p w14:paraId="0765E4D8">
            <w:pPr>
              <w:pStyle w:val="25"/>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highlight w:val="none"/>
                <w:u w:val="none" w:color="auto"/>
                <w:lang w:val="en-US" w:eastAsia="zh-CN" w:bidi="ar-SA"/>
              </w:rPr>
            </w:pPr>
            <w:r>
              <w:rPr>
                <w:rFonts w:hint="eastAsia" w:ascii="Times New Roman" w:hAnsi="Times New Roman" w:eastAsia="宋体" w:cs="Times New Roman"/>
                <w:color w:val="auto"/>
                <w:kern w:val="2"/>
                <w:sz w:val="21"/>
                <w:szCs w:val="20"/>
                <w:highlight w:val="none"/>
                <w:u w:val="none" w:color="auto"/>
                <w:lang w:val="en-US" w:eastAsia="zh-CN" w:bidi="ar-SA"/>
              </w:rPr>
              <w:t>/</w:t>
            </w:r>
          </w:p>
        </w:tc>
      </w:tr>
    </w:tbl>
    <w:p w14:paraId="13ACCCD9">
      <w:pPr>
        <w:pStyle w:val="21"/>
        <w:bidi w:val="0"/>
        <w:rPr>
          <w:rFonts w:hint="eastAsia"/>
          <w:color w:val="auto"/>
          <w:u w:val="none" w:color="auto"/>
          <w:lang w:val="en-US" w:eastAsia="zh-CN"/>
        </w:rPr>
      </w:pPr>
      <w:r>
        <w:rPr>
          <w:rFonts w:hint="eastAsia"/>
          <w:color w:val="auto"/>
          <w:u w:val="none" w:color="auto"/>
          <w:lang w:val="en-US" w:eastAsia="zh-CN"/>
        </w:rPr>
        <w:t>（2）排水</w:t>
      </w:r>
    </w:p>
    <w:p w14:paraId="4AB2477A">
      <w:pPr>
        <w:pStyle w:val="21"/>
        <w:bidi w:val="0"/>
        <w:rPr>
          <w:rFonts w:hint="default"/>
          <w:color w:val="auto"/>
          <w:u w:val="none" w:color="auto"/>
          <w:lang w:val="en-US" w:eastAsia="zh-CN"/>
        </w:rPr>
      </w:pPr>
      <w:r>
        <w:rPr>
          <w:rFonts w:hint="eastAsia" w:cs="Times New Roman"/>
          <w:color w:val="auto"/>
          <w:u w:val="none"/>
          <w:lang w:eastAsia="zh-CN"/>
        </w:rPr>
        <w:t>本项目</w:t>
      </w:r>
      <w:r>
        <w:rPr>
          <w:rFonts w:hint="eastAsia" w:cs="Times New Roman"/>
          <w:color w:val="auto"/>
          <w:u w:val="none"/>
          <w:lang w:val="en-US" w:eastAsia="zh-CN"/>
        </w:rPr>
        <w:t>生产无需用水，无生产废水产生</w:t>
      </w:r>
      <w:r>
        <w:rPr>
          <w:rFonts w:hint="eastAsia" w:cs="Times New Roman"/>
          <w:color w:val="auto"/>
          <w:u w:val="none"/>
          <w:lang w:eastAsia="zh-CN"/>
        </w:rPr>
        <w:t>；外排废水仅为</w:t>
      </w:r>
      <w:r>
        <w:rPr>
          <w:rFonts w:hint="default" w:ascii="Times New Roman" w:hAnsi="Times New Roman" w:cs="Times New Roman"/>
          <w:color w:val="auto"/>
          <w:u w:val="none"/>
        </w:rPr>
        <w:t>生活污水</w:t>
      </w:r>
      <w:r>
        <w:rPr>
          <w:rFonts w:hint="eastAsia" w:cs="Times New Roman"/>
          <w:color w:val="auto"/>
          <w:u w:val="none"/>
          <w:lang w:eastAsia="zh-CN"/>
        </w:rPr>
        <w:t>，</w:t>
      </w:r>
      <w:r>
        <w:rPr>
          <w:rFonts w:hint="default" w:ascii="Times New Roman" w:hAnsi="Times New Roman" w:cs="Times New Roman"/>
          <w:color w:val="auto"/>
          <w:u w:val="none"/>
        </w:rPr>
        <w:t>生活污水产生量约为</w:t>
      </w:r>
      <w:r>
        <w:rPr>
          <w:rFonts w:hint="eastAsia" w:ascii="Times New Roman" w:hAnsi="Times New Roman" w:cs="Times New Roman"/>
          <w:color w:val="auto"/>
          <w:u w:val="none"/>
          <w:lang w:val="en-US" w:eastAsia="zh-CN"/>
        </w:rPr>
        <w:t>4.06</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w:t>
      </w:r>
      <w:r>
        <w:rPr>
          <w:rFonts w:hint="eastAsia" w:ascii="Times New Roman" w:hAnsi="Times New Roman" w:cs="Times New Roman"/>
          <w:color w:val="auto"/>
          <w:u w:val="none"/>
          <w:lang w:val="en-US" w:eastAsia="zh-CN"/>
        </w:rPr>
        <w:t>1216</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eastAsia"/>
          <w:color w:val="auto"/>
          <w:u w:val="none" w:color="auto"/>
          <w:lang w:val="en-US" w:eastAsia="zh-CN"/>
        </w:rPr>
        <w:t>，生活污水经化粪池预处理后排入长沙经开区汨罗产业园污水处理厂。厂房四周设有雨水沟，雨水依托乾源公司现有收集处理措施，经厂区雨水管道收集沉淀后排入市政雨水管网。</w:t>
      </w:r>
    </w:p>
    <w:p w14:paraId="660B44AA">
      <w:pPr>
        <w:pStyle w:val="21"/>
        <w:bidi w:val="0"/>
        <w:rPr>
          <w:rFonts w:hint="eastAsia"/>
          <w:color w:val="auto"/>
          <w:u w:val="none" w:color="auto"/>
          <w:lang w:val="en-US" w:eastAsia="zh-CN"/>
        </w:rPr>
      </w:pPr>
      <w:r>
        <w:rPr>
          <w:rFonts w:hint="eastAsia"/>
          <w:color w:val="auto"/>
          <w:u w:val="none" w:color="auto"/>
          <w:lang w:val="en-US" w:eastAsia="zh-CN"/>
        </w:rPr>
        <w:t>（3）供电</w:t>
      </w:r>
    </w:p>
    <w:p w14:paraId="1C643CA2">
      <w:pPr>
        <w:pStyle w:val="21"/>
        <w:bidi w:val="0"/>
        <w:rPr>
          <w:rFonts w:hint="eastAsia"/>
          <w:color w:val="auto"/>
          <w:u w:val="none" w:color="auto"/>
          <w:lang w:val="en-US" w:eastAsia="zh-CN"/>
        </w:rPr>
      </w:pPr>
      <w:r>
        <w:rPr>
          <w:rFonts w:hint="eastAsia"/>
          <w:color w:val="auto"/>
          <w:u w:val="none" w:color="auto"/>
          <w:lang w:val="en-US" w:eastAsia="zh-CN"/>
        </w:rPr>
        <w:t>本项目用电来源依托园区市政电网。</w:t>
      </w:r>
    </w:p>
    <w:p w14:paraId="31CFDCA8">
      <w:pPr>
        <w:pStyle w:val="21"/>
        <w:bidi w:val="0"/>
        <w:rPr>
          <w:rFonts w:hint="eastAsia"/>
          <w:color w:val="auto"/>
          <w:u w:val="none" w:color="auto"/>
          <w:lang w:val="en-US" w:eastAsia="zh-CN"/>
        </w:rPr>
      </w:pPr>
      <w:r>
        <w:rPr>
          <w:rFonts w:hint="eastAsia"/>
          <w:color w:val="auto"/>
          <w:u w:val="none" w:color="auto"/>
          <w:lang w:val="en-US" w:eastAsia="zh-CN"/>
        </w:rPr>
        <w:t>（4）储运系统</w:t>
      </w:r>
    </w:p>
    <w:p w14:paraId="1B2A9F26">
      <w:pPr>
        <w:pStyle w:val="21"/>
        <w:bidi w:val="0"/>
        <w:rPr>
          <w:rFonts w:hint="eastAsia"/>
          <w:color w:val="auto"/>
          <w:u w:val="none" w:color="auto"/>
          <w:lang w:val="en-US" w:eastAsia="zh-CN"/>
        </w:rPr>
      </w:pPr>
      <w:r>
        <w:rPr>
          <w:rFonts w:hint="eastAsia"/>
          <w:color w:val="auto"/>
          <w:u w:val="none" w:color="auto"/>
          <w:lang w:val="en-US" w:eastAsia="zh-CN"/>
        </w:rPr>
        <w:t>项目原辅材料和产品主要通过汽车运输完成。主要采用公路运输。项目厂外的运输主要依赖社会运输力量。原辅材料及产品储存在本项目厂房指定区域内。</w:t>
      </w:r>
    </w:p>
    <w:p w14:paraId="1180A0AC">
      <w:pPr>
        <w:pStyle w:val="21"/>
        <w:bidi w:val="0"/>
        <w:rPr>
          <w:rFonts w:hint="eastAsia"/>
          <w:color w:val="auto"/>
          <w:u w:val="none" w:color="auto"/>
          <w:lang w:val="en-US" w:eastAsia="zh-CN"/>
        </w:rPr>
      </w:pPr>
      <w:r>
        <w:rPr>
          <w:rFonts w:hint="eastAsia"/>
          <w:color w:val="auto"/>
          <w:u w:val="none" w:color="auto"/>
          <w:lang w:val="en-US" w:eastAsia="zh-CN"/>
        </w:rPr>
        <w:t>（5）消防</w:t>
      </w:r>
    </w:p>
    <w:p w14:paraId="48A4F58A">
      <w:pPr>
        <w:pStyle w:val="21"/>
        <w:bidi w:val="0"/>
        <w:rPr>
          <w:rFonts w:hint="eastAsia"/>
          <w:color w:val="auto"/>
          <w:u w:val="none" w:color="auto"/>
          <w:lang w:val="en-US" w:eastAsia="zh-CN"/>
        </w:rPr>
      </w:pPr>
      <w:r>
        <w:rPr>
          <w:rFonts w:hint="eastAsia"/>
          <w:color w:val="auto"/>
          <w:u w:val="none" w:color="auto"/>
          <w:lang w:val="en-US" w:eastAsia="zh-CN"/>
        </w:rPr>
        <w:t>厂内建、构筑物的防火间距一般按一级或二级耐火等级设计。各功能区四周均有道路。</w:t>
      </w:r>
    </w:p>
    <w:p w14:paraId="7B81CCE9">
      <w:pPr>
        <w:pStyle w:val="21"/>
        <w:bidi w:val="0"/>
        <w:rPr>
          <w:rFonts w:hint="eastAsia"/>
          <w:color w:val="auto"/>
          <w:u w:val="none" w:color="auto"/>
          <w:lang w:val="en-US" w:eastAsia="zh-CN"/>
        </w:rPr>
      </w:pPr>
      <w:r>
        <w:rPr>
          <w:rFonts w:hint="eastAsia"/>
          <w:color w:val="auto"/>
          <w:u w:val="none" w:color="auto"/>
          <w:lang w:val="en-US" w:eastAsia="zh-CN"/>
        </w:rPr>
        <w:t>项目在总体布置上按照消防有关规定配备足够的消防器材，各建筑物内应按规范配置磷酸铵盐干粉灭火器等移动灭火器材。生产车间的消防设计足够的消火栓系统设施，消防用电由双电源切换箱供给，消防应急灯自带应急电源。建筑设计和建筑物间距能满足防火规范的要求，为保证生产安全、方便疏散，生产车间出入口均设应急指示灯。</w:t>
      </w:r>
    </w:p>
    <w:p w14:paraId="3465679B">
      <w:pPr>
        <w:pStyle w:val="21"/>
        <w:bidi w:val="0"/>
        <w:rPr>
          <w:rFonts w:hint="default"/>
          <w:color w:val="auto"/>
          <w:u w:val="none" w:color="auto"/>
          <w:lang w:val="en-US" w:eastAsia="zh-CN"/>
        </w:rPr>
      </w:pPr>
      <w:r>
        <w:rPr>
          <w:rFonts w:hint="eastAsia"/>
          <w:color w:val="auto"/>
          <w:u w:val="none" w:color="auto"/>
          <w:lang w:val="en-US" w:eastAsia="zh-CN"/>
        </w:rPr>
        <w:t>（6）劳动定员及工作制度</w:t>
      </w:r>
    </w:p>
    <w:p w14:paraId="691B3FFD">
      <w:pPr>
        <w:pStyle w:val="21"/>
        <w:bidi w:val="0"/>
        <w:rPr>
          <w:rFonts w:hint="default"/>
          <w:color w:val="auto"/>
          <w:u w:val="none" w:color="auto"/>
          <w:lang w:val="en-US" w:eastAsia="zh-CN"/>
        </w:rPr>
      </w:pPr>
      <w:r>
        <w:rPr>
          <w:rFonts w:hint="eastAsia"/>
          <w:color w:val="auto"/>
          <w:u w:val="none" w:color="auto"/>
          <w:lang w:val="en-US" w:eastAsia="zh-CN"/>
        </w:rPr>
        <w:t>本项目劳动定员40人，生产实行一班制，每天生产8小时，年工作300天，不提供食宿。焙烧工序为24小时连续生产。</w:t>
      </w:r>
    </w:p>
    <w:p w14:paraId="10A6E298">
      <w:pPr>
        <w:pStyle w:val="7"/>
        <w:bidi w:val="0"/>
        <w:rPr>
          <w:rFonts w:hint="eastAsia"/>
          <w:color w:val="auto"/>
          <w:u w:val="none" w:color="auto"/>
          <w:lang w:val="en-US" w:eastAsia="zh-CN"/>
        </w:rPr>
      </w:pPr>
      <w:bookmarkStart w:id="600" w:name="_Toc9466"/>
      <w:bookmarkStart w:id="601" w:name="_Toc11531"/>
      <w:bookmarkStart w:id="602" w:name="_Toc23429"/>
      <w:r>
        <w:rPr>
          <w:rFonts w:hint="eastAsia"/>
          <w:color w:val="auto"/>
          <w:u w:val="none" w:color="auto"/>
          <w:lang w:val="en-US" w:eastAsia="zh-CN"/>
        </w:rPr>
        <w:t>3.2工艺流程</w:t>
      </w:r>
      <w:bookmarkEnd w:id="600"/>
      <w:bookmarkEnd w:id="601"/>
      <w:bookmarkEnd w:id="602"/>
    </w:p>
    <w:p w14:paraId="5AAE71D4">
      <w:pPr>
        <w:pStyle w:val="21"/>
        <w:bidi w:val="0"/>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1、生产工艺流程图</w:t>
      </w:r>
    </w:p>
    <w:p w14:paraId="483E4D37">
      <w:pPr>
        <w:pStyle w:val="23"/>
        <w:bidi w:val="0"/>
        <w:rPr>
          <w:rFonts w:hint="eastAsia" w:ascii="Times New Roman" w:hAnsi="Times New Roman" w:eastAsia="宋体" w:cs="Times New Roman"/>
          <w:color w:val="auto"/>
          <w:sz w:val="24"/>
          <w:u w:val="none" w:color="auto"/>
          <w:lang w:eastAsia="zh-CN"/>
        </w:rPr>
      </w:pPr>
      <w:r>
        <w:rPr>
          <w:rFonts w:hint="eastAsia" w:ascii="Times New Roman" w:hAnsi="Times New Roman" w:eastAsia="宋体" w:cs="Times New Roman"/>
          <w:color w:val="auto"/>
          <w:sz w:val="24"/>
          <w:u w:val="none" w:color="auto"/>
          <w:lang w:eastAsia="zh-CN"/>
        </w:rPr>
        <w:object>
          <v:shape id="_x0000_i1036" o:spt="75" type="#_x0000_t75" style="height:536.25pt;width:321.75pt;" o:ole="t" filled="f" o:preferrelative="t" stroked="f" coordsize="21600,21600">
            <v:path/>
            <v:fill on="f" focussize="0,0"/>
            <v:stroke on="f"/>
            <v:imagedata r:id="rId31" o:title=""/>
            <o:lock v:ext="edit" aspectratio="f"/>
            <w10:wrap type="none"/>
            <w10:anchorlock/>
          </v:shape>
          <o:OLEObject Type="Embed" ProgID="Visio.Drawing.15" ShapeID="_x0000_i1036" DrawAspect="Content" ObjectID="_1468075729" r:id="rId30">
            <o:LockedField>false</o:LockedField>
          </o:OLEObject>
        </w:object>
      </w:r>
    </w:p>
    <w:p w14:paraId="2D6A6B31">
      <w:pPr>
        <w:pStyle w:val="31"/>
        <w:bidi w:val="0"/>
        <w:rPr>
          <w:rFonts w:hint="eastAsia"/>
          <w:color w:val="auto"/>
          <w:u w:val="none" w:color="auto"/>
          <w:lang w:val="en-US" w:eastAsia="zh-CN"/>
        </w:rPr>
      </w:pPr>
      <w:r>
        <w:rPr>
          <w:rFonts w:hint="eastAsia"/>
          <w:color w:val="auto"/>
          <w:u w:val="none" w:color="auto"/>
          <w:lang w:val="en-US" w:eastAsia="zh-CN"/>
        </w:rPr>
        <w:t>图3.2-1 生产工艺及产污节点图</w:t>
      </w:r>
    </w:p>
    <w:p w14:paraId="33FB3640">
      <w:pPr>
        <w:pStyle w:val="21"/>
        <w:bidi w:val="0"/>
        <w:rPr>
          <w:rFonts w:hint="default"/>
          <w:color w:val="auto"/>
          <w:u w:val="none" w:color="auto"/>
          <w:lang w:val="en-US" w:eastAsia="zh-CN"/>
        </w:rPr>
      </w:pPr>
      <w:r>
        <w:rPr>
          <w:rFonts w:hint="eastAsia"/>
          <w:color w:val="auto"/>
          <w:u w:val="none" w:color="auto"/>
          <w:lang w:val="en-US" w:eastAsia="zh-CN"/>
        </w:rPr>
        <w:t>2、工艺流程简述：</w:t>
      </w:r>
    </w:p>
    <w:p w14:paraId="6740D464">
      <w:pPr>
        <w:pStyle w:val="21"/>
        <w:bidi w:val="0"/>
        <w:rPr>
          <w:rFonts w:hint="eastAsia"/>
          <w:color w:val="auto"/>
          <w:u w:val="none" w:color="auto"/>
          <w:lang w:val="en-US" w:eastAsia="zh-CN"/>
        </w:rPr>
      </w:pPr>
      <w:r>
        <w:rPr>
          <w:rFonts w:hint="eastAsia"/>
          <w:color w:val="auto"/>
          <w:u w:val="none" w:color="auto"/>
          <w:lang w:val="en-US" w:eastAsia="zh-CN"/>
        </w:rPr>
        <w:t>（1）配料投料：配料作业采用人工配料，将不同规格的石墨（粗粉、中细粉、细粉）按一定比例混合，配好的干料通过提升机倒入捏合机进行混捏。此过程产生废气主要污染物为颗粒物。</w:t>
      </w:r>
    </w:p>
    <w:p w14:paraId="2172C327">
      <w:pPr>
        <w:pStyle w:val="21"/>
        <w:bidi w:val="0"/>
        <w:rPr>
          <w:rFonts w:hint="eastAsia"/>
          <w:color w:val="auto"/>
          <w:u w:val="none" w:color="auto"/>
          <w:lang w:val="en-US" w:eastAsia="zh-CN"/>
        </w:rPr>
      </w:pPr>
      <w:r>
        <w:rPr>
          <w:rFonts w:hint="eastAsia"/>
          <w:color w:val="auto"/>
          <w:u w:val="none" w:color="auto"/>
          <w:lang w:val="en-US" w:eastAsia="zh-CN"/>
        </w:rPr>
        <w:t>（2）加热混捏：将不同规格的石墨按配比称量放入捏合机中，配套导热锅炉对捏合机锅体加热到一定温度时通过真空泵抽取桶装酚醛树脂加入，搅拌捏合均匀2h，捏合机带温90℃工作，石墨在加热与酚醛树脂的作用下会结块。此过程产生颗粒物、非甲烷总烃、甲醛、酚类、噪声。</w:t>
      </w:r>
    </w:p>
    <w:p w14:paraId="0F0EF89D">
      <w:pPr>
        <w:pStyle w:val="21"/>
        <w:bidi w:val="0"/>
        <w:rPr>
          <w:rFonts w:hint="eastAsia"/>
          <w:color w:val="auto"/>
          <w:u w:val="none" w:color="auto"/>
          <w:lang w:val="en-US" w:eastAsia="zh-CN"/>
        </w:rPr>
      </w:pPr>
      <w:r>
        <w:rPr>
          <w:rFonts w:hint="eastAsia"/>
          <w:color w:val="auto"/>
          <w:u w:val="none" w:color="auto"/>
          <w:lang w:val="en-US" w:eastAsia="zh-CN"/>
        </w:rPr>
        <w:t>（3）冷却：密实料片进入凉片机中冷却至室温，采用机械风冷却。此过程产生少量非甲烷总烃、甲醛、酚类。</w:t>
      </w:r>
    </w:p>
    <w:p w14:paraId="46B738E6">
      <w:pPr>
        <w:pStyle w:val="21"/>
        <w:bidi w:val="0"/>
        <w:rPr>
          <w:rFonts w:hint="default"/>
          <w:color w:val="auto"/>
          <w:u w:val="none" w:color="auto"/>
          <w:lang w:val="en-US" w:eastAsia="zh-CN"/>
        </w:rPr>
      </w:pPr>
      <w:r>
        <w:rPr>
          <w:rFonts w:hint="eastAsia"/>
          <w:color w:val="auto"/>
          <w:u w:val="none" w:color="auto"/>
          <w:lang w:val="en-US" w:eastAsia="zh-CN"/>
        </w:rPr>
        <w:t>（4）磨粉：根据生产工艺设计要求，经密闭的无尘粉碎机进行磨粉。然后，通过密闭的自动传送装置进行输送。此过程产生颗粒物。</w:t>
      </w:r>
    </w:p>
    <w:p w14:paraId="569C7C6C">
      <w:pPr>
        <w:pStyle w:val="21"/>
        <w:bidi w:val="0"/>
        <w:rPr>
          <w:rFonts w:hint="eastAsia"/>
          <w:color w:val="auto"/>
          <w:u w:val="none" w:color="auto"/>
          <w:lang w:val="en-US" w:eastAsia="zh-CN"/>
        </w:rPr>
      </w:pPr>
      <w:r>
        <w:rPr>
          <w:rFonts w:hint="eastAsia"/>
          <w:color w:val="auto"/>
          <w:u w:val="none" w:color="auto"/>
          <w:lang w:val="en-US" w:eastAsia="zh-CN"/>
        </w:rPr>
        <w:t>（5）混合：磨粉后的高纯石墨粉</w:t>
      </w:r>
      <w:r>
        <w:rPr>
          <w:rFonts w:hint="eastAsia"/>
          <w:sz w:val="24"/>
          <w:szCs w:val="22"/>
        </w:rPr>
        <w:t>通过高速混合机混合，形成超细石墨原材料</w:t>
      </w:r>
      <w:r>
        <w:rPr>
          <w:rFonts w:hint="eastAsia"/>
          <w:sz w:val="24"/>
          <w:szCs w:val="22"/>
          <w:lang w:eastAsia="zh-CN"/>
        </w:rPr>
        <w:t>，做</w:t>
      </w:r>
      <w:r>
        <w:rPr>
          <w:rFonts w:hint="eastAsia"/>
          <w:sz w:val="24"/>
          <w:szCs w:val="22"/>
          <w:lang w:val="en-US" w:eastAsia="zh-CN"/>
        </w:rPr>
        <w:t>后续液</w:t>
      </w:r>
      <w:r>
        <w:rPr>
          <w:rFonts w:hint="eastAsia"/>
          <w:sz w:val="24"/>
          <w:szCs w:val="22"/>
          <w:lang w:eastAsia="zh-CN"/>
        </w:rPr>
        <w:t>压成型的原料进行使用</w:t>
      </w:r>
      <w:r>
        <w:rPr>
          <w:rFonts w:hint="eastAsia"/>
          <w:color w:val="auto"/>
          <w:u w:val="none" w:color="auto"/>
          <w:lang w:val="en-US" w:eastAsia="zh-CN"/>
        </w:rPr>
        <w:t>。此过程产生颗粒物。</w:t>
      </w:r>
    </w:p>
    <w:p w14:paraId="5F28B1E0">
      <w:pPr>
        <w:pStyle w:val="21"/>
        <w:bidi w:val="0"/>
        <w:rPr>
          <w:rFonts w:hint="eastAsia"/>
          <w:color w:val="auto"/>
          <w:u w:val="none" w:color="auto"/>
          <w:lang w:val="en-US" w:eastAsia="zh-CN"/>
        </w:rPr>
      </w:pPr>
      <w:r>
        <w:rPr>
          <w:rFonts w:hint="eastAsia"/>
          <w:color w:val="auto"/>
          <w:u w:val="none" w:color="auto"/>
          <w:lang w:val="en-US" w:eastAsia="zh-CN"/>
        </w:rPr>
        <w:t>（6）压制成型：将混合好的物料装入模具内，经液压机按工艺技术操作模压成型。</w:t>
      </w:r>
    </w:p>
    <w:p w14:paraId="5D298A35">
      <w:pPr>
        <w:pStyle w:val="21"/>
        <w:bidi w:val="0"/>
        <w:rPr>
          <w:rFonts w:hint="eastAsia"/>
          <w:color w:val="auto"/>
          <w:u w:val="none" w:color="auto"/>
          <w:lang w:val="en-US" w:eastAsia="zh-CN"/>
        </w:rPr>
      </w:pPr>
      <w:r>
        <w:rPr>
          <w:rFonts w:hint="eastAsia"/>
          <w:color w:val="auto"/>
          <w:u w:val="none" w:color="auto"/>
          <w:lang w:val="en-US" w:eastAsia="zh-CN"/>
        </w:rPr>
        <w:t>（7）焙烧：焙烧（roasting）是生料在填充料的保护下经加热使生料中的粘结剂酚醛树脂焦化过程。根据项目设计，本项目焙烧工序采用天然气炉生产。建成后每年运行约50次/窑，每次运行120h。</w:t>
      </w:r>
    </w:p>
    <w:p w14:paraId="626B3B16">
      <w:pPr>
        <w:pStyle w:val="21"/>
        <w:bidi w:val="0"/>
        <w:rPr>
          <w:rFonts w:hint="eastAsia"/>
          <w:color w:val="auto"/>
          <w:u w:val="none" w:color="auto"/>
          <w:lang w:val="en-US" w:eastAsia="zh-CN"/>
        </w:rPr>
      </w:pPr>
      <w:r>
        <w:rPr>
          <w:rFonts w:hint="eastAsia"/>
          <w:color w:val="auto"/>
          <w:u w:val="none" w:color="auto"/>
          <w:lang w:val="en-US" w:eastAsia="zh-CN"/>
        </w:rPr>
        <w:t>首先，将压制生坯装入待焙烧匣钵内，并于生坯与匣钵空隙间填充耐火材料；然后将装有生坯、耐火隔氧材料的待焙烧品进行装车，经轨道推送系统推入炉窑。</w:t>
      </w:r>
    </w:p>
    <w:p w14:paraId="29F2AE6D">
      <w:pPr>
        <w:pStyle w:val="21"/>
        <w:bidi w:val="0"/>
        <w:rPr>
          <w:rFonts w:hint="eastAsia"/>
          <w:color w:val="auto"/>
          <w:u w:val="none" w:color="auto"/>
          <w:lang w:val="en-US" w:eastAsia="zh-CN"/>
        </w:rPr>
      </w:pPr>
      <w:r>
        <w:rPr>
          <w:rFonts w:hint="eastAsia"/>
          <w:color w:val="auto"/>
          <w:u w:val="none" w:color="auto"/>
          <w:lang w:val="en-US" w:eastAsia="zh-CN"/>
        </w:rPr>
        <w:t>焚烧烟气，主要污染物包括烟尘、SO</w:t>
      </w:r>
      <w:r>
        <w:rPr>
          <w:rFonts w:hint="eastAsia"/>
          <w:color w:val="auto"/>
          <w:u w:val="none" w:color="auto"/>
          <w:vertAlign w:val="subscript"/>
          <w:lang w:val="en-US" w:eastAsia="zh-CN"/>
        </w:rPr>
        <w:t>2</w:t>
      </w:r>
      <w:r>
        <w:rPr>
          <w:rFonts w:hint="eastAsia"/>
          <w:color w:val="auto"/>
          <w:u w:val="none" w:color="auto"/>
          <w:lang w:val="en-US" w:eastAsia="zh-CN"/>
        </w:rPr>
        <w:t>、NOx 等。烟气余热能得到有效利用，因此较为节能，其运行及设备投资低。同时，对自动化控制要求较低，烟气的产生及排放较为稳定，项目设置2套焚烧炉对废气中的非甲烷总烃等进行治理。将挥发性有机成分控制在较低水平。同时，天然气作为燃料，烟尘、氮氧化物、SO</w:t>
      </w:r>
      <w:r>
        <w:rPr>
          <w:rFonts w:hint="eastAsia"/>
          <w:color w:val="auto"/>
          <w:u w:val="none" w:color="auto"/>
          <w:vertAlign w:val="subscript"/>
          <w:lang w:val="en-US" w:eastAsia="zh-CN"/>
        </w:rPr>
        <w:t>2</w:t>
      </w:r>
      <w:r>
        <w:rPr>
          <w:rFonts w:hint="eastAsia"/>
          <w:color w:val="auto"/>
          <w:u w:val="none" w:color="auto"/>
          <w:lang w:val="en-US" w:eastAsia="zh-CN"/>
        </w:rPr>
        <w:t>的产生量较少，能够实现达标排放。</w:t>
      </w:r>
    </w:p>
    <w:p w14:paraId="54A2E902">
      <w:pPr>
        <w:pStyle w:val="21"/>
        <w:bidi w:val="0"/>
        <w:rPr>
          <w:rFonts w:hint="eastAsia"/>
          <w:color w:val="auto"/>
          <w:u w:val="none" w:color="auto"/>
          <w:lang w:val="en-US" w:eastAsia="zh-CN"/>
        </w:rPr>
      </w:pPr>
      <w:r>
        <w:rPr>
          <w:rFonts w:hint="eastAsia"/>
          <w:color w:val="auto"/>
          <w:u w:val="none" w:color="auto"/>
          <w:lang w:val="en-US" w:eastAsia="zh-CN"/>
        </w:rPr>
        <w:t>（8）检验：对产品进行检验，合格品打包入库，不合格品收集后外售给原料供应商加工。</w:t>
      </w:r>
    </w:p>
    <w:p w14:paraId="18534CA3">
      <w:pPr>
        <w:pStyle w:val="21"/>
        <w:bidi w:val="0"/>
        <w:rPr>
          <w:rFonts w:hint="eastAsia"/>
          <w:color w:val="auto"/>
          <w:highlight w:val="none"/>
          <w:u w:val="none" w:color="auto"/>
          <w:lang w:val="en-US" w:eastAsia="zh-CN"/>
        </w:rPr>
      </w:pPr>
      <w:r>
        <w:rPr>
          <w:rFonts w:hint="eastAsia"/>
          <w:color w:val="auto"/>
          <w:highlight w:val="none"/>
          <w:u w:val="none" w:color="auto"/>
          <w:lang w:val="en-US" w:eastAsia="zh-CN"/>
        </w:rPr>
        <w:t>本项目营运期主要污染工序包括废气、废水、噪声和固废。污染环节如下表：</w:t>
      </w:r>
    </w:p>
    <w:p w14:paraId="1E57616B">
      <w:pPr>
        <w:pStyle w:val="23"/>
        <w:bidi w:val="0"/>
        <w:rPr>
          <w:rFonts w:hint="eastAsia"/>
          <w:color w:val="auto"/>
          <w:u w:val="none" w:color="auto"/>
          <w:lang w:val="en-US" w:eastAsia="zh-CN"/>
        </w:rPr>
      </w:pPr>
      <w:r>
        <w:rPr>
          <w:rFonts w:hint="eastAsia"/>
          <w:color w:val="auto"/>
          <w:u w:val="none" w:color="auto"/>
          <w:lang w:val="en-US" w:eastAsia="zh-CN"/>
        </w:rPr>
        <w:t>表3.2-1 本项目营运期污染环节</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80"/>
        <w:gridCol w:w="1928"/>
        <w:gridCol w:w="1306"/>
        <w:gridCol w:w="1430"/>
        <w:gridCol w:w="1431"/>
      </w:tblGrid>
      <w:tr w14:paraId="2B127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noWrap w:val="0"/>
            <w:vAlign w:val="center"/>
          </w:tcPr>
          <w:p w14:paraId="1F83A9BF">
            <w:pPr>
              <w:pStyle w:val="25"/>
              <w:rPr>
                <w:rFonts w:hint="eastAsia" w:eastAsia="宋体"/>
                <w:color w:val="auto"/>
                <w:u w:val="none"/>
                <w:lang w:eastAsia="zh-CN"/>
              </w:rPr>
            </w:pPr>
            <w:r>
              <w:rPr>
                <w:color w:val="auto"/>
                <w:u w:val="none"/>
              </w:rPr>
              <w:t>污染</w:t>
            </w:r>
            <w:r>
              <w:rPr>
                <w:rFonts w:hint="eastAsia"/>
                <w:color w:val="auto"/>
                <w:u w:val="none"/>
                <w:lang w:eastAsia="zh-CN"/>
              </w:rPr>
              <w:t>类型</w:t>
            </w:r>
          </w:p>
        </w:tc>
        <w:tc>
          <w:tcPr>
            <w:tcW w:w="1280" w:type="dxa"/>
            <w:noWrap w:val="0"/>
            <w:vAlign w:val="center"/>
          </w:tcPr>
          <w:p w14:paraId="221DB431">
            <w:pPr>
              <w:pStyle w:val="25"/>
              <w:rPr>
                <w:rFonts w:hint="eastAsia" w:eastAsia="宋体"/>
                <w:color w:val="auto"/>
                <w:u w:val="none"/>
                <w:lang w:eastAsia="zh-CN"/>
              </w:rPr>
            </w:pPr>
            <w:r>
              <w:rPr>
                <w:color w:val="auto"/>
                <w:u w:val="none"/>
              </w:rPr>
              <w:t>污染</w:t>
            </w:r>
            <w:r>
              <w:rPr>
                <w:rFonts w:hint="eastAsia"/>
                <w:color w:val="auto"/>
                <w:u w:val="none"/>
                <w:lang w:eastAsia="zh-CN"/>
              </w:rPr>
              <w:t>物</w:t>
            </w:r>
          </w:p>
        </w:tc>
        <w:tc>
          <w:tcPr>
            <w:tcW w:w="1928" w:type="dxa"/>
            <w:noWrap w:val="0"/>
            <w:vAlign w:val="center"/>
          </w:tcPr>
          <w:p w14:paraId="4EB0844E">
            <w:pPr>
              <w:pStyle w:val="25"/>
              <w:rPr>
                <w:rFonts w:hint="eastAsia" w:eastAsia="宋体"/>
                <w:color w:val="auto"/>
                <w:u w:val="none"/>
                <w:lang w:eastAsia="zh-CN"/>
              </w:rPr>
            </w:pPr>
            <w:r>
              <w:rPr>
                <w:color w:val="auto"/>
                <w:u w:val="none"/>
              </w:rPr>
              <w:t>污染</w:t>
            </w:r>
            <w:r>
              <w:rPr>
                <w:rFonts w:hint="eastAsia"/>
                <w:color w:val="auto"/>
                <w:u w:val="none"/>
                <w:lang w:eastAsia="zh-CN"/>
              </w:rPr>
              <w:t>因子</w:t>
            </w:r>
          </w:p>
        </w:tc>
        <w:tc>
          <w:tcPr>
            <w:tcW w:w="1306" w:type="dxa"/>
            <w:noWrap w:val="0"/>
            <w:vAlign w:val="center"/>
          </w:tcPr>
          <w:p w14:paraId="373481E9">
            <w:pPr>
              <w:pStyle w:val="25"/>
              <w:rPr>
                <w:rFonts w:hint="eastAsia" w:eastAsia="宋体"/>
                <w:color w:val="auto"/>
                <w:u w:val="none"/>
                <w:lang w:eastAsia="zh-CN"/>
              </w:rPr>
            </w:pPr>
            <w:r>
              <w:rPr>
                <w:rFonts w:hint="eastAsia"/>
                <w:color w:val="auto"/>
                <w:u w:val="none"/>
                <w:lang w:eastAsia="zh-CN"/>
              </w:rPr>
              <w:t>产污节点</w:t>
            </w:r>
          </w:p>
        </w:tc>
        <w:tc>
          <w:tcPr>
            <w:tcW w:w="2861" w:type="dxa"/>
            <w:gridSpan w:val="2"/>
            <w:noWrap w:val="0"/>
            <w:vAlign w:val="center"/>
          </w:tcPr>
          <w:p w14:paraId="22684B0B">
            <w:pPr>
              <w:pStyle w:val="25"/>
              <w:rPr>
                <w:color w:val="auto"/>
                <w:u w:val="none"/>
              </w:rPr>
            </w:pPr>
            <w:r>
              <w:rPr>
                <w:color w:val="auto"/>
                <w:u w:val="none"/>
              </w:rPr>
              <w:t>处理措施</w:t>
            </w:r>
          </w:p>
        </w:tc>
      </w:tr>
      <w:tr w14:paraId="540DF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noWrap w:val="0"/>
            <w:vAlign w:val="center"/>
          </w:tcPr>
          <w:p w14:paraId="29CC3FC5">
            <w:pPr>
              <w:pStyle w:val="25"/>
              <w:rPr>
                <w:color w:val="auto"/>
                <w:u w:val="none"/>
              </w:rPr>
            </w:pPr>
            <w:r>
              <w:rPr>
                <w:color w:val="auto"/>
                <w:u w:val="none"/>
              </w:rPr>
              <w:t>废气</w:t>
            </w:r>
          </w:p>
        </w:tc>
        <w:tc>
          <w:tcPr>
            <w:tcW w:w="1280" w:type="dxa"/>
            <w:noWrap w:val="0"/>
            <w:vAlign w:val="center"/>
          </w:tcPr>
          <w:p w14:paraId="7A1A4464">
            <w:pPr>
              <w:pStyle w:val="25"/>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配料投料废气</w:t>
            </w:r>
          </w:p>
        </w:tc>
        <w:tc>
          <w:tcPr>
            <w:tcW w:w="1928" w:type="dxa"/>
            <w:noWrap w:val="0"/>
            <w:vAlign w:val="center"/>
          </w:tcPr>
          <w:p w14:paraId="21E83CBD">
            <w:pPr>
              <w:pStyle w:val="25"/>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颗粒物</w:t>
            </w:r>
          </w:p>
        </w:tc>
        <w:tc>
          <w:tcPr>
            <w:tcW w:w="1306" w:type="dxa"/>
            <w:noWrap w:val="0"/>
            <w:vAlign w:val="center"/>
          </w:tcPr>
          <w:p w14:paraId="52B62573">
            <w:pPr>
              <w:pStyle w:val="25"/>
              <w:rPr>
                <w:rFonts w:hint="default"/>
                <w:color w:val="auto"/>
                <w:u w:val="none"/>
                <w:lang w:val="en-US" w:eastAsia="zh-CN"/>
              </w:rPr>
            </w:pPr>
            <w:r>
              <w:rPr>
                <w:rFonts w:hint="eastAsia"/>
                <w:color w:val="auto"/>
                <w:u w:val="none"/>
                <w:lang w:val="en-US" w:eastAsia="zh-CN"/>
              </w:rPr>
              <w:t>配料投料</w:t>
            </w:r>
          </w:p>
        </w:tc>
        <w:tc>
          <w:tcPr>
            <w:tcW w:w="2861" w:type="dxa"/>
            <w:gridSpan w:val="2"/>
            <w:noWrap w:val="0"/>
            <w:vAlign w:val="center"/>
          </w:tcPr>
          <w:p w14:paraId="3A9836A1">
            <w:pPr>
              <w:pStyle w:val="25"/>
              <w:rPr>
                <w:rFonts w:hint="default"/>
                <w:color w:val="auto"/>
                <w:u w:val="none"/>
                <w:lang w:val="en-US" w:eastAsia="zh-CN"/>
              </w:rPr>
            </w:pPr>
            <w:r>
              <w:rPr>
                <w:rFonts w:hint="eastAsia"/>
                <w:color w:val="auto"/>
                <w:u w:val="none"/>
                <w:lang w:val="en-US" w:eastAsia="zh-CN"/>
              </w:rPr>
              <w:t>车间沉降</w:t>
            </w:r>
          </w:p>
        </w:tc>
      </w:tr>
      <w:tr w14:paraId="3F518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299A781A">
            <w:pPr>
              <w:pStyle w:val="25"/>
              <w:rPr>
                <w:color w:val="auto"/>
                <w:u w:val="none"/>
              </w:rPr>
            </w:pPr>
          </w:p>
        </w:tc>
        <w:tc>
          <w:tcPr>
            <w:tcW w:w="1280" w:type="dxa"/>
            <w:noWrap w:val="0"/>
            <w:vAlign w:val="center"/>
          </w:tcPr>
          <w:p w14:paraId="23F3F75A">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加热混捏废气</w:t>
            </w:r>
          </w:p>
        </w:tc>
        <w:tc>
          <w:tcPr>
            <w:tcW w:w="1928" w:type="dxa"/>
            <w:noWrap w:val="0"/>
            <w:vAlign w:val="center"/>
          </w:tcPr>
          <w:p w14:paraId="4820D29A">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颗粒物、非甲烷总烃、甲醛、酚类</w:t>
            </w:r>
          </w:p>
        </w:tc>
        <w:tc>
          <w:tcPr>
            <w:tcW w:w="1306" w:type="dxa"/>
            <w:noWrap w:val="0"/>
            <w:vAlign w:val="center"/>
          </w:tcPr>
          <w:p w14:paraId="6B655C7E">
            <w:pPr>
              <w:pStyle w:val="25"/>
              <w:rPr>
                <w:rFonts w:hint="default" w:ascii="Times New Roman" w:hAnsi="Times New Roman" w:eastAsia="宋体" w:cs="Times New Roman"/>
                <w:color w:val="auto"/>
                <w:kern w:val="2"/>
                <w:sz w:val="21"/>
                <w:szCs w:val="24"/>
                <w:u w:val="none"/>
                <w:lang w:val="en-US" w:eastAsia="zh-CN" w:bidi="ar-SA"/>
              </w:rPr>
            </w:pPr>
            <w:r>
              <w:rPr>
                <w:rFonts w:hint="eastAsia"/>
                <w:color w:val="auto"/>
                <w:u w:val="none"/>
                <w:lang w:val="en-US" w:eastAsia="zh-CN"/>
              </w:rPr>
              <w:t>加热混捏</w:t>
            </w:r>
          </w:p>
        </w:tc>
        <w:tc>
          <w:tcPr>
            <w:tcW w:w="1430" w:type="dxa"/>
            <w:noWrap w:val="0"/>
            <w:vAlign w:val="center"/>
          </w:tcPr>
          <w:p w14:paraId="6D245C30">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管道</w:t>
            </w:r>
          </w:p>
        </w:tc>
        <w:tc>
          <w:tcPr>
            <w:tcW w:w="1431" w:type="dxa"/>
            <w:vMerge w:val="restart"/>
            <w:noWrap w:val="0"/>
            <w:vAlign w:val="center"/>
          </w:tcPr>
          <w:p w14:paraId="433893EC">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布袋除尘器+活性炭吸附装置+15m排气筒（DA001）</w:t>
            </w:r>
          </w:p>
        </w:tc>
      </w:tr>
      <w:tr w14:paraId="1BFBD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828E6A0">
            <w:pPr>
              <w:pStyle w:val="25"/>
              <w:rPr>
                <w:color w:val="auto"/>
                <w:u w:val="none"/>
              </w:rPr>
            </w:pPr>
          </w:p>
        </w:tc>
        <w:tc>
          <w:tcPr>
            <w:tcW w:w="1280" w:type="dxa"/>
            <w:noWrap w:val="0"/>
            <w:vAlign w:val="center"/>
          </w:tcPr>
          <w:p w14:paraId="1E6B5E43">
            <w:pPr>
              <w:pStyle w:val="25"/>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冷却废气</w:t>
            </w:r>
          </w:p>
        </w:tc>
        <w:tc>
          <w:tcPr>
            <w:tcW w:w="1928" w:type="dxa"/>
            <w:noWrap w:val="0"/>
            <w:vAlign w:val="center"/>
          </w:tcPr>
          <w:p w14:paraId="5C73154F">
            <w:pPr>
              <w:pStyle w:val="25"/>
              <w:rPr>
                <w:rFonts w:hint="eastAsia"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非甲烷总烃、甲醛、酚类</w:t>
            </w:r>
          </w:p>
        </w:tc>
        <w:tc>
          <w:tcPr>
            <w:tcW w:w="1306" w:type="dxa"/>
            <w:noWrap w:val="0"/>
            <w:vAlign w:val="center"/>
          </w:tcPr>
          <w:p w14:paraId="3E565856">
            <w:pPr>
              <w:pStyle w:val="25"/>
              <w:rPr>
                <w:rFonts w:hint="default"/>
                <w:color w:val="auto"/>
                <w:u w:val="none"/>
                <w:lang w:val="en-US" w:eastAsia="zh-CN"/>
              </w:rPr>
            </w:pPr>
            <w:r>
              <w:rPr>
                <w:rFonts w:hint="eastAsia"/>
                <w:color w:val="auto"/>
                <w:u w:val="none"/>
                <w:lang w:val="en-US" w:eastAsia="zh-CN"/>
              </w:rPr>
              <w:t>冷却</w:t>
            </w:r>
          </w:p>
        </w:tc>
        <w:tc>
          <w:tcPr>
            <w:tcW w:w="1430" w:type="dxa"/>
            <w:noWrap w:val="0"/>
            <w:vAlign w:val="center"/>
          </w:tcPr>
          <w:p w14:paraId="7A140C46">
            <w:pPr>
              <w:pStyle w:val="25"/>
              <w:rPr>
                <w:rFonts w:hint="default"/>
                <w:color w:val="auto"/>
                <w:u w:val="none"/>
                <w:lang w:val="en-US" w:eastAsia="zh-CN"/>
              </w:rPr>
            </w:pPr>
            <w:r>
              <w:rPr>
                <w:rFonts w:hint="eastAsia"/>
                <w:color w:val="auto"/>
                <w:u w:val="none"/>
                <w:lang w:val="en-US" w:eastAsia="zh-CN"/>
              </w:rPr>
              <w:t>管道</w:t>
            </w:r>
          </w:p>
        </w:tc>
        <w:tc>
          <w:tcPr>
            <w:tcW w:w="1431" w:type="dxa"/>
            <w:vMerge w:val="continue"/>
            <w:noWrap w:val="0"/>
            <w:vAlign w:val="center"/>
          </w:tcPr>
          <w:p w14:paraId="5C34A919">
            <w:pPr>
              <w:pStyle w:val="25"/>
              <w:rPr>
                <w:rFonts w:hint="eastAsia"/>
                <w:color w:val="auto"/>
                <w:u w:val="none"/>
                <w:lang w:eastAsia="zh-CN"/>
              </w:rPr>
            </w:pPr>
          </w:p>
        </w:tc>
      </w:tr>
      <w:tr w14:paraId="45F79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0477AEE">
            <w:pPr>
              <w:pStyle w:val="25"/>
              <w:rPr>
                <w:color w:val="auto"/>
                <w:u w:val="none"/>
              </w:rPr>
            </w:pPr>
          </w:p>
        </w:tc>
        <w:tc>
          <w:tcPr>
            <w:tcW w:w="1280" w:type="dxa"/>
            <w:noWrap w:val="0"/>
            <w:vAlign w:val="center"/>
          </w:tcPr>
          <w:p w14:paraId="67F23DC9">
            <w:pPr>
              <w:pStyle w:val="25"/>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磨粉废气</w:t>
            </w:r>
          </w:p>
        </w:tc>
        <w:tc>
          <w:tcPr>
            <w:tcW w:w="1928" w:type="dxa"/>
            <w:noWrap w:val="0"/>
            <w:vAlign w:val="center"/>
          </w:tcPr>
          <w:p w14:paraId="4BA54A10">
            <w:pPr>
              <w:pStyle w:val="25"/>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颗粒物</w:t>
            </w:r>
          </w:p>
        </w:tc>
        <w:tc>
          <w:tcPr>
            <w:tcW w:w="1306" w:type="dxa"/>
            <w:noWrap w:val="0"/>
            <w:vAlign w:val="center"/>
          </w:tcPr>
          <w:p w14:paraId="2102FE20">
            <w:pPr>
              <w:pStyle w:val="25"/>
              <w:rPr>
                <w:rFonts w:hint="default"/>
                <w:color w:val="auto"/>
                <w:u w:val="none"/>
                <w:lang w:val="en-US" w:eastAsia="zh-CN"/>
              </w:rPr>
            </w:pPr>
            <w:r>
              <w:rPr>
                <w:rFonts w:hint="eastAsia"/>
                <w:color w:val="auto"/>
                <w:u w:val="none"/>
                <w:lang w:val="en-US" w:eastAsia="zh-CN"/>
              </w:rPr>
              <w:t>磨粉</w:t>
            </w:r>
          </w:p>
        </w:tc>
        <w:tc>
          <w:tcPr>
            <w:tcW w:w="1430" w:type="dxa"/>
            <w:noWrap w:val="0"/>
            <w:vAlign w:val="center"/>
          </w:tcPr>
          <w:p w14:paraId="1E99F9AB">
            <w:pPr>
              <w:pStyle w:val="25"/>
              <w:rPr>
                <w:rFonts w:hint="default"/>
                <w:color w:val="auto"/>
                <w:u w:val="none"/>
                <w:lang w:val="en-US" w:eastAsia="zh-CN"/>
              </w:rPr>
            </w:pPr>
            <w:r>
              <w:rPr>
                <w:rFonts w:hint="eastAsia"/>
                <w:color w:val="auto"/>
                <w:u w:val="none"/>
                <w:lang w:val="en-US" w:eastAsia="zh-CN"/>
              </w:rPr>
              <w:t>管道</w:t>
            </w:r>
          </w:p>
        </w:tc>
        <w:tc>
          <w:tcPr>
            <w:tcW w:w="1431" w:type="dxa"/>
            <w:vMerge w:val="continue"/>
            <w:noWrap w:val="0"/>
            <w:vAlign w:val="center"/>
          </w:tcPr>
          <w:p w14:paraId="6FD2D632">
            <w:pPr>
              <w:pStyle w:val="25"/>
              <w:rPr>
                <w:rFonts w:hint="eastAsia"/>
                <w:color w:val="auto"/>
                <w:u w:val="none"/>
                <w:lang w:eastAsia="zh-CN"/>
              </w:rPr>
            </w:pPr>
          </w:p>
        </w:tc>
      </w:tr>
      <w:tr w14:paraId="6F537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78BD3D47">
            <w:pPr>
              <w:pStyle w:val="25"/>
              <w:rPr>
                <w:color w:val="auto"/>
                <w:u w:val="none"/>
              </w:rPr>
            </w:pPr>
          </w:p>
        </w:tc>
        <w:tc>
          <w:tcPr>
            <w:tcW w:w="1280" w:type="dxa"/>
            <w:noWrap w:val="0"/>
            <w:vAlign w:val="center"/>
          </w:tcPr>
          <w:p w14:paraId="063E70A5">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混合废气</w:t>
            </w:r>
          </w:p>
        </w:tc>
        <w:tc>
          <w:tcPr>
            <w:tcW w:w="1928" w:type="dxa"/>
            <w:noWrap w:val="0"/>
            <w:vAlign w:val="center"/>
          </w:tcPr>
          <w:p w14:paraId="07A0AA4B">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颗粒物</w:t>
            </w:r>
          </w:p>
        </w:tc>
        <w:tc>
          <w:tcPr>
            <w:tcW w:w="1306" w:type="dxa"/>
            <w:noWrap w:val="0"/>
            <w:vAlign w:val="center"/>
          </w:tcPr>
          <w:p w14:paraId="03590D44">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混合</w:t>
            </w:r>
          </w:p>
        </w:tc>
        <w:tc>
          <w:tcPr>
            <w:tcW w:w="1430" w:type="dxa"/>
            <w:noWrap w:val="0"/>
            <w:vAlign w:val="center"/>
          </w:tcPr>
          <w:p w14:paraId="5FD40DCC">
            <w:pPr>
              <w:pStyle w:val="25"/>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管道</w:t>
            </w:r>
          </w:p>
        </w:tc>
        <w:tc>
          <w:tcPr>
            <w:tcW w:w="1431" w:type="dxa"/>
            <w:vMerge w:val="continue"/>
            <w:noWrap w:val="0"/>
            <w:vAlign w:val="center"/>
          </w:tcPr>
          <w:p w14:paraId="0C6D19FC">
            <w:pPr>
              <w:pStyle w:val="25"/>
              <w:rPr>
                <w:rFonts w:hint="eastAsia" w:ascii="Times New Roman" w:hAnsi="Times New Roman" w:eastAsia="宋体" w:cs="Times New Roman"/>
                <w:color w:val="auto"/>
                <w:kern w:val="2"/>
                <w:sz w:val="21"/>
                <w:szCs w:val="21"/>
                <w:u w:val="none"/>
                <w:lang w:val="en-US" w:eastAsia="zh-CN" w:bidi="ar-SA"/>
              </w:rPr>
            </w:pPr>
          </w:p>
        </w:tc>
      </w:tr>
      <w:tr w14:paraId="23BE0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5A313A51">
            <w:pPr>
              <w:pStyle w:val="25"/>
              <w:rPr>
                <w:color w:val="auto"/>
                <w:u w:val="none"/>
              </w:rPr>
            </w:pPr>
          </w:p>
        </w:tc>
        <w:tc>
          <w:tcPr>
            <w:tcW w:w="1280" w:type="dxa"/>
            <w:noWrap w:val="0"/>
            <w:vAlign w:val="center"/>
          </w:tcPr>
          <w:p w14:paraId="371AC372">
            <w:pPr>
              <w:pStyle w:val="25"/>
              <w:rPr>
                <w:rFonts w:hint="default"/>
                <w:color w:val="auto"/>
                <w:u w:val="none"/>
                <w:lang w:val="en-US" w:eastAsia="zh-CN"/>
              </w:rPr>
            </w:pPr>
            <w:r>
              <w:rPr>
                <w:rFonts w:hint="eastAsia"/>
                <w:color w:val="auto"/>
                <w:u w:val="none"/>
                <w:lang w:val="en-US" w:eastAsia="zh-CN"/>
              </w:rPr>
              <w:t>焙烧废气</w:t>
            </w:r>
          </w:p>
        </w:tc>
        <w:tc>
          <w:tcPr>
            <w:tcW w:w="1928" w:type="dxa"/>
            <w:noWrap w:val="0"/>
            <w:vAlign w:val="center"/>
          </w:tcPr>
          <w:p w14:paraId="0CCBD216">
            <w:pPr>
              <w:pStyle w:val="25"/>
              <w:rPr>
                <w:rFonts w:hint="default" w:eastAsia="宋体"/>
                <w:color w:val="auto"/>
                <w:u w:val="none"/>
                <w:lang w:val="en-US" w:eastAsia="zh-CN"/>
              </w:rPr>
            </w:pPr>
            <w:r>
              <w:rPr>
                <w:rFonts w:hint="eastAsia"/>
                <w:color w:val="auto"/>
                <w:u w:val="none"/>
                <w:lang w:val="en-US" w:eastAsia="zh-CN"/>
              </w:rPr>
              <w:t>非甲烷总烃、颗粒物、二氧化硫、氮氧化物</w:t>
            </w:r>
          </w:p>
        </w:tc>
        <w:tc>
          <w:tcPr>
            <w:tcW w:w="1306" w:type="dxa"/>
            <w:noWrap w:val="0"/>
            <w:vAlign w:val="center"/>
          </w:tcPr>
          <w:p w14:paraId="1F9E7780">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焙烧</w:t>
            </w:r>
          </w:p>
        </w:tc>
        <w:tc>
          <w:tcPr>
            <w:tcW w:w="1430" w:type="dxa"/>
            <w:noWrap w:val="0"/>
            <w:vAlign w:val="center"/>
          </w:tcPr>
          <w:p w14:paraId="2D548997">
            <w:pPr>
              <w:pStyle w:val="25"/>
              <w:rPr>
                <w:rFonts w:hint="default"/>
                <w:color w:val="auto"/>
                <w:u w:val="none"/>
                <w:lang w:val="en-US" w:eastAsia="zh-CN"/>
              </w:rPr>
            </w:pPr>
            <w:r>
              <w:rPr>
                <w:rFonts w:hint="eastAsia"/>
                <w:color w:val="auto"/>
                <w:u w:val="none"/>
                <w:lang w:val="en-US" w:eastAsia="zh-CN"/>
              </w:rPr>
              <w:t>管道</w:t>
            </w:r>
          </w:p>
        </w:tc>
        <w:tc>
          <w:tcPr>
            <w:tcW w:w="1431" w:type="dxa"/>
            <w:noWrap w:val="0"/>
            <w:vAlign w:val="center"/>
          </w:tcPr>
          <w:p w14:paraId="6F7C2898">
            <w:pPr>
              <w:pStyle w:val="25"/>
              <w:rPr>
                <w:rFonts w:hint="eastAsia"/>
                <w:color w:val="auto"/>
                <w:u w:val="none" w:color="auto"/>
                <w:lang w:val="en-US" w:eastAsia="zh-CN"/>
              </w:rPr>
            </w:pPr>
            <w:r>
              <w:rPr>
                <w:rFonts w:hint="eastAsia"/>
                <w:color w:val="auto"/>
                <w:u w:val="none" w:color="auto"/>
                <w:lang w:val="en-US" w:eastAsia="zh-CN"/>
              </w:rPr>
              <w:t>焚烧炉1#+15m排气筒（DA002）、焚烧炉2#+15m排气筒（DA003）</w:t>
            </w:r>
          </w:p>
        </w:tc>
      </w:tr>
      <w:tr w14:paraId="5EE82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noWrap w:val="0"/>
            <w:vAlign w:val="center"/>
          </w:tcPr>
          <w:p w14:paraId="4E9BD240">
            <w:pPr>
              <w:pStyle w:val="25"/>
              <w:rPr>
                <w:color w:val="auto"/>
                <w:u w:val="none"/>
              </w:rPr>
            </w:pPr>
            <w:r>
              <w:rPr>
                <w:color w:val="auto"/>
                <w:u w:val="none"/>
              </w:rPr>
              <w:t>废水</w:t>
            </w:r>
          </w:p>
        </w:tc>
        <w:tc>
          <w:tcPr>
            <w:tcW w:w="1280" w:type="dxa"/>
            <w:noWrap w:val="0"/>
            <w:vAlign w:val="center"/>
          </w:tcPr>
          <w:p w14:paraId="330DA583">
            <w:pPr>
              <w:pStyle w:val="25"/>
              <w:rPr>
                <w:rFonts w:hint="eastAsia" w:ascii="Times New Roman" w:hAnsi="Times New Roman" w:eastAsia="宋体"/>
                <w:color w:val="auto"/>
                <w:kern w:val="2"/>
                <w:sz w:val="21"/>
                <w:szCs w:val="24"/>
                <w:u w:val="none"/>
                <w:lang w:val="en-US" w:eastAsia="zh-CN" w:bidi="ar-SA"/>
              </w:rPr>
            </w:pPr>
            <w:r>
              <w:rPr>
                <w:rFonts w:hint="eastAsia" w:ascii="Times New Roman" w:hAnsi="Times New Roman"/>
                <w:color w:val="auto"/>
                <w:kern w:val="2"/>
                <w:sz w:val="21"/>
                <w:szCs w:val="24"/>
                <w:u w:val="none"/>
                <w:lang w:val="en-US" w:eastAsia="zh-CN" w:bidi="ar-SA"/>
              </w:rPr>
              <w:t>生活污水</w:t>
            </w:r>
          </w:p>
        </w:tc>
        <w:tc>
          <w:tcPr>
            <w:tcW w:w="1928" w:type="dxa"/>
            <w:noWrap w:val="0"/>
            <w:vAlign w:val="center"/>
          </w:tcPr>
          <w:p w14:paraId="7A911287">
            <w:pPr>
              <w:pStyle w:val="25"/>
              <w:rPr>
                <w:rFonts w:ascii="Times New Roman" w:hAnsi="Times New Roman"/>
                <w:color w:val="auto"/>
                <w:kern w:val="2"/>
                <w:sz w:val="21"/>
                <w:szCs w:val="24"/>
                <w:u w:val="none"/>
                <w:lang w:val="en-US" w:eastAsia="zh-CN" w:bidi="ar-SA"/>
              </w:rPr>
            </w:pPr>
            <w:r>
              <w:rPr>
                <w:color w:val="auto"/>
                <w:u w:val="none"/>
              </w:rPr>
              <w:t>COD</w:t>
            </w:r>
            <w:r>
              <w:rPr>
                <w:rFonts w:hint="eastAsia"/>
                <w:color w:val="auto"/>
                <w:u w:val="none"/>
              </w:rPr>
              <w:t>cr</w:t>
            </w:r>
            <w:r>
              <w:rPr>
                <w:color w:val="auto"/>
                <w:u w:val="none"/>
              </w:rPr>
              <w:t>、SS、NH</w:t>
            </w:r>
            <w:r>
              <w:rPr>
                <w:color w:val="auto"/>
                <w:u w:val="none"/>
                <w:vertAlign w:val="subscript"/>
              </w:rPr>
              <w:t>3</w:t>
            </w:r>
            <w:r>
              <w:rPr>
                <w:color w:val="auto"/>
                <w:u w:val="none"/>
              </w:rPr>
              <w:t>-N等</w:t>
            </w:r>
          </w:p>
        </w:tc>
        <w:tc>
          <w:tcPr>
            <w:tcW w:w="1306" w:type="dxa"/>
            <w:noWrap w:val="0"/>
            <w:vAlign w:val="center"/>
          </w:tcPr>
          <w:p w14:paraId="1F1296A3">
            <w:pPr>
              <w:pStyle w:val="25"/>
              <w:rPr>
                <w:color w:val="auto"/>
                <w:u w:val="none"/>
              </w:rPr>
            </w:pPr>
            <w:r>
              <w:rPr>
                <w:rFonts w:hint="eastAsia"/>
                <w:color w:val="auto"/>
                <w:u w:val="none"/>
                <w:lang w:eastAsia="zh-CN"/>
              </w:rPr>
              <w:t>员工生活</w:t>
            </w:r>
          </w:p>
        </w:tc>
        <w:tc>
          <w:tcPr>
            <w:tcW w:w="2861" w:type="dxa"/>
            <w:gridSpan w:val="2"/>
            <w:noWrap w:val="0"/>
            <w:vAlign w:val="center"/>
          </w:tcPr>
          <w:p w14:paraId="7FEDA197">
            <w:pPr>
              <w:pStyle w:val="25"/>
              <w:rPr>
                <w:rFonts w:hint="eastAsia" w:ascii="Times New Roman" w:hAnsi="Times New Roman" w:eastAsia="宋体"/>
                <w:color w:val="auto"/>
                <w:kern w:val="2"/>
                <w:sz w:val="21"/>
                <w:szCs w:val="24"/>
                <w:u w:val="none"/>
                <w:lang w:val="en-US" w:eastAsia="zh-CN" w:bidi="ar-SA"/>
              </w:rPr>
            </w:pPr>
            <w:r>
              <w:rPr>
                <w:rFonts w:hint="eastAsia"/>
                <w:color w:val="auto"/>
                <w:u w:val="none"/>
                <w:lang w:eastAsia="zh-CN"/>
              </w:rPr>
              <w:t>经化粪池处理后进入长沙经开区汨罗产业园污水处理厂处理</w:t>
            </w:r>
          </w:p>
        </w:tc>
      </w:tr>
      <w:tr w14:paraId="26547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noWrap w:val="0"/>
            <w:vAlign w:val="center"/>
          </w:tcPr>
          <w:p w14:paraId="5985525D">
            <w:pPr>
              <w:pStyle w:val="25"/>
              <w:rPr>
                <w:color w:val="auto"/>
                <w:u w:val="none"/>
              </w:rPr>
            </w:pPr>
            <w:r>
              <w:rPr>
                <w:color w:val="auto"/>
                <w:u w:val="none"/>
              </w:rPr>
              <w:t>噪声</w:t>
            </w:r>
          </w:p>
        </w:tc>
        <w:tc>
          <w:tcPr>
            <w:tcW w:w="1280" w:type="dxa"/>
            <w:noWrap w:val="0"/>
            <w:vAlign w:val="center"/>
          </w:tcPr>
          <w:p w14:paraId="274B9FE8">
            <w:pPr>
              <w:pStyle w:val="25"/>
              <w:rPr>
                <w:rFonts w:hint="eastAsia" w:eastAsia="宋体"/>
                <w:color w:val="auto"/>
                <w:u w:val="none"/>
                <w:lang w:eastAsia="zh-CN"/>
              </w:rPr>
            </w:pPr>
            <w:r>
              <w:rPr>
                <w:rFonts w:hint="eastAsia"/>
                <w:color w:val="auto"/>
                <w:u w:val="none"/>
                <w:lang w:eastAsia="zh-CN"/>
              </w:rPr>
              <w:t>生产噪声</w:t>
            </w:r>
          </w:p>
        </w:tc>
        <w:tc>
          <w:tcPr>
            <w:tcW w:w="1928" w:type="dxa"/>
            <w:noWrap w:val="0"/>
            <w:vAlign w:val="center"/>
          </w:tcPr>
          <w:p w14:paraId="07689F0F">
            <w:pPr>
              <w:pStyle w:val="25"/>
              <w:rPr>
                <w:color w:val="auto"/>
                <w:u w:val="none"/>
              </w:rPr>
            </w:pPr>
            <w:r>
              <w:rPr>
                <w:color w:val="auto"/>
                <w:u w:val="none"/>
              </w:rPr>
              <w:t>机械噪声</w:t>
            </w:r>
          </w:p>
        </w:tc>
        <w:tc>
          <w:tcPr>
            <w:tcW w:w="1306" w:type="dxa"/>
            <w:noWrap w:val="0"/>
            <w:vAlign w:val="center"/>
          </w:tcPr>
          <w:p w14:paraId="47947781">
            <w:pPr>
              <w:pStyle w:val="25"/>
              <w:rPr>
                <w:color w:val="auto"/>
                <w:u w:val="none"/>
              </w:rPr>
            </w:pPr>
            <w:r>
              <w:rPr>
                <w:color w:val="auto"/>
                <w:u w:val="none"/>
              </w:rPr>
              <w:t>生产设备</w:t>
            </w:r>
          </w:p>
        </w:tc>
        <w:tc>
          <w:tcPr>
            <w:tcW w:w="2861" w:type="dxa"/>
            <w:gridSpan w:val="2"/>
            <w:noWrap w:val="0"/>
            <w:vAlign w:val="center"/>
          </w:tcPr>
          <w:p w14:paraId="359BADD5">
            <w:pPr>
              <w:pStyle w:val="25"/>
              <w:rPr>
                <w:color w:val="auto"/>
                <w:u w:val="none"/>
              </w:rPr>
            </w:pPr>
            <w:r>
              <w:rPr>
                <w:color w:val="auto"/>
                <w:u w:val="none"/>
              </w:rPr>
              <w:t>减振、隔声、距离衰减</w:t>
            </w:r>
          </w:p>
        </w:tc>
      </w:tr>
      <w:tr w14:paraId="34C66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noWrap w:val="0"/>
            <w:vAlign w:val="center"/>
          </w:tcPr>
          <w:p w14:paraId="091E4DBB">
            <w:pPr>
              <w:pStyle w:val="25"/>
              <w:rPr>
                <w:color w:val="auto"/>
                <w:u w:val="none"/>
              </w:rPr>
            </w:pPr>
            <w:r>
              <w:rPr>
                <w:color w:val="auto"/>
                <w:u w:val="none"/>
              </w:rPr>
              <w:t>固废</w:t>
            </w:r>
          </w:p>
        </w:tc>
        <w:tc>
          <w:tcPr>
            <w:tcW w:w="1280" w:type="dxa"/>
            <w:vMerge w:val="restart"/>
            <w:noWrap w:val="0"/>
            <w:vAlign w:val="center"/>
          </w:tcPr>
          <w:p w14:paraId="7A88E7AD">
            <w:pPr>
              <w:pStyle w:val="25"/>
              <w:rPr>
                <w:color w:val="auto"/>
                <w:u w:val="none"/>
              </w:rPr>
            </w:pPr>
            <w:r>
              <w:rPr>
                <w:color w:val="auto"/>
                <w:u w:val="none"/>
              </w:rPr>
              <w:t>生产过程</w:t>
            </w:r>
          </w:p>
        </w:tc>
        <w:tc>
          <w:tcPr>
            <w:tcW w:w="1928" w:type="dxa"/>
            <w:noWrap w:val="0"/>
            <w:vAlign w:val="center"/>
          </w:tcPr>
          <w:p w14:paraId="3B76955A">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收集的粉尘</w:t>
            </w:r>
          </w:p>
        </w:tc>
        <w:tc>
          <w:tcPr>
            <w:tcW w:w="1306" w:type="dxa"/>
            <w:noWrap w:val="0"/>
            <w:vAlign w:val="center"/>
          </w:tcPr>
          <w:p w14:paraId="1DA3038F">
            <w:pPr>
              <w:pStyle w:val="25"/>
              <w:rPr>
                <w:rFonts w:hint="default"/>
                <w:color w:val="auto"/>
                <w:u w:val="none"/>
                <w:lang w:val="en-US" w:eastAsia="zh-CN"/>
              </w:rPr>
            </w:pPr>
            <w:r>
              <w:rPr>
                <w:rFonts w:hint="eastAsia"/>
                <w:color w:val="auto"/>
                <w:u w:val="none"/>
                <w:lang w:val="en-US" w:eastAsia="zh-CN"/>
              </w:rPr>
              <w:t>除尘</w:t>
            </w:r>
          </w:p>
        </w:tc>
        <w:tc>
          <w:tcPr>
            <w:tcW w:w="2861" w:type="dxa"/>
            <w:gridSpan w:val="2"/>
            <w:noWrap w:val="0"/>
            <w:vAlign w:val="center"/>
          </w:tcPr>
          <w:p w14:paraId="1F58113B">
            <w:pPr>
              <w:pStyle w:val="25"/>
              <w:rPr>
                <w:rFonts w:hint="default" w:eastAsia="宋体"/>
                <w:color w:val="auto"/>
                <w:u w:val="none"/>
                <w:lang w:val="en-US" w:eastAsia="zh-CN"/>
              </w:rPr>
            </w:pPr>
            <w:r>
              <w:rPr>
                <w:rFonts w:hint="eastAsia" w:eastAsia="宋体"/>
                <w:color w:val="auto"/>
                <w:u w:val="none"/>
                <w:lang w:val="en-US" w:eastAsia="zh-CN"/>
              </w:rPr>
              <w:t>回用于生产</w:t>
            </w:r>
          </w:p>
        </w:tc>
      </w:tr>
      <w:tr w14:paraId="66ED2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5D92DC13">
            <w:pPr>
              <w:pStyle w:val="25"/>
              <w:rPr>
                <w:color w:val="auto"/>
                <w:u w:val="none"/>
              </w:rPr>
            </w:pPr>
          </w:p>
        </w:tc>
        <w:tc>
          <w:tcPr>
            <w:tcW w:w="1280" w:type="dxa"/>
            <w:vMerge w:val="continue"/>
            <w:noWrap w:val="0"/>
            <w:vAlign w:val="center"/>
          </w:tcPr>
          <w:p w14:paraId="19DF86F3">
            <w:pPr>
              <w:pStyle w:val="25"/>
              <w:rPr>
                <w:color w:val="auto"/>
                <w:u w:val="none"/>
              </w:rPr>
            </w:pPr>
          </w:p>
        </w:tc>
        <w:tc>
          <w:tcPr>
            <w:tcW w:w="1928" w:type="dxa"/>
            <w:noWrap w:val="0"/>
            <w:vAlign w:val="center"/>
          </w:tcPr>
          <w:p w14:paraId="41487810">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不合格品</w:t>
            </w:r>
          </w:p>
        </w:tc>
        <w:tc>
          <w:tcPr>
            <w:tcW w:w="1306" w:type="dxa"/>
            <w:noWrap w:val="0"/>
            <w:vAlign w:val="center"/>
          </w:tcPr>
          <w:p w14:paraId="1C1AC8D5">
            <w:pPr>
              <w:pStyle w:val="25"/>
              <w:rPr>
                <w:rFonts w:hint="default"/>
                <w:color w:val="auto"/>
                <w:u w:val="none"/>
                <w:lang w:val="en-US" w:eastAsia="zh-CN"/>
              </w:rPr>
            </w:pPr>
            <w:r>
              <w:rPr>
                <w:rFonts w:hint="eastAsia"/>
                <w:color w:val="auto"/>
                <w:u w:val="none"/>
                <w:lang w:val="en-US" w:eastAsia="zh-CN"/>
              </w:rPr>
              <w:t>检验</w:t>
            </w:r>
          </w:p>
        </w:tc>
        <w:tc>
          <w:tcPr>
            <w:tcW w:w="2861" w:type="dxa"/>
            <w:gridSpan w:val="2"/>
            <w:noWrap w:val="0"/>
            <w:vAlign w:val="center"/>
          </w:tcPr>
          <w:p w14:paraId="7979D10A">
            <w:pPr>
              <w:pStyle w:val="25"/>
              <w:rPr>
                <w:rFonts w:hint="default"/>
                <w:color w:val="auto"/>
                <w:u w:val="none"/>
                <w:lang w:val="en-US" w:eastAsia="zh-CN"/>
              </w:rPr>
            </w:pPr>
            <w:r>
              <w:rPr>
                <w:rFonts w:hint="eastAsia"/>
                <w:color w:val="auto"/>
                <w:u w:val="none"/>
                <w:lang w:val="en-US" w:eastAsia="zh-CN"/>
              </w:rPr>
              <w:t>收集后外售给原材料供应商加工</w:t>
            </w:r>
          </w:p>
        </w:tc>
      </w:tr>
      <w:tr w14:paraId="30063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9764E04">
            <w:pPr>
              <w:pStyle w:val="25"/>
              <w:rPr>
                <w:color w:val="auto"/>
                <w:u w:val="none"/>
              </w:rPr>
            </w:pPr>
          </w:p>
        </w:tc>
        <w:tc>
          <w:tcPr>
            <w:tcW w:w="1280" w:type="dxa"/>
            <w:vMerge w:val="continue"/>
            <w:noWrap w:val="0"/>
            <w:vAlign w:val="center"/>
          </w:tcPr>
          <w:p w14:paraId="072B366D">
            <w:pPr>
              <w:pStyle w:val="25"/>
              <w:rPr>
                <w:color w:val="auto"/>
                <w:u w:val="none"/>
              </w:rPr>
            </w:pPr>
          </w:p>
        </w:tc>
        <w:tc>
          <w:tcPr>
            <w:tcW w:w="1928" w:type="dxa"/>
            <w:noWrap w:val="0"/>
            <w:vAlign w:val="center"/>
          </w:tcPr>
          <w:p w14:paraId="75F34338">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一般性废包装材料</w:t>
            </w:r>
          </w:p>
        </w:tc>
        <w:tc>
          <w:tcPr>
            <w:tcW w:w="1306" w:type="dxa"/>
            <w:noWrap w:val="0"/>
            <w:vAlign w:val="center"/>
          </w:tcPr>
          <w:p w14:paraId="1DC7DE0C">
            <w:pPr>
              <w:pStyle w:val="25"/>
              <w:rPr>
                <w:rFonts w:hint="default"/>
                <w:color w:val="auto"/>
                <w:u w:val="none"/>
                <w:lang w:val="en-US" w:eastAsia="zh-CN"/>
              </w:rPr>
            </w:pPr>
            <w:r>
              <w:rPr>
                <w:rFonts w:hint="eastAsia"/>
                <w:color w:val="auto"/>
                <w:u w:val="none"/>
                <w:lang w:val="en-US" w:eastAsia="zh-CN"/>
              </w:rPr>
              <w:t>原料</w:t>
            </w:r>
          </w:p>
        </w:tc>
        <w:tc>
          <w:tcPr>
            <w:tcW w:w="2861" w:type="dxa"/>
            <w:gridSpan w:val="2"/>
            <w:noWrap w:val="0"/>
            <w:vAlign w:val="center"/>
          </w:tcPr>
          <w:p w14:paraId="27CDCF24">
            <w:pPr>
              <w:pStyle w:val="25"/>
              <w:rPr>
                <w:rFonts w:hint="eastAsia"/>
                <w:color w:val="auto"/>
                <w:u w:val="none"/>
                <w:lang w:val="en-US" w:eastAsia="zh-CN"/>
              </w:rPr>
            </w:pPr>
            <w:r>
              <w:rPr>
                <w:rFonts w:hint="eastAsia"/>
                <w:color w:val="auto"/>
                <w:u w:val="none"/>
                <w:lang w:val="en-US" w:eastAsia="zh-CN"/>
              </w:rPr>
              <w:t>其他包装材料收集后外售综合利用、树脂包装桶收集后由厂家回收利用</w:t>
            </w:r>
          </w:p>
        </w:tc>
      </w:tr>
      <w:tr w14:paraId="3FCE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6F99A5C4">
            <w:pPr>
              <w:pStyle w:val="25"/>
              <w:rPr>
                <w:color w:val="auto"/>
                <w:u w:val="none"/>
              </w:rPr>
            </w:pPr>
          </w:p>
        </w:tc>
        <w:tc>
          <w:tcPr>
            <w:tcW w:w="1280" w:type="dxa"/>
            <w:vMerge w:val="continue"/>
            <w:noWrap w:val="0"/>
            <w:vAlign w:val="center"/>
          </w:tcPr>
          <w:p w14:paraId="13B92B5E">
            <w:pPr>
              <w:pStyle w:val="25"/>
              <w:rPr>
                <w:color w:val="auto"/>
                <w:u w:val="none"/>
              </w:rPr>
            </w:pPr>
          </w:p>
        </w:tc>
        <w:tc>
          <w:tcPr>
            <w:tcW w:w="1928" w:type="dxa"/>
            <w:noWrap w:val="0"/>
            <w:vAlign w:val="center"/>
          </w:tcPr>
          <w:p w14:paraId="6B5FD04C">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废耐火砖</w:t>
            </w:r>
          </w:p>
        </w:tc>
        <w:tc>
          <w:tcPr>
            <w:tcW w:w="1306" w:type="dxa"/>
            <w:noWrap w:val="0"/>
            <w:vAlign w:val="center"/>
          </w:tcPr>
          <w:p w14:paraId="2D0EBE8A">
            <w:pPr>
              <w:pStyle w:val="25"/>
              <w:rPr>
                <w:rFonts w:hint="default"/>
                <w:color w:val="auto"/>
                <w:u w:val="none"/>
                <w:lang w:val="en-US" w:eastAsia="zh-CN"/>
              </w:rPr>
            </w:pPr>
            <w:r>
              <w:rPr>
                <w:rFonts w:hint="eastAsia"/>
                <w:color w:val="auto"/>
                <w:u w:val="none"/>
                <w:lang w:val="en-US" w:eastAsia="zh-CN"/>
              </w:rPr>
              <w:t>焙烧</w:t>
            </w:r>
          </w:p>
        </w:tc>
        <w:tc>
          <w:tcPr>
            <w:tcW w:w="2861" w:type="dxa"/>
            <w:gridSpan w:val="2"/>
            <w:noWrap w:val="0"/>
            <w:vAlign w:val="center"/>
          </w:tcPr>
          <w:p w14:paraId="0187F0A6">
            <w:pPr>
              <w:pStyle w:val="25"/>
              <w:rPr>
                <w:rFonts w:hint="eastAsia"/>
                <w:color w:val="auto"/>
                <w:u w:val="none"/>
                <w:lang w:val="en-US" w:eastAsia="zh-CN"/>
              </w:rPr>
            </w:pPr>
            <w:r>
              <w:rPr>
                <w:rFonts w:hint="eastAsia"/>
                <w:color w:val="auto"/>
                <w:u w:val="none"/>
                <w:lang w:val="en-US" w:eastAsia="zh-CN"/>
              </w:rPr>
              <w:t>收集后外售综合利用</w:t>
            </w:r>
          </w:p>
        </w:tc>
      </w:tr>
      <w:tr w14:paraId="0EE02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08C2231">
            <w:pPr>
              <w:pStyle w:val="25"/>
              <w:rPr>
                <w:color w:val="auto"/>
                <w:u w:val="none"/>
              </w:rPr>
            </w:pPr>
          </w:p>
        </w:tc>
        <w:tc>
          <w:tcPr>
            <w:tcW w:w="1280" w:type="dxa"/>
            <w:vMerge w:val="continue"/>
            <w:noWrap w:val="0"/>
            <w:vAlign w:val="center"/>
          </w:tcPr>
          <w:p w14:paraId="49FF12EF">
            <w:pPr>
              <w:pStyle w:val="25"/>
              <w:rPr>
                <w:color w:val="auto"/>
                <w:u w:val="none"/>
              </w:rPr>
            </w:pPr>
          </w:p>
        </w:tc>
        <w:tc>
          <w:tcPr>
            <w:tcW w:w="1928" w:type="dxa"/>
            <w:noWrap w:val="0"/>
            <w:vAlign w:val="center"/>
          </w:tcPr>
          <w:p w14:paraId="7E27C5C7">
            <w:pPr>
              <w:pStyle w:val="25"/>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废矿物油</w:t>
            </w:r>
          </w:p>
        </w:tc>
        <w:tc>
          <w:tcPr>
            <w:tcW w:w="1306" w:type="dxa"/>
            <w:noWrap w:val="0"/>
            <w:vAlign w:val="center"/>
          </w:tcPr>
          <w:p w14:paraId="7D459D43">
            <w:pPr>
              <w:pStyle w:val="25"/>
              <w:rPr>
                <w:rFonts w:hint="default" w:ascii="Times New Roman" w:hAnsi="Times New Roman" w:eastAsia="宋体" w:cs="Times New Roman"/>
                <w:color w:val="auto"/>
                <w:kern w:val="2"/>
                <w:sz w:val="21"/>
                <w:szCs w:val="24"/>
                <w:u w:val="none"/>
                <w:lang w:val="en-US" w:eastAsia="zh-CN" w:bidi="ar-SA"/>
              </w:rPr>
            </w:pPr>
            <w:r>
              <w:rPr>
                <w:rFonts w:hint="eastAsia"/>
                <w:color w:val="auto"/>
                <w:u w:val="none"/>
                <w:lang w:eastAsia="zh-CN"/>
              </w:rPr>
              <w:t>设备保养</w:t>
            </w:r>
          </w:p>
        </w:tc>
        <w:tc>
          <w:tcPr>
            <w:tcW w:w="2861" w:type="dxa"/>
            <w:gridSpan w:val="2"/>
            <w:vMerge w:val="restart"/>
            <w:noWrap w:val="0"/>
            <w:vAlign w:val="center"/>
          </w:tcPr>
          <w:p w14:paraId="781FEEE8">
            <w:pPr>
              <w:pStyle w:val="25"/>
              <w:rPr>
                <w:rFonts w:hint="eastAsia"/>
                <w:color w:val="auto"/>
                <w:u w:val="none"/>
                <w:lang w:eastAsia="zh-CN"/>
              </w:rPr>
            </w:pPr>
            <w:r>
              <w:rPr>
                <w:rFonts w:hint="eastAsia"/>
                <w:color w:val="auto"/>
                <w:u w:val="none"/>
                <w:lang w:eastAsia="zh-CN"/>
              </w:rPr>
              <w:t>暂存于危废暂存间后，交由有资质单位处置</w:t>
            </w:r>
          </w:p>
        </w:tc>
      </w:tr>
      <w:tr w14:paraId="1135D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4A4F6EE9">
            <w:pPr>
              <w:pStyle w:val="25"/>
              <w:rPr>
                <w:color w:val="auto"/>
                <w:u w:val="none"/>
              </w:rPr>
            </w:pPr>
          </w:p>
        </w:tc>
        <w:tc>
          <w:tcPr>
            <w:tcW w:w="1280" w:type="dxa"/>
            <w:vMerge w:val="continue"/>
            <w:noWrap w:val="0"/>
            <w:vAlign w:val="center"/>
          </w:tcPr>
          <w:p w14:paraId="6C29A714">
            <w:pPr>
              <w:pStyle w:val="25"/>
              <w:rPr>
                <w:color w:val="auto"/>
                <w:u w:val="none"/>
              </w:rPr>
            </w:pPr>
          </w:p>
        </w:tc>
        <w:tc>
          <w:tcPr>
            <w:tcW w:w="1928" w:type="dxa"/>
            <w:noWrap w:val="0"/>
            <w:vAlign w:val="center"/>
          </w:tcPr>
          <w:p w14:paraId="7811CEDF">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废液压油</w:t>
            </w:r>
          </w:p>
        </w:tc>
        <w:tc>
          <w:tcPr>
            <w:tcW w:w="1306" w:type="dxa"/>
            <w:noWrap w:val="0"/>
            <w:vAlign w:val="center"/>
          </w:tcPr>
          <w:p w14:paraId="7AB3E58F">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设备保养</w:t>
            </w:r>
          </w:p>
        </w:tc>
        <w:tc>
          <w:tcPr>
            <w:tcW w:w="2861" w:type="dxa"/>
            <w:gridSpan w:val="2"/>
            <w:vMerge w:val="continue"/>
            <w:noWrap w:val="0"/>
            <w:vAlign w:val="center"/>
          </w:tcPr>
          <w:p w14:paraId="09A68925">
            <w:pPr>
              <w:pStyle w:val="25"/>
              <w:rPr>
                <w:rFonts w:hint="eastAsia"/>
                <w:color w:val="auto"/>
                <w:u w:val="none"/>
                <w:lang w:eastAsia="zh-CN"/>
              </w:rPr>
            </w:pPr>
          </w:p>
        </w:tc>
      </w:tr>
      <w:tr w14:paraId="161D2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63249C08">
            <w:pPr>
              <w:pStyle w:val="25"/>
              <w:rPr>
                <w:color w:val="auto"/>
                <w:u w:val="none"/>
              </w:rPr>
            </w:pPr>
          </w:p>
        </w:tc>
        <w:tc>
          <w:tcPr>
            <w:tcW w:w="1280" w:type="dxa"/>
            <w:vMerge w:val="continue"/>
            <w:noWrap w:val="0"/>
            <w:vAlign w:val="center"/>
          </w:tcPr>
          <w:p w14:paraId="0F1074F2">
            <w:pPr>
              <w:pStyle w:val="25"/>
              <w:rPr>
                <w:color w:val="auto"/>
                <w:u w:val="none"/>
              </w:rPr>
            </w:pPr>
          </w:p>
        </w:tc>
        <w:tc>
          <w:tcPr>
            <w:tcW w:w="1928" w:type="dxa"/>
            <w:noWrap w:val="0"/>
            <w:vAlign w:val="center"/>
          </w:tcPr>
          <w:p w14:paraId="54F16FFF">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废导热油</w:t>
            </w:r>
          </w:p>
        </w:tc>
        <w:tc>
          <w:tcPr>
            <w:tcW w:w="1306" w:type="dxa"/>
            <w:noWrap w:val="0"/>
            <w:vAlign w:val="center"/>
          </w:tcPr>
          <w:p w14:paraId="46A5D08D">
            <w:pPr>
              <w:pStyle w:val="25"/>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设备保养</w:t>
            </w:r>
          </w:p>
        </w:tc>
        <w:tc>
          <w:tcPr>
            <w:tcW w:w="2861" w:type="dxa"/>
            <w:gridSpan w:val="2"/>
            <w:vMerge w:val="continue"/>
            <w:noWrap w:val="0"/>
            <w:vAlign w:val="center"/>
          </w:tcPr>
          <w:p w14:paraId="18BEDEBA">
            <w:pPr>
              <w:pStyle w:val="25"/>
              <w:rPr>
                <w:rFonts w:hint="eastAsia"/>
                <w:color w:val="auto"/>
                <w:u w:val="none"/>
                <w:lang w:eastAsia="zh-CN"/>
              </w:rPr>
            </w:pPr>
          </w:p>
        </w:tc>
      </w:tr>
      <w:tr w14:paraId="583C9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CE5F8A9">
            <w:pPr>
              <w:pStyle w:val="25"/>
              <w:rPr>
                <w:color w:val="auto"/>
                <w:u w:val="none"/>
              </w:rPr>
            </w:pPr>
          </w:p>
        </w:tc>
        <w:tc>
          <w:tcPr>
            <w:tcW w:w="1280" w:type="dxa"/>
            <w:vMerge w:val="continue"/>
            <w:noWrap w:val="0"/>
            <w:vAlign w:val="center"/>
          </w:tcPr>
          <w:p w14:paraId="1FEBD1B1">
            <w:pPr>
              <w:pStyle w:val="25"/>
              <w:rPr>
                <w:color w:val="auto"/>
                <w:u w:val="none"/>
              </w:rPr>
            </w:pPr>
          </w:p>
        </w:tc>
        <w:tc>
          <w:tcPr>
            <w:tcW w:w="1928" w:type="dxa"/>
            <w:noWrap w:val="0"/>
            <w:vAlign w:val="center"/>
          </w:tcPr>
          <w:p w14:paraId="33E74A64">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废含油抹布及手套</w:t>
            </w:r>
          </w:p>
        </w:tc>
        <w:tc>
          <w:tcPr>
            <w:tcW w:w="1306" w:type="dxa"/>
            <w:noWrap w:val="0"/>
            <w:vAlign w:val="center"/>
          </w:tcPr>
          <w:p w14:paraId="3473197B">
            <w:pPr>
              <w:pStyle w:val="25"/>
              <w:rPr>
                <w:rFonts w:hint="eastAsia"/>
                <w:color w:val="auto"/>
                <w:u w:val="none"/>
                <w:lang w:eastAsia="zh-CN"/>
              </w:rPr>
            </w:pPr>
            <w:r>
              <w:rPr>
                <w:rFonts w:hint="eastAsia" w:ascii="Times New Roman" w:hAnsi="Times New Roman" w:eastAsia="宋体" w:cs="Times New Roman"/>
                <w:color w:val="auto"/>
                <w:kern w:val="2"/>
                <w:sz w:val="21"/>
                <w:szCs w:val="24"/>
                <w:u w:val="none"/>
                <w:lang w:val="en-US" w:eastAsia="zh-CN" w:bidi="ar-SA"/>
              </w:rPr>
              <w:t>设备保养</w:t>
            </w:r>
          </w:p>
        </w:tc>
        <w:tc>
          <w:tcPr>
            <w:tcW w:w="2861" w:type="dxa"/>
            <w:gridSpan w:val="2"/>
            <w:vMerge w:val="continue"/>
            <w:noWrap w:val="0"/>
            <w:vAlign w:val="center"/>
          </w:tcPr>
          <w:p w14:paraId="08A05490">
            <w:pPr>
              <w:pStyle w:val="25"/>
              <w:rPr>
                <w:rFonts w:hint="eastAsia"/>
                <w:color w:val="auto"/>
                <w:u w:val="none"/>
                <w:lang w:eastAsia="zh-CN"/>
              </w:rPr>
            </w:pPr>
          </w:p>
        </w:tc>
      </w:tr>
      <w:tr w14:paraId="1FC70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6AC4F96F">
            <w:pPr>
              <w:pStyle w:val="25"/>
              <w:rPr>
                <w:color w:val="auto"/>
                <w:u w:val="none"/>
              </w:rPr>
            </w:pPr>
          </w:p>
        </w:tc>
        <w:tc>
          <w:tcPr>
            <w:tcW w:w="1280" w:type="dxa"/>
            <w:vMerge w:val="continue"/>
            <w:noWrap w:val="0"/>
            <w:vAlign w:val="center"/>
          </w:tcPr>
          <w:p w14:paraId="37DD7FD2">
            <w:pPr>
              <w:pStyle w:val="25"/>
              <w:rPr>
                <w:color w:val="auto"/>
                <w:u w:val="none"/>
              </w:rPr>
            </w:pPr>
          </w:p>
        </w:tc>
        <w:tc>
          <w:tcPr>
            <w:tcW w:w="1928" w:type="dxa"/>
            <w:noWrap w:val="0"/>
            <w:vAlign w:val="center"/>
          </w:tcPr>
          <w:p w14:paraId="02C46DE2">
            <w:pPr>
              <w:pStyle w:val="25"/>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废油桶</w:t>
            </w:r>
          </w:p>
        </w:tc>
        <w:tc>
          <w:tcPr>
            <w:tcW w:w="1306" w:type="dxa"/>
            <w:noWrap w:val="0"/>
            <w:vAlign w:val="center"/>
          </w:tcPr>
          <w:p w14:paraId="0138192E">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设备保养</w:t>
            </w:r>
          </w:p>
        </w:tc>
        <w:tc>
          <w:tcPr>
            <w:tcW w:w="2861" w:type="dxa"/>
            <w:gridSpan w:val="2"/>
            <w:vMerge w:val="continue"/>
            <w:noWrap w:val="0"/>
            <w:vAlign w:val="center"/>
          </w:tcPr>
          <w:p w14:paraId="06B2EB80">
            <w:pPr>
              <w:pStyle w:val="25"/>
              <w:rPr>
                <w:rFonts w:hint="eastAsia"/>
                <w:color w:val="auto"/>
                <w:u w:val="none"/>
                <w:lang w:eastAsia="zh-CN"/>
              </w:rPr>
            </w:pPr>
          </w:p>
        </w:tc>
      </w:tr>
      <w:tr w14:paraId="6A267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658D7C86">
            <w:pPr>
              <w:pStyle w:val="25"/>
              <w:rPr>
                <w:color w:val="auto"/>
                <w:u w:val="none"/>
              </w:rPr>
            </w:pPr>
          </w:p>
        </w:tc>
        <w:tc>
          <w:tcPr>
            <w:tcW w:w="1280" w:type="dxa"/>
            <w:vMerge w:val="continue"/>
            <w:noWrap w:val="0"/>
            <w:vAlign w:val="center"/>
          </w:tcPr>
          <w:p w14:paraId="493FEEB3">
            <w:pPr>
              <w:pStyle w:val="25"/>
              <w:rPr>
                <w:color w:val="auto"/>
                <w:u w:val="none"/>
              </w:rPr>
            </w:pPr>
          </w:p>
        </w:tc>
        <w:tc>
          <w:tcPr>
            <w:tcW w:w="1928" w:type="dxa"/>
            <w:noWrap w:val="0"/>
            <w:vAlign w:val="center"/>
          </w:tcPr>
          <w:p w14:paraId="244150DE">
            <w:pPr>
              <w:pStyle w:val="25"/>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废活性炭</w:t>
            </w:r>
          </w:p>
        </w:tc>
        <w:tc>
          <w:tcPr>
            <w:tcW w:w="1306" w:type="dxa"/>
            <w:noWrap w:val="0"/>
            <w:vAlign w:val="center"/>
          </w:tcPr>
          <w:p w14:paraId="446DBC58">
            <w:pPr>
              <w:pStyle w:val="25"/>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废气处理</w:t>
            </w:r>
          </w:p>
        </w:tc>
        <w:tc>
          <w:tcPr>
            <w:tcW w:w="2861" w:type="dxa"/>
            <w:gridSpan w:val="2"/>
            <w:vMerge w:val="continue"/>
            <w:noWrap w:val="0"/>
            <w:vAlign w:val="center"/>
          </w:tcPr>
          <w:p w14:paraId="3AF665C2">
            <w:pPr>
              <w:pStyle w:val="25"/>
              <w:rPr>
                <w:rFonts w:hint="eastAsia"/>
                <w:color w:val="auto"/>
                <w:u w:val="none"/>
                <w:lang w:eastAsia="zh-CN"/>
              </w:rPr>
            </w:pPr>
          </w:p>
        </w:tc>
      </w:tr>
      <w:tr w14:paraId="73603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4F5760A3">
            <w:pPr>
              <w:pStyle w:val="25"/>
              <w:rPr>
                <w:color w:val="auto"/>
                <w:u w:val="none"/>
              </w:rPr>
            </w:pPr>
          </w:p>
        </w:tc>
        <w:tc>
          <w:tcPr>
            <w:tcW w:w="1280" w:type="dxa"/>
            <w:noWrap w:val="0"/>
            <w:vAlign w:val="center"/>
          </w:tcPr>
          <w:p w14:paraId="283FEC07">
            <w:pPr>
              <w:pStyle w:val="25"/>
              <w:rPr>
                <w:color w:val="auto"/>
                <w:u w:val="none"/>
              </w:rPr>
            </w:pPr>
            <w:r>
              <w:rPr>
                <w:color w:val="auto"/>
                <w:u w:val="none"/>
              </w:rPr>
              <w:t>生活过程</w:t>
            </w:r>
          </w:p>
        </w:tc>
        <w:tc>
          <w:tcPr>
            <w:tcW w:w="1928" w:type="dxa"/>
            <w:noWrap w:val="0"/>
            <w:vAlign w:val="center"/>
          </w:tcPr>
          <w:p w14:paraId="67458AD8">
            <w:pPr>
              <w:pStyle w:val="25"/>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生活垃圾</w:t>
            </w:r>
          </w:p>
        </w:tc>
        <w:tc>
          <w:tcPr>
            <w:tcW w:w="1306" w:type="dxa"/>
            <w:noWrap w:val="0"/>
            <w:vAlign w:val="center"/>
          </w:tcPr>
          <w:p w14:paraId="34CD36D4">
            <w:pPr>
              <w:pStyle w:val="25"/>
              <w:rPr>
                <w:rFonts w:hint="eastAsia" w:eastAsia="宋体"/>
                <w:color w:val="auto"/>
                <w:u w:val="none"/>
                <w:lang w:eastAsia="zh-CN"/>
              </w:rPr>
            </w:pPr>
            <w:r>
              <w:rPr>
                <w:rFonts w:hint="eastAsia"/>
                <w:color w:val="auto"/>
                <w:u w:val="none"/>
                <w:lang w:eastAsia="zh-CN"/>
              </w:rPr>
              <w:t>员工生活</w:t>
            </w:r>
          </w:p>
        </w:tc>
        <w:tc>
          <w:tcPr>
            <w:tcW w:w="2861" w:type="dxa"/>
            <w:gridSpan w:val="2"/>
            <w:noWrap w:val="0"/>
            <w:vAlign w:val="center"/>
          </w:tcPr>
          <w:p w14:paraId="2820F344">
            <w:pPr>
              <w:pStyle w:val="25"/>
              <w:rPr>
                <w:color w:val="auto"/>
                <w:u w:val="none"/>
              </w:rPr>
            </w:pPr>
            <w:r>
              <w:rPr>
                <w:color w:val="auto"/>
                <w:u w:val="none"/>
              </w:rPr>
              <w:t>由环卫部门回收处理</w:t>
            </w:r>
          </w:p>
        </w:tc>
      </w:tr>
    </w:tbl>
    <w:p w14:paraId="34750E9A">
      <w:pPr>
        <w:pStyle w:val="7"/>
        <w:bidi w:val="0"/>
        <w:rPr>
          <w:rFonts w:hint="eastAsia"/>
          <w:color w:val="auto"/>
          <w:u w:val="none" w:color="auto"/>
          <w:lang w:val="en-US" w:eastAsia="zh-CN"/>
        </w:rPr>
      </w:pPr>
      <w:bookmarkStart w:id="603" w:name="_Toc17895"/>
      <w:bookmarkStart w:id="604" w:name="_Toc18494"/>
      <w:bookmarkStart w:id="605" w:name="_Toc7584"/>
      <w:r>
        <w:rPr>
          <w:rFonts w:hint="eastAsia"/>
          <w:color w:val="auto"/>
          <w:u w:val="none" w:color="auto"/>
          <w:lang w:val="en-US" w:eastAsia="zh-CN"/>
        </w:rPr>
        <w:t>3.3相关工程平衡</w:t>
      </w:r>
      <w:bookmarkEnd w:id="603"/>
      <w:bookmarkEnd w:id="604"/>
      <w:bookmarkEnd w:id="605"/>
    </w:p>
    <w:p w14:paraId="48E0AA75">
      <w:pPr>
        <w:pStyle w:val="8"/>
        <w:bidi w:val="0"/>
        <w:rPr>
          <w:rFonts w:hint="eastAsia"/>
          <w:color w:val="auto"/>
          <w:u w:val="none" w:color="auto"/>
          <w:lang w:val="en-US" w:eastAsia="zh-CN"/>
        </w:rPr>
      </w:pPr>
      <w:bookmarkStart w:id="606" w:name="_Toc17695"/>
      <w:bookmarkStart w:id="607" w:name="_Toc19107"/>
      <w:bookmarkStart w:id="608" w:name="_Toc19962"/>
      <w:r>
        <w:rPr>
          <w:rFonts w:hint="eastAsia"/>
          <w:color w:val="auto"/>
          <w:u w:val="none" w:color="auto"/>
          <w:lang w:val="en-US" w:eastAsia="zh-CN"/>
        </w:rPr>
        <w:t>3.3.1水平衡</w:t>
      </w:r>
      <w:bookmarkEnd w:id="606"/>
      <w:bookmarkEnd w:id="607"/>
      <w:bookmarkEnd w:id="608"/>
    </w:p>
    <w:p w14:paraId="221E58EA">
      <w:pPr>
        <w:pStyle w:val="21"/>
        <w:bidi w:val="0"/>
        <w:rPr>
          <w:rFonts w:hint="eastAsia"/>
          <w:color w:val="auto"/>
          <w:u w:val="none" w:color="auto"/>
          <w:lang w:val="en-US" w:eastAsia="zh-CN"/>
        </w:rPr>
      </w:pPr>
      <w:r>
        <w:rPr>
          <w:rFonts w:hint="eastAsia"/>
          <w:color w:val="auto"/>
          <w:u w:val="none" w:color="auto"/>
          <w:lang w:val="en-US" w:eastAsia="zh-CN"/>
        </w:rPr>
        <w:t>本项目用水主要来源于生活用水。根据建设方提供的资料，项目地面清洁采用人工清扫的方式，不使用水对地面进行冲洗，故无地面冲洗水的产生。</w:t>
      </w:r>
    </w:p>
    <w:p w14:paraId="1D0CDA61">
      <w:pPr>
        <w:pStyle w:val="21"/>
        <w:bidi w:val="0"/>
        <w:rPr>
          <w:rFonts w:hint="eastAsia"/>
          <w:color w:val="auto"/>
          <w:u w:val="none" w:color="auto"/>
          <w:lang w:val="en-US" w:eastAsia="zh-CN"/>
        </w:rPr>
      </w:pPr>
      <w:r>
        <w:rPr>
          <w:rFonts w:hint="eastAsia"/>
          <w:color w:val="auto"/>
          <w:u w:val="none" w:color="auto"/>
          <w:lang w:val="en-US" w:eastAsia="zh-CN"/>
        </w:rPr>
        <w:t>本项目职工40人，不提供食宿，根据《湖南省用水定额》（DB43/T388.3-2025）中的指标计算，参照国家机构机关的通用值标准，员工生活用水量按38m</w:t>
      </w:r>
      <w:r>
        <w:rPr>
          <w:rFonts w:hint="eastAsia"/>
          <w:color w:val="auto"/>
          <w:u w:val="none" w:color="auto"/>
          <w:vertAlign w:val="superscript"/>
          <w:lang w:val="en-US" w:eastAsia="zh-CN"/>
        </w:rPr>
        <w:t>3</w:t>
      </w:r>
      <w:r>
        <w:rPr>
          <w:rFonts w:hint="eastAsia"/>
          <w:color w:val="auto"/>
          <w:u w:val="none" w:color="auto"/>
          <w:lang w:val="en-US" w:eastAsia="zh-CN"/>
        </w:rPr>
        <w:t>/人·a计，年工作日300天，则职工生活用水量1520m</w:t>
      </w:r>
      <w:r>
        <w:rPr>
          <w:rFonts w:hint="eastAsia"/>
          <w:color w:val="auto"/>
          <w:u w:val="none" w:color="auto"/>
          <w:vertAlign w:val="superscript"/>
          <w:lang w:val="en-US" w:eastAsia="zh-CN"/>
        </w:rPr>
        <w:t>3</w:t>
      </w:r>
      <w:r>
        <w:rPr>
          <w:rFonts w:hint="eastAsia"/>
          <w:color w:val="auto"/>
          <w:u w:val="none" w:color="auto"/>
          <w:lang w:val="en-US" w:eastAsia="zh-CN"/>
        </w:rPr>
        <w:t>/a（5.07m</w:t>
      </w:r>
      <w:r>
        <w:rPr>
          <w:rFonts w:hint="eastAsia"/>
          <w:color w:val="auto"/>
          <w:u w:val="none" w:color="auto"/>
          <w:vertAlign w:val="superscript"/>
          <w:lang w:val="en-US" w:eastAsia="zh-CN"/>
        </w:rPr>
        <w:t>3</w:t>
      </w:r>
      <w:r>
        <w:rPr>
          <w:rFonts w:hint="eastAsia"/>
          <w:color w:val="auto"/>
          <w:u w:val="none" w:color="auto"/>
          <w:lang w:val="en-US" w:eastAsia="zh-CN"/>
        </w:rPr>
        <w:t>/d）；污水排放量按用水量的80%计，则污水排放量为1216m</w:t>
      </w:r>
      <w:r>
        <w:rPr>
          <w:rFonts w:hint="eastAsia"/>
          <w:color w:val="auto"/>
          <w:u w:val="none" w:color="auto"/>
          <w:vertAlign w:val="superscript"/>
          <w:lang w:val="en-US" w:eastAsia="zh-CN"/>
        </w:rPr>
        <w:t>3</w:t>
      </w:r>
      <w:r>
        <w:rPr>
          <w:rFonts w:hint="eastAsia"/>
          <w:color w:val="auto"/>
          <w:u w:val="none" w:color="auto"/>
          <w:lang w:val="en-US" w:eastAsia="zh-CN"/>
        </w:rPr>
        <w:t>/a（4.06m</w:t>
      </w:r>
      <w:r>
        <w:rPr>
          <w:rFonts w:hint="eastAsia"/>
          <w:color w:val="auto"/>
          <w:u w:val="none" w:color="auto"/>
          <w:vertAlign w:val="superscript"/>
          <w:lang w:val="en-US" w:eastAsia="zh-CN"/>
        </w:rPr>
        <w:t>3</w:t>
      </w:r>
      <w:r>
        <w:rPr>
          <w:rFonts w:hint="eastAsia"/>
          <w:color w:val="auto"/>
          <w:u w:val="none" w:color="auto"/>
          <w:lang w:val="en-US" w:eastAsia="zh-CN"/>
        </w:rPr>
        <w:t>/d）。本项目车间内不设置生活区，办公依托建设单位现有，员工生活污水经化粪池处理后进入长沙经开区汨罗产业园污水处理厂处理。</w:t>
      </w:r>
    </w:p>
    <w:p w14:paraId="6CC0FC62">
      <w:pPr>
        <w:pStyle w:val="21"/>
        <w:bidi w:val="0"/>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项目水平衡图如下图所示。</w:t>
      </w:r>
    </w:p>
    <w:p w14:paraId="4B0F211E">
      <w:pPr>
        <w:pStyle w:val="23"/>
        <w:bidi w:val="0"/>
        <w:rPr>
          <w:rFonts w:hint="eastAsia" w:ascii="Times New Roman" w:hAnsi="Times New Roman" w:cs="Times New Roman"/>
          <w:b/>
          <w:bCs w:val="0"/>
          <w:color w:val="auto"/>
          <w:u w:val="none" w:color="auto"/>
          <w:lang w:val="en-US" w:eastAsia="zh-CN"/>
        </w:rPr>
      </w:pPr>
      <w:r>
        <w:rPr>
          <w:rFonts w:hint="eastAsia" w:ascii="Times New Roman" w:hAnsi="Times New Roman" w:cs="Times New Roman"/>
          <w:b/>
          <w:bCs w:val="0"/>
          <w:color w:val="auto"/>
          <w:u w:val="none" w:color="auto"/>
          <w:lang w:val="en-US" w:eastAsia="zh-CN"/>
        </w:rPr>
        <w:object>
          <v:shape id="_x0000_i1037" o:spt="75" type="#_x0000_t75" style="height:71.8pt;width:415.2pt;" o:ole="t" filled="f" o:preferrelative="t" stroked="f" coordsize="21600,21600">
            <v:path/>
            <v:fill on="f" focussize="0,0"/>
            <v:stroke on="f"/>
            <v:imagedata r:id="rId33" o:title=""/>
            <o:lock v:ext="edit" aspectratio="f"/>
            <w10:wrap type="none"/>
            <w10:anchorlock/>
          </v:shape>
          <o:OLEObject Type="Embed" ProgID="Visio.Drawing.15" ShapeID="_x0000_i1037" DrawAspect="Content" ObjectID="_1468075730" r:id="rId32">
            <o:LockedField>false</o:LockedField>
          </o:OLEObject>
        </w:object>
      </w:r>
      <w:r>
        <w:rPr>
          <w:rFonts w:hint="eastAsia" w:ascii="Times New Roman" w:hAnsi="Times New Roman" w:cs="Times New Roman"/>
          <w:b/>
          <w:bCs w:val="0"/>
          <w:color w:val="auto"/>
          <w:u w:val="none" w:color="auto"/>
          <w:lang w:val="en-US" w:eastAsia="zh-CN"/>
        </w:rPr>
        <w:t>图3.3-1 水平衡图（单位：t/a）</w:t>
      </w:r>
    </w:p>
    <w:p w14:paraId="5ED9128F">
      <w:pPr>
        <w:pStyle w:val="8"/>
        <w:bidi w:val="0"/>
        <w:rPr>
          <w:rFonts w:hint="eastAsia"/>
          <w:color w:val="auto"/>
          <w:u w:val="none" w:color="auto"/>
          <w:lang w:val="en-US" w:eastAsia="zh-CN"/>
        </w:rPr>
      </w:pPr>
      <w:bookmarkStart w:id="609" w:name="_Toc10220"/>
      <w:bookmarkStart w:id="610" w:name="_Toc29289"/>
      <w:bookmarkStart w:id="611" w:name="_Toc24990"/>
      <w:r>
        <w:rPr>
          <w:rFonts w:hint="eastAsia"/>
          <w:color w:val="auto"/>
          <w:u w:val="none" w:color="auto"/>
          <w:lang w:val="en-US" w:eastAsia="zh-CN"/>
        </w:rPr>
        <w:t>3.3.2物料平衡</w:t>
      </w:r>
      <w:bookmarkEnd w:id="609"/>
      <w:bookmarkEnd w:id="610"/>
      <w:bookmarkEnd w:id="611"/>
    </w:p>
    <w:p w14:paraId="77EFB6D9">
      <w:pPr>
        <w:pStyle w:val="21"/>
        <w:bidi w:val="0"/>
        <w:rPr>
          <w:rFonts w:hint="eastAsia"/>
          <w:color w:val="auto"/>
          <w:u w:val="none" w:color="auto"/>
          <w:lang w:val="en-US" w:eastAsia="zh-CN"/>
        </w:rPr>
      </w:pPr>
      <w:r>
        <w:rPr>
          <w:rFonts w:hint="eastAsia"/>
          <w:color w:val="auto"/>
          <w:u w:val="none" w:color="auto"/>
          <w:lang w:val="en-US" w:eastAsia="zh-CN"/>
        </w:rPr>
        <w:t>项目生产线物料平衡表如下图所示。</w:t>
      </w:r>
    </w:p>
    <w:p w14:paraId="58CAA464">
      <w:pPr>
        <w:pStyle w:val="23"/>
        <w:bidi w:val="0"/>
        <w:rPr>
          <w:rFonts w:hint="eastAsia"/>
          <w:color w:val="auto"/>
          <w:u w:val="none" w:color="auto"/>
          <w:lang w:val="en-US" w:eastAsia="zh-CN"/>
        </w:rPr>
      </w:pPr>
      <w:r>
        <w:rPr>
          <w:rFonts w:hint="eastAsia"/>
          <w:color w:val="auto"/>
          <w:u w:val="none" w:color="auto"/>
          <w:lang w:val="en-US" w:eastAsia="zh-CN"/>
        </w:rPr>
        <w:t>表3.3-1 物料平衡表（单位：t/a）</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266"/>
        <w:gridCol w:w="1605"/>
        <w:gridCol w:w="2643"/>
        <w:gridCol w:w="1320"/>
      </w:tblGrid>
      <w:tr w14:paraId="194EF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vMerge w:val="restart"/>
            <w:noWrap w:val="0"/>
            <w:vAlign w:val="center"/>
          </w:tcPr>
          <w:p w14:paraId="5381EA87">
            <w:pPr>
              <w:pStyle w:val="25"/>
              <w:bidi w:val="0"/>
              <w:rPr>
                <w:rFonts w:hint="default"/>
                <w:color w:val="auto"/>
                <w:u w:val="none"/>
              </w:rPr>
            </w:pPr>
            <w:r>
              <w:rPr>
                <w:rFonts w:hint="default"/>
                <w:color w:val="auto"/>
                <w:u w:val="none"/>
              </w:rPr>
              <w:t>序号</w:t>
            </w:r>
          </w:p>
        </w:tc>
        <w:tc>
          <w:tcPr>
            <w:tcW w:w="3871" w:type="dxa"/>
            <w:gridSpan w:val="2"/>
            <w:noWrap w:val="0"/>
            <w:vAlign w:val="center"/>
          </w:tcPr>
          <w:p w14:paraId="3B6F61CB">
            <w:pPr>
              <w:pStyle w:val="25"/>
              <w:bidi w:val="0"/>
              <w:rPr>
                <w:rFonts w:hint="default"/>
                <w:color w:val="auto"/>
                <w:u w:val="none"/>
              </w:rPr>
            </w:pPr>
            <w:r>
              <w:rPr>
                <w:rFonts w:hint="default"/>
                <w:color w:val="auto"/>
                <w:u w:val="none"/>
              </w:rPr>
              <w:t>输入过程</w:t>
            </w:r>
          </w:p>
        </w:tc>
        <w:tc>
          <w:tcPr>
            <w:tcW w:w="3963" w:type="dxa"/>
            <w:gridSpan w:val="2"/>
            <w:noWrap w:val="0"/>
            <w:vAlign w:val="center"/>
          </w:tcPr>
          <w:p w14:paraId="333FDC6B">
            <w:pPr>
              <w:pStyle w:val="25"/>
              <w:bidi w:val="0"/>
              <w:rPr>
                <w:rFonts w:hint="default"/>
                <w:color w:val="auto"/>
                <w:u w:val="none"/>
              </w:rPr>
            </w:pPr>
            <w:r>
              <w:rPr>
                <w:rFonts w:hint="default"/>
                <w:color w:val="auto"/>
                <w:u w:val="none"/>
              </w:rPr>
              <w:t>输出过程</w:t>
            </w:r>
          </w:p>
          <w:p w14:paraId="29DDFAA9">
            <w:pPr>
              <w:pStyle w:val="25"/>
              <w:bidi w:val="0"/>
              <w:rPr>
                <w:rFonts w:hint="default"/>
                <w:color w:val="auto"/>
                <w:u w:val="none"/>
              </w:rPr>
            </w:pPr>
            <w:r>
              <w:rPr>
                <w:rFonts w:hint="default"/>
                <w:color w:val="auto"/>
                <w:u w:val="none"/>
              </w:rPr>
              <w:t>产生量吨/年</w:t>
            </w:r>
          </w:p>
        </w:tc>
      </w:tr>
      <w:tr w14:paraId="2D534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vMerge w:val="continue"/>
            <w:noWrap w:val="0"/>
            <w:vAlign w:val="center"/>
          </w:tcPr>
          <w:p w14:paraId="237604AC">
            <w:pPr>
              <w:pStyle w:val="25"/>
              <w:bidi w:val="0"/>
              <w:rPr>
                <w:rFonts w:hint="default"/>
                <w:color w:val="auto"/>
                <w:u w:val="none"/>
              </w:rPr>
            </w:pPr>
          </w:p>
        </w:tc>
        <w:tc>
          <w:tcPr>
            <w:tcW w:w="2266" w:type="dxa"/>
            <w:noWrap w:val="0"/>
            <w:vAlign w:val="center"/>
          </w:tcPr>
          <w:p w14:paraId="2CCE903A">
            <w:pPr>
              <w:pStyle w:val="25"/>
              <w:bidi w:val="0"/>
              <w:rPr>
                <w:rFonts w:hint="default"/>
                <w:color w:val="auto"/>
                <w:u w:val="none"/>
              </w:rPr>
            </w:pPr>
            <w:r>
              <w:rPr>
                <w:rFonts w:hint="default"/>
                <w:color w:val="auto"/>
                <w:u w:val="none"/>
              </w:rPr>
              <w:t>物料名称</w:t>
            </w:r>
          </w:p>
        </w:tc>
        <w:tc>
          <w:tcPr>
            <w:tcW w:w="1605" w:type="dxa"/>
            <w:noWrap w:val="0"/>
            <w:vAlign w:val="center"/>
          </w:tcPr>
          <w:p w14:paraId="26521C1E">
            <w:pPr>
              <w:pStyle w:val="25"/>
              <w:bidi w:val="0"/>
              <w:rPr>
                <w:rFonts w:hint="default"/>
                <w:color w:val="auto"/>
                <w:u w:val="none"/>
              </w:rPr>
            </w:pPr>
            <w:r>
              <w:rPr>
                <w:rFonts w:hint="default"/>
                <w:color w:val="auto"/>
                <w:u w:val="none"/>
              </w:rPr>
              <w:t>数量</w:t>
            </w:r>
          </w:p>
        </w:tc>
        <w:tc>
          <w:tcPr>
            <w:tcW w:w="2643" w:type="dxa"/>
            <w:noWrap w:val="0"/>
            <w:vAlign w:val="center"/>
          </w:tcPr>
          <w:p w14:paraId="2D90A9A8">
            <w:pPr>
              <w:pStyle w:val="25"/>
              <w:bidi w:val="0"/>
              <w:rPr>
                <w:rFonts w:hint="default"/>
                <w:color w:val="auto"/>
                <w:u w:val="none"/>
              </w:rPr>
            </w:pPr>
            <w:r>
              <w:rPr>
                <w:rFonts w:hint="default"/>
                <w:color w:val="auto"/>
                <w:u w:val="none"/>
              </w:rPr>
              <w:t>物料名称</w:t>
            </w:r>
          </w:p>
        </w:tc>
        <w:tc>
          <w:tcPr>
            <w:tcW w:w="1320" w:type="dxa"/>
            <w:noWrap w:val="0"/>
            <w:vAlign w:val="center"/>
          </w:tcPr>
          <w:p w14:paraId="70ED579D">
            <w:pPr>
              <w:pStyle w:val="25"/>
              <w:bidi w:val="0"/>
              <w:rPr>
                <w:rFonts w:hint="default"/>
                <w:color w:val="auto"/>
                <w:u w:val="none"/>
              </w:rPr>
            </w:pPr>
            <w:r>
              <w:rPr>
                <w:rFonts w:hint="default"/>
                <w:color w:val="auto"/>
                <w:u w:val="none"/>
              </w:rPr>
              <w:t>数量</w:t>
            </w:r>
          </w:p>
        </w:tc>
      </w:tr>
      <w:tr w14:paraId="12EB7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0F595F71">
            <w:pPr>
              <w:pStyle w:val="25"/>
              <w:bidi w:val="0"/>
              <w:rPr>
                <w:rFonts w:hint="default"/>
                <w:color w:val="auto"/>
                <w:u w:val="none"/>
              </w:rPr>
            </w:pPr>
            <w:r>
              <w:rPr>
                <w:rFonts w:hint="default"/>
                <w:color w:val="auto"/>
                <w:u w:val="none"/>
              </w:rPr>
              <w:t>1</w:t>
            </w:r>
          </w:p>
        </w:tc>
        <w:tc>
          <w:tcPr>
            <w:tcW w:w="2266" w:type="dxa"/>
            <w:noWrap w:val="0"/>
            <w:vAlign w:val="center"/>
          </w:tcPr>
          <w:p w14:paraId="618582CD">
            <w:pPr>
              <w:pStyle w:val="25"/>
              <w:bidi w:val="0"/>
              <w:rPr>
                <w:rFonts w:hint="eastAsia" w:eastAsia="宋体"/>
                <w:color w:val="auto"/>
                <w:u w:val="none"/>
                <w:lang w:val="en-US" w:eastAsia="zh-CN"/>
              </w:rPr>
            </w:pPr>
            <w:r>
              <w:rPr>
                <w:rFonts w:hint="eastAsia"/>
                <w:color w:val="auto"/>
                <w:u w:val="none"/>
                <w:lang w:val="en-US" w:eastAsia="zh-CN"/>
              </w:rPr>
              <w:t>石墨粉</w:t>
            </w:r>
          </w:p>
        </w:tc>
        <w:tc>
          <w:tcPr>
            <w:tcW w:w="1605" w:type="dxa"/>
            <w:noWrap w:val="0"/>
            <w:vAlign w:val="center"/>
          </w:tcPr>
          <w:p w14:paraId="368413EA">
            <w:pPr>
              <w:pStyle w:val="25"/>
              <w:bidi w:val="0"/>
              <w:rPr>
                <w:rFonts w:hint="default" w:eastAsia="宋体"/>
                <w:color w:val="auto"/>
                <w:u w:val="none"/>
                <w:lang w:val="en-US" w:eastAsia="zh-CN"/>
              </w:rPr>
            </w:pPr>
            <w:r>
              <w:rPr>
                <w:rFonts w:hint="eastAsia"/>
                <w:color w:val="auto"/>
                <w:u w:val="none"/>
                <w:lang w:val="en-US" w:eastAsia="zh-CN"/>
              </w:rPr>
              <w:t>2000</w:t>
            </w:r>
          </w:p>
        </w:tc>
        <w:tc>
          <w:tcPr>
            <w:tcW w:w="2643" w:type="dxa"/>
            <w:noWrap w:val="0"/>
            <w:vAlign w:val="center"/>
          </w:tcPr>
          <w:p w14:paraId="5CDEA8E5">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粉尘</w:t>
            </w:r>
          </w:p>
        </w:tc>
        <w:tc>
          <w:tcPr>
            <w:tcW w:w="1320" w:type="dxa"/>
            <w:noWrap w:val="0"/>
            <w:vAlign w:val="center"/>
          </w:tcPr>
          <w:p w14:paraId="0C7AE9E9">
            <w:pPr>
              <w:pStyle w:val="25"/>
              <w:bidi w:val="0"/>
              <w:rPr>
                <w:rFonts w:hint="default" w:eastAsia="宋体"/>
                <w:color w:val="auto"/>
                <w:u w:val="none"/>
                <w:lang w:val="en-US" w:eastAsia="zh-CN"/>
              </w:rPr>
            </w:pPr>
            <w:r>
              <w:rPr>
                <w:rFonts w:hint="eastAsia"/>
                <w:color w:val="auto"/>
                <w:u w:val="none"/>
                <w:lang w:val="en-US" w:eastAsia="zh-CN"/>
              </w:rPr>
              <w:t>10.259</w:t>
            </w:r>
          </w:p>
        </w:tc>
      </w:tr>
      <w:tr w14:paraId="308FF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10507E59">
            <w:pPr>
              <w:pStyle w:val="25"/>
              <w:bidi w:val="0"/>
              <w:rPr>
                <w:rFonts w:hint="default"/>
                <w:color w:val="auto"/>
                <w:u w:val="none"/>
                <w:lang w:val="en-US" w:eastAsia="zh-CN"/>
              </w:rPr>
            </w:pPr>
            <w:r>
              <w:rPr>
                <w:rFonts w:hint="default"/>
                <w:color w:val="auto"/>
                <w:u w:val="none"/>
                <w:lang w:val="en-US" w:eastAsia="zh-CN"/>
              </w:rPr>
              <w:t>2</w:t>
            </w:r>
          </w:p>
        </w:tc>
        <w:tc>
          <w:tcPr>
            <w:tcW w:w="2266" w:type="dxa"/>
            <w:noWrap w:val="0"/>
            <w:vAlign w:val="center"/>
          </w:tcPr>
          <w:p w14:paraId="37C1DAFC">
            <w:pPr>
              <w:pStyle w:val="25"/>
              <w:bidi w:val="0"/>
              <w:rPr>
                <w:rFonts w:hint="eastAsia" w:eastAsia="宋体"/>
                <w:color w:val="auto"/>
                <w:u w:val="none"/>
                <w:lang w:val="en-US" w:eastAsia="zh-CN"/>
              </w:rPr>
            </w:pPr>
            <w:r>
              <w:rPr>
                <w:rFonts w:hint="eastAsia"/>
                <w:color w:val="auto"/>
                <w:u w:val="none"/>
                <w:lang w:val="en-US" w:eastAsia="zh-CN"/>
              </w:rPr>
              <w:t>酚醛树脂</w:t>
            </w:r>
          </w:p>
        </w:tc>
        <w:tc>
          <w:tcPr>
            <w:tcW w:w="1605" w:type="dxa"/>
            <w:noWrap w:val="0"/>
            <w:vAlign w:val="center"/>
          </w:tcPr>
          <w:p w14:paraId="551E7ED8">
            <w:pPr>
              <w:pStyle w:val="25"/>
              <w:bidi w:val="0"/>
              <w:rPr>
                <w:rFonts w:hint="default" w:eastAsia="宋体"/>
                <w:color w:val="auto"/>
                <w:u w:val="none"/>
                <w:lang w:val="en-US" w:eastAsia="zh-CN"/>
              </w:rPr>
            </w:pPr>
            <w:r>
              <w:rPr>
                <w:rFonts w:hint="eastAsia"/>
                <w:color w:val="auto"/>
                <w:u w:val="none"/>
                <w:lang w:val="en-US" w:eastAsia="zh-CN"/>
              </w:rPr>
              <w:t>600</w:t>
            </w:r>
          </w:p>
        </w:tc>
        <w:tc>
          <w:tcPr>
            <w:tcW w:w="2643" w:type="dxa"/>
            <w:noWrap w:val="0"/>
            <w:vAlign w:val="center"/>
          </w:tcPr>
          <w:p w14:paraId="7A6DFCF6">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非甲烷总烃</w:t>
            </w:r>
          </w:p>
        </w:tc>
        <w:tc>
          <w:tcPr>
            <w:tcW w:w="1320" w:type="dxa"/>
            <w:noWrap w:val="0"/>
            <w:vAlign w:val="center"/>
          </w:tcPr>
          <w:p w14:paraId="5AE662D9">
            <w:pPr>
              <w:pStyle w:val="25"/>
              <w:bidi w:val="0"/>
              <w:rPr>
                <w:rFonts w:hint="default" w:eastAsia="宋体"/>
                <w:color w:val="auto"/>
                <w:u w:val="none"/>
                <w:lang w:val="en-US" w:eastAsia="zh-CN"/>
              </w:rPr>
            </w:pPr>
            <w:r>
              <w:rPr>
                <w:rFonts w:hint="eastAsia"/>
                <w:color w:val="auto"/>
                <w:u w:val="none"/>
                <w:lang w:val="en-US" w:eastAsia="zh-CN"/>
              </w:rPr>
              <w:t>84.9</w:t>
            </w:r>
          </w:p>
        </w:tc>
      </w:tr>
      <w:tr w14:paraId="7EEC1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29C976B9">
            <w:pPr>
              <w:pStyle w:val="25"/>
              <w:bidi w:val="0"/>
              <w:rPr>
                <w:rFonts w:hint="default"/>
                <w:color w:val="auto"/>
                <w:u w:val="none"/>
                <w:lang w:val="en-US" w:eastAsia="zh-CN"/>
              </w:rPr>
            </w:pPr>
            <w:r>
              <w:rPr>
                <w:rFonts w:hint="default"/>
                <w:color w:val="auto"/>
                <w:u w:val="none"/>
                <w:lang w:val="en-US" w:eastAsia="zh-CN"/>
              </w:rPr>
              <w:t>3</w:t>
            </w:r>
          </w:p>
        </w:tc>
        <w:tc>
          <w:tcPr>
            <w:tcW w:w="2266" w:type="dxa"/>
            <w:noWrap w:val="0"/>
            <w:vAlign w:val="center"/>
          </w:tcPr>
          <w:p w14:paraId="3471F5BF">
            <w:pPr>
              <w:pStyle w:val="25"/>
              <w:bidi w:val="0"/>
              <w:rPr>
                <w:rFonts w:hint="default" w:eastAsia="宋体"/>
                <w:color w:val="auto"/>
                <w:u w:val="none"/>
                <w:lang w:val="en-US" w:eastAsia="zh-CN"/>
              </w:rPr>
            </w:pPr>
            <w:r>
              <w:rPr>
                <w:rFonts w:hint="eastAsia"/>
                <w:color w:val="auto"/>
                <w:u w:val="none"/>
                <w:lang w:val="en-US" w:eastAsia="zh-CN"/>
              </w:rPr>
              <w:t>收集的粉尘</w:t>
            </w:r>
          </w:p>
        </w:tc>
        <w:tc>
          <w:tcPr>
            <w:tcW w:w="1605" w:type="dxa"/>
            <w:noWrap w:val="0"/>
            <w:vAlign w:val="center"/>
          </w:tcPr>
          <w:p w14:paraId="1F3392E6">
            <w:pPr>
              <w:pStyle w:val="25"/>
              <w:bidi w:val="0"/>
              <w:rPr>
                <w:rFonts w:hint="default" w:eastAsia="宋体"/>
                <w:color w:val="auto"/>
                <w:u w:val="none"/>
                <w:lang w:val="en-US" w:eastAsia="zh-CN"/>
              </w:rPr>
            </w:pPr>
            <w:r>
              <w:rPr>
                <w:rFonts w:hint="eastAsia"/>
                <w:color w:val="auto"/>
                <w:u w:val="none"/>
                <w:lang w:val="en-US" w:eastAsia="zh-CN"/>
              </w:rPr>
              <w:t>8.915</w:t>
            </w:r>
          </w:p>
        </w:tc>
        <w:tc>
          <w:tcPr>
            <w:tcW w:w="2643" w:type="dxa"/>
            <w:noWrap w:val="0"/>
            <w:vAlign w:val="center"/>
          </w:tcPr>
          <w:p w14:paraId="5374B9EB">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酚类</w:t>
            </w:r>
          </w:p>
        </w:tc>
        <w:tc>
          <w:tcPr>
            <w:tcW w:w="1320" w:type="dxa"/>
            <w:noWrap w:val="0"/>
            <w:vAlign w:val="center"/>
          </w:tcPr>
          <w:p w14:paraId="6CB59FF5">
            <w:pPr>
              <w:pStyle w:val="25"/>
              <w:bidi w:val="0"/>
              <w:rPr>
                <w:rFonts w:hint="default"/>
                <w:color w:val="auto"/>
                <w:u w:val="none"/>
                <w:lang w:val="en-US" w:eastAsia="zh-CN"/>
              </w:rPr>
            </w:pPr>
            <w:r>
              <w:rPr>
                <w:rFonts w:hint="eastAsia"/>
                <w:color w:val="auto"/>
                <w:u w:val="none"/>
                <w:lang w:val="en-US" w:eastAsia="zh-CN"/>
              </w:rPr>
              <w:t>50.746</w:t>
            </w:r>
          </w:p>
        </w:tc>
      </w:tr>
      <w:tr w14:paraId="52267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66842E8D">
            <w:pPr>
              <w:pStyle w:val="25"/>
              <w:bidi w:val="0"/>
              <w:rPr>
                <w:rFonts w:hint="default"/>
                <w:color w:val="auto"/>
                <w:u w:val="none"/>
                <w:lang w:val="en-US" w:eastAsia="zh-CN"/>
              </w:rPr>
            </w:pPr>
            <w:r>
              <w:rPr>
                <w:rFonts w:hint="default"/>
                <w:color w:val="auto"/>
                <w:u w:val="none"/>
                <w:lang w:val="en-US" w:eastAsia="zh-CN"/>
              </w:rPr>
              <w:t>4</w:t>
            </w:r>
          </w:p>
        </w:tc>
        <w:tc>
          <w:tcPr>
            <w:tcW w:w="2266" w:type="dxa"/>
            <w:noWrap w:val="0"/>
            <w:vAlign w:val="center"/>
          </w:tcPr>
          <w:p w14:paraId="275CEDF6">
            <w:pPr>
              <w:pStyle w:val="25"/>
              <w:bidi w:val="0"/>
              <w:rPr>
                <w:rFonts w:hint="default"/>
                <w:color w:val="auto"/>
                <w:u w:val="none"/>
              </w:rPr>
            </w:pPr>
          </w:p>
        </w:tc>
        <w:tc>
          <w:tcPr>
            <w:tcW w:w="1605" w:type="dxa"/>
            <w:noWrap w:val="0"/>
            <w:vAlign w:val="center"/>
          </w:tcPr>
          <w:p w14:paraId="0D83BB59">
            <w:pPr>
              <w:pStyle w:val="25"/>
              <w:bidi w:val="0"/>
              <w:rPr>
                <w:rFonts w:hint="default" w:eastAsia="宋体"/>
                <w:color w:val="auto"/>
                <w:u w:val="none"/>
                <w:lang w:val="en-US" w:eastAsia="zh-CN"/>
              </w:rPr>
            </w:pPr>
          </w:p>
        </w:tc>
        <w:tc>
          <w:tcPr>
            <w:tcW w:w="2643" w:type="dxa"/>
            <w:noWrap w:val="0"/>
            <w:vAlign w:val="center"/>
          </w:tcPr>
          <w:p w14:paraId="03BD09BF">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甲醛</w:t>
            </w:r>
          </w:p>
        </w:tc>
        <w:tc>
          <w:tcPr>
            <w:tcW w:w="1320" w:type="dxa"/>
            <w:noWrap w:val="0"/>
            <w:vAlign w:val="center"/>
          </w:tcPr>
          <w:p w14:paraId="23DFDE70">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1.2</w:t>
            </w:r>
          </w:p>
        </w:tc>
      </w:tr>
      <w:tr w14:paraId="3BDC1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220912B2">
            <w:pPr>
              <w:pStyle w:val="25"/>
              <w:bidi w:val="0"/>
              <w:rPr>
                <w:rFonts w:hint="default"/>
                <w:color w:val="auto"/>
                <w:u w:val="none"/>
                <w:lang w:val="en-US" w:eastAsia="zh-CN"/>
              </w:rPr>
            </w:pPr>
            <w:r>
              <w:rPr>
                <w:rFonts w:hint="default"/>
                <w:color w:val="auto"/>
                <w:u w:val="none"/>
                <w:lang w:val="en-US" w:eastAsia="zh-CN"/>
              </w:rPr>
              <w:t>5</w:t>
            </w:r>
          </w:p>
        </w:tc>
        <w:tc>
          <w:tcPr>
            <w:tcW w:w="2266" w:type="dxa"/>
            <w:noWrap w:val="0"/>
            <w:vAlign w:val="center"/>
          </w:tcPr>
          <w:p w14:paraId="35F11F80">
            <w:pPr>
              <w:pStyle w:val="25"/>
              <w:bidi w:val="0"/>
              <w:rPr>
                <w:rFonts w:hint="default"/>
                <w:color w:val="auto"/>
                <w:u w:val="none"/>
              </w:rPr>
            </w:pPr>
          </w:p>
        </w:tc>
        <w:tc>
          <w:tcPr>
            <w:tcW w:w="1605" w:type="dxa"/>
            <w:noWrap w:val="0"/>
            <w:vAlign w:val="center"/>
          </w:tcPr>
          <w:p w14:paraId="0B541915">
            <w:pPr>
              <w:pStyle w:val="25"/>
              <w:bidi w:val="0"/>
              <w:rPr>
                <w:rFonts w:hint="default" w:eastAsia="宋体"/>
                <w:color w:val="auto"/>
                <w:u w:val="none"/>
                <w:lang w:val="en-US" w:eastAsia="zh-CN"/>
              </w:rPr>
            </w:pPr>
          </w:p>
        </w:tc>
        <w:tc>
          <w:tcPr>
            <w:tcW w:w="2643" w:type="dxa"/>
            <w:noWrap w:val="0"/>
            <w:vAlign w:val="center"/>
          </w:tcPr>
          <w:p w14:paraId="74381F5D">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不合格品</w:t>
            </w:r>
          </w:p>
        </w:tc>
        <w:tc>
          <w:tcPr>
            <w:tcW w:w="1320" w:type="dxa"/>
            <w:noWrap w:val="0"/>
            <w:vAlign w:val="center"/>
          </w:tcPr>
          <w:p w14:paraId="51BA43D5">
            <w:pPr>
              <w:pStyle w:val="25"/>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21.81</w:t>
            </w:r>
          </w:p>
        </w:tc>
      </w:tr>
      <w:tr w14:paraId="5A996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0947AFD6">
            <w:pPr>
              <w:pStyle w:val="25"/>
              <w:bidi w:val="0"/>
              <w:rPr>
                <w:rFonts w:hint="default"/>
                <w:color w:val="auto"/>
                <w:u w:val="none"/>
                <w:lang w:val="en-US" w:eastAsia="zh-CN"/>
              </w:rPr>
            </w:pPr>
            <w:r>
              <w:rPr>
                <w:rFonts w:hint="default"/>
                <w:color w:val="auto"/>
                <w:u w:val="none"/>
                <w:lang w:val="en-US" w:eastAsia="zh-CN"/>
              </w:rPr>
              <w:t>6</w:t>
            </w:r>
          </w:p>
        </w:tc>
        <w:tc>
          <w:tcPr>
            <w:tcW w:w="2266" w:type="dxa"/>
            <w:noWrap w:val="0"/>
            <w:vAlign w:val="center"/>
          </w:tcPr>
          <w:p w14:paraId="59D38A90">
            <w:pPr>
              <w:pStyle w:val="25"/>
              <w:bidi w:val="0"/>
              <w:rPr>
                <w:rFonts w:hint="default"/>
                <w:color w:val="auto"/>
                <w:u w:val="none"/>
              </w:rPr>
            </w:pPr>
          </w:p>
        </w:tc>
        <w:tc>
          <w:tcPr>
            <w:tcW w:w="1605" w:type="dxa"/>
            <w:noWrap w:val="0"/>
            <w:vAlign w:val="center"/>
          </w:tcPr>
          <w:p w14:paraId="70B520D4">
            <w:pPr>
              <w:pStyle w:val="25"/>
              <w:bidi w:val="0"/>
              <w:rPr>
                <w:rFonts w:hint="default" w:eastAsia="宋体"/>
                <w:color w:val="auto"/>
                <w:u w:val="none"/>
                <w:lang w:val="en-US" w:eastAsia="zh-CN"/>
              </w:rPr>
            </w:pPr>
          </w:p>
        </w:tc>
        <w:tc>
          <w:tcPr>
            <w:tcW w:w="2643" w:type="dxa"/>
            <w:noWrap w:val="0"/>
            <w:vAlign w:val="center"/>
          </w:tcPr>
          <w:p w14:paraId="3A8C951B">
            <w:pPr>
              <w:pStyle w:val="25"/>
              <w:bidi w:val="0"/>
              <w:rPr>
                <w:rFonts w:hint="default"/>
                <w:color w:val="auto"/>
                <w:u w:val="none"/>
                <w:lang w:val="en-US" w:eastAsia="zh-CN"/>
              </w:rPr>
            </w:pPr>
            <w:r>
              <w:rPr>
                <w:rFonts w:hint="eastAsia"/>
                <w:color w:val="auto"/>
                <w:u w:val="none"/>
                <w:lang w:val="en-US" w:eastAsia="zh-CN"/>
              </w:rPr>
              <w:t>石墨匣钵</w:t>
            </w:r>
          </w:p>
        </w:tc>
        <w:tc>
          <w:tcPr>
            <w:tcW w:w="1320" w:type="dxa"/>
            <w:noWrap w:val="0"/>
            <w:vAlign w:val="center"/>
          </w:tcPr>
          <w:p w14:paraId="1875BA08">
            <w:pPr>
              <w:pStyle w:val="25"/>
              <w:bidi w:val="0"/>
              <w:rPr>
                <w:rFonts w:hint="default"/>
                <w:color w:val="auto"/>
                <w:u w:val="none"/>
                <w:lang w:val="en-US" w:eastAsia="zh-CN"/>
              </w:rPr>
            </w:pPr>
            <w:r>
              <w:rPr>
                <w:rFonts w:hint="eastAsia"/>
                <w:color w:val="auto"/>
                <w:u w:val="none"/>
                <w:lang w:val="en-US" w:eastAsia="zh-CN"/>
              </w:rPr>
              <w:t>2420</w:t>
            </w:r>
          </w:p>
        </w:tc>
      </w:tr>
      <w:tr w14:paraId="77D4C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36" w:type="dxa"/>
            <w:gridSpan w:val="2"/>
            <w:noWrap w:val="0"/>
            <w:vAlign w:val="center"/>
          </w:tcPr>
          <w:p w14:paraId="0EDE2E4C">
            <w:pPr>
              <w:pStyle w:val="25"/>
              <w:bidi w:val="0"/>
              <w:rPr>
                <w:rFonts w:hint="default"/>
                <w:color w:val="auto"/>
                <w:u w:val="none"/>
              </w:rPr>
            </w:pPr>
            <w:r>
              <w:rPr>
                <w:rFonts w:hint="default"/>
                <w:color w:val="auto"/>
                <w:u w:val="none"/>
              </w:rPr>
              <w:t>总计</w:t>
            </w:r>
          </w:p>
        </w:tc>
        <w:tc>
          <w:tcPr>
            <w:tcW w:w="1605" w:type="dxa"/>
            <w:noWrap w:val="0"/>
            <w:vAlign w:val="center"/>
          </w:tcPr>
          <w:p w14:paraId="432D9EBF">
            <w:pPr>
              <w:pStyle w:val="25"/>
              <w:bidi w:val="0"/>
              <w:rPr>
                <w:rFonts w:hint="default"/>
                <w:color w:val="auto"/>
                <w:u w:val="none"/>
                <w:lang w:val="en-US" w:eastAsia="zh-CN"/>
              </w:rPr>
            </w:pPr>
            <w:r>
              <w:rPr>
                <w:rFonts w:hint="eastAsia"/>
                <w:color w:val="auto"/>
                <w:u w:val="none"/>
                <w:lang w:val="en-US" w:eastAsia="zh-CN"/>
              </w:rPr>
              <w:t>2608.915</w:t>
            </w:r>
          </w:p>
        </w:tc>
        <w:tc>
          <w:tcPr>
            <w:tcW w:w="2643" w:type="dxa"/>
            <w:noWrap w:val="0"/>
            <w:vAlign w:val="center"/>
          </w:tcPr>
          <w:p w14:paraId="094F02BB">
            <w:pPr>
              <w:pStyle w:val="25"/>
              <w:bidi w:val="0"/>
              <w:rPr>
                <w:rFonts w:hint="default"/>
                <w:color w:val="auto"/>
                <w:u w:val="none"/>
              </w:rPr>
            </w:pPr>
            <w:r>
              <w:rPr>
                <w:rFonts w:hint="default"/>
                <w:color w:val="auto"/>
                <w:u w:val="none"/>
              </w:rPr>
              <w:t>总计</w:t>
            </w:r>
          </w:p>
        </w:tc>
        <w:tc>
          <w:tcPr>
            <w:tcW w:w="1320" w:type="dxa"/>
            <w:noWrap w:val="0"/>
            <w:vAlign w:val="center"/>
          </w:tcPr>
          <w:p w14:paraId="7EFDE6EE">
            <w:pPr>
              <w:pStyle w:val="25"/>
              <w:bidi w:val="0"/>
              <w:rPr>
                <w:rFonts w:hint="default"/>
                <w:color w:val="auto"/>
                <w:u w:val="none"/>
                <w:lang w:val="en-US" w:eastAsia="zh-CN"/>
              </w:rPr>
            </w:pPr>
            <w:r>
              <w:rPr>
                <w:rFonts w:hint="eastAsia"/>
                <w:color w:val="auto"/>
                <w:u w:val="none"/>
                <w:lang w:val="en-US" w:eastAsia="zh-CN"/>
              </w:rPr>
              <w:t>2608.915</w:t>
            </w:r>
          </w:p>
        </w:tc>
      </w:tr>
    </w:tbl>
    <w:p w14:paraId="0DCABAF1">
      <w:pPr>
        <w:pStyle w:val="21"/>
        <w:bidi w:val="0"/>
        <w:ind w:left="0" w:leftChars="0" w:firstLine="0" w:firstLineChars="0"/>
        <w:rPr>
          <w:rFonts w:hint="eastAsia"/>
          <w:color w:val="auto"/>
          <w:highlight w:val="none"/>
          <w:u w:val="none" w:color="auto"/>
          <w:lang w:val="en-US" w:eastAsia="zh-CN"/>
        </w:rPr>
      </w:pPr>
      <w:r>
        <w:rPr>
          <w:rFonts w:hint="eastAsia"/>
          <w:color w:val="auto"/>
          <w:highlight w:val="none"/>
          <w:u w:val="none" w:color="auto"/>
          <w:lang w:val="en-US" w:eastAsia="zh-CN"/>
        </w:rPr>
        <w:object>
          <v:shape id="_x0000_i1038" o:spt="75" type="#_x0000_t75" style="height:265.35pt;width:414.9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1" r:id="rId34">
            <o:LockedField>false</o:LockedField>
          </o:OLEObject>
        </w:object>
      </w:r>
    </w:p>
    <w:p w14:paraId="7C294010">
      <w:pPr>
        <w:pStyle w:val="23"/>
        <w:bidi w:val="0"/>
        <w:rPr>
          <w:rFonts w:hint="eastAsia"/>
          <w:color w:val="auto"/>
          <w:u w:val="none" w:color="auto"/>
          <w:lang w:val="en-US" w:eastAsia="zh-CN"/>
        </w:rPr>
      </w:pPr>
      <w:r>
        <w:rPr>
          <w:rFonts w:hint="eastAsia"/>
          <w:color w:val="auto"/>
          <w:u w:val="none" w:color="auto"/>
          <w:lang w:val="en-US" w:eastAsia="zh-CN"/>
        </w:rPr>
        <w:t>图3.3-2 物料平衡图（单位：t/a）</w:t>
      </w:r>
    </w:p>
    <w:p w14:paraId="024EE8F3">
      <w:pPr>
        <w:pStyle w:val="7"/>
        <w:bidi w:val="0"/>
        <w:rPr>
          <w:rFonts w:hint="eastAsia"/>
          <w:color w:val="auto"/>
          <w:u w:val="none" w:color="auto"/>
          <w:lang w:val="en-US" w:eastAsia="zh-CN"/>
        </w:rPr>
      </w:pPr>
      <w:bookmarkStart w:id="612" w:name="_Toc14056"/>
      <w:bookmarkStart w:id="613" w:name="_Toc345"/>
      <w:bookmarkStart w:id="614" w:name="_Toc24208"/>
      <w:r>
        <w:rPr>
          <w:rFonts w:hint="eastAsia"/>
          <w:color w:val="auto"/>
          <w:u w:val="none" w:color="auto"/>
          <w:lang w:val="en-US" w:eastAsia="zh-CN"/>
        </w:rPr>
        <w:t>3.4工程污染源分析</w:t>
      </w:r>
      <w:bookmarkEnd w:id="612"/>
      <w:bookmarkEnd w:id="613"/>
      <w:bookmarkEnd w:id="614"/>
    </w:p>
    <w:p w14:paraId="4B80FC63">
      <w:pPr>
        <w:pStyle w:val="8"/>
        <w:bidi w:val="0"/>
        <w:rPr>
          <w:rFonts w:hint="eastAsia"/>
          <w:color w:val="auto"/>
          <w:u w:val="none" w:color="auto"/>
          <w:lang w:val="en-US" w:eastAsia="zh-CN"/>
        </w:rPr>
      </w:pPr>
      <w:bookmarkStart w:id="615" w:name="_Toc1320"/>
      <w:bookmarkStart w:id="616" w:name="_Toc23752"/>
      <w:bookmarkStart w:id="617" w:name="_Toc3664"/>
      <w:r>
        <w:rPr>
          <w:rFonts w:hint="eastAsia"/>
          <w:color w:val="auto"/>
          <w:u w:val="none" w:color="auto"/>
          <w:lang w:val="en-US" w:eastAsia="zh-CN"/>
        </w:rPr>
        <w:t>3.4.1施工期污染源分析</w:t>
      </w:r>
      <w:bookmarkEnd w:id="615"/>
      <w:bookmarkEnd w:id="616"/>
      <w:bookmarkEnd w:id="617"/>
    </w:p>
    <w:p w14:paraId="2DB925EC">
      <w:pPr>
        <w:pStyle w:val="21"/>
        <w:rPr>
          <w:rFonts w:hint="eastAsia"/>
          <w:color w:val="auto"/>
          <w:u w:val="none" w:color="auto"/>
          <w:lang w:val="en-US" w:eastAsia="zh-CN"/>
        </w:rPr>
      </w:pPr>
      <w:r>
        <w:rPr>
          <w:rFonts w:hint="eastAsia"/>
          <w:color w:val="auto"/>
          <w:u w:val="none" w:color="auto"/>
          <w:lang w:val="en-US" w:eastAsia="zh-CN"/>
        </w:rPr>
        <w:t>本项目选址于湖南省岳阳市汨罗市湖南汨罗高新技术产业开发区弼时片区大里塘村立新南路，租赁汨罗市乾源材料有限公司场地，现有一栋标准厂房，需新建一栋标准厂房，厂房由汨罗市乾源材料有限公司新建，厂房施工责任主体为汨罗市乾源材料有限公司，本项目仅分析厂房建设完成后装修及设备安装等施工活动产生的污染。</w:t>
      </w:r>
    </w:p>
    <w:p w14:paraId="0BCC350B">
      <w:pPr>
        <w:pStyle w:val="21"/>
        <w:rPr>
          <w:rFonts w:hint="eastAsia"/>
          <w:color w:val="auto"/>
          <w:u w:val="none" w:color="auto"/>
          <w:lang w:val="en-US" w:eastAsia="zh-CN"/>
        </w:rPr>
      </w:pPr>
      <w:r>
        <w:rPr>
          <w:rFonts w:hint="eastAsia"/>
          <w:color w:val="auto"/>
          <w:u w:val="none" w:color="auto"/>
          <w:lang w:val="en-US" w:eastAsia="zh-CN"/>
        </w:rPr>
        <w:t>（1）大气污染源及污染物</w:t>
      </w:r>
    </w:p>
    <w:p w14:paraId="39FD0BAB">
      <w:pPr>
        <w:pStyle w:val="21"/>
        <w:bidi w:val="0"/>
        <w:rPr>
          <w:rFonts w:hint="eastAsia"/>
          <w:color w:val="auto"/>
          <w:u w:val="none" w:color="auto"/>
          <w:lang w:val="en-US" w:eastAsia="zh-CN"/>
        </w:rPr>
      </w:pPr>
      <w:r>
        <w:rPr>
          <w:rFonts w:hint="eastAsia"/>
          <w:color w:val="auto"/>
          <w:u w:val="none" w:color="auto"/>
          <w:lang w:val="en-US" w:eastAsia="zh-CN"/>
        </w:rPr>
        <w:t>本项目施工期间产生的废物主要为厂房装修所用涂料和油漆产生的有机废气、运输车辆产生的道路扬尘、施工器械及运输车辆排放的燃油废气。均为间歇性无组织排放。</w:t>
      </w:r>
    </w:p>
    <w:p w14:paraId="0FB803BF">
      <w:pPr>
        <w:pStyle w:val="21"/>
        <w:bidi w:val="0"/>
        <w:rPr>
          <w:rFonts w:hint="eastAsia"/>
          <w:color w:val="auto"/>
          <w:u w:val="none" w:color="auto"/>
          <w:lang w:val="en-US" w:eastAsia="zh-CN"/>
        </w:rPr>
      </w:pPr>
      <w:r>
        <w:rPr>
          <w:rFonts w:hint="eastAsia"/>
          <w:color w:val="auto"/>
          <w:u w:val="none" w:color="auto"/>
          <w:lang w:val="en-US" w:eastAsia="zh-CN"/>
        </w:rPr>
        <w:t>①道路扬尘</w:t>
      </w:r>
    </w:p>
    <w:p w14:paraId="7DA81177">
      <w:pPr>
        <w:pStyle w:val="21"/>
        <w:bidi w:val="0"/>
        <w:rPr>
          <w:rFonts w:hint="eastAsia"/>
          <w:color w:val="auto"/>
          <w:u w:val="none" w:color="auto"/>
          <w:lang w:val="en-US" w:eastAsia="zh-CN"/>
        </w:rPr>
      </w:pPr>
      <w:r>
        <w:rPr>
          <w:rFonts w:hint="eastAsia"/>
          <w:color w:val="auto"/>
          <w:u w:val="none" w:color="auto"/>
          <w:lang w:val="en-US" w:eastAsia="zh-CN"/>
        </w:rPr>
        <w:t>项目建设过程中原材料运输会产生道路扬尘，运输产生的扬尘主要与路面积尘量有关。施工及运输车辆引起的扬尘对路边30m范围内影响较大，路边的TSP浓度可达10mg/m</w:t>
      </w:r>
      <w:r>
        <w:rPr>
          <w:rFonts w:hint="eastAsia"/>
          <w:color w:val="auto"/>
          <w:u w:val="none" w:color="auto"/>
          <w:vertAlign w:val="superscript"/>
          <w:lang w:val="en-US" w:eastAsia="zh-CN"/>
        </w:rPr>
        <w:t>3</w:t>
      </w:r>
      <w:r>
        <w:rPr>
          <w:rFonts w:hint="eastAsia"/>
          <w:color w:val="auto"/>
          <w:u w:val="none" w:color="auto"/>
          <w:lang w:val="en-US" w:eastAsia="zh-CN"/>
        </w:rPr>
        <w:t>以上。建设单位需对运输车辆加盖篷布，严禁超载。</w:t>
      </w:r>
    </w:p>
    <w:p w14:paraId="6ED82DCD">
      <w:pPr>
        <w:pStyle w:val="21"/>
        <w:bidi w:val="0"/>
        <w:rPr>
          <w:rFonts w:hint="eastAsia"/>
          <w:color w:val="auto"/>
          <w:u w:val="none" w:color="auto"/>
          <w:lang w:val="en-US" w:eastAsia="zh-CN"/>
        </w:rPr>
      </w:pPr>
      <w:r>
        <w:rPr>
          <w:rFonts w:hint="eastAsia"/>
          <w:color w:val="auto"/>
          <w:u w:val="none" w:color="auto"/>
          <w:lang w:val="en-US" w:eastAsia="zh-CN"/>
        </w:rPr>
        <w:t>②施工废气</w:t>
      </w:r>
    </w:p>
    <w:p w14:paraId="2778F04A">
      <w:pPr>
        <w:pStyle w:val="21"/>
        <w:bidi w:val="0"/>
        <w:rPr>
          <w:rFonts w:hint="eastAsia"/>
          <w:color w:val="auto"/>
          <w:u w:val="none" w:color="auto"/>
          <w:lang w:val="en-US" w:eastAsia="zh-CN"/>
        </w:rPr>
      </w:pPr>
      <w:r>
        <w:rPr>
          <w:rFonts w:hint="eastAsia"/>
          <w:color w:val="auto"/>
          <w:u w:val="none" w:color="auto"/>
          <w:lang w:val="en-US" w:eastAsia="zh-CN"/>
        </w:rPr>
        <w:t>施工期间施工机械与运输车辆排放的燃油废气主要污染物有CO、NOx、SO</w:t>
      </w:r>
      <w:r>
        <w:rPr>
          <w:rFonts w:hint="eastAsia"/>
          <w:color w:val="auto"/>
          <w:u w:val="none" w:color="auto"/>
          <w:vertAlign w:val="subscript"/>
          <w:lang w:val="en-US" w:eastAsia="zh-CN"/>
        </w:rPr>
        <w:t>2</w:t>
      </w:r>
      <w:r>
        <w:rPr>
          <w:rFonts w:hint="eastAsia"/>
          <w:color w:val="auto"/>
          <w:u w:val="none" w:color="auto"/>
          <w:lang w:val="en-US" w:eastAsia="zh-CN"/>
        </w:rPr>
        <w:t>、碳氢化合物等，对环境空气会产生一定的不良影响。</w:t>
      </w:r>
    </w:p>
    <w:p w14:paraId="4F3EBEF1">
      <w:pPr>
        <w:pStyle w:val="2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③装修废气</w:t>
      </w:r>
    </w:p>
    <w:p w14:paraId="7D76FF22">
      <w:pPr>
        <w:pStyle w:val="21"/>
        <w:rPr>
          <w:rFonts w:hint="eastAsia"/>
          <w:color w:val="auto"/>
          <w:u w:val="none" w:color="auto"/>
          <w:lang w:val="en-US" w:eastAsia="zh-CN"/>
        </w:rPr>
      </w:pPr>
      <w:r>
        <w:rPr>
          <w:rFonts w:hint="default" w:ascii="Times New Roman" w:hAnsi="Times New Roman" w:eastAsia="宋体" w:cs="Times New Roman"/>
          <w:color w:val="auto"/>
          <w:u w:val="none" w:color="auto"/>
        </w:rPr>
        <w:t>装修废气主要源于装修过程中使用的油漆、涂料、粘合剂和装修木料等。由于这部分材料中一般都会含有甲醛、聚甲醛、甲醇、苯等易挥发性物质。因此，使用过程中上述物质将会逐渐挥发进入空气中。装修废气的产生量及废气污染物的种类与所用涂料、油漆等装修建材的材质密切相关。由于项目内部装修较为复杂，在现阶段无法准确核算该部分废气的产生量。一般而言，该部分废气产生量相对较小，主要影响项目室内环境，在加强通风的条件下可很快稀释扩散</w:t>
      </w:r>
      <w:r>
        <w:rPr>
          <w:rFonts w:hint="eastAsia"/>
          <w:color w:val="auto"/>
          <w:u w:val="none" w:color="auto"/>
          <w:lang w:val="en-US" w:eastAsia="zh-CN"/>
        </w:rPr>
        <w:t>。</w:t>
      </w:r>
    </w:p>
    <w:p w14:paraId="4B0FFAC6">
      <w:pPr>
        <w:pStyle w:val="21"/>
        <w:rPr>
          <w:rFonts w:hint="eastAsia"/>
          <w:color w:val="auto"/>
          <w:u w:val="none" w:color="auto"/>
          <w:lang w:val="en-US" w:eastAsia="zh-CN"/>
        </w:rPr>
      </w:pPr>
      <w:r>
        <w:rPr>
          <w:rFonts w:hint="eastAsia"/>
          <w:color w:val="auto"/>
          <w:u w:val="none" w:color="auto"/>
          <w:lang w:val="en-US" w:eastAsia="zh-CN"/>
        </w:rPr>
        <w:t>（2）水污染源及污染物</w:t>
      </w:r>
    </w:p>
    <w:p w14:paraId="4738F788">
      <w:pPr>
        <w:pStyle w:val="21"/>
        <w:rPr>
          <w:rFonts w:hint="eastAsia"/>
          <w:color w:val="auto"/>
          <w:u w:val="none" w:color="auto"/>
          <w:lang w:val="en-US" w:eastAsia="zh-CN"/>
        </w:rPr>
      </w:pPr>
      <w:r>
        <w:rPr>
          <w:rFonts w:hint="eastAsia"/>
          <w:color w:val="auto"/>
          <w:u w:val="none" w:color="auto"/>
          <w:lang w:val="en-US" w:eastAsia="zh-CN"/>
        </w:rPr>
        <w:t>施工期污水主要为施工人员生活污水。</w:t>
      </w:r>
    </w:p>
    <w:p w14:paraId="44C575CC">
      <w:pPr>
        <w:pStyle w:val="21"/>
        <w:rPr>
          <w:rFonts w:hint="eastAsia"/>
          <w:color w:val="auto"/>
          <w:u w:val="none" w:color="auto"/>
          <w:lang w:val="en-US" w:eastAsia="zh-CN"/>
        </w:rPr>
      </w:pPr>
      <w:r>
        <w:rPr>
          <w:rFonts w:hint="eastAsia"/>
          <w:color w:val="auto"/>
          <w:u w:val="none" w:color="auto"/>
          <w:lang w:val="en-US" w:eastAsia="zh-CN"/>
        </w:rPr>
        <w:t>项目施工人员为本地人，因此施工期间不设施工场地，生活污水中的污染物主要为CODcr、BOD</w:t>
      </w:r>
      <w:r>
        <w:rPr>
          <w:rFonts w:hint="eastAsia"/>
          <w:color w:val="auto"/>
          <w:u w:val="none" w:color="auto"/>
          <w:vertAlign w:val="subscript"/>
          <w:lang w:val="en-US" w:eastAsia="zh-CN"/>
        </w:rPr>
        <w:t>5</w:t>
      </w:r>
      <w:r>
        <w:rPr>
          <w:rFonts w:hint="eastAsia"/>
          <w:color w:val="auto"/>
          <w:u w:val="none" w:color="auto"/>
          <w:lang w:val="en-US" w:eastAsia="zh-CN"/>
        </w:rPr>
        <w:t>、SS 和 NH</w:t>
      </w:r>
      <w:r>
        <w:rPr>
          <w:rFonts w:hint="eastAsia"/>
          <w:color w:val="auto"/>
          <w:u w:val="none" w:color="auto"/>
          <w:vertAlign w:val="subscript"/>
          <w:lang w:val="en-US" w:eastAsia="zh-CN"/>
        </w:rPr>
        <w:t>3</w:t>
      </w:r>
      <w:r>
        <w:rPr>
          <w:rFonts w:hint="eastAsia"/>
          <w:color w:val="auto"/>
          <w:u w:val="none" w:color="auto"/>
          <w:lang w:val="en-US" w:eastAsia="zh-CN"/>
        </w:rPr>
        <w:t>-N。工程施工期平均施工人数约10人，生活用水量按100L/人.d 计，则施工人员生活用水量为1m</w:t>
      </w:r>
      <w:r>
        <w:rPr>
          <w:rFonts w:hint="eastAsia"/>
          <w:color w:val="auto"/>
          <w:u w:val="none" w:color="auto"/>
          <w:vertAlign w:val="superscript"/>
          <w:lang w:val="en-US" w:eastAsia="zh-CN"/>
        </w:rPr>
        <w:t>3</w:t>
      </w:r>
      <w:r>
        <w:rPr>
          <w:rFonts w:hint="eastAsia"/>
          <w:color w:val="auto"/>
          <w:u w:val="none" w:color="auto"/>
          <w:lang w:val="en-US" w:eastAsia="zh-CN"/>
        </w:rPr>
        <w:t>/d，生活污水产污系数按0.8计，则生活污水产生量约0.8m</w:t>
      </w:r>
      <w:r>
        <w:rPr>
          <w:rFonts w:hint="eastAsia"/>
          <w:color w:val="auto"/>
          <w:u w:val="none" w:color="auto"/>
          <w:vertAlign w:val="superscript"/>
          <w:lang w:val="en-US" w:eastAsia="zh-CN"/>
        </w:rPr>
        <w:t>3</w:t>
      </w:r>
      <w:r>
        <w:rPr>
          <w:rFonts w:hint="eastAsia"/>
          <w:color w:val="auto"/>
          <w:u w:val="none" w:color="auto"/>
          <w:lang w:val="en-US" w:eastAsia="zh-CN"/>
        </w:rPr>
        <w:t>/d。建筑施工人员均为附近村庄居住人员，在自家食宿，生活污水按现有处理方式对水环境影响较小。</w:t>
      </w:r>
    </w:p>
    <w:p w14:paraId="7435DDD9">
      <w:pPr>
        <w:pStyle w:val="21"/>
        <w:rPr>
          <w:rFonts w:hint="eastAsia"/>
          <w:color w:val="auto"/>
          <w:u w:val="none" w:color="auto"/>
          <w:lang w:val="en-US" w:eastAsia="zh-CN"/>
        </w:rPr>
      </w:pPr>
      <w:r>
        <w:rPr>
          <w:rFonts w:hint="eastAsia"/>
          <w:color w:val="auto"/>
          <w:u w:val="none" w:color="auto"/>
          <w:lang w:val="en-US" w:eastAsia="zh-CN"/>
        </w:rPr>
        <w:t>（3）噪声源及源强</w:t>
      </w:r>
    </w:p>
    <w:p w14:paraId="106C8AC9">
      <w:pPr>
        <w:pStyle w:val="21"/>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施工期噪声主要来自施工机器和运输设备噪声。主要噪声源有</w:t>
      </w:r>
      <w:r>
        <w:rPr>
          <w:rFonts w:hint="default" w:ascii="Times New Roman" w:hAnsi="Times New Roman" w:cs="Times New Roman"/>
          <w:color w:val="auto"/>
          <w:u w:val="none" w:color="auto"/>
          <w:lang w:val="en-US" w:eastAsia="zh-CN"/>
        </w:rPr>
        <w:t>装修施工</w:t>
      </w:r>
      <w:r>
        <w:rPr>
          <w:rFonts w:hint="default" w:ascii="Times New Roman" w:hAnsi="Times New Roman" w:cs="Times New Roman"/>
          <w:color w:val="auto"/>
          <w:u w:val="none" w:color="auto"/>
        </w:rPr>
        <w:t>噪声，噪声强度均在75～</w:t>
      </w:r>
      <w:r>
        <w:rPr>
          <w:rFonts w:hint="default" w:ascii="Times New Roman" w:hAnsi="Times New Roman" w:cs="Times New Roman"/>
          <w:color w:val="auto"/>
          <w:u w:val="none" w:color="auto"/>
          <w:lang w:val="en-US" w:eastAsia="zh-CN"/>
        </w:rPr>
        <w:t>85</w:t>
      </w:r>
      <w:r>
        <w:rPr>
          <w:rFonts w:hint="default" w:ascii="Times New Roman" w:hAnsi="Times New Roman" w:cs="Times New Roman"/>
          <w:color w:val="auto"/>
          <w:u w:val="none" w:color="auto"/>
        </w:rPr>
        <w:t>dB（A）之间</w:t>
      </w:r>
      <w:r>
        <w:rPr>
          <w:rFonts w:hint="eastAsia" w:ascii="Times New Roman" w:hAnsi="Times New Roman" w:cs="Times New Roman"/>
          <w:color w:val="auto"/>
          <w:u w:val="none" w:color="auto"/>
          <w:lang w:eastAsia="zh-CN"/>
        </w:rPr>
        <w:t>。</w:t>
      </w:r>
    </w:p>
    <w:p w14:paraId="46AB36A4">
      <w:pPr>
        <w:pStyle w:val="21"/>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4）固体废物</w:t>
      </w:r>
    </w:p>
    <w:p w14:paraId="30612C6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施工期固体废物主要</w:t>
      </w:r>
      <w:r>
        <w:rPr>
          <w:rFonts w:hint="eastAsia" w:ascii="Times New Roman" w:hAnsi="Times New Roman" w:cs="Times New Roman"/>
          <w:color w:val="auto"/>
          <w:u w:val="none" w:color="auto"/>
          <w:lang w:val="en-US" w:eastAsia="zh-CN"/>
        </w:rPr>
        <w:t>为</w:t>
      </w:r>
      <w:r>
        <w:rPr>
          <w:rFonts w:hint="default" w:ascii="Times New Roman" w:hAnsi="Times New Roman" w:cs="Times New Roman"/>
          <w:color w:val="auto"/>
          <w:u w:val="none" w:color="auto"/>
        </w:rPr>
        <w:t>施工人员生活垃圾。</w:t>
      </w:r>
    </w:p>
    <w:p w14:paraId="44D2222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高峰时施工人员及工地管理人员约</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0人，生活垃圾产生量按0.25kg/人·d计，则施工人员每天可产生约</w:t>
      </w:r>
      <w:r>
        <w:rPr>
          <w:rFonts w:hint="eastAsia" w:ascii="Times New Roman" w:hAnsi="Times New Roman" w:cs="Times New Roman"/>
          <w:color w:val="auto"/>
          <w:u w:val="none" w:color="auto"/>
          <w:lang w:val="en-US" w:eastAsia="zh-CN"/>
        </w:rPr>
        <w:t>2.5</w:t>
      </w:r>
      <w:r>
        <w:rPr>
          <w:rFonts w:hint="default" w:ascii="Times New Roman" w:hAnsi="Times New Roman" w:cs="Times New Roman"/>
          <w:color w:val="auto"/>
          <w:u w:val="none" w:color="auto"/>
        </w:rPr>
        <w:t>kg的生活垃圾，生活垃圾经集中收集后运至环卫部门指定的地点统一处置。</w:t>
      </w:r>
    </w:p>
    <w:p w14:paraId="4DD37B5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（5）生态影响</w:t>
      </w:r>
    </w:p>
    <w:p w14:paraId="33A6DB31">
      <w:pPr>
        <w:pStyle w:val="21"/>
        <w:bidi w:val="0"/>
        <w:rPr>
          <w:rFonts w:hint="default"/>
          <w:color w:val="auto"/>
          <w:u w:val="none" w:color="auto"/>
        </w:rPr>
      </w:pPr>
      <w:r>
        <w:rPr>
          <w:rFonts w:hint="default"/>
          <w:color w:val="auto"/>
          <w:u w:val="none" w:color="auto"/>
        </w:rPr>
        <w:t>本项目</w:t>
      </w:r>
      <w:r>
        <w:rPr>
          <w:rFonts w:hint="eastAsia"/>
          <w:color w:val="auto"/>
          <w:u w:val="none" w:color="auto"/>
          <w:lang w:val="en-US" w:eastAsia="zh-CN"/>
        </w:rPr>
        <w:t>租赁</w:t>
      </w:r>
      <w:r>
        <w:rPr>
          <w:rFonts w:hint="default"/>
          <w:color w:val="auto"/>
          <w:u w:val="none" w:color="auto"/>
        </w:rPr>
        <w:t>已</w:t>
      </w:r>
      <w:r>
        <w:rPr>
          <w:rFonts w:hint="eastAsia"/>
          <w:color w:val="auto"/>
          <w:u w:val="none" w:color="auto"/>
          <w:lang w:val="en-US" w:eastAsia="zh-CN"/>
        </w:rPr>
        <w:t>建</w:t>
      </w:r>
      <w:r>
        <w:rPr>
          <w:rFonts w:hint="default"/>
          <w:color w:val="auto"/>
          <w:u w:val="none" w:color="auto"/>
        </w:rPr>
        <w:t>厂房，地面多为水泥硬化，本项目只有少量室内装修和设备安装工程，不会产生水土流失。</w:t>
      </w:r>
    </w:p>
    <w:p w14:paraId="7785ADB6">
      <w:pPr>
        <w:pStyle w:val="8"/>
        <w:bidi w:val="0"/>
        <w:rPr>
          <w:rFonts w:hint="eastAsia"/>
          <w:color w:val="auto"/>
          <w:u w:val="none" w:color="auto"/>
          <w:lang w:val="en-US" w:eastAsia="zh-CN"/>
        </w:rPr>
      </w:pPr>
      <w:bookmarkStart w:id="618" w:name="_Toc23975"/>
      <w:bookmarkStart w:id="619" w:name="_Toc18368"/>
      <w:bookmarkStart w:id="620" w:name="_Toc24763"/>
      <w:r>
        <w:rPr>
          <w:rFonts w:hint="eastAsia"/>
          <w:color w:val="auto"/>
          <w:u w:val="none" w:color="auto"/>
          <w:lang w:val="en-US" w:eastAsia="zh-CN"/>
        </w:rPr>
        <w:t>3.4.2营运期污染源分析</w:t>
      </w:r>
      <w:bookmarkEnd w:id="618"/>
      <w:bookmarkEnd w:id="619"/>
      <w:bookmarkEnd w:id="620"/>
    </w:p>
    <w:p w14:paraId="35634B82">
      <w:pPr>
        <w:pStyle w:val="21"/>
        <w:bidi w:val="0"/>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1、</w:t>
      </w:r>
      <w:r>
        <w:rPr>
          <w:rFonts w:hint="default" w:ascii="Times New Roman" w:hAnsi="Times New Roman" w:eastAsia="宋体" w:cs="Times New Roman"/>
          <w:b/>
          <w:bCs/>
          <w:color w:val="auto"/>
          <w:u w:val="none" w:color="auto"/>
          <w:lang w:val="en-US" w:eastAsia="zh-CN"/>
        </w:rPr>
        <w:t>废水污染源</w:t>
      </w:r>
    </w:p>
    <w:p w14:paraId="6CB1627A">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rPr>
        <w:t>本项目</w:t>
      </w:r>
      <w:r>
        <w:rPr>
          <w:rFonts w:hint="eastAsia" w:cs="Times New Roman"/>
          <w:color w:val="auto"/>
          <w:u w:val="none"/>
          <w:lang w:val="en-US" w:eastAsia="zh-CN"/>
        </w:rPr>
        <w:t>生产过程不产生废水</w:t>
      </w:r>
      <w:r>
        <w:rPr>
          <w:rFonts w:hint="eastAsia" w:cs="Times New Roman"/>
          <w:color w:val="auto"/>
          <w:u w:val="none"/>
          <w:lang w:eastAsia="zh-CN"/>
        </w:rPr>
        <w:t>。</w:t>
      </w:r>
      <w:r>
        <w:rPr>
          <w:rFonts w:hint="default" w:ascii="Times New Roman" w:hAnsi="Times New Roman" w:cs="Times New Roman"/>
          <w:color w:val="auto"/>
          <w:u w:val="none"/>
        </w:rPr>
        <w:t>废水主要来源于</w:t>
      </w:r>
      <w:bookmarkStart w:id="621" w:name="OLE_LINK18"/>
      <w:r>
        <w:rPr>
          <w:rFonts w:hint="default" w:ascii="Times New Roman" w:hAnsi="Times New Roman" w:cs="Times New Roman"/>
          <w:color w:val="auto"/>
          <w:u w:val="none"/>
        </w:rPr>
        <w:t>生活污水</w:t>
      </w:r>
      <w:bookmarkEnd w:id="621"/>
      <w:r>
        <w:rPr>
          <w:rFonts w:hint="eastAsia" w:cs="Times New Roman"/>
          <w:color w:val="auto"/>
          <w:u w:val="none"/>
          <w:lang w:eastAsia="zh-CN"/>
        </w:rPr>
        <w:t>，</w:t>
      </w:r>
      <w:r>
        <w:rPr>
          <w:rFonts w:hint="default" w:ascii="Times New Roman" w:hAnsi="Times New Roman" w:cs="Times New Roman"/>
          <w:color w:val="auto"/>
          <w:u w:val="none"/>
        </w:rPr>
        <w:t>根据建设</w:t>
      </w:r>
      <w:r>
        <w:rPr>
          <w:rFonts w:hint="eastAsia" w:ascii="Times New Roman" w:hAnsi="Times New Roman" w:cs="Times New Roman"/>
          <w:color w:val="auto"/>
          <w:u w:val="none"/>
          <w:lang w:val="en-US" w:eastAsia="zh-CN"/>
        </w:rPr>
        <w:t>单位</w:t>
      </w:r>
      <w:r>
        <w:rPr>
          <w:rFonts w:hint="default" w:ascii="Times New Roman" w:hAnsi="Times New Roman" w:cs="Times New Roman"/>
          <w:color w:val="auto"/>
          <w:u w:val="none"/>
        </w:rPr>
        <w:t>提供的资料，项目地面清洁采用人工清扫方式</w:t>
      </w:r>
      <w:r>
        <w:rPr>
          <w:rFonts w:hint="eastAsia" w:cs="Times New Roman"/>
          <w:color w:val="auto"/>
          <w:u w:val="none"/>
          <w:lang w:eastAsia="zh-CN"/>
        </w:rPr>
        <w:t>，</w:t>
      </w:r>
      <w:r>
        <w:rPr>
          <w:rFonts w:hint="default" w:ascii="Times New Roman" w:hAnsi="Times New Roman" w:cs="Times New Roman"/>
          <w:color w:val="auto"/>
          <w:u w:val="none"/>
        </w:rPr>
        <w:t>不使用水对地面进行冲洗，故无地面冲洗水的产生</w:t>
      </w:r>
      <w:r>
        <w:rPr>
          <w:rFonts w:hint="default" w:ascii="Times New Roman" w:hAnsi="Times New Roman" w:eastAsia="宋体" w:cs="Times New Roman"/>
          <w:color w:val="auto"/>
          <w:u w:val="none" w:color="auto"/>
          <w:lang w:val="en-US" w:eastAsia="zh-CN"/>
        </w:rPr>
        <w:t>。</w:t>
      </w:r>
    </w:p>
    <w:p w14:paraId="7DAF706F">
      <w:pPr>
        <w:pStyle w:val="21"/>
        <w:bidi w:val="0"/>
        <w:rPr>
          <w:rFonts w:hint="default" w:ascii="Times New Roman" w:hAnsi="Times New Roman" w:eastAsia="宋体" w:cs="Times New Roman"/>
          <w:color w:val="auto"/>
          <w:u w:val="none" w:color="auto"/>
        </w:rPr>
      </w:pPr>
      <w:r>
        <w:rPr>
          <w:rFonts w:hint="eastAsia"/>
          <w:color w:val="auto"/>
          <w:u w:val="none" w:color="auto"/>
          <w:lang w:val="en-US" w:eastAsia="zh-CN"/>
        </w:rPr>
        <w:t>本项目职工40人，不提供食宿，根据《湖南省用水定额》（DB43/T388.3-2025）中的指标计算，参照国家机构机关的通用值标准，员工生活用水量按38m</w:t>
      </w:r>
      <w:r>
        <w:rPr>
          <w:rFonts w:hint="eastAsia"/>
          <w:color w:val="auto"/>
          <w:u w:val="none" w:color="auto"/>
          <w:vertAlign w:val="superscript"/>
          <w:lang w:val="en-US" w:eastAsia="zh-CN"/>
        </w:rPr>
        <w:t>3</w:t>
      </w:r>
      <w:r>
        <w:rPr>
          <w:rFonts w:hint="eastAsia"/>
          <w:color w:val="auto"/>
          <w:u w:val="none" w:color="auto"/>
          <w:lang w:val="en-US" w:eastAsia="zh-CN"/>
        </w:rPr>
        <w:t>/人·a计，年工作日300天，则职工生活用水量1520m</w:t>
      </w:r>
      <w:r>
        <w:rPr>
          <w:rFonts w:hint="eastAsia"/>
          <w:color w:val="auto"/>
          <w:u w:val="none" w:color="auto"/>
          <w:vertAlign w:val="superscript"/>
          <w:lang w:val="en-US" w:eastAsia="zh-CN"/>
        </w:rPr>
        <w:t>3</w:t>
      </w:r>
      <w:r>
        <w:rPr>
          <w:rFonts w:hint="eastAsia"/>
          <w:color w:val="auto"/>
          <w:u w:val="none" w:color="auto"/>
          <w:lang w:val="en-US" w:eastAsia="zh-CN"/>
        </w:rPr>
        <w:t>/a（5.07m</w:t>
      </w:r>
      <w:r>
        <w:rPr>
          <w:rFonts w:hint="eastAsia"/>
          <w:color w:val="auto"/>
          <w:u w:val="none" w:color="auto"/>
          <w:vertAlign w:val="superscript"/>
          <w:lang w:val="en-US" w:eastAsia="zh-CN"/>
        </w:rPr>
        <w:t>3</w:t>
      </w:r>
      <w:r>
        <w:rPr>
          <w:rFonts w:hint="eastAsia"/>
          <w:color w:val="auto"/>
          <w:u w:val="none" w:color="auto"/>
          <w:lang w:val="en-US" w:eastAsia="zh-CN"/>
        </w:rPr>
        <w:t>/d）；污水排放量按用水量的80%计，则污水排放量为1216m</w:t>
      </w:r>
      <w:r>
        <w:rPr>
          <w:rFonts w:hint="eastAsia"/>
          <w:color w:val="auto"/>
          <w:u w:val="none" w:color="auto"/>
          <w:vertAlign w:val="superscript"/>
          <w:lang w:val="en-US" w:eastAsia="zh-CN"/>
        </w:rPr>
        <w:t>3</w:t>
      </w:r>
      <w:r>
        <w:rPr>
          <w:rFonts w:hint="eastAsia"/>
          <w:color w:val="auto"/>
          <w:u w:val="none" w:color="auto"/>
          <w:lang w:val="en-US" w:eastAsia="zh-CN"/>
        </w:rPr>
        <w:t>/a（4.06m</w:t>
      </w:r>
      <w:r>
        <w:rPr>
          <w:rFonts w:hint="eastAsia"/>
          <w:color w:val="auto"/>
          <w:u w:val="none" w:color="auto"/>
          <w:vertAlign w:val="superscript"/>
          <w:lang w:val="en-US" w:eastAsia="zh-CN"/>
        </w:rPr>
        <w:t>3</w:t>
      </w:r>
      <w:r>
        <w:rPr>
          <w:rFonts w:hint="eastAsia"/>
          <w:color w:val="auto"/>
          <w:u w:val="none" w:color="auto"/>
          <w:lang w:val="en-US" w:eastAsia="zh-CN"/>
        </w:rPr>
        <w:t>/d）。本项目车间内不设置生活区，办公依托建设单位现有，员工生活污水经化粪池处理后进入长沙经开区汨罗产业园污水处理厂处理</w:t>
      </w:r>
      <w:r>
        <w:rPr>
          <w:rFonts w:hint="default" w:ascii="Times New Roman" w:hAnsi="Times New Roman" w:eastAsia="宋体" w:cs="Times New Roman"/>
          <w:color w:val="auto"/>
          <w:u w:val="none" w:color="auto"/>
        </w:rPr>
        <w:t>。据类比，项目生活污水</w:t>
      </w:r>
      <w:r>
        <w:rPr>
          <w:rFonts w:hint="eastAsia" w:ascii="Times New Roman" w:hAnsi="Times New Roman" w:eastAsia="宋体" w:cs="Times New Roman"/>
          <w:color w:val="auto"/>
          <w:u w:val="none" w:color="auto"/>
          <w:lang w:val="en-US" w:eastAsia="zh-CN"/>
        </w:rPr>
        <w:t>污染物产生源强</w:t>
      </w:r>
      <w:r>
        <w:rPr>
          <w:rFonts w:hint="default" w:ascii="Times New Roman" w:hAnsi="Times New Roman" w:eastAsia="宋体" w:cs="Times New Roman"/>
          <w:color w:val="auto"/>
          <w:u w:val="none" w:color="auto"/>
        </w:rPr>
        <w:t>情况为：COD</w:t>
      </w:r>
      <w:r>
        <w:rPr>
          <w:rFonts w:hint="default" w:ascii="Times New Roman" w:hAnsi="Times New Roman" w:eastAsia="宋体" w:cs="Times New Roman"/>
          <w:color w:val="auto"/>
          <w:u w:val="none" w:color="auto"/>
          <w:lang w:val="en-US" w:eastAsia="zh-CN"/>
        </w:rPr>
        <w:t>cr</w:t>
      </w:r>
      <w:r>
        <w:rPr>
          <w:rFonts w:hint="eastAsia" w:ascii="Times New Roman" w:hAnsi="Times New Roman" w:eastAsia="宋体" w:cs="Times New Roman"/>
          <w:color w:val="auto"/>
          <w:u w:val="none" w:color="auto"/>
          <w:lang w:val="en-US" w:eastAsia="zh-CN"/>
        </w:rPr>
        <w:t>350</w:t>
      </w:r>
      <w:r>
        <w:rPr>
          <w:rFonts w:hint="default" w:ascii="Times New Roman" w:hAnsi="Times New Roman" w:eastAsia="宋体" w:cs="Times New Roman"/>
          <w:color w:val="auto"/>
          <w:u w:val="none" w:color="auto"/>
        </w:rPr>
        <w:t>mg/L，BOD</w:t>
      </w:r>
      <w:r>
        <w:rPr>
          <w:rFonts w:hint="default" w:ascii="Times New Roman" w:hAnsi="Times New Roman" w:eastAsia="宋体" w:cs="Times New Roman"/>
          <w:color w:val="auto"/>
          <w:u w:val="none" w:color="auto"/>
          <w:vertAlign w:val="subscript"/>
        </w:rPr>
        <w:t>5</w:t>
      </w:r>
      <w:r>
        <w:rPr>
          <w:rFonts w:hint="eastAsia" w:ascii="Times New Roman" w:hAnsi="Times New Roman" w:eastAsia="宋体" w:cs="Times New Roman"/>
          <w:color w:val="auto"/>
          <w:u w:val="none" w:color="auto"/>
          <w:lang w:val="en-US" w:eastAsia="zh-CN"/>
        </w:rPr>
        <w:t>160</w:t>
      </w:r>
      <w:r>
        <w:rPr>
          <w:rFonts w:hint="default" w:ascii="Times New Roman" w:hAnsi="Times New Roman" w:eastAsia="宋体" w:cs="Times New Roman"/>
          <w:color w:val="auto"/>
          <w:u w:val="none" w:color="auto"/>
        </w:rPr>
        <w:t>mg/L，SS</w:t>
      </w:r>
      <w:r>
        <w:rPr>
          <w:rFonts w:hint="eastAsia" w:ascii="Times New Roman" w:hAnsi="Times New Roman" w:eastAsia="宋体" w:cs="Times New Roman"/>
          <w:color w:val="auto"/>
          <w:u w:val="none" w:color="auto"/>
          <w:lang w:val="en-US" w:eastAsia="zh-CN"/>
        </w:rPr>
        <w:t>250</w:t>
      </w:r>
      <w:r>
        <w:rPr>
          <w:rFonts w:hint="default" w:ascii="Times New Roman" w:hAnsi="Times New Roman" w:eastAsia="宋体" w:cs="Times New Roman"/>
          <w:color w:val="auto"/>
          <w:u w:val="none" w:color="auto"/>
        </w:rPr>
        <w:t>mg/L、氨氮</w:t>
      </w:r>
      <w:r>
        <w:rPr>
          <w:rFonts w:hint="eastAsia" w:ascii="Times New Roman" w:hAnsi="Times New Roman" w:eastAsia="宋体" w:cs="Times New Roman"/>
          <w:color w:val="auto"/>
          <w:u w:val="none" w:color="auto"/>
          <w:lang w:val="en-US" w:eastAsia="zh-CN"/>
        </w:rPr>
        <w:t>30</w:t>
      </w:r>
      <w:r>
        <w:rPr>
          <w:rFonts w:hint="default" w:ascii="Times New Roman" w:hAnsi="Times New Roman" w:eastAsia="宋体" w:cs="Times New Roman"/>
          <w:color w:val="auto"/>
          <w:u w:val="none" w:color="auto"/>
        </w:rPr>
        <w:t>mg/L</w:t>
      </w:r>
      <w:r>
        <w:rPr>
          <w:rFonts w:hint="default" w:ascii="Times New Roman" w:hAnsi="Times New Roman" w:eastAsia="宋体" w:cs="Times New Roman"/>
          <w:color w:val="auto"/>
          <w:u w:val="none" w:color="auto"/>
          <w:lang w:eastAsia="zh-CN"/>
        </w:rPr>
        <w:t>。</w:t>
      </w:r>
    </w:p>
    <w:p w14:paraId="106D6EBB">
      <w:pPr>
        <w:pStyle w:val="21"/>
        <w:bidi w:val="0"/>
        <w:rPr>
          <w:rFonts w:hint="eastAsia"/>
          <w:b/>
          <w:bCs/>
          <w:color w:val="auto"/>
          <w:u w:val="none" w:color="auto"/>
          <w:lang w:val="en-US" w:eastAsia="zh-CN"/>
        </w:rPr>
      </w:pPr>
      <w:r>
        <w:rPr>
          <w:rFonts w:hint="eastAsia"/>
          <w:b/>
          <w:bCs/>
          <w:color w:val="auto"/>
          <w:u w:val="none" w:color="auto"/>
          <w:lang w:val="en-US" w:eastAsia="zh-CN"/>
        </w:rPr>
        <w:t>2、废气污染源</w:t>
      </w:r>
    </w:p>
    <w:p w14:paraId="186F9B27">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（1）配料投料废气</w:t>
      </w:r>
    </w:p>
    <w:p w14:paraId="173FAAAF">
      <w:pPr>
        <w:pStyle w:val="21"/>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本项目原料主要为石墨粉及酚醛树脂，酚醛树脂为液态，于加热混捏工序通过真空泵抽取加入，配料主要将不同规格的石墨（粗粉、中细粉、细粉）按一定比例混合，采用人工配料，人工配料主要过程为称量，其过程会产生少量粉尘</w:t>
      </w:r>
      <w:r>
        <w:rPr>
          <w:rFonts w:hint="eastAsia" w:ascii="Times New Roman" w:hAnsi="Times New Roman" w:eastAsia="宋体" w:cs="Times New Roman"/>
          <w:color w:val="auto"/>
          <w:u w:val="none" w:color="auto"/>
          <w:lang w:val="en-US" w:eastAsia="zh-CN"/>
        </w:rPr>
        <w:t>。配料废气产生量与工人操作水平有很大关系，通过严格要求工人轻拿轻放减少粉尘产生量，粉尘产生量约占粉料用量的0.01%，本项目石墨粉使用量为2000t/a，其粉尘产生量为0.2t/a，经车间沉降后无组织排放。</w:t>
      </w:r>
    </w:p>
    <w:p w14:paraId="5C171E47">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配料完成后通过升降平台倒入捏合机进行加热混捏，投料过程中会产生少量粉尘；根据《逸散性工业粉尘控制技术》的数据，项目投料入捏合机产生的粉尘按0.2kg/t-原料计，本项目石墨粉使用量为2000t/a，其粉尘产生量为0.4t/a，经车间沉降后无组织排放。</w:t>
      </w:r>
    </w:p>
    <w:p w14:paraId="47C9EE4C">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（2）加热混捏废气、冷却废气</w:t>
      </w:r>
    </w:p>
    <w:p w14:paraId="3540B254">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根据石墨粉的物料性状，其混捏过程中会产生粉尘，参照</w:t>
      </w:r>
      <w:r>
        <w:rPr>
          <w:rFonts w:hint="default" w:ascii="Times New Roman" w:hAnsi="Times New Roman" w:eastAsia="宋体" w:cs="Times New Roman"/>
          <w:color w:val="auto"/>
          <w:u w:val="none" w:color="auto"/>
          <w:lang w:val="en-US" w:eastAsia="zh-CN"/>
        </w:rPr>
        <w:t>《排放源统计调查产排污核算方法和系数手册》中</w:t>
      </w:r>
      <w:r>
        <w:rPr>
          <w:rFonts w:hint="eastAsia" w:ascii="宋体" w:hAnsi="宋体" w:eastAsia="宋体" w:cs="宋体"/>
          <w:color w:val="auto"/>
          <w:u w:val="none" w:color="auto"/>
          <w:lang w:val="en-US" w:eastAsia="zh-CN"/>
        </w:rPr>
        <w:t>“</w:t>
      </w:r>
      <w:r>
        <w:rPr>
          <w:rFonts w:hint="eastAsia" w:ascii="Times New Roman" w:hAnsi="Times New Roman" w:eastAsia="宋体" w:cs="Times New Roman"/>
          <w:color w:val="auto"/>
          <w:u w:val="none" w:color="auto"/>
          <w:lang w:val="en-US" w:eastAsia="zh-CN"/>
        </w:rPr>
        <w:t>3091</w:t>
      </w:r>
      <w:r>
        <w:rPr>
          <w:rFonts w:hint="default" w:ascii="Times New Roman" w:hAnsi="Times New Roman" w:eastAsia="宋体" w:cs="Times New Roman"/>
          <w:color w:val="auto"/>
          <w:u w:val="none" w:color="auto"/>
          <w:lang w:val="en-US" w:eastAsia="zh-CN"/>
        </w:rPr>
        <w:t xml:space="preserve"> </w:t>
      </w:r>
      <w:r>
        <w:rPr>
          <w:rFonts w:hint="eastAsia" w:ascii="Times New Roman" w:hAnsi="Times New Roman" w:eastAsia="宋体" w:cs="Times New Roman"/>
          <w:color w:val="auto"/>
          <w:u w:val="none" w:color="auto"/>
          <w:lang w:val="en-US" w:eastAsia="zh-CN"/>
        </w:rPr>
        <w:t>石墨及碳素制品制造</w:t>
      </w:r>
      <w:r>
        <w:rPr>
          <w:rFonts w:hint="default" w:ascii="Times New Roman" w:hAnsi="Times New Roman" w:eastAsia="宋体" w:cs="Times New Roman"/>
          <w:color w:val="auto"/>
          <w:u w:val="none" w:color="auto"/>
          <w:lang w:val="en-US" w:eastAsia="zh-CN"/>
        </w:rPr>
        <w:t>行业系数手册</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干式混捏</w:t>
      </w:r>
      <w:r>
        <w:rPr>
          <w:rFonts w:hint="default" w:ascii="Times New Roman" w:hAnsi="Times New Roman" w:eastAsia="宋体" w:cs="Times New Roman"/>
          <w:color w:val="auto"/>
          <w:u w:val="none" w:color="auto"/>
          <w:lang w:val="en-US" w:eastAsia="zh-CN"/>
        </w:rPr>
        <w:t>颗粒物产污系数为</w:t>
      </w:r>
      <w:r>
        <w:rPr>
          <w:rFonts w:hint="eastAsia" w:ascii="Times New Roman" w:hAnsi="Times New Roman" w:eastAsia="宋体" w:cs="Times New Roman"/>
          <w:color w:val="auto"/>
          <w:u w:val="none" w:color="auto"/>
          <w:lang w:val="en-US" w:eastAsia="zh-CN"/>
        </w:rPr>
        <w:t>1.94千</w:t>
      </w:r>
      <w:r>
        <w:rPr>
          <w:rFonts w:hint="default" w:ascii="Times New Roman" w:hAnsi="Times New Roman" w:eastAsia="宋体" w:cs="Times New Roman"/>
          <w:color w:val="auto"/>
          <w:u w:val="none" w:color="auto"/>
          <w:lang w:val="en-US" w:eastAsia="zh-CN"/>
        </w:rPr>
        <w:t>克/吨</w:t>
      </w:r>
      <w:r>
        <w:rPr>
          <w:rFonts w:hint="eastAsia" w:ascii="Times New Roman" w:hAnsi="Times New Roman" w:eastAsia="宋体" w:cs="Times New Roman"/>
          <w:color w:val="auto"/>
          <w:u w:val="none" w:color="auto"/>
          <w:lang w:val="en-US" w:eastAsia="zh-CN"/>
        </w:rPr>
        <w:t>-产品</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本项目石墨粉使用量为2000t/a，则混捏废气中颗粒物产生量为3.88t/a</w:t>
      </w:r>
      <w:r>
        <w:rPr>
          <w:rFonts w:hint="default" w:ascii="Times New Roman" w:hAnsi="Times New Roman" w:eastAsia="宋体" w:cs="Times New Roman"/>
          <w:color w:val="auto"/>
          <w:u w:val="none" w:color="auto"/>
          <w:lang w:val="en-US" w:eastAsia="zh-CN"/>
        </w:rPr>
        <w:t>。</w:t>
      </w:r>
      <w:r>
        <w:rPr>
          <w:rFonts w:hint="eastAsia"/>
          <w:color w:val="auto"/>
          <w:u w:val="none" w:color="auto"/>
          <w:lang w:val="en-US" w:eastAsia="zh-CN"/>
        </w:rPr>
        <w:t>石墨在加热混捏工序中的高温与酚醛树脂的作用下会结块，故冷却过程不产生粉尘。</w:t>
      </w:r>
    </w:p>
    <w:p w14:paraId="10F86C8C">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由于混捏过程为带温加热混捏，加热温度为90℃，持续时间2h，参照《排放源统计调查产排污核算方法和系数手册》</w:t>
      </w:r>
      <w:r>
        <w:rPr>
          <w:rFonts w:hint="default" w:ascii="Times New Roman" w:hAnsi="Times New Roman" w:eastAsia="宋体" w:cs="Times New Roman"/>
          <w:color w:val="auto"/>
          <w:u w:val="none" w:color="auto"/>
          <w:lang w:val="en-US" w:eastAsia="zh-CN"/>
        </w:rPr>
        <w:t>中</w:t>
      </w:r>
      <w:r>
        <w:rPr>
          <w:rFonts w:hint="eastAsia" w:ascii="宋体" w:hAnsi="宋体" w:eastAsia="宋体" w:cs="宋体"/>
          <w:color w:val="auto"/>
          <w:u w:val="none" w:color="auto"/>
          <w:lang w:val="en-US" w:eastAsia="zh-CN"/>
        </w:rPr>
        <w:t>“</w:t>
      </w:r>
      <w:r>
        <w:rPr>
          <w:rFonts w:hint="eastAsia" w:ascii="Times New Roman" w:hAnsi="Times New Roman" w:eastAsia="宋体" w:cs="Times New Roman"/>
          <w:color w:val="auto"/>
          <w:u w:val="none" w:color="auto"/>
          <w:lang w:val="en-US" w:eastAsia="zh-CN"/>
        </w:rPr>
        <w:t>292 塑料制品业系数手册”</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树脂、助剂配料-混合-挤出挥发性有机物</w:t>
      </w:r>
      <w:r>
        <w:rPr>
          <w:rFonts w:hint="default" w:ascii="Times New Roman" w:hAnsi="Times New Roman" w:eastAsia="宋体" w:cs="Times New Roman"/>
          <w:color w:val="auto"/>
          <w:u w:val="none" w:color="auto"/>
          <w:lang w:val="en-US" w:eastAsia="zh-CN"/>
        </w:rPr>
        <w:t>产污系数为</w:t>
      </w:r>
      <w:r>
        <w:rPr>
          <w:rFonts w:hint="eastAsia" w:ascii="Times New Roman" w:hAnsi="Times New Roman" w:eastAsia="宋体" w:cs="Times New Roman"/>
          <w:color w:val="auto"/>
          <w:u w:val="none" w:color="auto"/>
          <w:lang w:val="en-US" w:eastAsia="zh-CN"/>
        </w:rPr>
        <w:t>1.5千</w:t>
      </w:r>
      <w:r>
        <w:rPr>
          <w:rFonts w:hint="default" w:ascii="Times New Roman" w:hAnsi="Times New Roman" w:eastAsia="宋体" w:cs="Times New Roman"/>
          <w:color w:val="auto"/>
          <w:u w:val="none" w:color="auto"/>
          <w:lang w:val="en-US" w:eastAsia="zh-CN"/>
        </w:rPr>
        <w:t>克/吨</w:t>
      </w:r>
      <w:r>
        <w:rPr>
          <w:rFonts w:hint="eastAsia" w:ascii="Times New Roman" w:hAnsi="Times New Roman" w:eastAsia="宋体" w:cs="Times New Roman"/>
          <w:color w:val="auto"/>
          <w:u w:val="none" w:color="auto"/>
          <w:lang w:val="en-US" w:eastAsia="zh-CN"/>
        </w:rPr>
        <w:t>-产品</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本项目酚醛树脂用量约600t/a，则混捏废气、冷却废气中非甲烷总烃产生量为0.9t/a</w:t>
      </w:r>
      <w:r>
        <w:rPr>
          <w:rFonts w:hint="default" w:ascii="Times New Roman" w:hAnsi="Times New Roman" w:eastAsia="宋体" w:cs="Times New Roman"/>
          <w:color w:val="auto"/>
          <w:u w:val="none" w:color="auto"/>
          <w:lang w:val="en-US" w:eastAsia="zh-CN"/>
        </w:rPr>
        <w:t>。</w:t>
      </w:r>
    </w:p>
    <w:p w14:paraId="67BC2A54">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建设单位提供的酚醛树脂MSDS，其游离酚含量为8.5%、游离醛含量为0.2%，查阅涉及的各物料的理化性质，甲醛沸点-19.5℃，游离醛的挥发温度为19℃，苯酚沸点181.9℃，游离酚的挥发温度为181.9℃，工程捏合、冷却、粉碎、混合、热压操作温度均高于甲醛沸点低于苯酚沸点，类比同类项目，加热混捏工序冷却工序甲醛的产生量按照全部挥发计，</w:t>
      </w:r>
      <w:r>
        <w:rPr>
          <w:rFonts w:hint="default" w:ascii="Times New Roman" w:hAnsi="Times New Roman" w:eastAsia="宋体" w:cs="Times New Roman"/>
          <w:color w:val="auto"/>
          <w:u w:val="none" w:color="auto"/>
          <w:lang w:val="en-US" w:eastAsia="zh-CN"/>
        </w:rPr>
        <w:t>则</w:t>
      </w:r>
      <w:r>
        <w:rPr>
          <w:rFonts w:hint="eastAsia" w:ascii="Times New Roman" w:hAnsi="Times New Roman" w:eastAsia="宋体" w:cs="Times New Roman"/>
          <w:color w:val="auto"/>
          <w:u w:val="none" w:color="auto"/>
          <w:lang w:val="en-US" w:eastAsia="zh-CN"/>
        </w:rPr>
        <w:t>甲醛</w:t>
      </w:r>
      <w:r>
        <w:rPr>
          <w:rFonts w:hint="default" w:ascii="Times New Roman" w:hAnsi="Times New Roman" w:eastAsia="宋体" w:cs="Times New Roman"/>
          <w:color w:val="auto"/>
          <w:u w:val="none" w:color="auto"/>
          <w:lang w:val="en-US" w:eastAsia="zh-CN"/>
        </w:rPr>
        <w:t>产生量为</w:t>
      </w:r>
      <w:r>
        <w:rPr>
          <w:rFonts w:hint="eastAsia" w:ascii="Times New Roman" w:hAnsi="Times New Roman" w:eastAsia="宋体" w:cs="Times New Roman"/>
          <w:color w:val="auto"/>
          <w:u w:val="none" w:color="auto"/>
          <w:lang w:val="en-US" w:eastAsia="zh-CN"/>
        </w:rPr>
        <w:t>600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0.2</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1.2</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加热混捏工序冷却工序酚类的产生量按照其原料含量的1%计，酚类</w:t>
      </w:r>
      <w:r>
        <w:rPr>
          <w:rFonts w:hint="default" w:ascii="Times New Roman" w:hAnsi="Times New Roman" w:eastAsia="宋体" w:cs="Times New Roman"/>
          <w:color w:val="auto"/>
          <w:u w:val="none" w:color="auto"/>
          <w:lang w:val="en-US" w:eastAsia="zh-CN"/>
        </w:rPr>
        <w:t xml:space="preserve">产生量为 </w:t>
      </w:r>
      <w:r>
        <w:rPr>
          <w:rFonts w:hint="eastAsia" w:ascii="Times New Roman" w:hAnsi="Times New Roman" w:eastAsia="宋体" w:cs="Times New Roman"/>
          <w:color w:val="auto"/>
          <w:u w:val="none" w:color="auto"/>
          <w:lang w:val="en-US" w:eastAsia="zh-CN"/>
        </w:rPr>
        <w:t>600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8.5</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51</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w:t>
      </w:r>
    </w:p>
    <w:p w14:paraId="609E1D95">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（3）磨粉废气</w:t>
      </w:r>
    </w:p>
    <w:p w14:paraId="2383B9B4">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w:t>
      </w:r>
      <w:r>
        <w:rPr>
          <w:rFonts w:hint="eastAsia" w:ascii="Times New Roman" w:hAnsi="Times New Roman" w:eastAsia="宋体" w:cs="Times New Roman"/>
          <w:color w:val="auto"/>
          <w:u w:val="none" w:color="auto"/>
          <w:lang w:val="en-US" w:eastAsia="zh-CN"/>
        </w:rPr>
        <w:t>冷却之后的物料需进行粉碎磨粉处理，其过程会产生粉尘</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参照</w:t>
      </w:r>
      <w:r>
        <w:rPr>
          <w:rFonts w:hint="default" w:ascii="Times New Roman" w:hAnsi="Times New Roman" w:eastAsia="宋体" w:cs="Times New Roman"/>
          <w:color w:val="auto"/>
          <w:u w:val="none" w:color="auto"/>
          <w:lang w:val="en-US" w:eastAsia="zh-CN"/>
        </w:rPr>
        <w:t>《排放源统计调查产排污核算方法和系数手册》中</w:t>
      </w:r>
      <w:r>
        <w:rPr>
          <w:rFonts w:hint="eastAsia" w:ascii="宋体" w:hAnsi="宋体" w:eastAsia="宋体" w:cs="宋体"/>
          <w:color w:val="auto"/>
          <w:u w:val="none" w:color="auto"/>
          <w:lang w:val="en-US" w:eastAsia="zh-CN"/>
        </w:rPr>
        <w:t>“</w:t>
      </w:r>
      <w:r>
        <w:rPr>
          <w:rFonts w:hint="eastAsia" w:ascii="Times New Roman" w:hAnsi="Times New Roman" w:eastAsia="宋体" w:cs="Times New Roman"/>
          <w:color w:val="auto"/>
          <w:u w:val="none" w:color="auto"/>
          <w:lang w:val="en-US" w:eastAsia="zh-CN"/>
        </w:rPr>
        <w:t>3099</w:t>
      </w:r>
      <w:r>
        <w:rPr>
          <w:rFonts w:hint="default" w:ascii="Times New Roman" w:hAnsi="Times New Roman" w:eastAsia="宋体" w:cs="Times New Roman"/>
          <w:color w:val="auto"/>
          <w:u w:val="none" w:color="auto"/>
          <w:lang w:val="en-US" w:eastAsia="zh-CN"/>
        </w:rPr>
        <w:t xml:space="preserve"> </w:t>
      </w:r>
      <w:r>
        <w:rPr>
          <w:rFonts w:hint="eastAsia" w:ascii="Times New Roman" w:hAnsi="Times New Roman" w:eastAsia="宋体" w:cs="Times New Roman"/>
          <w:color w:val="auto"/>
          <w:u w:val="none" w:color="auto"/>
          <w:lang w:val="en-US" w:eastAsia="zh-CN"/>
        </w:rPr>
        <w:t>其他非金属矿物制品制造</w:t>
      </w:r>
      <w:r>
        <w:rPr>
          <w:rFonts w:hint="default" w:ascii="Times New Roman" w:hAnsi="Times New Roman" w:eastAsia="宋体" w:cs="Times New Roman"/>
          <w:color w:val="auto"/>
          <w:u w:val="none" w:color="auto"/>
          <w:lang w:val="en-US" w:eastAsia="zh-CN"/>
        </w:rPr>
        <w:t>行业系数手册</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粉磨</w:t>
      </w:r>
      <w:r>
        <w:rPr>
          <w:rFonts w:hint="default" w:ascii="Times New Roman" w:hAnsi="Times New Roman" w:eastAsia="宋体" w:cs="Times New Roman"/>
          <w:color w:val="auto"/>
          <w:u w:val="none" w:color="auto"/>
          <w:lang w:val="en-US" w:eastAsia="zh-CN"/>
        </w:rPr>
        <w:t>颗粒物产污系数为</w:t>
      </w:r>
      <w:r>
        <w:rPr>
          <w:rFonts w:hint="eastAsia" w:ascii="Times New Roman" w:hAnsi="Times New Roman" w:eastAsia="宋体" w:cs="Times New Roman"/>
          <w:color w:val="auto"/>
          <w:u w:val="none" w:color="auto"/>
          <w:lang w:val="en-US" w:eastAsia="zh-CN"/>
        </w:rPr>
        <w:t>1.19千</w:t>
      </w:r>
      <w:r>
        <w:rPr>
          <w:rFonts w:hint="default" w:ascii="Times New Roman" w:hAnsi="Times New Roman" w:eastAsia="宋体" w:cs="Times New Roman"/>
          <w:color w:val="auto"/>
          <w:u w:val="none" w:color="auto"/>
          <w:lang w:val="en-US" w:eastAsia="zh-CN"/>
        </w:rPr>
        <w:t>克/吨</w:t>
      </w:r>
      <w:r>
        <w:rPr>
          <w:rFonts w:hint="eastAsia" w:ascii="Times New Roman" w:hAnsi="Times New Roman" w:eastAsia="宋体" w:cs="Times New Roman"/>
          <w:color w:val="auto"/>
          <w:u w:val="none" w:color="auto"/>
          <w:lang w:val="en-US" w:eastAsia="zh-CN"/>
        </w:rPr>
        <w:t>-产品</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本项目产品量约2520</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，则磨粉颗粒物产生量为2.999</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w:t>
      </w:r>
    </w:p>
    <w:p w14:paraId="111D9855">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（4）混合废气</w:t>
      </w:r>
    </w:p>
    <w:p w14:paraId="5C360386">
      <w:pPr>
        <w:pStyle w:val="21"/>
        <w:bidi w:val="0"/>
        <w:rPr>
          <w:rFonts w:hint="default" w:ascii="Times New Roman" w:hAnsi="Times New Roman" w:eastAsia="宋体" w:cs="Times New Roman"/>
          <w:color w:val="auto"/>
          <w:u w:val="none" w:color="auto"/>
          <w:lang w:val="en-US" w:eastAsia="zh-CN"/>
        </w:rPr>
      </w:pPr>
      <w:r>
        <w:rPr>
          <w:rFonts w:hint="eastAsia"/>
          <w:sz w:val="24"/>
          <w:szCs w:val="22"/>
          <w:lang w:val="en-US" w:eastAsia="zh-CN"/>
        </w:rPr>
        <w:t>磨粉后的物料</w:t>
      </w:r>
      <w:r>
        <w:rPr>
          <w:rFonts w:hint="eastAsia"/>
          <w:sz w:val="24"/>
          <w:szCs w:val="22"/>
        </w:rPr>
        <w:t>通过高速混合机混合，形成超细石墨原材料</w:t>
      </w:r>
      <w:r>
        <w:rPr>
          <w:rFonts w:hint="eastAsia"/>
          <w:sz w:val="24"/>
          <w:szCs w:val="22"/>
          <w:lang w:eastAsia="zh-CN"/>
        </w:rPr>
        <w:t>，</w:t>
      </w:r>
      <w:r>
        <w:rPr>
          <w:rFonts w:hint="eastAsia"/>
          <w:sz w:val="24"/>
          <w:szCs w:val="22"/>
          <w:lang w:val="en-US" w:eastAsia="zh-CN"/>
        </w:rPr>
        <w:t>其过程会产生粉尘。</w:t>
      </w:r>
      <w:r>
        <w:rPr>
          <w:rFonts w:hint="eastAsia" w:ascii="Times New Roman" w:hAnsi="Times New Roman" w:eastAsia="宋体" w:cs="Times New Roman"/>
          <w:color w:val="auto"/>
          <w:u w:val="none" w:color="auto"/>
          <w:lang w:val="en-US" w:eastAsia="zh-CN"/>
        </w:rPr>
        <w:t>根据建设单位提供资料及同类项目类比</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混合过程中粉尘产生量约为用量的0.1%，本项目原辅材料用量约2600</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，则混合颗粒物产生量为2.6</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w:t>
      </w:r>
    </w:p>
    <w:p w14:paraId="466FB80A">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经分析，本项目</w:t>
      </w:r>
      <w:r>
        <w:rPr>
          <w:rFonts w:hint="eastAsia" w:ascii="Times New Roman" w:hAnsi="Times New Roman" w:eastAsia="宋体" w:cs="Times New Roman"/>
          <w:color w:val="auto"/>
          <w:u w:val="none" w:color="auto"/>
          <w:lang w:val="en-US" w:eastAsia="zh-CN"/>
        </w:rPr>
        <w:t>加热</w:t>
      </w:r>
      <w:r>
        <w:rPr>
          <w:rFonts w:hint="default" w:ascii="Times New Roman" w:hAnsi="Times New Roman" w:eastAsia="宋体" w:cs="Times New Roman"/>
          <w:color w:val="auto"/>
          <w:u w:val="none" w:color="auto"/>
          <w:lang w:val="en-US" w:eastAsia="zh-CN"/>
        </w:rPr>
        <w:t>混捏、冷却</w:t>
      </w:r>
      <w:r>
        <w:rPr>
          <w:rFonts w:hint="eastAsia" w:ascii="Times New Roman" w:hAnsi="Times New Roman" w:eastAsia="宋体" w:cs="Times New Roman"/>
          <w:color w:val="auto"/>
          <w:u w:val="none" w:color="auto"/>
          <w:lang w:val="en-US" w:eastAsia="zh-CN"/>
        </w:rPr>
        <w:t>、磨粉、混合</w:t>
      </w:r>
      <w:r>
        <w:rPr>
          <w:rFonts w:hint="default" w:ascii="Times New Roman" w:hAnsi="Times New Roman" w:eastAsia="宋体" w:cs="Times New Roman"/>
          <w:color w:val="auto"/>
          <w:u w:val="none" w:color="auto"/>
          <w:lang w:val="en-US" w:eastAsia="zh-CN"/>
        </w:rPr>
        <w:t>等均位于密闭的生产设备中进行。同时，物料传送为全自动化传送装置。物料混捏过程在</w:t>
      </w:r>
      <w:r>
        <w:rPr>
          <w:rFonts w:hint="eastAsia" w:ascii="Times New Roman" w:hAnsi="Times New Roman" w:eastAsia="宋体" w:cs="Times New Roman"/>
          <w:color w:val="auto"/>
          <w:u w:val="none" w:color="auto"/>
          <w:lang w:val="en-US" w:eastAsia="zh-CN"/>
        </w:rPr>
        <w:t>捏合机内</w:t>
      </w:r>
      <w:r>
        <w:rPr>
          <w:rFonts w:hint="default" w:ascii="Times New Roman" w:hAnsi="Times New Roman" w:eastAsia="宋体" w:cs="Times New Roman"/>
          <w:color w:val="auto"/>
          <w:u w:val="none" w:color="auto"/>
          <w:lang w:val="en-US" w:eastAsia="zh-CN"/>
        </w:rPr>
        <w:t>进行，</w:t>
      </w:r>
      <w:r>
        <w:rPr>
          <w:rFonts w:hint="eastAsia" w:ascii="Times New Roman" w:hAnsi="Times New Roman" w:eastAsia="宋体" w:cs="Times New Roman"/>
          <w:color w:val="auto"/>
          <w:u w:val="none" w:color="auto"/>
          <w:lang w:val="en-US" w:eastAsia="zh-CN"/>
        </w:rPr>
        <w:t>捏合机</w:t>
      </w:r>
      <w:r>
        <w:rPr>
          <w:rFonts w:hint="default" w:ascii="Times New Roman" w:hAnsi="Times New Roman" w:eastAsia="宋体" w:cs="Times New Roman"/>
          <w:color w:val="auto"/>
          <w:u w:val="none" w:color="auto"/>
          <w:lang w:val="en-US" w:eastAsia="zh-CN"/>
        </w:rPr>
        <w:t>为封闭式设计，</w:t>
      </w:r>
      <w:r>
        <w:rPr>
          <w:rFonts w:hint="eastAsia" w:ascii="Times New Roman" w:hAnsi="Times New Roman" w:eastAsia="宋体" w:cs="Times New Roman"/>
          <w:color w:val="auto"/>
          <w:u w:val="none" w:color="auto"/>
          <w:lang w:val="en-US" w:eastAsia="zh-CN"/>
        </w:rPr>
        <w:t>通过管道</w:t>
      </w:r>
      <w:r>
        <w:rPr>
          <w:rFonts w:hint="default" w:ascii="Times New Roman" w:hAnsi="Times New Roman" w:eastAsia="宋体" w:cs="Times New Roman"/>
          <w:color w:val="auto"/>
          <w:u w:val="none" w:color="auto"/>
          <w:lang w:val="en-US" w:eastAsia="zh-CN"/>
        </w:rPr>
        <w:t>收集废气。混捏后的物料经物料传送装置送入凉</w:t>
      </w:r>
      <w:r>
        <w:rPr>
          <w:rFonts w:hint="eastAsia" w:ascii="Times New Roman" w:hAnsi="Times New Roman" w:eastAsia="宋体" w:cs="Times New Roman"/>
          <w:color w:val="auto"/>
          <w:u w:val="none" w:color="auto"/>
          <w:lang w:val="en-US" w:eastAsia="zh-CN"/>
        </w:rPr>
        <w:t>片机</w:t>
      </w:r>
      <w:r>
        <w:rPr>
          <w:rFonts w:hint="default" w:ascii="Times New Roman" w:hAnsi="Times New Roman" w:eastAsia="宋体" w:cs="Times New Roman"/>
          <w:color w:val="auto"/>
          <w:u w:val="none" w:color="auto"/>
          <w:lang w:val="en-US" w:eastAsia="zh-CN"/>
        </w:rPr>
        <w:t>中冷却至室温</w:t>
      </w:r>
      <w:r>
        <w:rPr>
          <w:rFonts w:hint="eastAsia" w:ascii="Times New Roman" w:hAnsi="Times New Roman" w:eastAsia="宋体" w:cs="Times New Roman"/>
          <w:color w:val="auto"/>
          <w:u w:val="none" w:color="auto"/>
          <w:lang w:val="en-US" w:eastAsia="zh-CN"/>
        </w:rPr>
        <w:t>，冷却</w:t>
      </w:r>
      <w:r>
        <w:rPr>
          <w:rFonts w:hint="default" w:ascii="Times New Roman" w:hAnsi="Times New Roman" w:eastAsia="宋体" w:cs="Times New Roman"/>
          <w:color w:val="auto"/>
          <w:u w:val="none" w:color="auto"/>
          <w:lang w:val="en-US" w:eastAsia="zh-CN"/>
        </w:rPr>
        <w:t>工序在封闭</w:t>
      </w:r>
      <w:r>
        <w:rPr>
          <w:rFonts w:hint="eastAsia" w:ascii="Times New Roman" w:hAnsi="Times New Roman" w:eastAsia="宋体" w:cs="Times New Roman"/>
          <w:color w:val="auto"/>
          <w:u w:val="none" w:color="auto"/>
          <w:lang w:val="en-US" w:eastAsia="zh-CN"/>
        </w:rPr>
        <w:t>凉片机</w:t>
      </w:r>
      <w:r>
        <w:rPr>
          <w:rFonts w:hint="default" w:ascii="Times New Roman" w:hAnsi="Times New Roman" w:eastAsia="宋体" w:cs="Times New Roman"/>
          <w:color w:val="auto"/>
          <w:u w:val="none" w:color="auto"/>
          <w:lang w:val="en-US" w:eastAsia="zh-CN"/>
        </w:rPr>
        <w:t>内进行，</w:t>
      </w:r>
      <w:r>
        <w:rPr>
          <w:rFonts w:hint="eastAsia" w:ascii="Times New Roman" w:hAnsi="Times New Roman" w:eastAsia="宋体" w:cs="Times New Roman"/>
          <w:color w:val="auto"/>
          <w:u w:val="none" w:color="auto"/>
          <w:lang w:val="en-US" w:eastAsia="zh-CN"/>
        </w:rPr>
        <w:t>通过管道</w:t>
      </w:r>
      <w:r>
        <w:rPr>
          <w:rFonts w:hint="default" w:ascii="Times New Roman" w:hAnsi="Times New Roman" w:eastAsia="宋体" w:cs="Times New Roman"/>
          <w:color w:val="auto"/>
          <w:u w:val="none" w:color="auto"/>
          <w:lang w:val="en-US" w:eastAsia="zh-CN"/>
        </w:rPr>
        <w:t>收集</w:t>
      </w:r>
      <w:r>
        <w:rPr>
          <w:rFonts w:hint="eastAsia" w:ascii="Times New Roman" w:hAnsi="Times New Roman" w:eastAsia="宋体" w:cs="Times New Roman"/>
          <w:color w:val="auto"/>
          <w:u w:val="none" w:color="auto"/>
          <w:lang w:val="en-US" w:eastAsia="zh-CN"/>
        </w:rPr>
        <w:t>冷却</w:t>
      </w:r>
      <w:r>
        <w:rPr>
          <w:rFonts w:hint="default" w:ascii="Times New Roman" w:hAnsi="Times New Roman" w:eastAsia="宋体" w:cs="Times New Roman"/>
          <w:color w:val="auto"/>
          <w:u w:val="none" w:color="auto"/>
          <w:lang w:val="en-US" w:eastAsia="zh-CN"/>
        </w:rPr>
        <w:t>废气。</w:t>
      </w:r>
      <w:r>
        <w:rPr>
          <w:rFonts w:hint="eastAsia" w:ascii="Times New Roman" w:hAnsi="Times New Roman" w:eastAsia="宋体" w:cs="Times New Roman"/>
          <w:color w:val="auto"/>
          <w:u w:val="none" w:color="auto"/>
          <w:lang w:val="en-US" w:eastAsia="zh-CN"/>
        </w:rPr>
        <w:t>同理，冷却后的物料经管道送入后续粉碎机、混合机，均在封闭设备内进行，通过管道收集废气。收集效率按95%计，</w:t>
      </w:r>
      <w:r>
        <w:rPr>
          <w:rFonts w:hint="default" w:ascii="Times New Roman" w:hAnsi="Times New Roman" w:eastAsia="宋体" w:cs="Times New Roman"/>
          <w:color w:val="auto"/>
          <w:u w:val="none" w:color="auto"/>
          <w:lang w:val="en-US" w:eastAsia="zh-CN"/>
        </w:rPr>
        <w:t>总风机风量为20000m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w:t>
      </w:r>
      <w:r>
        <w:rPr>
          <w:rFonts w:hint="eastAsia" w:ascii="Times New Roman" w:hAnsi="Times New Roman" w:eastAsia="宋体" w:cs="Times New Roman"/>
          <w:color w:val="auto"/>
          <w:u w:val="none" w:color="auto"/>
          <w:lang w:val="en-US" w:eastAsia="zh-CN"/>
        </w:rPr>
        <w:t>经</w:t>
      </w:r>
      <w:r>
        <w:rPr>
          <w:rFonts w:hint="default" w:ascii="Times New Roman" w:hAnsi="Times New Roman" w:eastAsia="宋体" w:cs="Times New Roman"/>
          <w:color w:val="auto"/>
          <w:u w:val="none" w:color="auto"/>
          <w:lang w:val="en-US" w:eastAsia="zh-CN"/>
        </w:rPr>
        <w:t>布袋除尘器+</w:t>
      </w:r>
      <w:r>
        <w:rPr>
          <w:rFonts w:hint="eastAsia" w:ascii="Times New Roman" w:hAnsi="Times New Roman" w:eastAsia="宋体" w:cs="Times New Roman"/>
          <w:color w:val="auto"/>
          <w:u w:val="none" w:color="auto"/>
          <w:lang w:val="en-US" w:eastAsia="zh-CN"/>
        </w:rPr>
        <w:t>两级</w:t>
      </w:r>
      <w:r>
        <w:rPr>
          <w:rFonts w:hint="default" w:ascii="Times New Roman" w:hAnsi="Times New Roman" w:eastAsia="宋体" w:cs="Times New Roman"/>
          <w:color w:val="auto"/>
          <w:u w:val="none" w:color="auto"/>
          <w:lang w:val="en-US" w:eastAsia="zh-CN"/>
        </w:rPr>
        <w:t>活性炭吸附装置</w:t>
      </w:r>
      <w:r>
        <w:rPr>
          <w:rFonts w:hint="eastAsia" w:ascii="Times New Roman" w:hAnsi="Times New Roman" w:eastAsia="宋体" w:cs="Times New Roman"/>
          <w:color w:val="auto"/>
          <w:u w:val="none" w:color="auto"/>
          <w:lang w:val="en-US" w:eastAsia="zh-CN"/>
        </w:rPr>
        <w:t>处理后通过</w:t>
      </w:r>
      <w:r>
        <w:rPr>
          <w:rFonts w:hint="default" w:ascii="Times New Roman" w:hAnsi="Times New Roman" w:eastAsia="宋体" w:cs="Times New Roman"/>
          <w:color w:val="auto"/>
          <w:u w:val="none" w:color="auto"/>
          <w:lang w:val="en-US" w:eastAsia="zh-CN"/>
        </w:rPr>
        <w:t>1根15m排气筒（DA001）排放</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布袋除尘器</w:t>
      </w:r>
      <w:r>
        <w:rPr>
          <w:rFonts w:hint="eastAsia" w:ascii="Times New Roman" w:hAnsi="Times New Roman" w:eastAsia="宋体" w:cs="Times New Roman"/>
          <w:color w:val="auto"/>
          <w:u w:val="none" w:color="auto"/>
          <w:lang w:val="en-US" w:eastAsia="zh-CN"/>
        </w:rPr>
        <w:t>处理</w:t>
      </w:r>
      <w:r>
        <w:rPr>
          <w:rFonts w:hint="default" w:ascii="Times New Roman" w:hAnsi="Times New Roman" w:eastAsia="宋体" w:cs="Times New Roman"/>
          <w:color w:val="auto"/>
          <w:u w:val="none" w:color="auto"/>
          <w:lang w:val="en-US" w:eastAsia="zh-CN"/>
        </w:rPr>
        <w:t>效率≥99%，</w:t>
      </w:r>
      <w:r>
        <w:rPr>
          <w:rFonts w:hint="eastAsia" w:ascii="Times New Roman" w:hAnsi="Times New Roman" w:eastAsia="宋体" w:cs="Times New Roman"/>
          <w:color w:val="auto"/>
          <w:u w:val="none" w:color="auto"/>
          <w:lang w:val="en-US" w:eastAsia="zh-CN"/>
        </w:rPr>
        <w:t>两级</w:t>
      </w:r>
      <w:r>
        <w:rPr>
          <w:rFonts w:hint="default" w:ascii="Times New Roman" w:hAnsi="Times New Roman" w:eastAsia="宋体" w:cs="Times New Roman"/>
          <w:color w:val="auto"/>
          <w:u w:val="none" w:color="auto"/>
          <w:lang w:val="en-US" w:eastAsia="zh-CN"/>
        </w:rPr>
        <w:t>活性炭</w:t>
      </w:r>
      <w:r>
        <w:rPr>
          <w:rFonts w:hint="eastAsia" w:ascii="Times New Roman" w:hAnsi="Times New Roman" w:eastAsia="宋体" w:cs="Times New Roman"/>
          <w:color w:val="auto"/>
          <w:u w:val="none" w:color="auto"/>
          <w:lang w:val="en-US" w:eastAsia="zh-CN"/>
        </w:rPr>
        <w:t>处理</w:t>
      </w:r>
      <w:r>
        <w:rPr>
          <w:rFonts w:hint="default" w:ascii="Times New Roman" w:hAnsi="Times New Roman" w:eastAsia="宋体" w:cs="Times New Roman"/>
          <w:color w:val="auto"/>
          <w:u w:val="none" w:color="auto"/>
          <w:lang w:val="en-US" w:eastAsia="zh-CN"/>
        </w:rPr>
        <w:t>效率≥</w:t>
      </w:r>
      <w:r>
        <w:rPr>
          <w:rFonts w:hint="eastAsia" w:ascii="Times New Roman" w:hAnsi="Times New Roman" w:eastAsia="宋体" w:cs="Times New Roman"/>
          <w:color w:val="auto"/>
          <w:u w:val="none" w:color="auto"/>
          <w:lang w:val="en-US" w:eastAsia="zh-CN"/>
        </w:rPr>
        <w:t>70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。根据上述计算，加热混捏、冷却、磨粉、混合</w:t>
      </w:r>
      <w:r>
        <w:rPr>
          <w:rFonts w:hint="default" w:ascii="Times New Roman" w:hAnsi="Times New Roman" w:eastAsia="宋体" w:cs="Times New Roman"/>
          <w:color w:val="auto"/>
          <w:u w:val="none" w:color="auto"/>
          <w:lang w:val="en-US" w:eastAsia="zh-CN"/>
        </w:rPr>
        <w:t>工序颗粒物产生量为</w:t>
      </w:r>
      <w:r>
        <w:rPr>
          <w:rFonts w:hint="eastAsia" w:ascii="Times New Roman" w:hAnsi="Times New Roman" w:eastAsia="宋体" w:cs="Times New Roman"/>
          <w:color w:val="auto"/>
          <w:u w:val="none" w:color="auto"/>
          <w:lang w:val="en-US" w:eastAsia="zh-CN"/>
        </w:rPr>
        <w:t>9.479</w:t>
      </w:r>
      <w:r>
        <w:rPr>
          <w:rFonts w:hint="default" w:ascii="Times New Roman" w:hAnsi="Times New Roman" w:eastAsia="宋体" w:cs="Times New Roman"/>
          <w:color w:val="auto"/>
          <w:u w:val="none" w:color="auto"/>
          <w:lang w:val="en-US" w:eastAsia="zh-CN"/>
        </w:rPr>
        <w:t>/a，有组织的产生量为</w:t>
      </w:r>
      <w:r>
        <w:rPr>
          <w:rFonts w:hint="eastAsia" w:ascii="Times New Roman" w:hAnsi="Times New Roman" w:eastAsia="宋体" w:cs="Times New Roman"/>
          <w:color w:val="auto"/>
          <w:u w:val="none" w:color="auto"/>
          <w:lang w:val="en-US" w:eastAsia="zh-CN"/>
        </w:rPr>
        <w:t>9.005</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3.752</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93.803</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），有组织的排放量为0.</w:t>
      </w:r>
      <w:r>
        <w:rPr>
          <w:rFonts w:hint="eastAsia" w:ascii="Times New Roman" w:hAnsi="Times New Roman" w:eastAsia="宋体" w:cs="Times New Roman"/>
          <w:color w:val="auto"/>
          <w:u w:val="none" w:color="auto"/>
          <w:lang w:val="en-US" w:eastAsia="zh-CN"/>
        </w:rPr>
        <w:t>09</w:t>
      </w:r>
      <w:r>
        <w:rPr>
          <w:rFonts w:hint="default" w:ascii="Times New Roman" w:hAnsi="Times New Roman" w:eastAsia="宋体" w:cs="Times New Roman"/>
          <w:color w:val="auto"/>
          <w:u w:val="none" w:color="auto"/>
          <w:lang w:val="en-US" w:eastAsia="zh-CN"/>
        </w:rPr>
        <w:t>t/a（0.0</w:t>
      </w:r>
      <w:r>
        <w:rPr>
          <w:rFonts w:hint="eastAsia" w:ascii="Times New Roman" w:hAnsi="Times New Roman" w:eastAsia="宋体" w:cs="Times New Roman"/>
          <w:color w:val="auto"/>
          <w:u w:val="none" w:color="auto"/>
          <w:lang w:val="en-US" w:eastAsia="zh-CN"/>
        </w:rPr>
        <w:t>38</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0.938</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），无组织的排放量为</w:t>
      </w:r>
      <w:r>
        <w:rPr>
          <w:rFonts w:hint="eastAsia" w:ascii="Times New Roman" w:hAnsi="Times New Roman" w:eastAsia="宋体" w:cs="Times New Roman"/>
          <w:color w:val="auto"/>
          <w:u w:val="none" w:color="auto"/>
          <w:lang w:val="en-US" w:eastAsia="zh-CN"/>
        </w:rPr>
        <w:t>0.474</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198</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；非甲烷总烃</w:t>
      </w:r>
      <w:r>
        <w:rPr>
          <w:rFonts w:hint="default" w:ascii="Times New Roman" w:hAnsi="Times New Roman" w:eastAsia="宋体" w:cs="Times New Roman"/>
          <w:color w:val="auto"/>
          <w:u w:val="none" w:color="auto"/>
          <w:lang w:val="en-US" w:eastAsia="zh-CN"/>
        </w:rPr>
        <w:t>产生量为</w:t>
      </w:r>
      <w:r>
        <w:rPr>
          <w:rFonts w:hint="eastAsia" w:ascii="Times New Roman" w:hAnsi="Times New Roman" w:eastAsia="宋体" w:cs="Times New Roman"/>
          <w:color w:val="auto"/>
          <w:u w:val="none" w:color="auto"/>
          <w:lang w:val="en-US" w:eastAsia="zh-CN"/>
        </w:rPr>
        <w:t>0.9</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0.855</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0.356</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8.906</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），有组织的排放量为</w:t>
      </w:r>
      <w:r>
        <w:rPr>
          <w:rFonts w:hint="eastAsia" w:ascii="Times New Roman" w:hAnsi="Times New Roman" w:eastAsia="宋体" w:cs="Times New Roman"/>
          <w:color w:val="auto"/>
          <w:u w:val="none" w:color="auto"/>
          <w:lang w:val="en-US" w:eastAsia="zh-CN"/>
        </w:rPr>
        <w:t>0.257</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107</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2.672</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），无组织的排放量为</w:t>
      </w:r>
      <w:r>
        <w:rPr>
          <w:rFonts w:hint="eastAsia" w:ascii="Times New Roman" w:hAnsi="Times New Roman" w:eastAsia="宋体" w:cs="Times New Roman"/>
          <w:color w:val="auto"/>
          <w:u w:val="none" w:color="auto"/>
          <w:lang w:val="en-US" w:eastAsia="zh-CN"/>
        </w:rPr>
        <w:t>0.045</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019</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；酚类</w:t>
      </w:r>
      <w:r>
        <w:rPr>
          <w:rFonts w:hint="default" w:ascii="Times New Roman" w:hAnsi="Times New Roman" w:eastAsia="宋体" w:cs="Times New Roman"/>
          <w:color w:val="auto"/>
          <w:u w:val="none" w:color="auto"/>
          <w:lang w:val="en-US" w:eastAsia="zh-CN"/>
        </w:rPr>
        <w:t>产生量为</w:t>
      </w:r>
      <w:r>
        <w:rPr>
          <w:rFonts w:hint="eastAsia" w:ascii="Times New Roman" w:hAnsi="Times New Roman" w:eastAsia="宋体" w:cs="Times New Roman"/>
          <w:color w:val="auto"/>
          <w:u w:val="none" w:color="auto"/>
          <w:lang w:val="en-US" w:eastAsia="zh-CN"/>
        </w:rPr>
        <w:t>0.51</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0.485</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0.202</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5.047</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），有组织的排放量为</w:t>
      </w:r>
      <w:r>
        <w:rPr>
          <w:rFonts w:hint="eastAsia" w:ascii="Times New Roman" w:hAnsi="Times New Roman" w:eastAsia="宋体" w:cs="Times New Roman"/>
          <w:color w:val="auto"/>
          <w:u w:val="none" w:color="auto"/>
          <w:lang w:val="en-US" w:eastAsia="zh-CN"/>
        </w:rPr>
        <w:t>0.146</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0.061</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1.514</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），无组织的排放量为</w:t>
      </w:r>
      <w:r>
        <w:rPr>
          <w:rFonts w:hint="eastAsia" w:ascii="Times New Roman" w:hAnsi="Times New Roman" w:eastAsia="宋体" w:cs="Times New Roman"/>
          <w:color w:val="auto"/>
          <w:u w:val="none" w:color="auto"/>
          <w:lang w:val="en-US" w:eastAsia="zh-CN"/>
        </w:rPr>
        <w:t>0.026</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011</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；甲醛</w:t>
      </w:r>
      <w:r>
        <w:rPr>
          <w:rFonts w:hint="default" w:ascii="Times New Roman" w:hAnsi="Times New Roman" w:eastAsia="宋体" w:cs="Times New Roman"/>
          <w:color w:val="auto"/>
          <w:u w:val="none" w:color="auto"/>
          <w:lang w:val="en-US" w:eastAsia="zh-CN"/>
        </w:rPr>
        <w:t>产生量为</w:t>
      </w:r>
      <w:r>
        <w:rPr>
          <w:rFonts w:hint="eastAsia" w:ascii="Times New Roman" w:hAnsi="Times New Roman" w:eastAsia="宋体" w:cs="Times New Roman"/>
          <w:color w:val="auto"/>
          <w:u w:val="none" w:color="auto"/>
          <w:lang w:val="en-US" w:eastAsia="zh-CN"/>
        </w:rPr>
        <w:t>1.2</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1.14</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0.475</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11.875</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），有组织的排放量为0.</w:t>
      </w:r>
      <w:r>
        <w:rPr>
          <w:rFonts w:hint="eastAsia" w:ascii="Times New Roman" w:hAnsi="Times New Roman" w:eastAsia="宋体" w:cs="Times New Roman"/>
          <w:color w:val="auto"/>
          <w:u w:val="none" w:color="auto"/>
          <w:lang w:val="en-US" w:eastAsia="zh-CN"/>
        </w:rPr>
        <w:t>342</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143</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3.563</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），无组织的排放量为</w:t>
      </w:r>
      <w:r>
        <w:rPr>
          <w:rFonts w:hint="eastAsia" w:ascii="Times New Roman" w:hAnsi="Times New Roman" w:eastAsia="宋体" w:cs="Times New Roman"/>
          <w:color w:val="auto"/>
          <w:u w:val="none" w:color="auto"/>
          <w:lang w:val="en-US" w:eastAsia="zh-CN"/>
        </w:rPr>
        <w:t>0.06</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025</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w:t>
      </w:r>
    </w:p>
    <w:p w14:paraId="666888E5">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（5）热压废气</w:t>
      </w:r>
    </w:p>
    <w:p w14:paraId="5B19C7D6">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项目压制工程中需间接带温液压，热压温度约100℃。酚醛树脂沸点高于热压工序温度，且200℃以下较稳定，受热产生挥发性有机物的量较少，物料中游离醛已在捏合、冷却等工序释放；同时热压工序工作时间较短、物料为块状，类比同类项目，热压工序酚类的产生量按照其原料含量的0.5%计，酚类</w:t>
      </w:r>
      <w:r>
        <w:rPr>
          <w:rFonts w:hint="default" w:ascii="Times New Roman" w:hAnsi="Times New Roman" w:eastAsia="宋体" w:cs="Times New Roman"/>
          <w:color w:val="auto"/>
          <w:u w:val="none" w:color="auto"/>
          <w:lang w:val="en-US" w:eastAsia="zh-CN"/>
        </w:rPr>
        <w:t xml:space="preserve">产生量为 </w:t>
      </w:r>
      <w:r>
        <w:rPr>
          <w:rFonts w:hint="eastAsia" w:ascii="Times New Roman" w:hAnsi="Times New Roman" w:eastAsia="宋体" w:cs="Times New Roman"/>
          <w:color w:val="auto"/>
          <w:u w:val="none" w:color="auto"/>
          <w:lang w:val="en-US" w:eastAsia="zh-CN"/>
        </w:rPr>
        <w:t>600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8.5</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0.5%</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255</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，热压工序较为分散，且废气产生量较少，于车间无组织排放。</w:t>
      </w:r>
    </w:p>
    <w:p w14:paraId="4D64EDC9">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（6）焙烧废气</w:t>
      </w:r>
    </w:p>
    <w:p w14:paraId="6112B920">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项目设置2台天然气焙烧炉窑，本项目主要焙烧工序由无氧焙烧+尾气燃烧装置完成。焙烧每连续工作120h，停炉24h，建成后每年运行约50次/窑。</w:t>
      </w:r>
    </w:p>
    <w:p w14:paraId="221439BF">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参考文献《东北林业大学学报》（第35卷第6期2007年6月）中《用TG-DSC-FTIR联用技术研究酚醛树脂的热解行为》（生物质材料科学与技术教育部重点实验室（东北林业大学），哈尔滨，150040），酚醛树脂热解过程（0~1000℃）可划分为3个阶段：第一阶段（0~260.9℃），由于树脂中固化后残存的水分蒸发及树脂进一步缩合脱水质量损失12.64%。第二阶段（260.9~560.8℃），质量损失速率在537.2℃达到最大值，为0.151mg/min，此阶段共损失质量19.57%，是酚醛树脂热分解的主要阶段，释放出H</w:t>
      </w:r>
      <w:r>
        <w:rPr>
          <w:rFonts w:hint="eastAsia" w:ascii="Times New Roman" w:hAnsi="Times New Roman" w:eastAsia="宋体" w:cs="Times New Roman"/>
          <w:color w:val="auto"/>
          <w:u w:val="none" w:color="auto"/>
          <w:vertAlign w:val="subscript"/>
          <w:lang w:val="en-US" w:eastAsia="zh-CN"/>
        </w:rPr>
        <w:t>2</w:t>
      </w:r>
      <w:r>
        <w:rPr>
          <w:rFonts w:hint="eastAsia" w:ascii="Times New Roman" w:hAnsi="Times New Roman" w:eastAsia="宋体" w:cs="Times New Roman"/>
          <w:color w:val="auto"/>
          <w:u w:val="none" w:color="auto"/>
          <w:lang w:val="en-US" w:eastAsia="zh-CN"/>
        </w:rPr>
        <w:t>O、CO</w:t>
      </w:r>
      <w:r>
        <w:rPr>
          <w:rFonts w:hint="eastAsia" w:ascii="Times New Roman" w:hAnsi="Times New Roman" w:eastAsia="宋体" w:cs="Times New Roman"/>
          <w:color w:val="auto"/>
          <w:u w:val="none" w:color="auto"/>
          <w:vertAlign w:val="subscript"/>
          <w:lang w:val="en-US" w:eastAsia="zh-CN"/>
        </w:rPr>
        <w:t>2</w:t>
      </w:r>
      <w:r>
        <w:rPr>
          <w:rFonts w:hint="eastAsia" w:ascii="Times New Roman" w:hAnsi="Times New Roman" w:eastAsia="宋体" w:cs="Times New Roman"/>
          <w:color w:val="auto"/>
          <w:u w:val="none" w:color="auto"/>
          <w:lang w:val="en-US" w:eastAsia="zh-CN"/>
        </w:rPr>
        <w:t>、CO、LMP（低分子酚类物质）、LMH（CH</w:t>
      </w:r>
      <w:r>
        <w:rPr>
          <w:rFonts w:hint="eastAsia" w:ascii="Times New Roman" w:hAnsi="Times New Roman" w:eastAsia="宋体" w:cs="Times New Roman"/>
          <w:color w:val="auto"/>
          <w:u w:val="none" w:color="auto"/>
          <w:vertAlign w:val="subscript"/>
          <w:lang w:val="en-US" w:eastAsia="zh-CN"/>
        </w:rPr>
        <w:t>4</w:t>
      </w:r>
      <w:r>
        <w:rPr>
          <w:rFonts w:hint="eastAsia" w:ascii="Times New Roman" w:hAnsi="Times New Roman" w:eastAsia="宋体" w:cs="Times New Roman"/>
          <w:color w:val="auto"/>
          <w:u w:val="none" w:color="auto"/>
          <w:lang w:val="en-US" w:eastAsia="zh-CN"/>
        </w:rPr>
        <w:t>等低分子烃类物质）等热解产物。第三阶段（560.8~1000℃）为热解的收尾阶段，仍然有一定量的CO和LMH释放，损失质量 8.31%。</w:t>
      </w:r>
    </w:p>
    <w:p w14:paraId="54399443">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根据上述参考文献，除去第一阶段水损外，酚醛树脂损失质量为19.57%+8.31%=27.88%，包括碳氢化合物及H</w:t>
      </w:r>
      <w:r>
        <w:rPr>
          <w:rFonts w:hint="eastAsia" w:ascii="Times New Roman" w:hAnsi="Times New Roman" w:eastAsia="宋体" w:cs="Times New Roman"/>
          <w:color w:val="auto"/>
          <w:u w:val="none" w:color="auto"/>
          <w:vertAlign w:val="subscript"/>
          <w:lang w:val="en-US" w:eastAsia="zh-CN"/>
        </w:rPr>
        <w:t>2</w:t>
      </w:r>
      <w:r>
        <w:rPr>
          <w:rFonts w:hint="eastAsia" w:ascii="Times New Roman" w:hAnsi="Times New Roman" w:eastAsia="宋体" w:cs="Times New Roman"/>
          <w:color w:val="auto"/>
          <w:u w:val="none" w:color="auto"/>
          <w:lang w:val="en-US" w:eastAsia="zh-CN"/>
        </w:rPr>
        <w:t>、CO、CO</w:t>
      </w:r>
      <w:r>
        <w:rPr>
          <w:rFonts w:hint="eastAsia" w:ascii="Times New Roman" w:hAnsi="Times New Roman" w:eastAsia="宋体" w:cs="Times New Roman"/>
          <w:color w:val="auto"/>
          <w:u w:val="none" w:color="auto"/>
          <w:vertAlign w:val="subscript"/>
          <w:lang w:val="en-US" w:eastAsia="zh-CN"/>
        </w:rPr>
        <w:t>2</w:t>
      </w:r>
      <w:r>
        <w:rPr>
          <w:rFonts w:hint="eastAsia" w:ascii="Times New Roman" w:hAnsi="Times New Roman" w:eastAsia="宋体" w:cs="Times New Roman"/>
          <w:color w:val="auto"/>
          <w:u w:val="none" w:color="auto"/>
          <w:lang w:val="en-US" w:eastAsia="zh-CN"/>
        </w:rPr>
        <w:t>、CH</w:t>
      </w:r>
      <w:r>
        <w:rPr>
          <w:rFonts w:hint="eastAsia" w:ascii="Times New Roman" w:hAnsi="Times New Roman" w:eastAsia="宋体" w:cs="Times New Roman"/>
          <w:color w:val="auto"/>
          <w:u w:val="none" w:color="auto"/>
          <w:vertAlign w:val="subscript"/>
          <w:lang w:val="en-US" w:eastAsia="zh-CN"/>
        </w:rPr>
        <w:t>4</w:t>
      </w:r>
      <w:r>
        <w:rPr>
          <w:rFonts w:hint="eastAsia" w:ascii="Times New Roman" w:hAnsi="Times New Roman" w:eastAsia="宋体" w:cs="Times New Roman"/>
          <w:color w:val="auto"/>
          <w:u w:val="none" w:color="auto"/>
          <w:lang w:val="en-US" w:eastAsia="zh-CN"/>
        </w:rPr>
        <w:t>、H</w:t>
      </w:r>
      <w:r>
        <w:rPr>
          <w:rFonts w:hint="eastAsia" w:ascii="Times New Roman" w:hAnsi="Times New Roman" w:eastAsia="宋体" w:cs="Times New Roman"/>
          <w:color w:val="auto"/>
          <w:u w:val="none" w:color="auto"/>
          <w:vertAlign w:val="subscript"/>
          <w:lang w:val="en-US" w:eastAsia="zh-CN"/>
        </w:rPr>
        <w:t>2</w:t>
      </w:r>
      <w:r>
        <w:rPr>
          <w:rFonts w:hint="eastAsia" w:ascii="Times New Roman" w:hAnsi="Times New Roman" w:eastAsia="宋体" w:cs="Times New Roman"/>
          <w:color w:val="auto"/>
          <w:u w:val="none" w:color="auto"/>
          <w:lang w:val="en-US" w:eastAsia="zh-CN"/>
        </w:rPr>
        <w:t>O等多种热解产物，评价将非甲烷总烃按50%计算并取整，酚醛树脂即受热分解阶段非甲烷总烃产生量按酚醛树脂用量的14%计算，本项目酚醛树脂用量为600t/a，两台焙烧炉窑规格一致，则每台炉窑非甲烷总烃的产生量=600÷2×14%=42t/a。</w:t>
      </w:r>
    </w:p>
    <w:p w14:paraId="4CAE30DF">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LMP（低分子酚类物质）是焙烧工序酚醛树脂在260.9~560.8℃温度范围热解的产物之一，以酚类计。由于无酚醛树脂热解产污系数及相关类比资料，本次评价焙烧工序酚类产生量按游离酚全部转换计（减去加热混捏、冷却、热压工序挥发的酚类量），本项目每台炉窑酚醛树脂用量为300t/a，则每台炉窑酚类产生量=300×8.5%-0.51/2-0.255/2=25.118t/a。酚类在炉窑内燃烧生成二氧化碳、水，少量未充分燃烧的酚类（约10%）进入焚烧炉彻底燃烧处理，即2.512t/a。</w:t>
      </w:r>
    </w:p>
    <w:p w14:paraId="7D7071EA">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根据参考文献《东北林业大学学报》（第35卷第6期2007年6月）中《用TG-DSC-FTIR 联用技术研究酚醛树脂的热解行为》（生物质材料科学与技术教育部重点实验室（东北林业大学），哈尔滨，150040），酚醛树脂0~1000℃热解产物不含醛类，且根据前文分析，游离醛已全部在加热混捏、冷却工序挥发，因此本次评价本项目使用的酚醛树脂热解产生的污染物中不含甲醛。</w:t>
      </w:r>
    </w:p>
    <w:p w14:paraId="4AF51990">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非甲烷总烃、少量未充分燃烧的酚类直接进入到焚烧炉进行尾气焚烧，采用天然气燃烧处理净化（天然气用量约20m</w:t>
      </w:r>
      <w:r>
        <w:rPr>
          <w:rFonts w:hint="eastAsia"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/h-台，运行时间6000h，每台天然气用量为12万m</w:t>
      </w:r>
      <w:r>
        <w:rPr>
          <w:rFonts w:hint="eastAsia"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a），参考《铸造工业大气污染防治可行技术指南》（HJ1292-2023）“热力燃烧技术采用燃烧的方法使废气中的VOCs转化为二氧化碳、水等物质。该技术燃烧温度应控制在800℃～1000℃，废气应引入高温火焰区，一般滞留时间不小于0.5s，VOCs去除效率一般可达95%以上”，本评价按焚烧炉VOCs去除效率按95%计，则非甲烷总烃排放量为2.1t/a（</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35</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58.334</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）、酚类排放量为0.126t/a（</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021</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3.506</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）。炉窑本身天然气用量约70m</w:t>
      </w:r>
      <w:r>
        <w:rPr>
          <w:rFonts w:hint="eastAsia"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/h-台，运行时间6000h，每台天然气用量为42万m</w:t>
      </w:r>
      <w:r>
        <w:rPr>
          <w:rFonts w:hint="eastAsia"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lang w:val="en-US" w:eastAsia="zh-CN"/>
        </w:rPr>
        <w:t>/a。</w:t>
      </w:r>
    </w:p>
    <w:p w14:paraId="2F82EED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1"/>
          <w:lang w:val="en-US" w:eastAsia="zh-CN"/>
        </w:rPr>
        <w:t>天然气</w:t>
      </w:r>
      <w:r>
        <w:rPr>
          <w:rFonts w:hint="default" w:ascii="Times New Roman" w:hAnsi="Times New Roman" w:eastAsia="宋体" w:cs="Times New Roman"/>
          <w:color w:val="auto"/>
          <w:sz w:val="24"/>
          <w:szCs w:val="21"/>
          <w:lang w:val="en-US" w:eastAsia="zh-CN"/>
        </w:rPr>
        <w:t>燃烧过程产生的污染物主要为SO</w:t>
      </w:r>
      <w:r>
        <w:rPr>
          <w:rFonts w:hint="default" w:ascii="Times New Roman" w:hAnsi="Times New Roman" w:eastAsia="宋体" w:cs="Times New Roman"/>
          <w:color w:val="auto"/>
          <w:sz w:val="24"/>
          <w:szCs w:val="21"/>
          <w:vertAlign w:val="subscript"/>
          <w:lang w:val="en-US" w:eastAsia="zh-CN"/>
        </w:rPr>
        <w:t>2</w:t>
      </w:r>
      <w:r>
        <w:rPr>
          <w:rFonts w:hint="default" w:ascii="Times New Roman" w:hAnsi="Times New Roman" w:eastAsia="宋体" w:cs="Times New Roman"/>
          <w:color w:val="auto"/>
          <w:sz w:val="24"/>
          <w:szCs w:val="21"/>
          <w:lang w:val="en-US" w:eastAsia="zh-CN"/>
        </w:rPr>
        <w:t>，NOx和颗粒物，废气</w:t>
      </w:r>
      <w:r>
        <w:rPr>
          <w:rFonts w:hint="eastAsia" w:ascii="Times New Roman" w:hAnsi="Times New Roman" w:eastAsia="宋体" w:cs="Times New Roman"/>
          <w:color w:val="auto"/>
          <w:sz w:val="24"/>
          <w:szCs w:val="21"/>
          <w:lang w:val="en-US" w:eastAsia="zh-CN"/>
        </w:rPr>
        <w:t>经</w:t>
      </w:r>
      <w:r>
        <w:rPr>
          <w:rFonts w:hint="default" w:ascii="Times New Roman" w:hAnsi="Times New Roman" w:eastAsia="宋体" w:cs="Times New Roman"/>
          <w:color w:val="auto"/>
          <w:sz w:val="24"/>
          <w:szCs w:val="21"/>
          <w:lang w:val="en-US" w:eastAsia="zh-CN"/>
        </w:rPr>
        <w:t>高空排放。</w:t>
      </w:r>
      <w:r>
        <w:rPr>
          <w:rFonts w:hint="eastAsia"/>
          <w:color w:val="auto"/>
          <w:sz w:val="24"/>
          <w:szCs w:val="24"/>
          <w:lang w:val="en-US" w:eastAsia="zh-CN"/>
        </w:rPr>
        <w:t>由于焚烧炉同时焚烧处理不含卤素的有机废气，根据酚醛树脂MSDS</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进入焚烧炉焚烧的有机废气不含硫元素、氮元素，故焙烧废气中的二氧化硫全部来自于焙烧炉窑及配套焚烧炉使用的天然气中的硫元素，氮氧化物全部来自于焙烧炉窑及配套焚烧炉使用的天然气中的氮元素，有机废气进入焚烧炉焚烧不会产生二氧化硫、氮氧化物。有机废气进入焚烧炉焚烧处理产生的燃料型二氧化硫、氮氧化物产生量均为0t/a。</w:t>
      </w:r>
    </w:p>
    <w:p w14:paraId="75497452">
      <w:pPr>
        <w:pStyle w:val="40"/>
        <w:ind w:firstLine="420"/>
      </w:pPr>
      <w:r>
        <w:rPr>
          <w:rFonts w:hint="eastAsia" w:eastAsia="宋体" w:cs="Times New Roman"/>
          <w:color w:val="auto"/>
          <w:sz w:val="24"/>
          <w:szCs w:val="21"/>
          <w:lang w:val="en-US" w:eastAsia="zh-CN"/>
        </w:rPr>
        <w:t>焙烧</w:t>
      </w:r>
      <w:r>
        <w:rPr>
          <w:rFonts w:hint="eastAsia" w:ascii="Times New Roman" w:hAnsi="Times New Roman" w:eastAsia="宋体" w:cs="Times New Roman"/>
          <w:color w:val="auto"/>
          <w:sz w:val="24"/>
          <w:szCs w:val="21"/>
          <w:lang w:val="en-US" w:eastAsia="zh-CN"/>
        </w:rPr>
        <w:t>废气中</w:t>
      </w:r>
      <w:r>
        <w:rPr>
          <w:rFonts w:hint="default" w:ascii="Times New Roman" w:hAnsi="Times New Roman" w:eastAsia="宋体" w:cs="Times New Roman"/>
          <w:color w:val="auto"/>
          <w:sz w:val="24"/>
          <w:szCs w:val="21"/>
          <w:lang w:val="en-US" w:eastAsia="zh-CN"/>
        </w:rPr>
        <w:t>SO</w:t>
      </w:r>
      <w:r>
        <w:rPr>
          <w:rFonts w:hint="default" w:ascii="Times New Roman" w:hAnsi="Times New Roman" w:eastAsia="宋体" w:cs="Times New Roman"/>
          <w:color w:val="auto"/>
          <w:sz w:val="24"/>
          <w:szCs w:val="21"/>
          <w:vertAlign w:val="subscript"/>
          <w:lang w:val="en-US" w:eastAsia="zh-CN"/>
        </w:rPr>
        <w:t>2</w:t>
      </w:r>
      <w:r>
        <w:rPr>
          <w:rFonts w:hint="default" w:ascii="Times New Roman" w:hAnsi="Times New Roman" w:eastAsia="宋体" w:cs="Times New Roman"/>
          <w:color w:val="auto"/>
          <w:sz w:val="24"/>
          <w:szCs w:val="21"/>
          <w:lang w:val="en-US" w:eastAsia="zh-CN"/>
        </w:rPr>
        <w:t>，NOx和颗粒物的</w:t>
      </w:r>
      <w:r>
        <w:rPr>
          <w:rFonts w:hint="eastAsia" w:eastAsia="宋体" w:cs="Times New Roman"/>
          <w:color w:val="auto"/>
          <w:sz w:val="24"/>
          <w:szCs w:val="21"/>
          <w:lang w:val="en-US" w:eastAsia="zh-CN"/>
        </w:rPr>
        <w:t>排放量</w:t>
      </w:r>
      <w:r>
        <w:rPr>
          <w:rFonts w:hint="eastAsia"/>
          <w:color w:val="auto"/>
          <w:sz w:val="24"/>
          <w:szCs w:val="24"/>
        </w:rPr>
        <w:t>根</w:t>
      </w:r>
      <w:r>
        <w:rPr>
          <w:rFonts w:hint="eastAsia"/>
          <w:sz w:val="24"/>
          <w:szCs w:val="24"/>
        </w:rPr>
        <w:t>据《排污许可证申请与核发技术规范工业炉窑》（</w:t>
      </w:r>
      <w:r>
        <w:rPr>
          <w:sz w:val="24"/>
          <w:szCs w:val="24"/>
        </w:rPr>
        <w:t>HJ1121-2020</w:t>
      </w:r>
      <w:r>
        <w:rPr>
          <w:rFonts w:hint="eastAsia"/>
          <w:sz w:val="24"/>
          <w:szCs w:val="24"/>
        </w:rPr>
        <w:t>）</w:t>
      </w:r>
      <w:r>
        <w:rPr>
          <w:rFonts w:hint="eastAsia"/>
          <w:sz w:val="24"/>
          <w:szCs w:val="24"/>
          <w:lang w:val="en-US" w:eastAsia="zh-CN"/>
        </w:rPr>
        <w:t>中的</w:t>
      </w:r>
      <w:r>
        <w:rPr>
          <w:rFonts w:hint="eastAsia"/>
          <w:sz w:val="24"/>
          <w:szCs w:val="24"/>
        </w:rPr>
        <w:t>绩效值法</w:t>
      </w:r>
      <w:r>
        <w:rPr>
          <w:rFonts w:hint="eastAsia"/>
          <w:sz w:val="24"/>
          <w:szCs w:val="24"/>
          <w:lang w:val="en-US" w:eastAsia="zh-CN"/>
        </w:rPr>
        <w:t>进行</w:t>
      </w:r>
      <w:r>
        <w:rPr>
          <w:rFonts w:hint="eastAsia"/>
          <w:sz w:val="24"/>
          <w:szCs w:val="24"/>
        </w:rPr>
        <w:t>核算</w:t>
      </w:r>
      <w:r>
        <w:rPr>
          <w:rFonts w:hint="eastAsia"/>
        </w:rPr>
        <w:t>，绩效值法计算公式为：</w:t>
      </w:r>
    </w:p>
    <w:p w14:paraId="793BAC8C">
      <w:pPr>
        <w:pStyle w:val="40"/>
        <w:ind w:firstLine="420"/>
      </w:pPr>
      <w:r>
        <w:rPr>
          <w:i/>
          <w:iCs/>
        </w:rPr>
        <w:t>M</w:t>
      </w:r>
      <w:r>
        <w:rPr>
          <w:vertAlign w:val="subscript"/>
        </w:rPr>
        <w:t>i</w:t>
      </w:r>
      <w:r>
        <w:t>=</w:t>
      </w:r>
      <w:r>
        <w:rPr>
          <w:i/>
          <w:iCs/>
        </w:rPr>
        <w:t>R</w:t>
      </w:r>
      <w:r>
        <w:t>×</w:t>
      </w:r>
      <w:r>
        <w:rPr>
          <w:i/>
          <w:iCs/>
        </w:rPr>
        <w:t>G</w:t>
      </w:r>
      <w:r>
        <w:t>×10</w:t>
      </w:r>
    </w:p>
    <w:p w14:paraId="3DA5A7D1">
      <w:pPr>
        <w:pStyle w:val="40"/>
        <w:ind w:firstLine="420"/>
      </w:pPr>
      <w:r>
        <w:rPr>
          <w:rFonts w:hint="eastAsia"/>
        </w:rPr>
        <w:t>其中：</w:t>
      </w:r>
      <w:r>
        <w:rPr>
          <w:i/>
          <w:iCs/>
        </w:rPr>
        <w:t>M</w:t>
      </w:r>
      <w:r>
        <w:rPr>
          <w:vertAlign w:val="subscript"/>
        </w:rPr>
        <w:t>i</w:t>
      </w:r>
      <w:r>
        <w:t>—</w:t>
      </w:r>
      <w:r>
        <w:rPr>
          <w:rFonts w:hint="eastAsia"/>
        </w:rPr>
        <w:t>排放口污染物排放量，</w:t>
      </w:r>
      <w:r>
        <w:t>t</w:t>
      </w:r>
      <w:r>
        <w:rPr>
          <w:rFonts w:hint="eastAsia"/>
        </w:rPr>
        <w:t>；</w:t>
      </w:r>
    </w:p>
    <w:p w14:paraId="7136649B">
      <w:pPr>
        <w:pStyle w:val="40"/>
        <w:ind w:firstLine="1200" w:firstLineChars="500"/>
      </w:pPr>
      <w:r>
        <w:rPr>
          <w:i/>
          <w:iCs/>
        </w:rPr>
        <w:t>R</w:t>
      </w:r>
      <w:r>
        <w:t>—</w:t>
      </w:r>
      <w:r>
        <w:rPr>
          <w:rFonts w:hint="eastAsia"/>
        </w:rPr>
        <w:t>设计燃料消耗量，万</w:t>
      </w:r>
      <w:r>
        <w:rPr>
          <w:rFonts w:hint="eastAsia"/>
          <w:lang w:val="en-US" w:eastAsia="zh-CN"/>
        </w:rPr>
        <w:t>m</w:t>
      </w:r>
      <w:r>
        <w:rPr>
          <w:rFonts w:hint="eastAsia"/>
          <w:vertAlign w:val="superscript"/>
          <w:lang w:val="en-US" w:eastAsia="zh-CN"/>
        </w:rPr>
        <w:t>3</w:t>
      </w:r>
      <w:r>
        <w:rPr>
          <w:rFonts w:hint="eastAsia"/>
        </w:rPr>
        <w:t>，本项目</w:t>
      </w:r>
      <w:r>
        <w:rPr>
          <w:rFonts w:hint="eastAsia"/>
          <w:lang w:val="en-US" w:eastAsia="zh-CN"/>
        </w:rPr>
        <w:t>每台焙烧炉及配套焚烧炉天然气用量</w:t>
      </w:r>
      <w:r>
        <w:rPr>
          <w:rFonts w:hint="eastAsia"/>
        </w:rPr>
        <w:t>为</w:t>
      </w:r>
      <w:r>
        <w:rPr>
          <w:rFonts w:hint="eastAsia"/>
          <w:lang w:val="en-US" w:eastAsia="zh-CN"/>
        </w:rPr>
        <w:t>54</w:t>
      </w:r>
      <w:r>
        <w:rPr>
          <w:rFonts w:hint="eastAsia"/>
        </w:rPr>
        <w:t>万</w:t>
      </w:r>
      <w:r>
        <w:rPr>
          <w:rFonts w:hint="eastAsia"/>
          <w:lang w:val="en-US" w:eastAsia="zh-CN"/>
        </w:rPr>
        <w:t>m</w:t>
      </w:r>
      <w:r>
        <w:rPr>
          <w:rFonts w:hint="eastAsia"/>
          <w:vertAlign w:val="superscript"/>
          <w:lang w:val="en-US" w:eastAsia="zh-CN"/>
        </w:rPr>
        <w:t>3</w:t>
      </w:r>
      <w:r>
        <w:rPr>
          <w:rFonts w:hint="eastAsia"/>
        </w:rPr>
        <w:t>；</w:t>
      </w:r>
    </w:p>
    <w:p w14:paraId="5C53A459">
      <w:pPr>
        <w:pStyle w:val="40"/>
        <w:ind w:firstLine="1200" w:firstLineChars="500"/>
      </w:pPr>
      <w:r>
        <w:rPr>
          <w:i/>
          <w:iCs/>
        </w:rPr>
        <w:t>G</w:t>
      </w:r>
      <w:r>
        <w:t>—</w:t>
      </w:r>
      <w:r>
        <w:rPr>
          <w:rFonts w:hint="eastAsia"/>
        </w:rPr>
        <w:t>绩效值，</w:t>
      </w:r>
      <w:r>
        <w:t>kg/</w:t>
      </w:r>
      <w:r>
        <w:rPr>
          <w:rFonts w:hint="eastAsia"/>
          <w:lang w:val="en-US" w:eastAsia="zh-CN"/>
        </w:rPr>
        <w:t>m</w:t>
      </w:r>
      <w:r>
        <w:rPr>
          <w:rFonts w:hint="eastAsia"/>
          <w:vertAlign w:val="superscript"/>
          <w:lang w:val="en-US" w:eastAsia="zh-CN"/>
        </w:rPr>
        <w:t>3</w:t>
      </w:r>
      <w:r>
        <w:rPr>
          <w:rFonts w:hint="eastAsia"/>
        </w:rPr>
        <w:t>燃料。</w:t>
      </w:r>
    </w:p>
    <w:p w14:paraId="7544D977">
      <w:pPr>
        <w:pStyle w:val="40"/>
        <w:ind w:firstLine="420"/>
      </w:pPr>
      <w:r>
        <w:rPr>
          <w:rFonts w:hint="eastAsia" w:eastAsia="宋体" w:cs="Times New Roman"/>
          <w:color w:val="auto"/>
          <w:sz w:val="24"/>
          <w:szCs w:val="21"/>
          <w:lang w:val="en-US" w:eastAsia="zh-CN"/>
        </w:rPr>
        <w:t>天然气</w:t>
      </w:r>
      <w:r>
        <w:rPr>
          <w:rFonts w:hint="default" w:ascii="Times New Roman" w:hAnsi="Times New Roman" w:eastAsia="宋体" w:cs="Times New Roman"/>
          <w:color w:val="auto"/>
          <w:sz w:val="24"/>
          <w:szCs w:val="21"/>
          <w:lang w:val="en-US" w:eastAsia="zh-CN"/>
        </w:rPr>
        <w:t>的低位发热量为</w:t>
      </w:r>
      <w:r>
        <w:rPr>
          <w:rFonts w:hint="eastAsia" w:eastAsia="宋体" w:cs="Times New Roman"/>
          <w:color w:val="auto"/>
          <w:sz w:val="24"/>
          <w:szCs w:val="21"/>
          <w:lang w:val="en-US" w:eastAsia="zh-CN"/>
        </w:rPr>
        <w:t>35</w:t>
      </w:r>
      <w:r>
        <w:t>MJ/</w:t>
      </w:r>
      <w:r>
        <w:rPr>
          <w:rFonts w:hint="eastAsia"/>
          <w:lang w:val="en-US" w:eastAsia="zh-CN"/>
        </w:rPr>
        <w:t>m</w:t>
      </w:r>
      <w:r>
        <w:rPr>
          <w:rFonts w:hint="eastAsia"/>
          <w:vertAlign w:val="superscript"/>
          <w:lang w:val="en-US" w:eastAsia="zh-CN"/>
        </w:rPr>
        <w:t>3</w:t>
      </w:r>
      <w:r>
        <w:rPr>
          <w:rFonts w:hint="eastAsia"/>
        </w:rPr>
        <w:t>。根据《排污许可证申请与核发技术规范工业炉窑》（</w:t>
      </w:r>
      <w:r>
        <w:t>HJ1121-2020</w:t>
      </w:r>
      <w:r>
        <w:rPr>
          <w:rFonts w:hint="eastAsia"/>
        </w:rPr>
        <w:t>）表</w:t>
      </w:r>
      <w:r>
        <w:t>6</w:t>
      </w:r>
      <w:r>
        <w:rPr>
          <w:rFonts w:hint="eastAsia"/>
        </w:rPr>
        <w:t>中</w:t>
      </w:r>
      <w:r>
        <w:rPr>
          <w:rFonts w:hint="eastAsia"/>
          <w:lang w:val="en-US" w:eastAsia="zh-CN"/>
        </w:rPr>
        <w:t>气体</w:t>
      </w:r>
      <w:r>
        <w:rPr>
          <w:rFonts w:hint="eastAsia"/>
        </w:rPr>
        <w:t>燃料的参考绩效值，采用</w:t>
      </w:r>
      <w:r>
        <w:rPr>
          <w:rFonts w:hint="eastAsia"/>
          <w:lang w:val="en-US" w:eastAsia="zh-CN"/>
        </w:rPr>
        <w:t>插值法</w:t>
      </w:r>
      <w:r>
        <w:rPr>
          <w:rFonts w:hint="eastAsia"/>
        </w:rPr>
        <w:t>计算</w:t>
      </w:r>
      <w:r>
        <w:rPr>
          <w:rFonts w:hint="eastAsia"/>
          <w:lang w:val="en-US" w:eastAsia="zh-CN"/>
        </w:rPr>
        <w:t>得到</w:t>
      </w:r>
      <w:r>
        <w:rPr>
          <w:rFonts w:hint="eastAsia"/>
        </w:rPr>
        <w:t>低位热值为</w:t>
      </w:r>
      <w:r>
        <w:rPr>
          <w:rFonts w:hint="eastAsia" w:eastAsia="宋体" w:cs="Times New Roman"/>
          <w:color w:val="auto"/>
          <w:sz w:val="24"/>
          <w:szCs w:val="21"/>
          <w:lang w:val="en-US" w:eastAsia="zh-CN"/>
        </w:rPr>
        <w:t>35</w:t>
      </w:r>
      <w:r>
        <w:t>MJ/</w:t>
      </w:r>
      <w:r>
        <w:rPr>
          <w:rFonts w:hint="eastAsia"/>
          <w:lang w:val="en-US" w:eastAsia="zh-CN"/>
        </w:rPr>
        <w:t>m</w:t>
      </w:r>
      <w:r>
        <w:rPr>
          <w:rFonts w:hint="eastAsia"/>
          <w:vertAlign w:val="superscript"/>
          <w:lang w:val="en-US" w:eastAsia="zh-CN"/>
        </w:rPr>
        <w:t>3</w:t>
      </w:r>
      <w:r>
        <w:rPr>
          <w:rFonts w:hint="eastAsia"/>
        </w:rPr>
        <w:t>的绩效值分别为：</w:t>
      </w:r>
    </w:p>
    <w:p w14:paraId="1A30767A">
      <w:pPr>
        <w:pStyle w:val="40"/>
        <w:ind w:firstLine="420"/>
      </w:pPr>
      <w:r>
        <w:rPr>
          <w:rFonts w:hint="eastAsia"/>
        </w:rPr>
        <w:t>颗粒物</w:t>
      </w:r>
      <w:r>
        <w:t>=</w:t>
      </w:r>
      <w:r>
        <w:rPr>
          <w:rFonts w:hint="eastAsia"/>
        </w:rPr>
        <w:t>0.</w:t>
      </w:r>
      <w:r>
        <w:rPr>
          <w:rFonts w:hint="eastAsia"/>
          <w:lang w:val="en-US" w:eastAsia="zh-CN"/>
        </w:rPr>
        <w:t>000167k</w:t>
      </w:r>
      <w:r>
        <w:t>g/</w:t>
      </w:r>
      <w:r>
        <w:rPr>
          <w:rFonts w:hint="eastAsia"/>
          <w:lang w:val="en-US" w:eastAsia="zh-CN"/>
        </w:rPr>
        <w:t>m</w:t>
      </w:r>
      <w:r>
        <w:rPr>
          <w:rFonts w:hint="eastAsia"/>
          <w:vertAlign w:val="superscript"/>
          <w:lang w:val="en-US" w:eastAsia="zh-CN"/>
        </w:rPr>
        <w:t>3</w:t>
      </w:r>
      <w:r>
        <w:rPr>
          <w:rFonts w:hint="eastAsia"/>
        </w:rPr>
        <w:t>燃料；</w:t>
      </w:r>
      <w:r>
        <w:t>SO</w:t>
      </w:r>
      <w:r>
        <w:rPr>
          <w:vertAlign w:val="subscript"/>
        </w:rPr>
        <w:t>2</w:t>
      </w:r>
      <w:r>
        <w:t>=</w:t>
      </w:r>
      <w:r>
        <w:rPr>
          <w:rFonts w:hint="eastAsia"/>
        </w:rPr>
        <w:t>0.</w:t>
      </w:r>
      <w:r>
        <w:rPr>
          <w:rFonts w:hint="eastAsia"/>
          <w:lang w:val="en-US" w:eastAsia="zh-CN"/>
        </w:rPr>
        <w:t>000167k</w:t>
      </w:r>
      <w:r>
        <w:t>g/</w:t>
      </w:r>
      <w:r>
        <w:rPr>
          <w:rFonts w:hint="eastAsia"/>
          <w:lang w:val="en-US" w:eastAsia="zh-CN"/>
        </w:rPr>
        <w:t>m</w:t>
      </w:r>
      <w:r>
        <w:rPr>
          <w:rFonts w:hint="eastAsia"/>
          <w:vertAlign w:val="superscript"/>
          <w:lang w:val="en-US" w:eastAsia="zh-CN"/>
        </w:rPr>
        <w:t>3</w:t>
      </w:r>
      <w:r>
        <w:rPr>
          <w:rFonts w:hint="eastAsia"/>
        </w:rPr>
        <w:t>燃料；</w:t>
      </w:r>
      <w:r>
        <w:t>NO</w:t>
      </w:r>
      <w:r>
        <w:rPr>
          <w:vertAlign w:val="subscript"/>
        </w:rPr>
        <w:t>x</w:t>
      </w:r>
      <w:r>
        <w:t>=</w:t>
      </w:r>
      <w:r>
        <w:rPr>
          <w:rFonts w:hint="eastAsia"/>
          <w:lang w:val="en-US" w:eastAsia="zh-CN"/>
        </w:rPr>
        <w:t>0.00</w:t>
      </w:r>
      <w:r>
        <w:rPr>
          <w:rFonts w:hint="eastAsia"/>
        </w:rPr>
        <w:t>2</w:t>
      </w:r>
      <w:r>
        <w:rPr>
          <w:rFonts w:hint="eastAsia"/>
          <w:lang w:val="en-US" w:eastAsia="zh-CN"/>
        </w:rPr>
        <w:t>512k</w:t>
      </w:r>
      <w:r>
        <w:t>g/</w:t>
      </w:r>
      <w:r>
        <w:rPr>
          <w:rFonts w:hint="eastAsia"/>
          <w:lang w:val="en-US" w:eastAsia="zh-CN"/>
        </w:rPr>
        <w:t>m</w:t>
      </w:r>
      <w:r>
        <w:rPr>
          <w:rFonts w:hint="eastAsia"/>
          <w:vertAlign w:val="superscript"/>
          <w:lang w:val="en-US" w:eastAsia="zh-CN"/>
        </w:rPr>
        <w:t>3</w:t>
      </w:r>
      <w:r>
        <w:rPr>
          <w:rFonts w:hint="eastAsia"/>
        </w:rPr>
        <w:t>燃料。</w:t>
      </w:r>
    </w:p>
    <w:p w14:paraId="7E400EC4">
      <w:pPr>
        <w:pStyle w:val="21"/>
        <w:bidi w:val="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1"/>
          <w:lang w:val="en-US" w:eastAsia="zh-CN"/>
        </w:rPr>
        <w:t>由此</w:t>
      </w:r>
      <w:r>
        <w:rPr>
          <w:rFonts w:hint="default" w:ascii="Times New Roman" w:hAnsi="Times New Roman" w:eastAsia="宋体" w:cs="Times New Roman"/>
          <w:color w:val="auto"/>
          <w:sz w:val="24"/>
          <w:szCs w:val="21"/>
          <w:lang w:val="en-US" w:eastAsia="zh-CN"/>
        </w:rPr>
        <w:t>可以计算出</w:t>
      </w:r>
      <w:r>
        <w:rPr>
          <w:rFonts w:hint="eastAsia" w:ascii="Times New Roman" w:hAnsi="Times New Roman" w:eastAsia="宋体" w:cs="Times New Roman"/>
          <w:color w:val="auto"/>
          <w:sz w:val="24"/>
          <w:szCs w:val="21"/>
          <w:lang w:val="en-US" w:eastAsia="zh-CN"/>
        </w:rPr>
        <w:t>每台焙烧炉及配套焚烧炉颗粒物、</w:t>
      </w:r>
      <w:r>
        <w:rPr>
          <w:rFonts w:hint="default" w:ascii="Times New Roman" w:hAnsi="Times New Roman" w:eastAsia="宋体" w:cs="Times New Roman"/>
          <w:color w:val="auto"/>
          <w:sz w:val="24"/>
          <w:szCs w:val="21"/>
          <w:lang w:val="en-US" w:eastAsia="zh-CN"/>
        </w:rPr>
        <w:t>SO</w:t>
      </w:r>
      <w:r>
        <w:rPr>
          <w:rFonts w:hint="default" w:ascii="Times New Roman" w:hAnsi="Times New Roman" w:eastAsia="宋体" w:cs="Times New Roman"/>
          <w:color w:val="auto"/>
          <w:sz w:val="24"/>
          <w:szCs w:val="21"/>
          <w:vertAlign w:val="subscript"/>
          <w:lang w:val="en-US" w:eastAsia="zh-CN"/>
        </w:rPr>
        <w:t>2</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NOx的排放量分别为</w:t>
      </w:r>
      <w:r>
        <w:rPr>
          <w:rFonts w:hint="eastAsia" w:ascii="Times New Roman" w:hAnsi="Times New Roman" w:eastAsia="宋体" w:cs="Times New Roman"/>
          <w:color w:val="auto"/>
          <w:sz w:val="24"/>
          <w:szCs w:val="21"/>
          <w:lang w:val="en-US" w:eastAsia="zh-CN"/>
        </w:rPr>
        <w:t>0.09</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0.09</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1.357</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24"/>
          <w:lang w:val="en-US" w:eastAsia="zh-CN"/>
        </w:rPr>
        <w:t>有机废气焚烧处理产生的燃料型</w:t>
      </w:r>
      <w:r>
        <w:rPr>
          <w:rFonts w:hint="eastAsia" w:ascii="Times New Roman" w:hAnsi="Times New Roman" w:eastAsia="宋体" w:cs="Times New Roman"/>
          <w:color w:val="auto"/>
          <w:sz w:val="24"/>
          <w:szCs w:val="24"/>
          <w:lang w:val="en-US" w:eastAsia="zh-CN"/>
        </w:rPr>
        <w:t>二氧化硫、</w:t>
      </w:r>
      <w:r>
        <w:rPr>
          <w:rFonts w:hint="default" w:ascii="Times New Roman" w:hAnsi="Times New Roman" w:eastAsia="宋体" w:cs="Times New Roman"/>
          <w:color w:val="auto"/>
          <w:sz w:val="24"/>
          <w:szCs w:val="24"/>
          <w:lang w:val="en-US" w:eastAsia="zh-CN"/>
        </w:rPr>
        <w:t>氮氧化物量</w:t>
      </w:r>
      <w:r>
        <w:rPr>
          <w:rFonts w:hint="eastAsia" w:ascii="Times New Roman" w:hAnsi="Times New Roman" w:eastAsia="宋体" w:cs="Times New Roman"/>
          <w:color w:val="auto"/>
          <w:sz w:val="24"/>
          <w:szCs w:val="24"/>
          <w:lang w:val="en-US" w:eastAsia="zh-CN"/>
        </w:rPr>
        <w:t>均为0</w:t>
      </w:r>
      <w:r>
        <w:rPr>
          <w:rFonts w:hint="default" w:ascii="Times New Roman" w:hAnsi="Times New Roman" w:eastAsia="宋体" w:cs="Times New Roman"/>
          <w:color w:val="auto"/>
          <w:sz w:val="24"/>
          <w:szCs w:val="24"/>
          <w:lang w:val="en-US" w:eastAsia="zh-CN"/>
        </w:rPr>
        <w:t>，则项目</w:t>
      </w:r>
      <w:r>
        <w:rPr>
          <w:rFonts w:hint="eastAsia" w:ascii="Times New Roman" w:hAnsi="Times New Roman" w:eastAsia="宋体" w:cs="Times New Roman"/>
          <w:color w:val="auto"/>
          <w:sz w:val="24"/>
          <w:szCs w:val="21"/>
          <w:lang w:val="en-US" w:eastAsia="zh-CN"/>
        </w:rPr>
        <w:t>焙烧</w:t>
      </w:r>
      <w:r>
        <w:rPr>
          <w:rFonts w:hint="default" w:ascii="Times New Roman" w:hAnsi="Times New Roman" w:eastAsia="宋体" w:cs="Times New Roman"/>
          <w:color w:val="auto"/>
          <w:sz w:val="24"/>
          <w:szCs w:val="21"/>
          <w:lang w:val="en-US" w:eastAsia="zh-CN"/>
        </w:rPr>
        <w:t>废气中</w:t>
      </w:r>
      <w:r>
        <w:rPr>
          <w:rFonts w:hint="eastAsia" w:ascii="Times New Roman" w:hAnsi="Times New Roman" w:eastAsia="宋体" w:cs="Times New Roman"/>
          <w:color w:val="auto"/>
          <w:sz w:val="24"/>
          <w:szCs w:val="21"/>
          <w:lang w:val="en-US" w:eastAsia="zh-CN"/>
        </w:rPr>
        <w:t>颗粒物、</w:t>
      </w:r>
      <w:r>
        <w:rPr>
          <w:rFonts w:hint="default" w:ascii="Times New Roman" w:hAnsi="Times New Roman" w:eastAsia="宋体" w:cs="Times New Roman"/>
          <w:color w:val="auto"/>
          <w:sz w:val="24"/>
          <w:szCs w:val="21"/>
          <w:lang w:val="en-US" w:eastAsia="zh-CN"/>
        </w:rPr>
        <w:t>SO</w:t>
      </w:r>
      <w:r>
        <w:rPr>
          <w:rFonts w:hint="default" w:ascii="Times New Roman" w:hAnsi="Times New Roman" w:eastAsia="宋体" w:cs="Times New Roman"/>
          <w:color w:val="auto"/>
          <w:sz w:val="24"/>
          <w:szCs w:val="21"/>
          <w:vertAlign w:val="subscript"/>
          <w:lang w:val="en-US" w:eastAsia="zh-CN"/>
        </w:rPr>
        <w:t>2</w:t>
      </w:r>
      <w:r>
        <w:rPr>
          <w:rFonts w:hint="eastAsia" w:ascii="Times New Roman" w:hAnsi="Times New Roman" w:eastAsia="宋体" w:cs="Times New Roman"/>
          <w:color w:val="auto"/>
          <w:sz w:val="24"/>
          <w:szCs w:val="21"/>
          <w:lang w:val="en-US" w:eastAsia="zh-CN"/>
        </w:rPr>
        <w:t>、</w:t>
      </w:r>
      <w:r>
        <w:rPr>
          <w:rFonts w:hint="default" w:ascii="Times New Roman" w:hAnsi="Times New Roman" w:eastAsia="宋体" w:cs="Times New Roman"/>
          <w:color w:val="auto"/>
          <w:sz w:val="24"/>
          <w:szCs w:val="21"/>
          <w:lang w:val="en-US" w:eastAsia="zh-CN"/>
        </w:rPr>
        <w:t>NOx的排放量分别为</w:t>
      </w:r>
      <w:r>
        <w:rPr>
          <w:rFonts w:hint="eastAsia" w:ascii="Times New Roman" w:hAnsi="Times New Roman" w:eastAsia="宋体" w:cs="Times New Roman"/>
          <w:color w:val="auto"/>
          <w:sz w:val="24"/>
          <w:szCs w:val="21"/>
          <w:lang w:val="en-US" w:eastAsia="zh-CN"/>
        </w:rPr>
        <w:t>0.09</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0.09</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1.357</w:t>
      </w:r>
      <w:r>
        <w:rPr>
          <w:rFonts w:hint="default" w:ascii="Times New Roman" w:hAnsi="Times New Roman" w:eastAsia="宋体" w:cs="Times New Roman"/>
          <w:color w:val="auto"/>
          <w:sz w:val="24"/>
          <w:szCs w:val="21"/>
          <w:lang w:val="en-US" w:eastAsia="zh-CN"/>
        </w:rPr>
        <w:t>t</w:t>
      </w:r>
      <w:r>
        <w:rPr>
          <w:rFonts w:hint="default" w:ascii="Times New Roman" w:hAnsi="Times New Roman" w:eastAsia="宋体" w:cs="Times New Roman"/>
          <w:color w:val="auto"/>
          <w:sz w:val="24"/>
          <w:szCs w:val="21"/>
        </w:rPr>
        <w:t>/a</w:t>
      </w:r>
      <w:r>
        <w:rPr>
          <w:rFonts w:hint="default"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4"/>
          <w:u w:val="none" w:color="auto"/>
          <w:lang w:val="en-US" w:eastAsia="zh-CN"/>
        </w:rPr>
        <w:t>均通过15m排气筒（DA002、DA003）直接排放。</w:t>
      </w:r>
    </w:p>
    <w:p w14:paraId="43B27AFA">
      <w:pPr>
        <w:pStyle w:val="21"/>
        <w:bidi w:val="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综合上述废气分析可知，本项目营运期内废气产排情况分析详见下表。</w:t>
      </w:r>
    </w:p>
    <w:p w14:paraId="3D3DF737">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.4-</w:t>
      </w:r>
      <w:r>
        <w:rPr>
          <w:rFonts w:hint="eastAsia"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 xml:space="preserve"> 本项目营运期废气产排情况一览表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73"/>
        <w:gridCol w:w="900"/>
        <w:gridCol w:w="1050"/>
        <w:gridCol w:w="956"/>
        <w:gridCol w:w="844"/>
        <w:gridCol w:w="1126"/>
        <w:gridCol w:w="892"/>
        <w:gridCol w:w="876"/>
      </w:tblGrid>
      <w:tr w14:paraId="3C18C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5DF4C384">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rPr>
              <w:t>排放源</w:t>
            </w:r>
          </w:p>
        </w:tc>
        <w:tc>
          <w:tcPr>
            <w:tcW w:w="973" w:type="dxa"/>
            <w:vMerge w:val="restart"/>
            <w:noWrap w:val="0"/>
            <w:vAlign w:val="center"/>
          </w:tcPr>
          <w:p w14:paraId="6A4313E2">
            <w:pPr>
              <w:pStyle w:val="32"/>
              <w:bidi w:val="0"/>
              <w:rPr>
                <w:rFonts w:hint="default" w:ascii="Times New Roman" w:hAnsi="Times New Roman" w:eastAsia="宋体" w:cs="Times New Roman"/>
                <w:b/>
                <w:bCs/>
                <w:i w:val="0"/>
                <w:iCs w:val="0"/>
                <w:color w:val="auto"/>
                <w:u w:val="none" w:color="auto"/>
                <w:lang w:eastAsia="zh-CN"/>
              </w:rPr>
            </w:pPr>
            <w:r>
              <w:rPr>
                <w:rFonts w:hint="default" w:ascii="Times New Roman" w:hAnsi="Times New Roman" w:eastAsia="宋体" w:cs="Times New Roman"/>
                <w:b/>
                <w:bCs/>
                <w:i w:val="0"/>
                <w:iCs w:val="0"/>
                <w:color w:val="auto"/>
                <w:u w:val="none" w:color="auto"/>
                <w:lang w:eastAsia="zh-CN"/>
              </w:rPr>
              <w:t>污染物</w:t>
            </w:r>
          </w:p>
        </w:tc>
        <w:tc>
          <w:tcPr>
            <w:tcW w:w="900" w:type="dxa"/>
            <w:vMerge w:val="restart"/>
            <w:noWrap w:val="0"/>
            <w:vAlign w:val="center"/>
          </w:tcPr>
          <w:p w14:paraId="54DB5E9B">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排放形式</w:t>
            </w:r>
          </w:p>
        </w:tc>
        <w:tc>
          <w:tcPr>
            <w:tcW w:w="2850" w:type="dxa"/>
            <w:gridSpan w:val="3"/>
            <w:noWrap w:val="0"/>
            <w:vAlign w:val="center"/>
          </w:tcPr>
          <w:p w14:paraId="59A67829">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产生情况</w:t>
            </w:r>
          </w:p>
        </w:tc>
        <w:tc>
          <w:tcPr>
            <w:tcW w:w="2894" w:type="dxa"/>
            <w:gridSpan w:val="3"/>
            <w:noWrap w:val="0"/>
            <w:vAlign w:val="center"/>
          </w:tcPr>
          <w:p w14:paraId="7295EE2D">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排放情况</w:t>
            </w:r>
          </w:p>
        </w:tc>
      </w:tr>
      <w:tr w14:paraId="19090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472B398E">
            <w:pPr>
              <w:pStyle w:val="32"/>
              <w:bidi w:val="0"/>
              <w:rPr>
                <w:rFonts w:hint="default" w:ascii="Times New Roman" w:hAnsi="Times New Roman" w:eastAsia="宋体" w:cs="Times New Roman"/>
                <w:b/>
                <w:bCs/>
                <w:i w:val="0"/>
                <w:iCs w:val="0"/>
                <w:color w:val="auto"/>
                <w:u w:val="none" w:color="auto"/>
                <w:lang w:val="en-US" w:eastAsia="zh-CN"/>
              </w:rPr>
            </w:pPr>
          </w:p>
        </w:tc>
        <w:tc>
          <w:tcPr>
            <w:tcW w:w="973" w:type="dxa"/>
            <w:vMerge w:val="continue"/>
            <w:noWrap w:val="0"/>
            <w:vAlign w:val="center"/>
          </w:tcPr>
          <w:p w14:paraId="1810C04B">
            <w:pPr>
              <w:pStyle w:val="32"/>
              <w:bidi w:val="0"/>
              <w:rPr>
                <w:rFonts w:hint="default" w:ascii="Times New Roman" w:hAnsi="Times New Roman" w:eastAsia="宋体" w:cs="Times New Roman"/>
                <w:b/>
                <w:bCs/>
                <w:i w:val="0"/>
                <w:iCs w:val="0"/>
                <w:color w:val="auto"/>
                <w:u w:val="none" w:color="auto"/>
                <w:lang w:eastAsia="zh-CN"/>
              </w:rPr>
            </w:pPr>
          </w:p>
        </w:tc>
        <w:tc>
          <w:tcPr>
            <w:tcW w:w="900" w:type="dxa"/>
            <w:vMerge w:val="continue"/>
            <w:noWrap w:val="0"/>
            <w:vAlign w:val="center"/>
          </w:tcPr>
          <w:p w14:paraId="4570042A">
            <w:pPr>
              <w:pStyle w:val="32"/>
              <w:bidi w:val="0"/>
              <w:rPr>
                <w:rFonts w:hint="default" w:ascii="Times New Roman" w:hAnsi="Times New Roman" w:eastAsia="宋体" w:cs="Times New Roman"/>
                <w:b/>
                <w:bCs/>
                <w:i w:val="0"/>
                <w:iCs w:val="0"/>
                <w:color w:val="auto"/>
                <w:u w:val="none" w:color="auto"/>
                <w:lang w:val="en-US" w:eastAsia="zh-CN"/>
              </w:rPr>
            </w:pPr>
          </w:p>
        </w:tc>
        <w:tc>
          <w:tcPr>
            <w:tcW w:w="1050" w:type="dxa"/>
            <w:noWrap w:val="0"/>
            <w:vAlign w:val="center"/>
          </w:tcPr>
          <w:p w14:paraId="251C4B76">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产生浓度mg/m</w:t>
            </w:r>
            <w:r>
              <w:rPr>
                <w:rFonts w:hint="default" w:ascii="Times New Roman" w:hAnsi="Times New Roman" w:eastAsia="宋体" w:cs="Times New Roman"/>
                <w:b/>
                <w:bCs/>
                <w:i w:val="0"/>
                <w:iCs w:val="0"/>
                <w:color w:val="auto"/>
                <w:u w:val="none" w:color="auto"/>
                <w:vertAlign w:val="superscript"/>
                <w:lang w:val="en-US" w:eastAsia="zh-CN"/>
              </w:rPr>
              <w:t>3</w:t>
            </w:r>
          </w:p>
        </w:tc>
        <w:tc>
          <w:tcPr>
            <w:tcW w:w="956" w:type="dxa"/>
            <w:noWrap w:val="0"/>
            <w:vAlign w:val="center"/>
          </w:tcPr>
          <w:p w14:paraId="6E87C086">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eastAsia="zh-CN"/>
              </w:rPr>
              <w:t>产生速率</w:t>
            </w:r>
            <w:r>
              <w:rPr>
                <w:rFonts w:hint="default" w:ascii="Times New Roman" w:hAnsi="Times New Roman" w:eastAsia="宋体" w:cs="Times New Roman"/>
                <w:b/>
                <w:bCs/>
                <w:i w:val="0"/>
                <w:iCs w:val="0"/>
                <w:color w:val="auto"/>
                <w:u w:val="none" w:color="auto"/>
                <w:lang w:val="en-US" w:eastAsia="zh-CN"/>
              </w:rPr>
              <w:t>kg/h</w:t>
            </w:r>
          </w:p>
        </w:tc>
        <w:tc>
          <w:tcPr>
            <w:tcW w:w="844" w:type="dxa"/>
            <w:noWrap w:val="0"/>
            <w:vAlign w:val="center"/>
          </w:tcPr>
          <w:p w14:paraId="72B1E1EE">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eastAsia="zh-CN"/>
              </w:rPr>
              <w:t>产生量</w:t>
            </w:r>
            <w:r>
              <w:rPr>
                <w:rFonts w:hint="default" w:ascii="Times New Roman" w:hAnsi="Times New Roman" w:eastAsia="宋体" w:cs="Times New Roman"/>
                <w:b/>
                <w:bCs/>
                <w:i w:val="0"/>
                <w:iCs w:val="0"/>
                <w:color w:val="auto"/>
                <w:u w:val="none" w:color="auto"/>
                <w:lang w:val="en-US" w:eastAsia="zh-CN"/>
              </w:rPr>
              <w:t>t/a</w:t>
            </w:r>
          </w:p>
        </w:tc>
        <w:tc>
          <w:tcPr>
            <w:tcW w:w="1126" w:type="dxa"/>
            <w:noWrap w:val="0"/>
            <w:vAlign w:val="center"/>
          </w:tcPr>
          <w:p w14:paraId="2501617A">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val="en-US" w:eastAsia="zh-CN"/>
              </w:rPr>
              <w:t>排放浓度mg/m</w:t>
            </w:r>
            <w:r>
              <w:rPr>
                <w:rFonts w:hint="default" w:ascii="Times New Roman" w:hAnsi="Times New Roman" w:eastAsia="宋体" w:cs="Times New Roman"/>
                <w:b/>
                <w:bCs/>
                <w:i w:val="0"/>
                <w:iCs w:val="0"/>
                <w:color w:val="auto"/>
                <w:u w:val="none" w:color="auto"/>
                <w:vertAlign w:val="superscript"/>
                <w:lang w:val="en-US" w:eastAsia="zh-CN"/>
              </w:rPr>
              <w:t>3</w:t>
            </w:r>
          </w:p>
        </w:tc>
        <w:tc>
          <w:tcPr>
            <w:tcW w:w="892" w:type="dxa"/>
            <w:noWrap w:val="0"/>
            <w:vAlign w:val="center"/>
          </w:tcPr>
          <w:p w14:paraId="64C8CB05">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排放速率</w:t>
            </w:r>
            <w:r>
              <w:rPr>
                <w:rFonts w:hint="default" w:ascii="Times New Roman" w:hAnsi="Times New Roman" w:eastAsia="宋体" w:cs="Times New Roman"/>
                <w:b/>
                <w:bCs/>
                <w:i w:val="0"/>
                <w:iCs w:val="0"/>
                <w:color w:val="auto"/>
                <w:u w:val="none" w:color="auto"/>
                <w:lang w:val="en-US" w:eastAsia="zh-CN"/>
              </w:rPr>
              <w:t>kg/h</w:t>
            </w:r>
          </w:p>
        </w:tc>
        <w:tc>
          <w:tcPr>
            <w:tcW w:w="876" w:type="dxa"/>
            <w:noWrap w:val="0"/>
            <w:vAlign w:val="center"/>
          </w:tcPr>
          <w:p w14:paraId="5D980A7E">
            <w:pPr>
              <w:pStyle w:val="32"/>
              <w:bidi w:val="0"/>
              <w:rPr>
                <w:rFonts w:hint="default" w:ascii="Times New Roman" w:hAnsi="Times New Roman" w:eastAsia="宋体" w:cs="Times New Roman"/>
                <w:b/>
                <w:bCs/>
                <w:i w:val="0"/>
                <w:iCs w:val="0"/>
                <w:color w:val="auto"/>
                <w:u w:val="none" w:color="auto"/>
                <w:lang w:eastAsia="zh-CN"/>
              </w:rPr>
            </w:pPr>
            <w:r>
              <w:rPr>
                <w:rFonts w:hint="default" w:ascii="Times New Roman" w:hAnsi="Times New Roman" w:eastAsia="宋体" w:cs="Times New Roman"/>
                <w:b/>
                <w:bCs/>
                <w:i w:val="0"/>
                <w:iCs w:val="0"/>
                <w:color w:val="auto"/>
                <w:u w:val="none" w:color="auto"/>
                <w:lang w:eastAsia="zh-CN"/>
              </w:rPr>
              <w:t>排放量</w:t>
            </w:r>
          </w:p>
          <w:p w14:paraId="6FA73645">
            <w:pPr>
              <w:pStyle w:val="32"/>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val="en-US" w:eastAsia="zh-CN"/>
              </w:rPr>
              <w:t>t/a</w:t>
            </w:r>
          </w:p>
        </w:tc>
      </w:tr>
      <w:tr w14:paraId="046D8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noWrap w:val="0"/>
            <w:vAlign w:val="center"/>
          </w:tcPr>
          <w:p w14:paraId="1652503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配料投料废气</w:t>
            </w:r>
          </w:p>
        </w:tc>
        <w:tc>
          <w:tcPr>
            <w:tcW w:w="973" w:type="dxa"/>
            <w:noWrap w:val="0"/>
            <w:vAlign w:val="center"/>
          </w:tcPr>
          <w:p w14:paraId="491B069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颗粒物</w:t>
            </w:r>
          </w:p>
        </w:tc>
        <w:tc>
          <w:tcPr>
            <w:tcW w:w="900" w:type="dxa"/>
            <w:noWrap w:val="0"/>
            <w:vAlign w:val="center"/>
          </w:tcPr>
          <w:p w14:paraId="1C44E99D">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5AC9F2D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6826367B">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0.25</w:t>
            </w:r>
          </w:p>
        </w:tc>
        <w:tc>
          <w:tcPr>
            <w:tcW w:w="844" w:type="dxa"/>
            <w:noWrap w:val="0"/>
            <w:vAlign w:val="center"/>
          </w:tcPr>
          <w:p w14:paraId="2706EFB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0.6</w:t>
            </w:r>
          </w:p>
        </w:tc>
        <w:tc>
          <w:tcPr>
            <w:tcW w:w="1126" w:type="dxa"/>
            <w:noWrap w:val="0"/>
            <w:vAlign w:val="center"/>
          </w:tcPr>
          <w:p w14:paraId="0C3AAEDC">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2B5D23E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0.25</w:t>
            </w:r>
          </w:p>
        </w:tc>
        <w:tc>
          <w:tcPr>
            <w:tcW w:w="876" w:type="dxa"/>
            <w:noWrap w:val="0"/>
            <w:vAlign w:val="center"/>
          </w:tcPr>
          <w:p w14:paraId="2D48D4C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0.6</w:t>
            </w:r>
          </w:p>
        </w:tc>
      </w:tr>
      <w:tr w14:paraId="62683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1851C2BE">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加热混捏废气、冷却废气、磨粉废气、混合废气</w:t>
            </w:r>
          </w:p>
        </w:tc>
        <w:tc>
          <w:tcPr>
            <w:tcW w:w="973" w:type="dxa"/>
            <w:vMerge w:val="restart"/>
            <w:noWrap w:val="0"/>
            <w:vAlign w:val="center"/>
          </w:tcPr>
          <w:p w14:paraId="158ABBBC">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颗粒物</w:t>
            </w:r>
          </w:p>
        </w:tc>
        <w:tc>
          <w:tcPr>
            <w:tcW w:w="900" w:type="dxa"/>
            <w:noWrap w:val="0"/>
            <w:vAlign w:val="center"/>
          </w:tcPr>
          <w:p w14:paraId="6672BC39">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1FF5BD56">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93.803</w:t>
            </w:r>
          </w:p>
        </w:tc>
        <w:tc>
          <w:tcPr>
            <w:tcW w:w="956" w:type="dxa"/>
            <w:noWrap w:val="0"/>
            <w:vAlign w:val="center"/>
          </w:tcPr>
          <w:p w14:paraId="37961BB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3.752</w:t>
            </w:r>
          </w:p>
        </w:tc>
        <w:tc>
          <w:tcPr>
            <w:tcW w:w="844" w:type="dxa"/>
            <w:noWrap w:val="0"/>
            <w:vAlign w:val="center"/>
          </w:tcPr>
          <w:p w14:paraId="34D2AEB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9.005</w:t>
            </w:r>
          </w:p>
        </w:tc>
        <w:tc>
          <w:tcPr>
            <w:tcW w:w="1126" w:type="dxa"/>
            <w:noWrap w:val="0"/>
            <w:vAlign w:val="center"/>
          </w:tcPr>
          <w:p w14:paraId="354BF759">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0.938</w:t>
            </w:r>
          </w:p>
        </w:tc>
        <w:tc>
          <w:tcPr>
            <w:tcW w:w="892" w:type="dxa"/>
            <w:noWrap w:val="0"/>
            <w:vAlign w:val="center"/>
          </w:tcPr>
          <w:p w14:paraId="016FDB1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0.038</w:t>
            </w:r>
          </w:p>
        </w:tc>
        <w:tc>
          <w:tcPr>
            <w:tcW w:w="876" w:type="dxa"/>
            <w:noWrap w:val="0"/>
            <w:vAlign w:val="center"/>
          </w:tcPr>
          <w:p w14:paraId="3823059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0.09</w:t>
            </w:r>
          </w:p>
        </w:tc>
      </w:tr>
      <w:tr w14:paraId="553A8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63EE6A68">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14569495">
            <w:pPr>
              <w:pStyle w:val="32"/>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4CD0AAB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026DD783">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078F5D3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0.198</w:t>
            </w:r>
          </w:p>
        </w:tc>
        <w:tc>
          <w:tcPr>
            <w:tcW w:w="844" w:type="dxa"/>
            <w:noWrap w:val="0"/>
            <w:vAlign w:val="center"/>
          </w:tcPr>
          <w:p w14:paraId="3D411ED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0.474</w:t>
            </w:r>
          </w:p>
        </w:tc>
        <w:tc>
          <w:tcPr>
            <w:tcW w:w="1126" w:type="dxa"/>
            <w:noWrap w:val="0"/>
            <w:vAlign w:val="center"/>
          </w:tcPr>
          <w:p w14:paraId="0E1D454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6D5E160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0.198</w:t>
            </w:r>
          </w:p>
        </w:tc>
        <w:tc>
          <w:tcPr>
            <w:tcW w:w="876" w:type="dxa"/>
            <w:noWrap w:val="0"/>
            <w:vAlign w:val="center"/>
          </w:tcPr>
          <w:p w14:paraId="287E8C8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0.474</w:t>
            </w:r>
          </w:p>
        </w:tc>
      </w:tr>
      <w:tr w14:paraId="25345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524DDC24">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restart"/>
            <w:noWrap w:val="0"/>
            <w:vAlign w:val="center"/>
          </w:tcPr>
          <w:p w14:paraId="356F1CA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非甲烷总烃</w:t>
            </w:r>
          </w:p>
        </w:tc>
        <w:tc>
          <w:tcPr>
            <w:tcW w:w="900" w:type="dxa"/>
            <w:noWrap w:val="0"/>
            <w:vAlign w:val="center"/>
          </w:tcPr>
          <w:p w14:paraId="259014A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4066F286">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8.906</w:t>
            </w:r>
          </w:p>
        </w:tc>
        <w:tc>
          <w:tcPr>
            <w:tcW w:w="956" w:type="dxa"/>
            <w:noWrap w:val="0"/>
            <w:vAlign w:val="center"/>
          </w:tcPr>
          <w:p w14:paraId="61E06F3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0.356</w:t>
            </w:r>
          </w:p>
        </w:tc>
        <w:tc>
          <w:tcPr>
            <w:tcW w:w="844" w:type="dxa"/>
            <w:noWrap w:val="0"/>
            <w:vAlign w:val="center"/>
          </w:tcPr>
          <w:p w14:paraId="0CC5404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0.855</w:t>
            </w:r>
          </w:p>
        </w:tc>
        <w:tc>
          <w:tcPr>
            <w:tcW w:w="1126" w:type="dxa"/>
            <w:noWrap w:val="0"/>
            <w:vAlign w:val="center"/>
          </w:tcPr>
          <w:p w14:paraId="5E162463">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2.672</w:t>
            </w:r>
          </w:p>
        </w:tc>
        <w:tc>
          <w:tcPr>
            <w:tcW w:w="892" w:type="dxa"/>
            <w:noWrap w:val="0"/>
            <w:vAlign w:val="center"/>
          </w:tcPr>
          <w:p w14:paraId="1B57DFE6">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0.107</w:t>
            </w:r>
          </w:p>
        </w:tc>
        <w:tc>
          <w:tcPr>
            <w:tcW w:w="876" w:type="dxa"/>
            <w:noWrap w:val="0"/>
            <w:vAlign w:val="center"/>
          </w:tcPr>
          <w:p w14:paraId="2AC9D06E">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0.257</w:t>
            </w:r>
          </w:p>
        </w:tc>
      </w:tr>
      <w:tr w14:paraId="4462D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60C09F94">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59EC0C3E">
            <w:pPr>
              <w:pStyle w:val="32"/>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309A5317">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24F6C45C">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7EA9310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0.019</w:t>
            </w:r>
          </w:p>
        </w:tc>
        <w:tc>
          <w:tcPr>
            <w:tcW w:w="844" w:type="dxa"/>
            <w:noWrap w:val="0"/>
            <w:vAlign w:val="center"/>
          </w:tcPr>
          <w:p w14:paraId="28000BD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0.045</w:t>
            </w:r>
          </w:p>
        </w:tc>
        <w:tc>
          <w:tcPr>
            <w:tcW w:w="1126" w:type="dxa"/>
            <w:noWrap w:val="0"/>
            <w:vAlign w:val="center"/>
          </w:tcPr>
          <w:p w14:paraId="6E64371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18BA766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0.019</w:t>
            </w:r>
          </w:p>
        </w:tc>
        <w:tc>
          <w:tcPr>
            <w:tcW w:w="876" w:type="dxa"/>
            <w:noWrap w:val="0"/>
            <w:vAlign w:val="center"/>
          </w:tcPr>
          <w:p w14:paraId="06060BD0">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0.045</w:t>
            </w:r>
          </w:p>
        </w:tc>
      </w:tr>
      <w:tr w14:paraId="1E785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513A34DB">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restart"/>
            <w:noWrap w:val="0"/>
            <w:vAlign w:val="center"/>
          </w:tcPr>
          <w:p w14:paraId="18E1B86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900" w:type="dxa"/>
            <w:noWrap w:val="0"/>
            <w:vAlign w:val="center"/>
          </w:tcPr>
          <w:p w14:paraId="19B185D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6B464E0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5.047</w:t>
            </w:r>
          </w:p>
        </w:tc>
        <w:tc>
          <w:tcPr>
            <w:tcW w:w="956" w:type="dxa"/>
            <w:noWrap w:val="0"/>
            <w:vAlign w:val="center"/>
          </w:tcPr>
          <w:p w14:paraId="3B5F0450">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0.202</w:t>
            </w:r>
          </w:p>
        </w:tc>
        <w:tc>
          <w:tcPr>
            <w:tcW w:w="844" w:type="dxa"/>
            <w:noWrap w:val="0"/>
            <w:vAlign w:val="center"/>
          </w:tcPr>
          <w:p w14:paraId="1904638B">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0.485</w:t>
            </w:r>
          </w:p>
        </w:tc>
        <w:tc>
          <w:tcPr>
            <w:tcW w:w="1126" w:type="dxa"/>
            <w:noWrap w:val="0"/>
            <w:vAlign w:val="center"/>
          </w:tcPr>
          <w:p w14:paraId="3A1E880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1.514</w:t>
            </w:r>
          </w:p>
        </w:tc>
        <w:tc>
          <w:tcPr>
            <w:tcW w:w="892" w:type="dxa"/>
            <w:noWrap w:val="0"/>
            <w:vAlign w:val="center"/>
          </w:tcPr>
          <w:p w14:paraId="5AD9EAAF">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0.061</w:t>
            </w:r>
          </w:p>
        </w:tc>
        <w:tc>
          <w:tcPr>
            <w:tcW w:w="876" w:type="dxa"/>
            <w:noWrap w:val="0"/>
            <w:vAlign w:val="center"/>
          </w:tcPr>
          <w:p w14:paraId="0422236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0.146</w:t>
            </w:r>
          </w:p>
        </w:tc>
      </w:tr>
      <w:tr w14:paraId="2C446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12F84A6D">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67E28A35">
            <w:pPr>
              <w:pStyle w:val="32"/>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0B02CF90">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72E4A3C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4E71D733">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0.011</w:t>
            </w:r>
          </w:p>
        </w:tc>
        <w:tc>
          <w:tcPr>
            <w:tcW w:w="844" w:type="dxa"/>
            <w:noWrap w:val="0"/>
            <w:vAlign w:val="center"/>
          </w:tcPr>
          <w:p w14:paraId="1F2475E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0.025</w:t>
            </w:r>
          </w:p>
        </w:tc>
        <w:tc>
          <w:tcPr>
            <w:tcW w:w="1126" w:type="dxa"/>
            <w:noWrap w:val="0"/>
            <w:vAlign w:val="center"/>
          </w:tcPr>
          <w:p w14:paraId="3238BC8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49082DC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0.011</w:t>
            </w:r>
          </w:p>
        </w:tc>
        <w:tc>
          <w:tcPr>
            <w:tcW w:w="876" w:type="dxa"/>
            <w:noWrap w:val="0"/>
            <w:vAlign w:val="center"/>
          </w:tcPr>
          <w:p w14:paraId="28BAE00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0.025</w:t>
            </w:r>
          </w:p>
        </w:tc>
      </w:tr>
      <w:tr w14:paraId="76D59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539DBF14">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restart"/>
            <w:noWrap w:val="0"/>
            <w:vAlign w:val="center"/>
          </w:tcPr>
          <w:p w14:paraId="4745F10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甲醛</w:t>
            </w:r>
          </w:p>
        </w:tc>
        <w:tc>
          <w:tcPr>
            <w:tcW w:w="900" w:type="dxa"/>
            <w:noWrap w:val="0"/>
            <w:vAlign w:val="center"/>
          </w:tcPr>
          <w:p w14:paraId="25F20BA4">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688E118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11.875</w:t>
            </w:r>
          </w:p>
        </w:tc>
        <w:tc>
          <w:tcPr>
            <w:tcW w:w="956" w:type="dxa"/>
            <w:noWrap w:val="0"/>
            <w:vAlign w:val="center"/>
          </w:tcPr>
          <w:p w14:paraId="7998AA8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0.475</w:t>
            </w:r>
          </w:p>
        </w:tc>
        <w:tc>
          <w:tcPr>
            <w:tcW w:w="844" w:type="dxa"/>
            <w:noWrap w:val="0"/>
            <w:vAlign w:val="center"/>
          </w:tcPr>
          <w:p w14:paraId="3954790D">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1.14</w:t>
            </w:r>
          </w:p>
        </w:tc>
        <w:tc>
          <w:tcPr>
            <w:tcW w:w="1126" w:type="dxa"/>
            <w:noWrap w:val="0"/>
            <w:vAlign w:val="center"/>
          </w:tcPr>
          <w:p w14:paraId="42F6B12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3.563</w:t>
            </w:r>
          </w:p>
        </w:tc>
        <w:tc>
          <w:tcPr>
            <w:tcW w:w="892" w:type="dxa"/>
            <w:noWrap w:val="0"/>
            <w:vAlign w:val="center"/>
          </w:tcPr>
          <w:p w14:paraId="02F1189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0.143</w:t>
            </w:r>
          </w:p>
        </w:tc>
        <w:tc>
          <w:tcPr>
            <w:tcW w:w="876" w:type="dxa"/>
            <w:noWrap w:val="0"/>
            <w:vAlign w:val="center"/>
          </w:tcPr>
          <w:p w14:paraId="34AD7D9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0.342</w:t>
            </w:r>
          </w:p>
        </w:tc>
      </w:tr>
      <w:tr w14:paraId="47BC5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05710C64">
            <w:pPr>
              <w:pStyle w:val="32"/>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14586E1A">
            <w:pPr>
              <w:pStyle w:val="32"/>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49C880C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7A85FEE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3380326C">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0.025</w:t>
            </w:r>
          </w:p>
        </w:tc>
        <w:tc>
          <w:tcPr>
            <w:tcW w:w="844" w:type="dxa"/>
            <w:noWrap w:val="0"/>
            <w:vAlign w:val="center"/>
          </w:tcPr>
          <w:p w14:paraId="481042F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0.06</w:t>
            </w:r>
          </w:p>
        </w:tc>
        <w:tc>
          <w:tcPr>
            <w:tcW w:w="1126" w:type="dxa"/>
            <w:noWrap w:val="0"/>
            <w:vAlign w:val="center"/>
          </w:tcPr>
          <w:p w14:paraId="0972B6E9">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6D0F77D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0.025</w:t>
            </w:r>
          </w:p>
        </w:tc>
        <w:tc>
          <w:tcPr>
            <w:tcW w:w="876" w:type="dxa"/>
            <w:noWrap w:val="0"/>
            <w:vAlign w:val="center"/>
          </w:tcPr>
          <w:p w14:paraId="3006B47B">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w:t>
            </w:r>
          </w:p>
        </w:tc>
      </w:tr>
      <w:tr w14:paraId="5D0AD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noWrap w:val="0"/>
            <w:vAlign w:val="center"/>
          </w:tcPr>
          <w:p w14:paraId="02FEB04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热压废气</w:t>
            </w:r>
          </w:p>
        </w:tc>
        <w:tc>
          <w:tcPr>
            <w:tcW w:w="973" w:type="dxa"/>
            <w:noWrap w:val="0"/>
            <w:vAlign w:val="center"/>
          </w:tcPr>
          <w:p w14:paraId="75AE203E">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900" w:type="dxa"/>
            <w:noWrap w:val="0"/>
            <w:vAlign w:val="center"/>
          </w:tcPr>
          <w:p w14:paraId="652BA2F9">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4A1647AD">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2CD1E00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0.106</w:t>
            </w:r>
          </w:p>
        </w:tc>
        <w:tc>
          <w:tcPr>
            <w:tcW w:w="844" w:type="dxa"/>
            <w:noWrap w:val="0"/>
            <w:vAlign w:val="center"/>
          </w:tcPr>
          <w:p w14:paraId="5192773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0.255</w:t>
            </w:r>
          </w:p>
        </w:tc>
        <w:tc>
          <w:tcPr>
            <w:tcW w:w="1126" w:type="dxa"/>
            <w:noWrap w:val="0"/>
            <w:vAlign w:val="center"/>
          </w:tcPr>
          <w:p w14:paraId="07E35388">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7A1EC54A">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0.106</w:t>
            </w:r>
          </w:p>
        </w:tc>
        <w:tc>
          <w:tcPr>
            <w:tcW w:w="876" w:type="dxa"/>
            <w:noWrap w:val="0"/>
            <w:vAlign w:val="center"/>
          </w:tcPr>
          <w:p w14:paraId="6081E68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0.255</w:t>
            </w:r>
          </w:p>
        </w:tc>
      </w:tr>
      <w:tr w14:paraId="1B43C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13D5834B">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1#厂房焙烧废气</w:t>
            </w:r>
          </w:p>
        </w:tc>
        <w:tc>
          <w:tcPr>
            <w:tcW w:w="973" w:type="dxa"/>
            <w:noWrap w:val="0"/>
            <w:vAlign w:val="center"/>
          </w:tcPr>
          <w:p w14:paraId="7DCD1A49">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非甲烷总烃</w:t>
            </w:r>
          </w:p>
        </w:tc>
        <w:tc>
          <w:tcPr>
            <w:tcW w:w="900" w:type="dxa"/>
            <w:noWrap w:val="0"/>
            <w:vAlign w:val="center"/>
          </w:tcPr>
          <w:p w14:paraId="698BF9CB">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0DE69859">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1166.667</w:t>
            </w:r>
          </w:p>
        </w:tc>
        <w:tc>
          <w:tcPr>
            <w:tcW w:w="956" w:type="dxa"/>
            <w:noWrap w:val="0"/>
            <w:vAlign w:val="center"/>
          </w:tcPr>
          <w:p w14:paraId="48C34A4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7</w:t>
            </w:r>
          </w:p>
        </w:tc>
        <w:tc>
          <w:tcPr>
            <w:tcW w:w="844" w:type="dxa"/>
            <w:noWrap w:val="0"/>
            <w:vAlign w:val="center"/>
          </w:tcPr>
          <w:p w14:paraId="1F5EAF5B">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42</w:t>
            </w:r>
          </w:p>
        </w:tc>
        <w:tc>
          <w:tcPr>
            <w:tcW w:w="1126" w:type="dxa"/>
            <w:noWrap w:val="0"/>
            <w:vAlign w:val="center"/>
          </w:tcPr>
          <w:p w14:paraId="2CB3359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58.334</w:t>
            </w:r>
          </w:p>
        </w:tc>
        <w:tc>
          <w:tcPr>
            <w:tcW w:w="892" w:type="dxa"/>
            <w:noWrap w:val="0"/>
            <w:vAlign w:val="center"/>
          </w:tcPr>
          <w:p w14:paraId="047179B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0.35</w:t>
            </w:r>
          </w:p>
        </w:tc>
        <w:tc>
          <w:tcPr>
            <w:tcW w:w="876" w:type="dxa"/>
            <w:noWrap w:val="0"/>
            <w:vAlign w:val="center"/>
          </w:tcPr>
          <w:p w14:paraId="50E1EC9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2.1</w:t>
            </w:r>
          </w:p>
        </w:tc>
      </w:tr>
      <w:tr w14:paraId="6C259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383D2E27">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375CF4A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900" w:type="dxa"/>
            <w:noWrap w:val="0"/>
            <w:vAlign w:val="center"/>
          </w:tcPr>
          <w:p w14:paraId="43CBF97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有组织</w:t>
            </w:r>
          </w:p>
        </w:tc>
        <w:tc>
          <w:tcPr>
            <w:tcW w:w="1050" w:type="dxa"/>
            <w:noWrap w:val="0"/>
            <w:vAlign w:val="center"/>
          </w:tcPr>
          <w:p w14:paraId="50401493">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69.772</w:t>
            </w:r>
          </w:p>
        </w:tc>
        <w:tc>
          <w:tcPr>
            <w:tcW w:w="956" w:type="dxa"/>
            <w:noWrap w:val="0"/>
            <w:vAlign w:val="center"/>
          </w:tcPr>
          <w:p w14:paraId="2615253E">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0.419</w:t>
            </w:r>
          </w:p>
        </w:tc>
        <w:tc>
          <w:tcPr>
            <w:tcW w:w="844" w:type="dxa"/>
            <w:noWrap w:val="0"/>
            <w:vAlign w:val="center"/>
          </w:tcPr>
          <w:p w14:paraId="154EDD0D">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2.512</w:t>
            </w:r>
          </w:p>
        </w:tc>
        <w:tc>
          <w:tcPr>
            <w:tcW w:w="1126" w:type="dxa"/>
            <w:noWrap w:val="0"/>
            <w:vAlign w:val="center"/>
          </w:tcPr>
          <w:p w14:paraId="7DADCDBB">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3.489</w:t>
            </w:r>
          </w:p>
        </w:tc>
        <w:tc>
          <w:tcPr>
            <w:tcW w:w="892" w:type="dxa"/>
            <w:noWrap w:val="0"/>
            <w:vAlign w:val="center"/>
          </w:tcPr>
          <w:p w14:paraId="596D459E">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0.021</w:t>
            </w:r>
          </w:p>
        </w:tc>
        <w:tc>
          <w:tcPr>
            <w:tcW w:w="876" w:type="dxa"/>
            <w:noWrap w:val="0"/>
            <w:vAlign w:val="center"/>
          </w:tcPr>
          <w:p w14:paraId="585C50A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0.126</w:t>
            </w:r>
          </w:p>
        </w:tc>
      </w:tr>
      <w:tr w14:paraId="726D6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344B589E">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1ABBD86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颗粒物</w:t>
            </w:r>
          </w:p>
        </w:tc>
        <w:tc>
          <w:tcPr>
            <w:tcW w:w="900" w:type="dxa"/>
            <w:noWrap w:val="0"/>
            <w:vAlign w:val="center"/>
          </w:tcPr>
          <w:p w14:paraId="30F87D0E">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106CB217">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2.5</w:t>
            </w:r>
          </w:p>
        </w:tc>
        <w:tc>
          <w:tcPr>
            <w:tcW w:w="956" w:type="dxa"/>
            <w:noWrap w:val="0"/>
            <w:vAlign w:val="center"/>
          </w:tcPr>
          <w:p w14:paraId="2856857A">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0.015</w:t>
            </w:r>
          </w:p>
        </w:tc>
        <w:tc>
          <w:tcPr>
            <w:tcW w:w="844" w:type="dxa"/>
            <w:noWrap w:val="0"/>
            <w:vAlign w:val="center"/>
          </w:tcPr>
          <w:p w14:paraId="21374361">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0.09</w:t>
            </w:r>
          </w:p>
        </w:tc>
        <w:tc>
          <w:tcPr>
            <w:tcW w:w="1126" w:type="dxa"/>
            <w:noWrap w:val="0"/>
            <w:vAlign w:val="center"/>
          </w:tcPr>
          <w:p w14:paraId="1CC9CA55">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892" w:type="dxa"/>
            <w:noWrap w:val="0"/>
            <w:vAlign w:val="center"/>
          </w:tcPr>
          <w:p w14:paraId="53E1F6CA">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76" w:type="dxa"/>
            <w:noWrap w:val="0"/>
            <w:vAlign w:val="center"/>
          </w:tcPr>
          <w:p w14:paraId="42BDE040">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r>
      <w:tr w14:paraId="1484F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1693FD60">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0288986F">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二氧化硫</w:t>
            </w:r>
          </w:p>
        </w:tc>
        <w:tc>
          <w:tcPr>
            <w:tcW w:w="900" w:type="dxa"/>
            <w:noWrap w:val="0"/>
            <w:vAlign w:val="center"/>
          </w:tcPr>
          <w:p w14:paraId="40EF873C">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54827326">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956" w:type="dxa"/>
            <w:noWrap w:val="0"/>
            <w:vAlign w:val="center"/>
          </w:tcPr>
          <w:p w14:paraId="51CB97F5">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44" w:type="dxa"/>
            <w:noWrap w:val="0"/>
            <w:vAlign w:val="center"/>
          </w:tcPr>
          <w:p w14:paraId="739A1BD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126" w:type="dxa"/>
            <w:noWrap w:val="0"/>
            <w:vAlign w:val="center"/>
          </w:tcPr>
          <w:p w14:paraId="7642296C">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892" w:type="dxa"/>
            <w:noWrap w:val="0"/>
            <w:vAlign w:val="center"/>
          </w:tcPr>
          <w:p w14:paraId="06AEADE1">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76" w:type="dxa"/>
            <w:noWrap w:val="0"/>
            <w:vAlign w:val="center"/>
          </w:tcPr>
          <w:p w14:paraId="1BB5738D">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r>
      <w:tr w14:paraId="25F2B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7209692F">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17363D0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氮氧化物</w:t>
            </w:r>
          </w:p>
        </w:tc>
        <w:tc>
          <w:tcPr>
            <w:tcW w:w="900" w:type="dxa"/>
            <w:noWrap w:val="0"/>
            <w:vAlign w:val="center"/>
          </w:tcPr>
          <w:p w14:paraId="581646AF">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684DC15E">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37.695</w:t>
            </w:r>
          </w:p>
        </w:tc>
        <w:tc>
          <w:tcPr>
            <w:tcW w:w="956" w:type="dxa"/>
            <w:noWrap w:val="0"/>
            <w:vAlign w:val="center"/>
          </w:tcPr>
          <w:p w14:paraId="1A207A0D">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0.226</w:t>
            </w:r>
          </w:p>
        </w:tc>
        <w:tc>
          <w:tcPr>
            <w:tcW w:w="844" w:type="dxa"/>
            <w:noWrap w:val="0"/>
            <w:vAlign w:val="center"/>
          </w:tcPr>
          <w:p w14:paraId="6504391A">
            <w:pPr>
              <w:pStyle w:val="25"/>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1.357</w:t>
            </w:r>
          </w:p>
        </w:tc>
        <w:tc>
          <w:tcPr>
            <w:tcW w:w="1126" w:type="dxa"/>
            <w:noWrap w:val="0"/>
            <w:vAlign w:val="center"/>
          </w:tcPr>
          <w:p w14:paraId="0543E775">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892" w:type="dxa"/>
            <w:noWrap w:val="0"/>
            <w:vAlign w:val="center"/>
          </w:tcPr>
          <w:p w14:paraId="0901FA58">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876" w:type="dxa"/>
            <w:noWrap w:val="0"/>
            <w:vAlign w:val="center"/>
          </w:tcPr>
          <w:p w14:paraId="2AEC0986">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r>
      <w:tr w14:paraId="11895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37086B9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2#厂房焙烧废气</w:t>
            </w:r>
          </w:p>
        </w:tc>
        <w:tc>
          <w:tcPr>
            <w:tcW w:w="973" w:type="dxa"/>
            <w:noWrap w:val="0"/>
            <w:vAlign w:val="center"/>
          </w:tcPr>
          <w:p w14:paraId="3C3DD5BB">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非甲烷总烃</w:t>
            </w:r>
          </w:p>
        </w:tc>
        <w:tc>
          <w:tcPr>
            <w:tcW w:w="900" w:type="dxa"/>
            <w:noWrap w:val="0"/>
            <w:vAlign w:val="center"/>
          </w:tcPr>
          <w:p w14:paraId="2DE7CF7A">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792050C4">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1166.667</w:t>
            </w:r>
          </w:p>
        </w:tc>
        <w:tc>
          <w:tcPr>
            <w:tcW w:w="956" w:type="dxa"/>
            <w:noWrap w:val="0"/>
            <w:vAlign w:val="center"/>
          </w:tcPr>
          <w:p w14:paraId="3C63A01A">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7</w:t>
            </w:r>
          </w:p>
        </w:tc>
        <w:tc>
          <w:tcPr>
            <w:tcW w:w="844" w:type="dxa"/>
            <w:noWrap w:val="0"/>
            <w:vAlign w:val="center"/>
          </w:tcPr>
          <w:p w14:paraId="0DD032F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42</w:t>
            </w:r>
          </w:p>
        </w:tc>
        <w:tc>
          <w:tcPr>
            <w:tcW w:w="1126" w:type="dxa"/>
            <w:noWrap w:val="0"/>
            <w:vAlign w:val="center"/>
          </w:tcPr>
          <w:p w14:paraId="6F01FD1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58.334</w:t>
            </w:r>
          </w:p>
        </w:tc>
        <w:tc>
          <w:tcPr>
            <w:tcW w:w="892" w:type="dxa"/>
            <w:noWrap w:val="0"/>
            <w:vAlign w:val="center"/>
          </w:tcPr>
          <w:p w14:paraId="53E3E40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0.35</w:t>
            </w:r>
          </w:p>
        </w:tc>
        <w:tc>
          <w:tcPr>
            <w:tcW w:w="876" w:type="dxa"/>
            <w:noWrap w:val="0"/>
            <w:vAlign w:val="center"/>
          </w:tcPr>
          <w:p w14:paraId="47ACA2E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2.1</w:t>
            </w:r>
          </w:p>
        </w:tc>
      </w:tr>
      <w:tr w14:paraId="71F76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49C11D64">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6744AAE8">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酚类</w:t>
            </w:r>
          </w:p>
        </w:tc>
        <w:tc>
          <w:tcPr>
            <w:tcW w:w="900" w:type="dxa"/>
            <w:noWrap w:val="0"/>
            <w:vAlign w:val="center"/>
          </w:tcPr>
          <w:p w14:paraId="3CC90A3D">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有组织</w:t>
            </w:r>
          </w:p>
        </w:tc>
        <w:tc>
          <w:tcPr>
            <w:tcW w:w="1050" w:type="dxa"/>
            <w:noWrap w:val="0"/>
            <w:vAlign w:val="center"/>
          </w:tcPr>
          <w:p w14:paraId="43316430">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69.772</w:t>
            </w:r>
          </w:p>
        </w:tc>
        <w:tc>
          <w:tcPr>
            <w:tcW w:w="956" w:type="dxa"/>
            <w:noWrap w:val="0"/>
            <w:vAlign w:val="center"/>
          </w:tcPr>
          <w:p w14:paraId="4C95040A">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0.419</w:t>
            </w:r>
          </w:p>
        </w:tc>
        <w:tc>
          <w:tcPr>
            <w:tcW w:w="844" w:type="dxa"/>
            <w:noWrap w:val="0"/>
            <w:vAlign w:val="center"/>
          </w:tcPr>
          <w:p w14:paraId="094C54A2">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2.512</w:t>
            </w:r>
          </w:p>
        </w:tc>
        <w:tc>
          <w:tcPr>
            <w:tcW w:w="1126" w:type="dxa"/>
            <w:noWrap w:val="0"/>
            <w:vAlign w:val="center"/>
          </w:tcPr>
          <w:p w14:paraId="74DD740F">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3.489</w:t>
            </w:r>
          </w:p>
        </w:tc>
        <w:tc>
          <w:tcPr>
            <w:tcW w:w="892" w:type="dxa"/>
            <w:noWrap w:val="0"/>
            <w:vAlign w:val="center"/>
          </w:tcPr>
          <w:p w14:paraId="6054057B">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0.021</w:t>
            </w:r>
          </w:p>
        </w:tc>
        <w:tc>
          <w:tcPr>
            <w:tcW w:w="876" w:type="dxa"/>
            <w:noWrap w:val="0"/>
            <w:vAlign w:val="center"/>
          </w:tcPr>
          <w:p w14:paraId="0B103475">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0.126</w:t>
            </w:r>
          </w:p>
        </w:tc>
      </w:tr>
      <w:tr w14:paraId="747DD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4D73ADFA">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53885F3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颗粒物</w:t>
            </w:r>
          </w:p>
        </w:tc>
        <w:tc>
          <w:tcPr>
            <w:tcW w:w="900" w:type="dxa"/>
            <w:noWrap w:val="0"/>
            <w:vAlign w:val="center"/>
          </w:tcPr>
          <w:p w14:paraId="071F0DBF">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25617E4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956" w:type="dxa"/>
            <w:noWrap w:val="0"/>
            <w:vAlign w:val="center"/>
          </w:tcPr>
          <w:p w14:paraId="0689576A">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44" w:type="dxa"/>
            <w:noWrap w:val="0"/>
            <w:vAlign w:val="center"/>
          </w:tcPr>
          <w:p w14:paraId="0916C4DC">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126" w:type="dxa"/>
            <w:noWrap w:val="0"/>
            <w:vAlign w:val="center"/>
          </w:tcPr>
          <w:p w14:paraId="3D025C6E">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892" w:type="dxa"/>
            <w:noWrap w:val="0"/>
            <w:vAlign w:val="center"/>
          </w:tcPr>
          <w:p w14:paraId="4EDE3EDE">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76" w:type="dxa"/>
            <w:noWrap w:val="0"/>
            <w:vAlign w:val="center"/>
          </w:tcPr>
          <w:p w14:paraId="0375AF5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r>
      <w:tr w14:paraId="5546E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2DB4F438">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2A1CBB5B">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二氧化硫</w:t>
            </w:r>
          </w:p>
        </w:tc>
        <w:tc>
          <w:tcPr>
            <w:tcW w:w="900" w:type="dxa"/>
            <w:noWrap w:val="0"/>
            <w:vAlign w:val="center"/>
          </w:tcPr>
          <w:p w14:paraId="666D3BE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4A1CEF22">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956" w:type="dxa"/>
            <w:noWrap w:val="0"/>
            <w:vAlign w:val="center"/>
          </w:tcPr>
          <w:p w14:paraId="3E94166B">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44" w:type="dxa"/>
            <w:noWrap w:val="0"/>
            <w:vAlign w:val="center"/>
          </w:tcPr>
          <w:p w14:paraId="168485F9">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126" w:type="dxa"/>
            <w:noWrap w:val="0"/>
            <w:vAlign w:val="center"/>
          </w:tcPr>
          <w:p w14:paraId="6377E4DD">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892" w:type="dxa"/>
            <w:noWrap w:val="0"/>
            <w:vAlign w:val="center"/>
          </w:tcPr>
          <w:p w14:paraId="767DE8F5">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876" w:type="dxa"/>
            <w:noWrap w:val="0"/>
            <w:vAlign w:val="center"/>
          </w:tcPr>
          <w:p w14:paraId="078EEB37">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r>
      <w:tr w14:paraId="2923F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07EF8CF2">
            <w:pPr>
              <w:pStyle w:val="32"/>
              <w:bidi w:val="0"/>
              <w:rPr>
                <w:rFonts w:hint="default" w:ascii="Times New Roman" w:hAnsi="Times New Roman" w:eastAsia="宋体" w:cs="Times New Roman"/>
                <w:i w:val="0"/>
                <w:iCs w:val="0"/>
                <w:color w:val="auto"/>
                <w:u w:val="none" w:color="auto"/>
                <w:lang w:val="en-US" w:eastAsia="zh-CN"/>
              </w:rPr>
            </w:pPr>
          </w:p>
        </w:tc>
        <w:tc>
          <w:tcPr>
            <w:tcW w:w="973" w:type="dxa"/>
            <w:noWrap w:val="0"/>
            <w:vAlign w:val="center"/>
          </w:tcPr>
          <w:p w14:paraId="1A8EDF0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氮氧化物</w:t>
            </w:r>
          </w:p>
        </w:tc>
        <w:tc>
          <w:tcPr>
            <w:tcW w:w="900" w:type="dxa"/>
            <w:noWrap w:val="0"/>
            <w:vAlign w:val="center"/>
          </w:tcPr>
          <w:p w14:paraId="0C3169AD">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2D5FFFA3">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956" w:type="dxa"/>
            <w:noWrap w:val="0"/>
            <w:vAlign w:val="center"/>
          </w:tcPr>
          <w:p w14:paraId="4F70EA5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844" w:type="dxa"/>
            <w:noWrap w:val="0"/>
            <w:vAlign w:val="center"/>
          </w:tcPr>
          <w:p w14:paraId="450B7038">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c>
          <w:tcPr>
            <w:tcW w:w="1126" w:type="dxa"/>
            <w:noWrap w:val="0"/>
            <w:vAlign w:val="center"/>
          </w:tcPr>
          <w:p w14:paraId="678EF9E2">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892" w:type="dxa"/>
            <w:noWrap w:val="0"/>
            <w:vAlign w:val="center"/>
          </w:tcPr>
          <w:p w14:paraId="781E87C0">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876" w:type="dxa"/>
            <w:noWrap w:val="0"/>
            <w:vAlign w:val="center"/>
          </w:tcPr>
          <w:p w14:paraId="27117FBE">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r>
    </w:tbl>
    <w:p w14:paraId="38C27F5B">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
          <w:bCs/>
          <w:color w:val="auto"/>
          <w:u w:val="none" w:color="auto"/>
          <w:lang w:val="en-US" w:eastAsia="zh-CN"/>
        </w:rPr>
        <w:t>非正常排放废气</w:t>
      </w:r>
    </w:p>
    <w:p w14:paraId="76D1ED68">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根据《环境影响评价技术导则 大气环境》（HJ2.2-2018）中对废气非正常排放的定义，</w:t>
      </w:r>
      <w:r>
        <w:rPr>
          <w:rFonts w:hint="eastAsia" w:ascii="宋体" w:hAnsi="宋体" w:eastAsia="宋体" w:cs="宋体"/>
          <w:color w:val="auto"/>
          <w:u w:val="none" w:color="auto"/>
          <w:lang w:val="en-US" w:eastAsia="zh-CN"/>
        </w:rPr>
        <w:t>“生</w:t>
      </w:r>
      <w:r>
        <w:rPr>
          <w:rFonts w:hint="default" w:ascii="Times New Roman" w:hAnsi="Times New Roman" w:eastAsia="宋体" w:cs="Times New Roman"/>
          <w:color w:val="auto"/>
          <w:u w:val="none" w:color="auto"/>
          <w:lang w:val="en-US" w:eastAsia="zh-CN"/>
        </w:rPr>
        <w:t>产过程中开停车（工、炉）、设备检修、工艺设备运转异常等非正常工况下的污染物排放，以及污染物排放控制措施达不到应有效率等情况下的排放</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。本评价非正常排放主要考虑布袋除尘器</w:t>
      </w:r>
      <w:r>
        <w:rPr>
          <w:rFonts w:hint="eastAsia" w:ascii="Times New Roman" w:hAnsi="Times New Roman" w:eastAsia="宋体" w:cs="Times New Roman"/>
          <w:color w:val="auto"/>
          <w:u w:val="none" w:color="auto"/>
          <w:lang w:val="en-US" w:eastAsia="zh-CN"/>
        </w:rPr>
        <w:t>失效</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活性炭装置失效、焚烧炉故障</w:t>
      </w:r>
      <w:r>
        <w:rPr>
          <w:rFonts w:hint="default" w:ascii="Times New Roman" w:hAnsi="Times New Roman" w:eastAsia="宋体" w:cs="Times New Roman"/>
          <w:color w:val="auto"/>
          <w:u w:val="none" w:color="auto"/>
          <w:lang w:val="en-US" w:eastAsia="zh-CN"/>
        </w:rPr>
        <w:t>的情况，具体非正常排放情况见下表。</w:t>
      </w:r>
    </w:p>
    <w:p w14:paraId="09488C99">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.4-</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 xml:space="preserve"> 本项目非正常排放参数表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961"/>
        <w:gridCol w:w="1635"/>
        <w:gridCol w:w="1214"/>
        <w:gridCol w:w="1321"/>
        <w:gridCol w:w="1425"/>
        <w:gridCol w:w="1020"/>
        <w:gridCol w:w="928"/>
      </w:tblGrid>
      <w:tr w14:paraId="5DB62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961" w:type="dxa"/>
            <w:noWrap w:val="0"/>
            <w:vAlign w:val="center"/>
          </w:tcPr>
          <w:p w14:paraId="31A3ADDA">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非正常排放源</w:t>
            </w:r>
          </w:p>
        </w:tc>
        <w:tc>
          <w:tcPr>
            <w:tcW w:w="1635" w:type="dxa"/>
            <w:noWrap w:val="0"/>
            <w:vAlign w:val="center"/>
          </w:tcPr>
          <w:p w14:paraId="662C4578">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非正常排放原因</w:t>
            </w:r>
          </w:p>
        </w:tc>
        <w:tc>
          <w:tcPr>
            <w:tcW w:w="1214" w:type="dxa"/>
            <w:noWrap w:val="0"/>
            <w:vAlign w:val="center"/>
          </w:tcPr>
          <w:p w14:paraId="1EDFF262">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污染物</w:t>
            </w:r>
          </w:p>
        </w:tc>
        <w:tc>
          <w:tcPr>
            <w:tcW w:w="1321" w:type="dxa"/>
            <w:noWrap w:val="0"/>
            <w:vAlign w:val="center"/>
          </w:tcPr>
          <w:p w14:paraId="4DA2FA61">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非正常排放速率（kg/h）</w:t>
            </w:r>
          </w:p>
        </w:tc>
        <w:tc>
          <w:tcPr>
            <w:tcW w:w="1425" w:type="dxa"/>
            <w:noWrap w:val="0"/>
            <w:vAlign w:val="center"/>
          </w:tcPr>
          <w:p w14:paraId="42307BA5">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非正常排放浓度/（mg/m</w:t>
            </w:r>
            <w:r>
              <w:rPr>
                <w:rFonts w:hint="default" w:ascii="Times New Roman" w:hAnsi="Times New Roman" w:eastAsia="宋体" w:cs="Times New Roman"/>
                <w:b/>
                <w:bCs/>
                <w:i w:val="0"/>
                <w:iCs w:val="0"/>
                <w:color w:val="auto"/>
                <w:u w:val="none" w:color="auto"/>
                <w:vertAlign w:val="superscript"/>
                <w:lang w:val="en-US" w:eastAsia="zh-CN"/>
              </w:rPr>
              <w:t>3</w:t>
            </w:r>
            <w:r>
              <w:rPr>
                <w:rFonts w:hint="default" w:ascii="Times New Roman" w:hAnsi="Times New Roman" w:eastAsia="宋体" w:cs="Times New Roman"/>
                <w:b/>
                <w:bCs/>
                <w:i w:val="0"/>
                <w:iCs w:val="0"/>
                <w:color w:val="auto"/>
                <w:u w:val="none" w:color="auto"/>
                <w:lang w:val="en-US" w:eastAsia="zh-CN"/>
              </w:rPr>
              <w:t>）</w:t>
            </w:r>
          </w:p>
        </w:tc>
        <w:tc>
          <w:tcPr>
            <w:tcW w:w="1020" w:type="dxa"/>
            <w:noWrap w:val="0"/>
            <w:vAlign w:val="center"/>
          </w:tcPr>
          <w:p w14:paraId="3F2CFEE5">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单次持续时间/h</w:t>
            </w:r>
          </w:p>
        </w:tc>
        <w:tc>
          <w:tcPr>
            <w:tcW w:w="928" w:type="dxa"/>
            <w:noWrap w:val="0"/>
            <w:vAlign w:val="center"/>
          </w:tcPr>
          <w:p w14:paraId="7B599B5F">
            <w:pPr>
              <w:pStyle w:val="32"/>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年发生频次/次</w:t>
            </w:r>
          </w:p>
        </w:tc>
      </w:tr>
      <w:tr w14:paraId="0E74C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noWrap w:val="0"/>
            <w:vAlign w:val="center"/>
          </w:tcPr>
          <w:p w14:paraId="5CEF961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DA001</w:t>
            </w:r>
            <w:r>
              <w:rPr>
                <w:rFonts w:hint="default" w:ascii="Times New Roman" w:hAnsi="Times New Roman" w:eastAsia="宋体" w:cs="Times New Roman"/>
                <w:i w:val="0"/>
                <w:iCs w:val="0"/>
                <w:color w:val="auto"/>
                <w:u w:val="none" w:color="auto"/>
                <w:lang w:val="en-US" w:eastAsia="zh-CN"/>
              </w:rPr>
              <w:t>排气筒</w:t>
            </w:r>
          </w:p>
        </w:tc>
        <w:tc>
          <w:tcPr>
            <w:tcW w:w="1635" w:type="dxa"/>
            <w:noWrap w:val="0"/>
            <w:vAlign w:val="center"/>
          </w:tcPr>
          <w:p w14:paraId="4272545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布袋除尘器失效</w:t>
            </w:r>
          </w:p>
        </w:tc>
        <w:tc>
          <w:tcPr>
            <w:tcW w:w="1214" w:type="dxa"/>
            <w:noWrap w:val="0"/>
            <w:vAlign w:val="center"/>
          </w:tcPr>
          <w:p w14:paraId="0977205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颗粒物</w:t>
            </w:r>
          </w:p>
        </w:tc>
        <w:tc>
          <w:tcPr>
            <w:tcW w:w="1321" w:type="dxa"/>
            <w:noWrap w:val="0"/>
            <w:vAlign w:val="center"/>
          </w:tcPr>
          <w:p w14:paraId="604159D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3.752</w:t>
            </w:r>
          </w:p>
        </w:tc>
        <w:tc>
          <w:tcPr>
            <w:tcW w:w="1425" w:type="dxa"/>
            <w:noWrap w:val="0"/>
            <w:vAlign w:val="center"/>
          </w:tcPr>
          <w:p w14:paraId="6E21F40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93.803</w:t>
            </w:r>
          </w:p>
        </w:tc>
        <w:tc>
          <w:tcPr>
            <w:tcW w:w="1020" w:type="dxa"/>
            <w:noWrap w:val="0"/>
            <w:vAlign w:val="center"/>
          </w:tcPr>
          <w:p w14:paraId="2E7C13A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7A796BC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r w14:paraId="18A12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961" w:type="dxa"/>
            <w:vMerge w:val="restart"/>
            <w:noWrap w:val="0"/>
            <w:vAlign w:val="center"/>
          </w:tcPr>
          <w:p w14:paraId="116FC884">
            <w:pPr>
              <w:pStyle w:val="32"/>
              <w:bidi w:val="0"/>
              <w:rPr>
                <w:rFonts w:hint="eastAsia"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DA001</w:t>
            </w:r>
            <w:r>
              <w:rPr>
                <w:rFonts w:hint="default" w:ascii="Times New Roman" w:hAnsi="Times New Roman" w:eastAsia="宋体" w:cs="Times New Roman"/>
                <w:i w:val="0"/>
                <w:iCs w:val="0"/>
                <w:color w:val="auto"/>
                <w:u w:val="none" w:color="auto"/>
                <w:lang w:val="en-US" w:eastAsia="zh-CN"/>
              </w:rPr>
              <w:t>排气筒</w:t>
            </w:r>
          </w:p>
        </w:tc>
        <w:tc>
          <w:tcPr>
            <w:tcW w:w="1635" w:type="dxa"/>
            <w:vMerge w:val="restart"/>
            <w:noWrap w:val="0"/>
            <w:vAlign w:val="center"/>
          </w:tcPr>
          <w:p w14:paraId="7C1B2513">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活性炭装置失效</w:t>
            </w:r>
          </w:p>
        </w:tc>
        <w:tc>
          <w:tcPr>
            <w:tcW w:w="1214" w:type="dxa"/>
            <w:noWrap w:val="0"/>
            <w:vAlign w:val="center"/>
          </w:tcPr>
          <w:p w14:paraId="12D88AF4">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非甲烷总烃</w:t>
            </w:r>
          </w:p>
        </w:tc>
        <w:tc>
          <w:tcPr>
            <w:tcW w:w="1321" w:type="dxa"/>
            <w:noWrap w:val="0"/>
            <w:vAlign w:val="center"/>
          </w:tcPr>
          <w:p w14:paraId="4EC14434">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0.356</w:t>
            </w:r>
          </w:p>
        </w:tc>
        <w:tc>
          <w:tcPr>
            <w:tcW w:w="1425" w:type="dxa"/>
            <w:noWrap w:val="0"/>
            <w:vAlign w:val="center"/>
          </w:tcPr>
          <w:p w14:paraId="6ACFCEF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8.906</w:t>
            </w:r>
          </w:p>
        </w:tc>
        <w:tc>
          <w:tcPr>
            <w:tcW w:w="1020" w:type="dxa"/>
            <w:noWrap w:val="0"/>
            <w:vAlign w:val="center"/>
          </w:tcPr>
          <w:p w14:paraId="23D2CF9F">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w:t>
            </w:r>
          </w:p>
        </w:tc>
        <w:tc>
          <w:tcPr>
            <w:tcW w:w="928" w:type="dxa"/>
            <w:noWrap w:val="0"/>
            <w:vAlign w:val="center"/>
          </w:tcPr>
          <w:p w14:paraId="3FF61C8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w:t>
            </w:r>
          </w:p>
        </w:tc>
      </w:tr>
      <w:tr w14:paraId="0F2DA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961" w:type="dxa"/>
            <w:vMerge w:val="continue"/>
            <w:noWrap w:val="0"/>
            <w:vAlign w:val="center"/>
          </w:tcPr>
          <w:p w14:paraId="51DA86F3">
            <w:pPr>
              <w:pStyle w:val="32"/>
              <w:bidi w:val="0"/>
            </w:pPr>
          </w:p>
        </w:tc>
        <w:tc>
          <w:tcPr>
            <w:tcW w:w="1635" w:type="dxa"/>
            <w:vMerge w:val="continue"/>
            <w:noWrap w:val="0"/>
            <w:vAlign w:val="center"/>
          </w:tcPr>
          <w:p w14:paraId="0280F6E7">
            <w:pPr>
              <w:pStyle w:val="32"/>
              <w:bidi w:val="0"/>
            </w:pPr>
          </w:p>
        </w:tc>
        <w:tc>
          <w:tcPr>
            <w:tcW w:w="1214" w:type="dxa"/>
            <w:noWrap w:val="0"/>
            <w:vAlign w:val="center"/>
          </w:tcPr>
          <w:p w14:paraId="1C08BD0E">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1321" w:type="dxa"/>
            <w:noWrap w:val="0"/>
            <w:vAlign w:val="center"/>
          </w:tcPr>
          <w:p w14:paraId="17A50060">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0.202</w:t>
            </w:r>
          </w:p>
        </w:tc>
        <w:tc>
          <w:tcPr>
            <w:tcW w:w="1425" w:type="dxa"/>
            <w:noWrap w:val="0"/>
            <w:vAlign w:val="center"/>
          </w:tcPr>
          <w:p w14:paraId="27ABDD42">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5.047</w:t>
            </w:r>
          </w:p>
        </w:tc>
        <w:tc>
          <w:tcPr>
            <w:tcW w:w="1020" w:type="dxa"/>
            <w:noWrap w:val="0"/>
            <w:vAlign w:val="center"/>
          </w:tcPr>
          <w:p w14:paraId="00E4FC2E">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w:t>
            </w:r>
          </w:p>
        </w:tc>
        <w:tc>
          <w:tcPr>
            <w:tcW w:w="928" w:type="dxa"/>
            <w:noWrap w:val="0"/>
            <w:vAlign w:val="center"/>
          </w:tcPr>
          <w:p w14:paraId="6CBDFEF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w:t>
            </w:r>
          </w:p>
        </w:tc>
      </w:tr>
      <w:tr w14:paraId="446B2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961" w:type="dxa"/>
            <w:vMerge w:val="continue"/>
            <w:noWrap w:val="0"/>
            <w:vAlign w:val="center"/>
          </w:tcPr>
          <w:p w14:paraId="163AF19E">
            <w:pPr>
              <w:pStyle w:val="32"/>
              <w:bidi w:val="0"/>
              <w:rPr>
                <w:rFonts w:hint="default" w:ascii="Times New Roman" w:hAnsi="Times New Roman" w:eastAsia="宋体" w:cs="Times New Roman"/>
                <w:i w:val="0"/>
                <w:iCs w:val="0"/>
                <w:color w:val="auto"/>
                <w:u w:val="none" w:color="auto"/>
                <w:lang w:val="en-US" w:eastAsia="zh-CN"/>
              </w:rPr>
            </w:pPr>
          </w:p>
        </w:tc>
        <w:tc>
          <w:tcPr>
            <w:tcW w:w="1635" w:type="dxa"/>
            <w:vMerge w:val="continue"/>
            <w:noWrap w:val="0"/>
            <w:vAlign w:val="center"/>
          </w:tcPr>
          <w:p w14:paraId="64CD143A">
            <w:pPr>
              <w:pStyle w:val="32"/>
              <w:bidi w:val="0"/>
              <w:rPr>
                <w:rFonts w:hint="default" w:ascii="Times New Roman" w:hAnsi="Times New Roman" w:eastAsia="宋体" w:cs="Times New Roman"/>
                <w:i w:val="0"/>
                <w:iCs w:val="0"/>
                <w:color w:val="auto"/>
                <w:u w:val="none" w:color="auto"/>
                <w:lang w:val="en-US" w:eastAsia="zh-CN"/>
              </w:rPr>
            </w:pPr>
          </w:p>
        </w:tc>
        <w:tc>
          <w:tcPr>
            <w:tcW w:w="1214" w:type="dxa"/>
            <w:noWrap w:val="0"/>
            <w:vAlign w:val="center"/>
          </w:tcPr>
          <w:p w14:paraId="3337BD4D">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甲醛</w:t>
            </w:r>
          </w:p>
        </w:tc>
        <w:tc>
          <w:tcPr>
            <w:tcW w:w="1321" w:type="dxa"/>
            <w:noWrap w:val="0"/>
            <w:vAlign w:val="center"/>
          </w:tcPr>
          <w:p w14:paraId="220457A0">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0.0048</w:t>
            </w:r>
          </w:p>
        </w:tc>
        <w:tc>
          <w:tcPr>
            <w:tcW w:w="1425" w:type="dxa"/>
            <w:noWrap w:val="0"/>
            <w:vAlign w:val="center"/>
          </w:tcPr>
          <w:p w14:paraId="1E06C7C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11.875</w:t>
            </w:r>
          </w:p>
        </w:tc>
        <w:tc>
          <w:tcPr>
            <w:tcW w:w="1020" w:type="dxa"/>
            <w:noWrap w:val="0"/>
            <w:vAlign w:val="center"/>
          </w:tcPr>
          <w:p w14:paraId="5427EF9C">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w:t>
            </w:r>
          </w:p>
        </w:tc>
        <w:tc>
          <w:tcPr>
            <w:tcW w:w="928" w:type="dxa"/>
            <w:noWrap w:val="0"/>
            <w:vAlign w:val="center"/>
          </w:tcPr>
          <w:p w14:paraId="463410B4">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w:t>
            </w:r>
          </w:p>
        </w:tc>
      </w:tr>
      <w:tr w14:paraId="4D6E9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04" w:hRule="atLeast"/>
          <w:jc w:val="center"/>
        </w:trPr>
        <w:tc>
          <w:tcPr>
            <w:tcW w:w="961" w:type="dxa"/>
            <w:vMerge w:val="restart"/>
            <w:noWrap w:val="0"/>
            <w:vAlign w:val="center"/>
          </w:tcPr>
          <w:p w14:paraId="4988FDDF">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DA002排气筒</w:t>
            </w:r>
          </w:p>
        </w:tc>
        <w:tc>
          <w:tcPr>
            <w:tcW w:w="1635" w:type="dxa"/>
            <w:vMerge w:val="restart"/>
            <w:noWrap w:val="0"/>
            <w:vAlign w:val="center"/>
          </w:tcPr>
          <w:p w14:paraId="25F1C0ED">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焚烧炉故障</w:t>
            </w:r>
          </w:p>
        </w:tc>
        <w:tc>
          <w:tcPr>
            <w:tcW w:w="1214" w:type="dxa"/>
            <w:noWrap w:val="0"/>
            <w:vAlign w:val="center"/>
          </w:tcPr>
          <w:p w14:paraId="5B25E5CA">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非甲烷总烃</w:t>
            </w:r>
          </w:p>
        </w:tc>
        <w:tc>
          <w:tcPr>
            <w:tcW w:w="1321" w:type="dxa"/>
            <w:noWrap w:val="0"/>
            <w:vAlign w:val="center"/>
          </w:tcPr>
          <w:p w14:paraId="4291806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7</w:t>
            </w:r>
          </w:p>
        </w:tc>
        <w:tc>
          <w:tcPr>
            <w:tcW w:w="1425" w:type="dxa"/>
            <w:noWrap w:val="0"/>
            <w:vAlign w:val="center"/>
          </w:tcPr>
          <w:p w14:paraId="4DCD0F8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1166.667</w:t>
            </w:r>
          </w:p>
        </w:tc>
        <w:tc>
          <w:tcPr>
            <w:tcW w:w="1020" w:type="dxa"/>
            <w:noWrap w:val="0"/>
            <w:vAlign w:val="center"/>
          </w:tcPr>
          <w:p w14:paraId="472B1B2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10CA3C0D">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r w14:paraId="3A2BB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04" w:hRule="atLeast"/>
          <w:jc w:val="center"/>
        </w:trPr>
        <w:tc>
          <w:tcPr>
            <w:tcW w:w="961" w:type="dxa"/>
            <w:vMerge w:val="continue"/>
            <w:noWrap w:val="0"/>
            <w:vAlign w:val="center"/>
          </w:tcPr>
          <w:p w14:paraId="0829C09A">
            <w:pPr>
              <w:pStyle w:val="32"/>
              <w:bidi w:val="0"/>
            </w:pPr>
          </w:p>
        </w:tc>
        <w:tc>
          <w:tcPr>
            <w:tcW w:w="1635" w:type="dxa"/>
            <w:vMerge w:val="continue"/>
            <w:noWrap w:val="0"/>
            <w:vAlign w:val="center"/>
          </w:tcPr>
          <w:p w14:paraId="6D8D5E22">
            <w:pPr>
              <w:pStyle w:val="32"/>
              <w:bidi w:val="0"/>
            </w:pPr>
          </w:p>
        </w:tc>
        <w:tc>
          <w:tcPr>
            <w:tcW w:w="1214" w:type="dxa"/>
            <w:noWrap w:val="0"/>
            <w:vAlign w:val="center"/>
          </w:tcPr>
          <w:p w14:paraId="4FE2450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1321" w:type="dxa"/>
            <w:noWrap w:val="0"/>
            <w:vAlign w:val="center"/>
          </w:tcPr>
          <w:p w14:paraId="11EE0B61">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0.419</w:t>
            </w:r>
          </w:p>
        </w:tc>
        <w:tc>
          <w:tcPr>
            <w:tcW w:w="1425" w:type="dxa"/>
            <w:noWrap w:val="0"/>
            <w:vAlign w:val="center"/>
          </w:tcPr>
          <w:p w14:paraId="4C4225F5">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69.772</w:t>
            </w:r>
          </w:p>
        </w:tc>
        <w:tc>
          <w:tcPr>
            <w:tcW w:w="1020" w:type="dxa"/>
            <w:noWrap w:val="0"/>
            <w:vAlign w:val="center"/>
          </w:tcPr>
          <w:p w14:paraId="0E0697FE">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2570AD7A">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r w14:paraId="7279E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jc w:val="center"/>
        </w:trPr>
        <w:tc>
          <w:tcPr>
            <w:tcW w:w="961" w:type="dxa"/>
            <w:vMerge w:val="restart"/>
            <w:noWrap w:val="0"/>
            <w:vAlign w:val="center"/>
          </w:tcPr>
          <w:p w14:paraId="67A3CD67">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DA003</w:t>
            </w:r>
            <w:r>
              <w:rPr>
                <w:rFonts w:hint="default" w:ascii="Times New Roman" w:hAnsi="Times New Roman" w:eastAsia="宋体" w:cs="Times New Roman"/>
                <w:i w:val="0"/>
                <w:iCs w:val="0"/>
                <w:color w:val="auto"/>
                <w:u w:val="none" w:color="auto"/>
                <w:lang w:val="en-US" w:eastAsia="zh-CN"/>
              </w:rPr>
              <w:t>排气筒</w:t>
            </w:r>
          </w:p>
        </w:tc>
        <w:tc>
          <w:tcPr>
            <w:tcW w:w="1635" w:type="dxa"/>
            <w:vMerge w:val="restart"/>
            <w:noWrap w:val="0"/>
            <w:vAlign w:val="center"/>
          </w:tcPr>
          <w:p w14:paraId="1F167918">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焚烧炉故障</w:t>
            </w:r>
          </w:p>
        </w:tc>
        <w:tc>
          <w:tcPr>
            <w:tcW w:w="1214" w:type="dxa"/>
            <w:noWrap w:val="0"/>
            <w:vAlign w:val="center"/>
          </w:tcPr>
          <w:p w14:paraId="4CEB4A5D">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非甲烷总烃</w:t>
            </w:r>
          </w:p>
        </w:tc>
        <w:tc>
          <w:tcPr>
            <w:tcW w:w="1321" w:type="dxa"/>
            <w:noWrap w:val="0"/>
            <w:vAlign w:val="center"/>
          </w:tcPr>
          <w:p w14:paraId="106F3C3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7</w:t>
            </w:r>
          </w:p>
        </w:tc>
        <w:tc>
          <w:tcPr>
            <w:tcW w:w="1425" w:type="dxa"/>
            <w:noWrap w:val="0"/>
            <w:vAlign w:val="center"/>
          </w:tcPr>
          <w:p w14:paraId="1AD5047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1166.667</w:t>
            </w:r>
          </w:p>
        </w:tc>
        <w:tc>
          <w:tcPr>
            <w:tcW w:w="1020" w:type="dxa"/>
            <w:noWrap w:val="0"/>
            <w:vAlign w:val="center"/>
          </w:tcPr>
          <w:p w14:paraId="1C3859BF">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1068E5A4">
            <w:pPr>
              <w:pStyle w:val="32"/>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0~1</w:t>
            </w:r>
          </w:p>
        </w:tc>
      </w:tr>
      <w:tr w14:paraId="504BF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jc w:val="center"/>
        </w:trPr>
        <w:tc>
          <w:tcPr>
            <w:tcW w:w="961" w:type="dxa"/>
            <w:vMerge w:val="continue"/>
            <w:noWrap w:val="0"/>
            <w:vAlign w:val="center"/>
          </w:tcPr>
          <w:p w14:paraId="1CEE42D4">
            <w:pPr>
              <w:pStyle w:val="32"/>
              <w:bidi w:val="0"/>
            </w:pPr>
          </w:p>
        </w:tc>
        <w:tc>
          <w:tcPr>
            <w:tcW w:w="1635" w:type="dxa"/>
            <w:vMerge w:val="continue"/>
            <w:noWrap w:val="0"/>
            <w:vAlign w:val="center"/>
          </w:tcPr>
          <w:p w14:paraId="67202E51">
            <w:pPr>
              <w:pStyle w:val="32"/>
              <w:bidi w:val="0"/>
            </w:pPr>
          </w:p>
        </w:tc>
        <w:tc>
          <w:tcPr>
            <w:tcW w:w="1214" w:type="dxa"/>
            <w:noWrap w:val="0"/>
            <w:vAlign w:val="center"/>
          </w:tcPr>
          <w:p w14:paraId="3E0598EE">
            <w:pPr>
              <w:pStyle w:val="32"/>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酚类</w:t>
            </w:r>
          </w:p>
        </w:tc>
        <w:tc>
          <w:tcPr>
            <w:tcW w:w="1321" w:type="dxa"/>
            <w:noWrap w:val="0"/>
            <w:vAlign w:val="center"/>
          </w:tcPr>
          <w:p w14:paraId="797D7EC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0.419</w:t>
            </w:r>
          </w:p>
        </w:tc>
        <w:tc>
          <w:tcPr>
            <w:tcW w:w="1425" w:type="dxa"/>
            <w:noWrap w:val="0"/>
            <w:vAlign w:val="center"/>
          </w:tcPr>
          <w:p w14:paraId="3539A20A">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69.772</w:t>
            </w:r>
          </w:p>
        </w:tc>
        <w:tc>
          <w:tcPr>
            <w:tcW w:w="1020" w:type="dxa"/>
            <w:noWrap w:val="0"/>
            <w:vAlign w:val="center"/>
          </w:tcPr>
          <w:p w14:paraId="7799ADF8">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576D815F">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bl>
    <w:p w14:paraId="3B4E4E3D">
      <w:pPr>
        <w:pStyle w:val="21"/>
        <w:bidi w:val="0"/>
        <w:rPr>
          <w:rFonts w:hint="eastAsia"/>
          <w:b/>
          <w:bCs/>
          <w:color w:val="auto"/>
          <w:u w:val="none" w:color="auto"/>
          <w:lang w:val="en-US" w:eastAsia="zh-CN"/>
        </w:rPr>
      </w:pPr>
      <w:r>
        <w:rPr>
          <w:rFonts w:hint="eastAsia"/>
          <w:b/>
          <w:bCs/>
          <w:color w:val="auto"/>
          <w:u w:val="none" w:color="auto"/>
          <w:lang w:eastAsia="zh-CN"/>
        </w:rPr>
        <w:t>（</w:t>
      </w:r>
      <w:r>
        <w:rPr>
          <w:rFonts w:hint="eastAsia"/>
          <w:b/>
          <w:bCs/>
          <w:color w:val="auto"/>
          <w:u w:val="none" w:color="auto"/>
          <w:lang w:val="en-US" w:eastAsia="zh-CN"/>
        </w:rPr>
        <w:t>3</w:t>
      </w:r>
      <w:r>
        <w:rPr>
          <w:rFonts w:hint="eastAsia"/>
          <w:b/>
          <w:bCs/>
          <w:color w:val="auto"/>
          <w:u w:val="none" w:color="auto"/>
          <w:lang w:eastAsia="zh-CN"/>
        </w:rPr>
        <w:t>）</w:t>
      </w:r>
      <w:r>
        <w:rPr>
          <w:rFonts w:hint="eastAsia"/>
          <w:b/>
          <w:bCs/>
          <w:color w:val="auto"/>
          <w:u w:val="none" w:color="auto"/>
          <w:lang w:val="en-US" w:eastAsia="zh-CN"/>
        </w:rPr>
        <w:t>噪声污染源</w:t>
      </w:r>
    </w:p>
    <w:p w14:paraId="1ADB9CEF">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本项目生产线使用的设备较多也较为集中，运行时会产生一定的噪声。主要的噪声设备为</w:t>
      </w:r>
      <w:r>
        <w:rPr>
          <w:rFonts w:hint="eastAsia" w:ascii="Times New Roman" w:hAnsi="Times New Roman" w:eastAsia="宋体" w:cs="Times New Roman"/>
          <w:color w:val="auto"/>
          <w:u w:val="none" w:color="auto"/>
          <w:lang w:val="en-US" w:eastAsia="zh-CN"/>
        </w:rPr>
        <w:t>捏合机、凉片机、无尘粉碎机、高速混合机、液压机</w:t>
      </w:r>
      <w:r>
        <w:rPr>
          <w:rFonts w:hint="default" w:ascii="Times New Roman" w:hAnsi="Times New Roman" w:eastAsia="宋体" w:cs="Times New Roman"/>
          <w:color w:val="auto"/>
          <w:u w:val="none" w:color="auto"/>
          <w:lang w:val="en-US" w:eastAsia="zh-CN"/>
        </w:rPr>
        <w:t>等。项目各噪声设备的源强具体见下表。</w:t>
      </w:r>
    </w:p>
    <w:p w14:paraId="5A71AB69">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.4-</w:t>
      </w: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 xml:space="preserve"> 项目的主要噪声源强表 单位：dB（A）</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5"/>
        <w:gridCol w:w="3204"/>
        <w:gridCol w:w="2080"/>
        <w:gridCol w:w="2083"/>
      </w:tblGrid>
      <w:tr w14:paraId="1E7941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6C966A22">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3204" w:type="dxa"/>
            <w:tcBorders>
              <w:tl2br w:val="nil"/>
              <w:tr2bl w:val="nil"/>
            </w:tcBorders>
            <w:noWrap w:val="0"/>
            <w:vAlign w:val="center"/>
          </w:tcPr>
          <w:p w14:paraId="60BE6E88">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噪声源</w:t>
            </w:r>
          </w:p>
        </w:tc>
        <w:tc>
          <w:tcPr>
            <w:tcW w:w="2080" w:type="dxa"/>
            <w:tcBorders>
              <w:tl2br w:val="nil"/>
              <w:tr2bl w:val="nil"/>
            </w:tcBorders>
            <w:noWrap w:val="0"/>
            <w:vAlign w:val="center"/>
          </w:tcPr>
          <w:p w14:paraId="25B3A09F">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声压级</w:t>
            </w:r>
          </w:p>
        </w:tc>
        <w:tc>
          <w:tcPr>
            <w:tcW w:w="2083" w:type="dxa"/>
            <w:tcBorders>
              <w:tl2br w:val="nil"/>
              <w:tr2bl w:val="nil"/>
            </w:tcBorders>
            <w:noWrap w:val="0"/>
            <w:vAlign w:val="center"/>
          </w:tcPr>
          <w:p w14:paraId="3449B322">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数量</w:t>
            </w:r>
          </w:p>
        </w:tc>
      </w:tr>
      <w:tr w14:paraId="7CC5D8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5B0E60F5">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3204" w:type="dxa"/>
            <w:tcBorders>
              <w:tl2br w:val="nil"/>
              <w:tr2bl w:val="nil"/>
            </w:tcBorders>
            <w:noWrap w:val="0"/>
            <w:vAlign w:val="center"/>
          </w:tcPr>
          <w:p w14:paraId="0E4F26E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捏合机</w:t>
            </w:r>
          </w:p>
        </w:tc>
        <w:tc>
          <w:tcPr>
            <w:tcW w:w="2080" w:type="dxa"/>
            <w:tcBorders>
              <w:tl2br w:val="nil"/>
              <w:tr2bl w:val="nil"/>
            </w:tcBorders>
            <w:noWrap w:val="0"/>
            <w:vAlign w:val="center"/>
          </w:tcPr>
          <w:p w14:paraId="62D1AF7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70</w:t>
            </w:r>
            <w:r>
              <w:rPr>
                <w:color w:val="auto"/>
                <w:sz w:val="21"/>
                <w:szCs w:val="21"/>
                <w:u w:val="none" w:color="auto"/>
              </w:rPr>
              <w:t>dB(A)</w:t>
            </w:r>
          </w:p>
        </w:tc>
        <w:tc>
          <w:tcPr>
            <w:tcW w:w="2083" w:type="dxa"/>
            <w:tcBorders>
              <w:tl2br w:val="nil"/>
              <w:tr2bl w:val="nil"/>
            </w:tcBorders>
            <w:noWrap w:val="0"/>
            <w:vAlign w:val="center"/>
          </w:tcPr>
          <w:p w14:paraId="20009B4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2台</w:t>
            </w:r>
          </w:p>
        </w:tc>
      </w:tr>
      <w:tr w14:paraId="4226F7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019D52DC">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3204" w:type="dxa"/>
            <w:tcBorders>
              <w:tl2br w:val="nil"/>
              <w:tr2bl w:val="nil"/>
            </w:tcBorders>
            <w:noWrap w:val="0"/>
            <w:vAlign w:val="center"/>
          </w:tcPr>
          <w:p w14:paraId="225718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凉片机</w:t>
            </w:r>
          </w:p>
        </w:tc>
        <w:tc>
          <w:tcPr>
            <w:tcW w:w="2080" w:type="dxa"/>
            <w:tcBorders>
              <w:tl2br w:val="nil"/>
              <w:tr2bl w:val="nil"/>
            </w:tcBorders>
            <w:noWrap w:val="0"/>
            <w:vAlign w:val="center"/>
          </w:tcPr>
          <w:p w14:paraId="099DA876">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85</w:t>
            </w:r>
            <w:r>
              <w:rPr>
                <w:color w:val="auto"/>
                <w:sz w:val="21"/>
                <w:szCs w:val="21"/>
                <w:u w:val="none" w:color="auto"/>
              </w:rPr>
              <w:t>dB(A)</w:t>
            </w:r>
          </w:p>
        </w:tc>
        <w:tc>
          <w:tcPr>
            <w:tcW w:w="2083" w:type="dxa"/>
            <w:tcBorders>
              <w:tl2br w:val="nil"/>
              <w:tr2bl w:val="nil"/>
            </w:tcBorders>
            <w:noWrap w:val="0"/>
            <w:vAlign w:val="center"/>
          </w:tcPr>
          <w:p w14:paraId="4726888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1台</w:t>
            </w:r>
          </w:p>
        </w:tc>
      </w:tr>
      <w:tr w14:paraId="0DCD19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282EB97A">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3204" w:type="dxa"/>
            <w:tcBorders>
              <w:tl2br w:val="nil"/>
              <w:tr2bl w:val="nil"/>
            </w:tcBorders>
            <w:noWrap w:val="0"/>
            <w:vAlign w:val="center"/>
          </w:tcPr>
          <w:p w14:paraId="6534210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无尘粉碎机</w:t>
            </w:r>
          </w:p>
        </w:tc>
        <w:tc>
          <w:tcPr>
            <w:tcW w:w="2080" w:type="dxa"/>
            <w:tcBorders>
              <w:tl2br w:val="nil"/>
              <w:tr2bl w:val="nil"/>
            </w:tcBorders>
            <w:noWrap w:val="0"/>
            <w:vAlign w:val="center"/>
          </w:tcPr>
          <w:p w14:paraId="1257CEF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w:t>
            </w:r>
            <w:r>
              <w:rPr>
                <w:rFonts w:hint="eastAsia"/>
                <w:color w:val="auto"/>
                <w:sz w:val="21"/>
                <w:szCs w:val="21"/>
                <w:u w:val="none" w:color="auto"/>
              </w:rPr>
              <w:t>5</w:t>
            </w:r>
            <w:r>
              <w:rPr>
                <w:color w:val="auto"/>
                <w:sz w:val="21"/>
                <w:szCs w:val="21"/>
                <w:u w:val="none" w:color="auto"/>
              </w:rPr>
              <w:t>dB(A)</w:t>
            </w:r>
          </w:p>
        </w:tc>
        <w:tc>
          <w:tcPr>
            <w:tcW w:w="2083" w:type="dxa"/>
            <w:tcBorders>
              <w:tl2br w:val="nil"/>
              <w:tr2bl w:val="nil"/>
            </w:tcBorders>
            <w:noWrap w:val="0"/>
            <w:vAlign w:val="center"/>
          </w:tcPr>
          <w:p w14:paraId="53894268">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1台</w:t>
            </w:r>
          </w:p>
        </w:tc>
      </w:tr>
      <w:tr w14:paraId="338822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2A0F3B9B">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3204" w:type="dxa"/>
            <w:tcBorders>
              <w:tl2br w:val="nil"/>
              <w:tr2bl w:val="nil"/>
            </w:tcBorders>
            <w:noWrap w:val="0"/>
            <w:vAlign w:val="center"/>
          </w:tcPr>
          <w:p w14:paraId="4E49F38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高速混合机</w:t>
            </w:r>
          </w:p>
        </w:tc>
        <w:tc>
          <w:tcPr>
            <w:tcW w:w="2080" w:type="dxa"/>
            <w:tcBorders>
              <w:tl2br w:val="nil"/>
              <w:tr2bl w:val="nil"/>
            </w:tcBorders>
            <w:noWrap w:val="0"/>
            <w:vAlign w:val="center"/>
          </w:tcPr>
          <w:p w14:paraId="4AA0F02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70</w:t>
            </w:r>
            <w:r>
              <w:rPr>
                <w:color w:val="auto"/>
                <w:sz w:val="21"/>
                <w:szCs w:val="21"/>
                <w:u w:val="none" w:color="auto"/>
              </w:rPr>
              <w:t>dB(A)</w:t>
            </w:r>
          </w:p>
        </w:tc>
        <w:tc>
          <w:tcPr>
            <w:tcW w:w="2083" w:type="dxa"/>
            <w:tcBorders>
              <w:tl2br w:val="nil"/>
              <w:tr2bl w:val="nil"/>
            </w:tcBorders>
            <w:noWrap w:val="0"/>
            <w:vAlign w:val="center"/>
          </w:tcPr>
          <w:p w14:paraId="40F0069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1台</w:t>
            </w:r>
          </w:p>
        </w:tc>
      </w:tr>
      <w:tr w14:paraId="2846E2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7FBB322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3204" w:type="dxa"/>
            <w:tcBorders>
              <w:tl2br w:val="nil"/>
              <w:tr2bl w:val="nil"/>
            </w:tcBorders>
            <w:noWrap w:val="0"/>
            <w:vAlign w:val="center"/>
          </w:tcPr>
          <w:p w14:paraId="34F8A41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液压机</w:t>
            </w:r>
          </w:p>
        </w:tc>
        <w:tc>
          <w:tcPr>
            <w:tcW w:w="2080" w:type="dxa"/>
            <w:tcBorders>
              <w:tl2br w:val="nil"/>
              <w:tr2bl w:val="nil"/>
            </w:tcBorders>
            <w:noWrap w:val="0"/>
            <w:vAlign w:val="center"/>
          </w:tcPr>
          <w:p w14:paraId="7591947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75</w:t>
            </w:r>
            <w:r>
              <w:rPr>
                <w:color w:val="auto"/>
                <w:sz w:val="21"/>
                <w:szCs w:val="21"/>
                <w:u w:val="none" w:color="auto"/>
              </w:rPr>
              <w:t>dB(A)</w:t>
            </w:r>
          </w:p>
        </w:tc>
        <w:tc>
          <w:tcPr>
            <w:tcW w:w="2083" w:type="dxa"/>
            <w:tcBorders>
              <w:tl2br w:val="nil"/>
              <w:tr2bl w:val="nil"/>
            </w:tcBorders>
            <w:noWrap w:val="0"/>
            <w:vAlign w:val="center"/>
          </w:tcPr>
          <w:p w14:paraId="5830CEB3">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5台</w:t>
            </w:r>
          </w:p>
        </w:tc>
      </w:tr>
      <w:tr w14:paraId="198D26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66A47184">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3204" w:type="dxa"/>
            <w:tcBorders>
              <w:tl2br w:val="nil"/>
              <w:tr2bl w:val="nil"/>
            </w:tcBorders>
            <w:noWrap w:val="0"/>
            <w:vAlign w:val="center"/>
          </w:tcPr>
          <w:p w14:paraId="4F10314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冷却机</w:t>
            </w:r>
          </w:p>
        </w:tc>
        <w:tc>
          <w:tcPr>
            <w:tcW w:w="2080" w:type="dxa"/>
            <w:tcBorders>
              <w:tl2br w:val="nil"/>
              <w:tr2bl w:val="nil"/>
            </w:tcBorders>
            <w:noWrap w:val="0"/>
            <w:vAlign w:val="center"/>
          </w:tcPr>
          <w:p w14:paraId="37BB634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70</w:t>
            </w:r>
            <w:r>
              <w:rPr>
                <w:color w:val="auto"/>
                <w:sz w:val="21"/>
                <w:szCs w:val="21"/>
                <w:u w:val="none" w:color="auto"/>
              </w:rPr>
              <w:t>dB(A)</w:t>
            </w:r>
          </w:p>
        </w:tc>
        <w:tc>
          <w:tcPr>
            <w:tcW w:w="2083" w:type="dxa"/>
            <w:tcBorders>
              <w:tl2br w:val="nil"/>
              <w:tr2bl w:val="nil"/>
            </w:tcBorders>
            <w:noWrap w:val="0"/>
            <w:vAlign w:val="center"/>
          </w:tcPr>
          <w:p w14:paraId="2DCFA32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5</w:t>
            </w:r>
            <w:r>
              <w:rPr>
                <w:rFonts w:hint="eastAsia"/>
                <w:color w:val="auto"/>
                <w:sz w:val="21"/>
                <w:szCs w:val="21"/>
                <w:u w:val="none" w:color="auto"/>
              </w:rPr>
              <w:t>台</w:t>
            </w:r>
          </w:p>
        </w:tc>
      </w:tr>
      <w:tr w14:paraId="2D6E3B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684E3322">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3204" w:type="dxa"/>
            <w:tcBorders>
              <w:tl2br w:val="nil"/>
              <w:tr2bl w:val="nil"/>
            </w:tcBorders>
            <w:noWrap w:val="0"/>
            <w:vAlign w:val="center"/>
          </w:tcPr>
          <w:p w14:paraId="6A2C61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风机</w:t>
            </w:r>
          </w:p>
        </w:tc>
        <w:tc>
          <w:tcPr>
            <w:tcW w:w="2080" w:type="dxa"/>
            <w:tcBorders>
              <w:tl2br w:val="nil"/>
              <w:tr2bl w:val="nil"/>
            </w:tcBorders>
            <w:noWrap w:val="0"/>
            <w:vAlign w:val="center"/>
          </w:tcPr>
          <w:p w14:paraId="4AF078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85</w:t>
            </w:r>
            <w:r>
              <w:rPr>
                <w:color w:val="auto"/>
                <w:sz w:val="21"/>
                <w:szCs w:val="21"/>
                <w:u w:val="none" w:color="auto"/>
              </w:rPr>
              <w:t>dB(A)</w:t>
            </w:r>
          </w:p>
        </w:tc>
        <w:tc>
          <w:tcPr>
            <w:tcW w:w="2083" w:type="dxa"/>
            <w:tcBorders>
              <w:tl2br w:val="nil"/>
              <w:tr2bl w:val="nil"/>
            </w:tcBorders>
            <w:noWrap w:val="0"/>
            <w:vAlign w:val="center"/>
          </w:tcPr>
          <w:p w14:paraId="76523DE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3</w:t>
            </w:r>
            <w:r>
              <w:rPr>
                <w:rFonts w:hint="eastAsia"/>
                <w:color w:val="auto"/>
                <w:sz w:val="21"/>
                <w:szCs w:val="21"/>
                <w:u w:val="none" w:color="auto"/>
              </w:rPr>
              <w:t>台</w:t>
            </w:r>
          </w:p>
        </w:tc>
      </w:tr>
    </w:tbl>
    <w:p w14:paraId="5400FBCD">
      <w:pPr>
        <w:pStyle w:val="21"/>
        <w:bidi w:val="0"/>
        <w:rPr>
          <w:rFonts w:hint="eastAsia"/>
          <w:b/>
          <w:bCs/>
          <w:color w:val="auto"/>
          <w:u w:val="none" w:color="auto"/>
          <w:lang w:val="en-US" w:eastAsia="zh-CN"/>
        </w:rPr>
      </w:pPr>
      <w:r>
        <w:rPr>
          <w:rFonts w:hint="eastAsia"/>
          <w:b/>
          <w:bCs/>
          <w:color w:val="auto"/>
          <w:u w:val="none" w:color="auto"/>
          <w:lang w:val="en-US" w:eastAsia="zh-CN"/>
        </w:rPr>
        <w:t>（4）固体废物污染源</w:t>
      </w:r>
    </w:p>
    <w:bookmarkEnd w:id="561"/>
    <w:bookmarkEnd w:id="562"/>
    <w:bookmarkEnd w:id="563"/>
    <w:bookmarkEnd w:id="564"/>
    <w:bookmarkEnd w:id="565"/>
    <w:bookmarkEnd w:id="566"/>
    <w:bookmarkEnd w:id="567"/>
    <w:bookmarkEnd w:id="573"/>
    <w:bookmarkEnd w:id="574"/>
    <w:bookmarkEnd w:id="575"/>
    <w:p w14:paraId="0699C822">
      <w:pPr>
        <w:pStyle w:val="21"/>
        <w:bidi w:val="0"/>
        <w:rPr>
          <w:rFonts w:hint="default" w:ascii="Times New Roman" w:hAnsi="Times New Roman" w:eastAsia="宋体" w:cs="Times New Roman"/>
          <w:b w:val="0"/>
          <w:bCs w:val="0"/>
          <w:color w:val="auto"/>
          <w:u w:val="none" w:color="auto"/>
          <w:lang w:val="en-US" w:eastAsia="zh-CN"/>
        </w:rPr>
      </w:pPr>
      <w:bookmarkStart w:id="622" w:name="_Toc5668"/>
      <w:bookmarkStart w:id="623" w:name="_Toc24197"/>
      <w:bookmarkStart w:id="624" w:name="_Toc9877"/>
      <w:r>
        <w:rPr>
          <w:rFonts w:hint="default" w:ascii="Times New Roman" w:hAnsi="Times New Roman" w:eastAsia="宋体" w:cs="Times New Roman"/>
          <w:b w:val="0"/>
          <w:bCs w:val="0"/>
          <w:color w:val="auto"/>
          <w:u w:val="none" w:color="auto"/>
          <w:lang w:val="en-US" w:eastAsia="zh-CN"/>
        </w:rPr>
        <w:t>本项目营运期中，产生的固体废物主要包括生活垃圾、不合格产品、</w:t>
      </w:r>
      <w:r>
        <w:rPr>
          <w:rFonts w:hint="eastAsia" w:ascii="Times New Roman" w:hAnsi="Times New Roman" w:eastAsia="宋体" w:cs="Times New Roman"/>
          <w:b w:val="0"/>
          <w:bCs w:val="0"/>
          <w:color w:val="auto"/>
          <w:u w:val="none" w:color="auto"/>
          <w:lang w:val="en-US" w:eastAsia="zh-CN"/>
        </w:rPr>
        <w:t>收集的粉尘、</w:t>
      </w:r>
      <w:r>
        <w:rPr>
          <w:rFonts w:hint="default" w:ascii="Times New Roman" w:hAnsi="Times New Roman" w:eastAsia="宋体" w:cs="Times New Roman"/>
          <w:b w:val="0"/>
          <w:bCs w:val="0"/>
          <w:color w:val="auto"/>
          <w:u w:val="none" w:color="auto"/>
          <w:lang w:val="en-US" w:eastAsia="zh-CN"/>
        </w:rPr>
        <w:t>一般性废包装材料</w:t>
      </w:r>
      <w:r>
        <w:rPr>
          <w:rFonts w:hint="eastAsia" w:ascii="Times New Roman" w:hAnsi="Times New Roman" w:eastAsia="宋体" w:cs="Times New Roman"/>
          <w:b w:val="0"/>
          <w:bCs w:val="0"/>
          <w:color w:val="auto"/>
          <w:u w:val="none" w:color="auto"/>
          <w:lang w:val="en-US" w:eastAsia="zh-CN"/>
        </w:rPr>
        <w:t>、废耐火砖</w:t>
      </w:r>
      <w:r>
        <w:rPr>
          <w:rFonts w:hint="default" w:ascii="Times New Roman" w:hAnsi="Times New Roman" w:eastAsia="宋体" w:cs="Times New Roman"/>
          <w:b w:val="0"/>
          <w:bCs w:val="0"/>
          <w:color w:val="auto"/>
          <w:u w:val="none" w:color="auto"/>
          <w:lang w:val="en-US" w:eastAsia="zh-CN"/>
        </w:rPr>
        <w:t>等一般固废和废矿物油、</w:t>
      </w:r>
      <w:r>
        <w:rPr>
          <w:rFonts w:hint="eastAsia" w:ascii="Times New Roman" w:hAnsi="Times New Roman" w:eastAsia="宋体" w:cs="Times New Roman"/>
          <w:b w:val="0"/>
          <w:bCs w:val="0"/>
          <w:color w:val="auto"/>
          <w:u w:val="none" w:color="auto"/>
          <w:lang w:val="en-US" w:eastAsia="zh-CN"/>
        </w:rPr>
        <w:t>废液压油、废含油抹布及手套、废油桶、</w:t>
      </w:r>
      <w:r>
        <w:rPr>
          <w:rFonts w:hint="default" w:ascii="Times New Roman" w:hAnsi="Times New Roman" w:eastAsia="宋体" w:cs="Times New Roman"/>
          <w:b w:val="0"/>
          <w:bCs w:val="0"/>
          <w:color w:val="auto"/>
          <w:u w:val="none" w:color="auto"/>
          <w:lang w:val="en-US" w:eastAsia="zh-CN"/>
        </w:rPr>
        <w:t>废活性炭等危险废物。</w:t>
      </w:r>
    </w:p>
    <w:p w14:paraId="578E0158">
      <w:pPr>
        <w:pStyle w:val="21"/>
        <w:bidi w:val="0"/>
        <w:rPr>
          <w:rFonts w:hint="default" w:ascii="Times New Roman" w:hAnsi="Times New Roman" w:eastAsia="宋体" w:cs="Times New Roman"/>
          <w:b w:val="0"/>
          <w:bCs w:val="0"/>
          <w:color w:val="auto"/>
          <w:u w:val="none" w:color="auto"/>
          <w:lang w:val="en-US" w:eastAsia="zh-CN"/>
        </w:rPr>
      </w:pPr>
      <w:r>
        <w:rPr>
          <w:rFonts w:hint="eastAsia" w:ascii="Times New Roman" w:hAnsi="Times New Roman" w:eastAsia="宋体" w:cs="Times New Roman"/>
          <w:b w:val="0"/>
          <w:bCs w:val="0"/>
          <w:color w:val="auto"/>
          <w:u w:val="none" w:color="auto"/>
          <w:lang w:val="en-US" w:eastAsia="zh-CN"/>
        </w:rPr>
        <w:t>1）</w:t>
      </w:r>
      <w:r>
        <w:rPr>
          <w:rFonts w:hint="default" w:ascii="Times New Roman" w:hAnsi="Times New Roman" w:eastAsia="宋体" w:cs="Times New Roman"/>
          <w:b w:val="0"/>
          <w:bCs w:val="0"/>
          <w:color w:val="auto"/>
          <w:u w:val="none" w:color="auto"/>
          <w:lang w:val="en-US" w:eastAsia="zh-CN"/>
        </w:rPr>
        <w:t>生活垃圾</w:t>
      </w:r>
    </w:p>
    <w:p w14:paraId="50211276">
      <w:pPr>
        <w:pStyle w:val="21"/>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本项目生活垃圾产生按0.5kg/（人·d）计，</w:t>
      </w:r>
      <w:r>
        <w:rPr>
          <w:rFonts w:hint="default" w:ascii="Times New Roman" w:hAnsi="Times New Roman" w:eastAsia="宋体" w:cs="Times New Roman"/>
          <w:color w:val="auto"/>
          <w:u w:val="none" w:color="auto"/>
          <w:lang w:val="en-US" w:eastAsia="zh-CN"/>
        </w:rPr>
        <w:t>项目劳动定员</w:t>
      </w:r>
      <w:r>
        <w:rPr>
          <w:rFonts w:hint="eastAsia"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人，则生活垃圾产生量为</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kg/d（</w:t>
      </w: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，经收集后交由环卫部门处理</w:t>
      </w:r>
      <w:r>
        <w:rPr>
          <w:rFonts w:hint="default" w:ascii="Times New Roman" w:hAnsi="Times New Roman" w:eastAsia="宋体" w:cs="Times New Roman"/>
          <w:color w:val="auto"/>
          <w:u w:val="none" w:color="auto"/>
        </w:rPr>
        <w:t>。</w:t>
      </w:r>
    </w:p>
    <w:p w14:paraId="3E203855">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2）不合格品</w:t>
      </w:r>
    </w:p>
    <w:p w14:paraId="43D388DC">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根据建设方提供的资料，本项目</w:t>
      </w:r>
      <w:r>
        <w:rPr>
          <w:rFonts w:hint="eastAsia" w:ascii="Times New Roman" w:hAnsi="Times New Roman" w:eastAsia="宋体" w:cs="Times New Roman"/>
          <w:color w:val="auto"/>
          <w:u w:val="none" w:color="auto"/>
          <w:lang w:val="en-US" w:eastAsia="zh-CN"/>
        </w:rPr>
        <w:t>不合格品</w:t>
      </w:r>
      <w:r>
        <w:rPr>
          <w:rFonts w:hint="default" w:ascii="Times New Roman" w:hAnsi="Times New Roman" w:eastAsia="宋体" w:cs="Times New Roman"/>
          <w:color w:val="auto"/>
          <w:u w:val="none" w:color="auto"/>
          <w:lang w:val="en-US" w:eastAsia="zh-CN"/>
        </w:rPr>
        <w:t>的产生量</w:t>
      </w:r>
      <w:r>
        <w:rPr>
          <w:rFonts w:hint="eastAsia" w:ascii="Times New Roman" w:hAnsi="Times New Roman" w:eastAsia="宋体" w:cs="Times New Roman"/>
          <w:color w:val="auto"/>
          <w:u w:val="none" w:color="auto"/>
          <w:lang w:val="en-US" w:eastAsia="zh-CN"/>
        </w:rPr>
        <w:t>约为21.81</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不合格品收集后</w:t>
      </w:r>
      <w:r>
        <w:rPr>
          <w:rFonts w:hint="eastAsia" w:ascii="Times New Roman" w:hAnsi="Times New Roman" w:eastAsia="宋体" w:cs="Times New Roman"/>
          <w:color w:val="auto"/>
          <w:u w:val="none" w:color="auto"/>
          <w:lang w:val="en-US" w:eastAsia="zh-CN"/>
        </w:rPr>
        <w:t>外售给原材料供应商加工</w:t>
      </w:r>
      <w:r>
        <w:rPr>
          <w:rFonts w:hint="default" w:ascii="Times New Roman" w:hAnsi="Times New Roman" w:eastAsia="宋体" w:cs="Times New Roman"/>
          <w:color w:val="auto"/>
          <w:u w:val="none" w:color="auto"/>
          <w:lang w:val="en-US" w:eastAsia="zh-CN"/>
        </w:rPr>
        <w:t>。（一般固废代码：</w:t>
      </w: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w:t>
      </w:r>
    </w:p>
    <w:p w14:paraId="582B3D64">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3）收集的粉尘</w:t>
      </w:r>
    </w:p>
    <w:p w14:paraId="36A356BC">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w:t>
      </w:r>
      <w:r>
        <w:rPr>
          <w:rFonts w:hint="eastAsia" w:ascii="Times New Roman" w:hAnsi="Times New Roman" w:eastAsia="宋体" w:cs="Times New Roman"/>
          <w:color w:val="auto"/>
          <w:u w:val="none" w:color="auto"/>
          <w:lang w:val="en-US" w:eastAsia="zh-CN"/>
        </w:rPr>
        <w:t>前述</w:t>
      </w:r>
      <w:r>
        <w:rPr>
          <w:rFonts w:hint="default" w:ascii="Times New Roman" w:hAnsi="Times New Roman" w:eastAsia="宋体" w:cs="Times New Roman"/>
          <w:color w:val="auto"/>
          <w:u w:val="none" w:color="auto"/>
          <w:lang w:val="en-US" w:eastAsia="zh-CN"/>
        </w:rPr>
        <w:t>工程分析</w:t>
      </w:r>
      <w:r>
        <w:rPr>
          <w:rFonts w:hint="eastAsia" w:ascii="Times New Roman" w:hAnsi="Times New Roman" w:eastAsia="宋体" w:cs="Times New Roman"/>
          <w:color w:val="auto"/>
          <w:u w:val="none" w:color="auto"/>
          <w:lang w:val="en-US" w:eastAsia="zh-CN"/>
        </w:rPr>
        <w:t>及物料平衡</w:t>
      </w:r>
      <w:r>
        <w:rPr>
          <w:rFonts w:hint="default" w:ascii="Times New Roman" w:hAnsi="Times New Roman" w:eastAsia="宋体" w:cs="Times New Roman"/>
          <w:color w:val="auto"/>
          <w:u w:val="none" w:color="auto"/>
          <w:lang w:val="en-US" w:eastAsia="zh-CN"/>
        </w:rPr>
        <w:t>可知，项目布袋除尘器收集的粉尘量为</w:t>
      </w:r>
      <w:r>
        <w:rPr>
          <w:rFonts w:hint="eastAsia" w:ascii="Times New Roman" w:hAnsi="Times New Roman" w:eastAsia="宋体" w:cs="Times New Roman"/>
          <w:color w:val="auto"/>
          <w:u w:val="none" w:color="auto"/>
          <w:lang w:val="en-US" w:eastAsia="zh-CN"/>
        </w:rPr>
        <w:t>8.915</w:t>
      </w:r>
      <w:r>
        <w:rPr>
          <w:rFonts w:hint="default" w:ascii="Times New Roman" w:hAnsi="Times New Roman" w:eastAsia="宋体" w:cs="Times New Roman"/>
          <w:color w:val="auto"/>
          <w:u w:val="none" w:color="auto"/>
          <w:lang w:val="en-US" w:eastAsia="zh-CN"/>
        </w:rPr>
        <w:t>t/a，这部分收集的粉尘可回用于生产。（一般固废代码：</w:t>
      </w: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p>
    <w:p w14:paraId="7CF217E0">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4）一般性废包装材料</w:t>
      </w:r>
    </w:p>
    <w:p w14:paraId="5BAA29D0">
      <w:pPr>
        <w:pStyle w:val="21"/>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根据建设方提供的资料，</w:t>
      </w:r>
      <w:r>
        <w:rPr>
          <w:rFonts w:hint="default" w:ascii="Times New Roman" w:hAnsi="Times New Roman" w:eastAsia="宋体" w:cs="Times New Roman"/>
          <w:color w:val="auto"/>
          <w:u w:val="none" w:color="auto"/>
          <w:lang w:val="en-US" w:eastAsia="zh-CN"/>
        </w:rPr>
        <w:t>项目一般性原料包装物产生量为</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其他包装材料可收集后外售综合利用、</w:t>
      </w:r>
      <w:r>
        <w:rPr>
          <w:rFonts w:hint="eastAsia" w:ascii="Times New Roman" w:hAnsi="Times New Roman" w:eastAsia="宋体" w:cs="Times New Roman"/>
          <w:color w:val="auto"/>
          <w:u w:val="none" w:color="auto"/>
          <w:lang w:val="en-US" w:eastAsia="zh-CN"/>
        </w:rPr>
        <w:t>树脂</w:t>
      </w:r>
      <w:r>
        <w:rPr>
          <w:rFonts w:hint="default" w:ascii="Times New Roman" w:hAnsi="Times New Roman" w:eastAsia="宋体" w:cs="Times New Roman"/>
          <w:color w:val="auto"/>
          <w:u w:val="none" w:color="auto"/>
          <w:lang w:val="en-US" w:eastAsia="zh-CN"/>
        </w:rPr>
        <w:t>包装桶收集后由厂家回收利用。（一般固废代码：</w:t>
      </w: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p>
    <w:p w14:paraId="1A1120E7">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5）废耐火砖</w:t>
      </w:r>
    </w:p>
    <w:p w14:paraId="4481D00F">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梭式焙烧窑中耐火砖3年一更换，更换下来的废旧耐火砖产生量为5.0t/</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a，收集后外售综合利用</w:t>
      </w:r>
      <w:r>
        <w:rPr>
          <w:rFonts w:hint="eastAsia" w:ascii="Times New Roman" w:hAnsi="Times New Roman" w:eastAsia="宋体" w:cs="Times New Roman"/>
          <w:color w:val="auto"/>
          <w:u w:val="none" w:color="auto"/>
          <w:lang w:val="en-US" w:eastAsia="zh-CN"/>
        </w:rPr>
        <w:t>。</w:t>
      </w:r>
    </w:p>
    <w:p w14:paraId="6A2EFA2F">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废矿物油</w:t>
      </w:r>
    </w:p>
    <w:p w14:paraId="5973774D">
      <w:pPr>
        <w:pStyle w:val="21"/>
        <w:bidi w:val="0"/>
        <w:rPr>
          <w:rFonts w:hint="eastAsia"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u w:val="none" w:color="auto"/>
        </w:rPr>
        <w:t>项目机器维修</w:t>
      </w:r>
      <w:r>
        <w:rPr>
          <w:rFonts w:hint="default" w:ascii="Times New Roman" w:hAnsi="Times New Roman" w:eastAsia="宋体" w:cs="Times New Roman"/>
          <w:i w:val="0"/>
          <w:iCs w:val="0"/>
          <w:color w:val="auto"/>
          <w:u w:val="none" w:color="auto"/>
          <w:lang w:val="en-US" w:eastAsia="zh-CN"/>
        </w:rPr>
        <w:t>会</w:t>
      </w:r>
      <w:r>
        <w:rPr>
          <w:rFonts w:hint="default" w:ascii="Times New Roman" w:hAnsi="Times New Roman" w:eastAsia="宋体" w:cs="Times New Roman"/>
          <w:i w:val="0"/>
          <w:iCs w:val="0"/>
          <w:color w:val="auto"/>
          <w:u w:val="none" w:color="auto"/>
        </w:rPr>
        <w:t>产生</w:t>
      </w:r>
      <w:r>
        <w:rPr>
          <w:rFonts w:hint="default" w:ascii="Times New Roman" w:hAnsi="Times New Roman" w:eastAsia="宋体" w:cs="Times New Roman"/>
          <w:i w:val="0"/>
          <w:iCs w:val="0"/>
          <w:color w:val="auto"/>
          <w:u w:val="none" w:color="auto"/>
          <w:lang w:val="en-US" w:eastAsia="zh-CN"/>
        </w:rPr>
        <w:t>极少量的</w:t>
      </w:r>
      <w:r>
        <w:rPr>
          <w:rFonts w:hint="default" w:ascii="Times New Roman" w:hAnsi="Times New Roman" w:eastAsia="宋体" w:cs="Times New Roman"/>
          <w:i w:val="0"/>
          <w:iCs w:val="0"/>
          <w:color w:val="auto"/>
          <w:u w:val="none" w:color="auto"/>
        </w:rPr>
        <w:t>废矿物油，其产生量约为0.</w:t>
      </w:r>
      <w:r>
        <w:rPr>
          <w:rFonts w:hint="default" w:ascii="Times New Roman" w:hAnsi="Times New Roman" w:eastAsia="宋体" w:cs="Times New Roman"/>
          <w:i w:val="0"/>
          <w:iCs w:val="0"/>
          <w:color w:val="auto"/>
          <w:u w:val="none" w:color="auto"/>
          <w:lang w:val="en-US" w:eastAsia="zh-CN"/>
        </w:rPr>
        <w:t>1</w:t>
      </w:r>
      <w:r>
        <w:rPr>
          <w:rFonts w:hint="default" w:ascii="Times New Roman" w:hAnsi="Times New Roman" w:eastAsia="宋体" w:cs="Times New Roman"/>
          <w:i w:val="0"/>
          <w:iCs w:val="0"/>
          <w:color w:val="auto"/>
          <w:u w:val="none" w:color="auto"/>
        </w:rPr>
        <w:t>t/a，按《国家危险废物名录》（</w:t>
      </w:r>
      <w:r>
        <w:rPr>
          <w:rFonts w:hint="default" w:ascii="Times New Roman" w:hAnsi="Times New Roman" w:eastAsia="宋体" w:cs="Times New Roman"/>
          <w:i w:val="0"/>
          <w:iCs w:val="0"/>
          <w:color w:val="auto"/>
          <w:u w:val="none" w:color="auto"/>
          <w:lang w:val="en-US" w:eastAsia="zh-CN"/>
        </w:rPr>
        <w:t>2025</w:t>
      </w:r>
      <w:r>
        <w:rPr>
          <w:rFonts w:hint="default" w:ascii="Times New Roman" w:hAnsi="Times New Roman" w:eastAsia="宋体" w:cs="Times New Roman"/>
          <w:i w:val="0"/>
          <w:iCs w:val="0"/>
          <w:color w:val="auto"/>
          <w:u w:val="none" w:color="auto"/>
        </w:rPr>
        <w:t>年），</w:t>
      </w:r>
      <w:r>
        <w:rPr>
          <w:rFonts w:hint="default" w:ascii="Times New Roman" w:hAnsi="Times New Roman" w:eastAsia="宋体" w:cs="Times New Roman"/>
          <w:color w:val="auto"/>
          <w:u w:val="none" w:color="auto"/>
        </w:rPr>
        <w:t>分类编号为HW08，代码为900-21</w:t>
      </w:r>
      <w:r>
        <w:rPr>
          <w:rFonts w:hint="default"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rPr>
        <w:t>-08。收集后送有资质单位处理</w:t>
      </w:r>
      <w:r>
        <w:rPr>
          <w:rFonts w:hint="eastAsia" w:ascii="Times New Roman" w:hAnsi="Times New Roman" w:eastAsia="宋体" w:cs="Times New Roman"/>
          <w:color w:val="auto"/>
          <w:u w:val="none" w:color="auto"/>
          <w:lang w:eastAsia="zh-CN"/>
        </w:rPr>
        <w:t>。</w:t>
      </w:r>
    </w:p>
    <w:p w14:paraId="24E39D43">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7）废液压油</w:t>
      </w:r>
    </w:p>
    <w:p w14:paraId="4F8BC99D">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w:t>
      </w:r>
      <w:r>
        <w:rPr>
          <w:rFonts w:hint="eastAsia" w:ascii="Times New Roman" w:hAnsi="Times New Roman" w:eastAsia="宋体" w:cs="Times New Roman"/>
          <w:color w:val="auto"/>
          <w:u w:val="none" w:color="auto"/>
          <w:lang w:val="en-US" w:eastAsia="zh-CN"/>
        </w:rPr>
        <w:t>液压机维护过程中会产生废液压油</w:t>
      </w:r>
      <w:r>
        <w:rPr>
          <w:rFonts w:hint="default" w:ascii="Times New Roman" w:hAnsi="Times New Roman" w:eastAsia="宋体" w:cs="Times New Roman"/>
          <w:color w:val="auto"/>
          <w:u w:val="none" w:color="auto"/>
          <w:lang w:val="en-US" w:eastAsia="zh-CN"/>
        </w:rPr>
        <w:t>，其产生量约为0.</w:t>
      </w:r>
      <w:r>
        <w:rPr>
          <w:rFonts w:hint="eastAsia"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t/a，按《国家危险废物名录》（202</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年），分类编号为 HW</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，代码为900-</w:t>
      </w:r>
      <w:r>
        <w:rPr>
          <w:rFonts w:hint="eastAsia" w:ascii="Times New Roman" w:hAnsi="Times New Roman" w:eastAsia="宋体" w:cs="Times New Roman"/>
          <w:color w:val="auto"/>
          <w:u w:val="none" w:color="auto"/>
          <w:lang w:val="en-US" w:eastAsia="zh-CN"/>
        </w:rPr>
        <w:t>218-08</w:t>
      </w:r>
      <w:r>
        <w:rPr>
          <w:rFonts w:hint="default" w:ascii="Times New Roman" w:hAnsi="Times New Roman" w:eastAsia="宋体" w:cs="Times New Roman"/>
          <w:color w:val="auto"/>
          <w:u w:val="none" w:color="auto"/>
          <w:lang w:val="en-US" w:eastAsia="zh-CN"/>
        </w:rPr>
        <w:t>，交有资质的单位处置</w:t>
      </w:r>
      <w:r>
        <w:rPr>
          <w:rFonts w:hint="eastAsia" w:ascii="Times New Roman" w:hAnsi="Times New Roman" w:eastAsia="宋体" w:cs="Times New Roman"/>
          <w:color w:val="auto"/>
          <w:u w:val="none" w:color="auto"/>
          <w:lang w:val="en-US" w:eastAsia="zh-CN"/>
        </w:rPr>
        <w:t>。</w:t>
      </w:r>
    </w:p>
    <w:p w14:paraId="7A695266">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8）废含油抹布及手套</w:t>
      </w:r>
    </w:p>
    <w:p w14:paraId="00F7AE2F">
      <w:pPr>
        <w:pStyle w:val="21"/>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项目机器维修产生的废</w:t>
      </w:r>
      <w:r>
        <w:rPr>
          <w:rFonts w:hint="eastAsia" w:ascii="Times New Roman" w:hAnsi="Times New Roman" w:eastAsia="宋体" w:cs="Times New Roman"/>
          <w:color w:val="auto"/>
          <w:u w:val="none" w:color="auto"/>
          <w:lang w:val="en-US" w:eastAsia="zh-CN"/>
        </w:rPr>
        <w:t>含油抹布及手套</w:t>
      </w:r>
      <w:r>
        <w:rPr>
          <w:rFonts w:hint="default" w:ascii="Times New Roman" w:hAnsi="Times New Roman" w:eastAsia="宋体" w:cs="Times New Roman"/>
          <w:color w:val="auto"/>
          <w:u w:val="none" w:color="auto"/>
          <w:lang w:val="en-US" w:eastAsia="zh-CN"/>
        </w:rPr>
        <w:t>，其产生量约为0.0</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t/a，按《国家危险废物名录》（202</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年），</w:t>
      </w:r>
      <w:r>
        <w:rPr>
          <w:rFonts w:hint="default" w:ascii="Times New Roman" w:hAnsi="Times New Roman" w:eastAsia="宋体" w:cs="Times New Roman"/>
          <w:color w:val="auto"/>
          <w:u w:val="none" w:color="auto"/>
        </w:rPr>
        <w:t>分类编号为HW</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rPr>
        <w:t>，代码为900-</w:t>
      </w:r>
      <w:r>
        <w:rPr>
          <w:rFonts w:hint="eastAsia" w:ascii="Times New Roman" w:hAnsi="Times New Roman" w:eastAsia="宋体" w:cs="Times New Roman"/>
          <w:color w:val="auto"/>
          <w:u w:val="none" w:color="auto"/>
          <w:lang w:val="en-US" w:eastAsia="zh-CN"/>
        </w:rPr>
        <w:t>041</w:t>
      </w:r>
      <w:r>
        <w:rPr>
          <w:rFonts w:hint="default" w:ascii="Times New Roman" w:hAnsi="Times New Roman" w:eastAsia="宋体" w:cs="Times New Roman"/>
          <w:color w:val="auto"/>
          <w:u w:val="none" w:color="auto"/>
        </w:rPr>
        <w:t>-</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lang w:val="en-US" w:eastAsia="zh-CN"/>
        </w:rPr>
        <w:t>，交有资质的单位处置</w:t>
      </w:r>
      <w:r>
        <w:rPr>
          <w:rFonts w:hint="eastAsia" w:ascii="Times New Roman" w:hAnsi="Times New Roman" w:eastAsia="宋体" w:cs="Times New Roman"/>
          <w:color w:val="auto"/>
          <w:u w:val="none" w:color="auto"/>
          <w:lang w:val="en-US" w:eastAsia="zh-CN"/>
        </w:rPr>
        <w:t>。</w:t>
      </w:r>
    </w:p>
    <w:p w14:paraId="7FE3409F">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9）废导热油</w:t>
      </w:r>
    </w:p>
    <w:p w14:paraId="3C9C069A">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本项目导热油炉每年更换一次导热油，废导热油产生量为0.5t/a。</w:t>
      </w:r>
      <w:r>
        <w:rPr>
          <w:rFonts w:hint="default" w:ascii="Times New Roman" w:hAnsi="Times New Roman" w:eastAsia="宋体" w:cs="Times New Roman"/>
          <w:i w:val="0"/>
          <w:iCs w:val="0"/>
          <w:color w:val="auto"/>
          <w:u w:val="none" w:color="auto"/>
        </w:rPr>
        <w:t>按《国家危险废物名录》（</w:t>
      </w:r>
      <w:r>
        <w:rPr>
          <w:rFonts w:hint="default" w:ascii="Times New Roman" w:hAnsi="Times New Roman" w:eastAsia="宋体" w:cs="Times New Roman"/>
          <w:i w:val="0"/>
          <w:iCs w:val="0"/>
          <w:color w:val="auto"/>
          <w:u w:val="none" w:color="auto"/>
          <w:lang w:val="en-US" w:eastAsia="zh-CN"/>
        </w:rPr>
        <w:t>2025</w:t>
      </w:r>
      <w:r>
        <w:rPr>
          <w:rFonts w:hint="default" w:ascii="Times New Roman" w:hAnsi="Times New Roman" w:eastAsia="宋体" w:cs="Times New Roman"/>
          <w:i w:val="0"/>
          <w:iCs w:val="0"/>
          <w:color w:val="auto"/>
          <w:u w:val="none" w:color="auto"/>
        </w:rPr>
        <w:t>年），</w:t>
      </w:r>
      <w:r>
        <w:rPr>
          <w:rFonts w:hint="default" w:ascii="Times New Roman" w:hAnsi="Times New Roman" w:eastAsia="宋体" w:cs="Times New Roman"/>
          <w:color w:val="auto"/>
          <w:u w:val="none" w:color="auto"/>
          <w:lang w:val="en-US" w:eastAsia="zh-CN"/>
        </w:rPr>
        <w:t>分类编号为 HW</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，代码为900-</w:t>
      </w:r>
      <w:r>
        <w:rPr>
          <w:rFonts w:hint="eastAsia" w:ascii="Times New Roman" w:hAnsi="Times New Roman" w:eastAsia="宋体" w:cs="Times New Roman"/>
          <w:color w:val="auto"/>
          <w:u w:val="none" w:color="auto"/>
          <w:lang w:val="en-US" w:eastAsia="zh-CN"/>
        </w:rPr>
        <w:t>249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08。本项目更换的废导热油采用密闭包装桶收集交有资质单位处置。</w:t>
      </w:r>
    </w:p>
    <w:p w14:paraId="7B882DB1">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10）废油桶</w:t>
      </w:r>
    </w:p>
    <w:p w14:paraId="1ABB61D0">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项目液压油、矿物油使用过程中会产生少量废油桶，其产生量约为0.1</w:t>
      </w:r>
      <w:r>
        <w:rPr>
          <w:rFonts w:hint="default" w:ascii="Times New Roman" w:hAnsi="Times New Roman" w:eastAsia="宋体" w:cs="Times New Roman"/>
          <w:i w:val="0"/>
          <w:iCs w:val="0"/>
          <w:color w:val="auto"/>
          <w:u w:val="none" w:color="auto"/>
        </w:rPr>
        <w:t>t/a，按《国家危险废物名录》（</w:t>
      </w:r>
      <w:r>
        <w:rPr>
          <w:rFonts w:hint="default" w:ascii="Times New Roman" w:hAnsi="Times New Roman" w:eastAsia="宋体" w:cs="Times New Roman"/>
          <w:i w:val="0"/>
          <w:iCs w:val="0"/>
          <w:color w:val="auto"/>
          <w:u w:val="none" w:color="auto"/>
          <w:lang w:val="en-US" w:eastAsia="zh-CN"/>
        </w:rPr>
        <w:t>2025</w:t>
      </w:r>
      <w:r>
        <w:rPr>
          <w:rFonts w:hint="default" w:ascii="Times New Roman" w:hAnsi="Times New Roman" w:eastAsia="宋体" w:cs="Times New Roman"/>
          <w:i w:val="0"/>
          <w:iCs w:val="0"/>
          <w:color w:val="auto"/>
          <w:u w:val="none" w:color="auto"/>
        </w:rPr>
        <w:t>年），</w:t>
      </w:r>
      <w:r>
        <w:rPr>
          <w:rFonts w:hint="default" w:ascii="Times New Roman" w:hAnsi="Times New Roman" w:eastAsia="宋体" w:cs="Times New Roman"/>
          <w:color w:val="auto"/>
          <w:u w:val="none" w:color="auto"/>
          <w:lang w:val="en-US" w:eastAsia="zh-CN"/>
        </w:rPr>
        <w:t>分类编号为 HW</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，代码为900-</w:t>
      </w:r>
      <w:r>
        <w:rPr>
          <w:rFonts w:hint="eastAsia" w:ascii="Times New Roman" w:hAnsi="Times New Roman" w:eastAsia="宋体" w:cs="Times New Roman"/>
          <w:color w:val="auto"/>
          <w:u w:val="none" w:color="auto"/>
          <w:lang w:val="en-US" w:eastAsia="zh-CN"/>
        </w:rPr>
        <w:t>249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rPr>
        <w:t>。收集后送有资质单位处理</w:t>
      </w:r>
      <w:r>
        <w:rPr>
          <w:rFonts w:hint="eastAsia" w:ascii="Times New Roman" w:hAnsi="Times New Roman" w:eastAsia="宋体" w:cs="Times New Roman"/>
          <w:color w:val="auto"/>
          <w:u w:val="none" w:color="auto"/>
          <w:lang w:eastAsia="zh-CN"/>
        </w:rPr>
        <w:t>。</w:t>
      </w:r>
    </w:p>
    <w:p w14:paraId="364BBA85">
      <w:pPr>
        <w:pStyle w:val="21"/>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11）</w:t>
      </w:r>
      <w:r>
        <w:rPr>
          <w:rFonts w:hint="default" w:ascii="Times New Roman" w:hAnsi="Times New Roman" w:eastAsia="宋体" w:cs="Times New Roman"/>
          <w:color w:val="auto"/>
          <w:u w:val="none" w:color="auto"/>
          <w:lang w:val="en-US" w:eastAsia="zh-CN"/>
        </w:rPr>
        <w:t>废活性炭</w:t>
      </w:r>
    </w:p>
    <w:p w14:paraId="1202AC47">
      <w:pPr>
        <w:pStyle w:val="21"/>
        <w:bidi w:val="0"/>
        <w:rPr>
          <w:rFonts w:hint="default"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val="en-US" w:eastAsia="zh-CN"/>
        </w:rPr>
        <w:t>本</w:t>
      </w:r>
      <w:r>
        <w:rPr>
          <w:rFonts w:hint="default" w:ascii="Times New Roman" w:hAnsi="Times New Roman" w:eastAsia="宋体" w:cs="Times New Roman"/>
          <w:color w:val="auto"/>
          <w:u w:val="none" w:color="auto"/>
          <w:lang w:eastAsia="zh-CN"/>
        </w:rPr>
        <w:t>项目用</w:t>
      </w:r>
      <w:r>
        <w:rPr>
          <w:rFonts w:hint="default" w:ascii="Times New Roman" w:hAnsi="Times New Roman" w:eastAsia="宋体" w:cs="Times New Roman"/>
          <w:color w:val="auto"/>
          <w:u w:val="none" w:color="auto"/>
          <w:lang w:val="en-US" w:eastAsia="zh-CN"/>
        </w:rPr>
        <w:t>活性炭吸附处理</w:t>
      </w:r>
      <w:r>
        <w:rPr>
          <w:rFonts w:hint="eastAsia" w:ascii="Times New Roman" w:hAnsi="Times New Roman" w:eastAsia="宋体" w:cs="Times New Roman"/>
          <w:color w:val="auto"/>
          <w:u w:val="none" w:color="auto"/>
          <w:lang w:val="en-US" w:eastAsia="zh-CN"/>
        </w:rPr>
        <w:t>前期</w:t>
      </w:r>
      <w:r>
        <w:rPr>
          <w:rFonts w:hint="default" w:ascii="Times New Roman" w:hAnsi="Times New Roman" w:eastAsia="宋体" w:cs="Times New Roman"/>
          <w:color w:val="auto"/>
          <w:u w:val="none" w:color="auto"/>
          <w:lang w:eastAsia="zh-CN"/>
        </w:rPr>
        <w:t>有机废气，本项目设置</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eastAsia="zh-CN"/>
        </w:rPr>
        <w:t>套</w:t>
      </w:r>
      <w:r>
        <w:rPr>
          <w:rFonts w:hint="eastAsia" w:ascii="Times New Roman" w:hAnsi="Times New Roman" w:eastAsia="宋体" w:cs="Times New Roman"/>
          <w:color w:val="auto"/>
          <w:u w:val="none" w:color="auto"/>
          <w:lang w:val="en-US" w:eastAsia="zh-CN"/>
        </w:rPr>
        <w:t>二级</w:t>
      </w:r>
      <w:r>
        <w:rPr>
          <w:rFonts w:hint="default" w:ascii="Times New Roman" w:hAnsi="Times New Roman" w:eastAsia="宋体" w:cs="Times New Roman"/>
          <w:color w:val="auto"/>
          <w:u w:val="none" w:color="auto"/>
          <w:lang w:eastAsia="zh-CN"/>
        </w:rPr>
        <w:t>活性炭吸附装置，活性炭对VOCs的最大饱和吸附量按25%计，根据废气分析，本项目活性炭吸附</w:t>
      </w:r>
      <w:r>
        <w:rPr>
          <w:rFonts w:hint="eastAsia" w:ascii="Times New Roman" w:hAnsi="Times New Roman" w:eastAsia="宋体" w:cs="Times New Roman"/>
          <w:color w:val="auto"/>
          <w:u w:val="none" w:color="auto"/>
          <w:lang w:val="en-US" w:eastAsia="zh-CN"/>
        </w:rPr>
        <w:t>装置</w:t>
      </w:r>
      <w:r>
        <w:rPr>
          <w:rFonts w:hint="default" w:ascii="Times New Roman" w:hAnsi="Times New Roman" w:eastAsia="宋体" w:cs="Times New Roman"/>
          <w:color w:val="auto"/>
          <w:u w:val="none" w:color="auto"/>
          <w:lang w:eastAsia="zh-CN"/>
        </w:rPr>
        <w:t>对VOCs的吸附量约为</w:t>
      </w:r>
      <w:r>
        <w:rPr>
          <w:rFonts w:hint="eastAsia" w:ascii="Times New Roman" w:hAnsi="Times New Roman" w:eastAsia="宋体" w:cs="Times New Roman"/>
          <w:color w:val="auto"/>
          <w:u w:val="none" w:color="auto"/>
          <w:lang w:val="en-US" w:eastAsia="zh-CN"/>
        </w:rPr>
        <w:t>1.735</w:t>
      </w:r>
      <w:r>
        <w:rPr>
          <w:rFonts w:hint="default" w:ascii="Times New Roman" w:hAnsi="Times New Roman" w:eastAsia="宋体" w:cs="Times New Roman"/>
          <w:color w:val="auto"/>
          <w:u w:val="none" w:color="auto"/>
          <w:lang w:eastAsia="zh-CN"/>
        </w:rPr>
        <w:t>t，则需活性炭为</w:t>
      </w:r>
      <w:r>
        <w:rPr>
          <w:rFonts w:hint="eastAsia" w:ascii="Times New Roman" w:hAnsi="Times New Roman" w:eastAsia="宋体" w:cs="Times New Roman"/>
          <w:color w:val="auto"/>
          <w:u w:val="none" w:color="auto"/>
          <w:lang w:val="en-US" w:eastAsia="zh-CN"/>
        </w:rPr>
        <w:t>6.94</w:t>
      </w:r>
      <w:r>
        <w:rPr>
          <w:rFonts w:hint="default" w:ascii="Times New Roman" w:hAnsi="Times New Roman" w:eastAsia="宋体" w:cs="Times New Roman"/>
          <w:color w:val="auto"/>
          <w:u w:val="none" w:color="auto"/>
          <w:lang w:eastAsia="zh-CN"/>
        </w:rPr>
        <w:t>t，每套活性炭量填充量为</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eastAsia="zh-CN"/>
        </w:rPr>
        <w:t>t，以环保的角度考虑，应提前更换活性炭，保证处理效率，每年需更换</w:t>
      </w:r>
      <w:r>
        <w:rPr>
          <w:rFonts w:hint="eastAsia" w:ascii="Times New Roman" w:hAnsi="Times New Roman" w:eastAsia="宋体" w:cs="Times New Roman"/>
          <w:color w:val="auto"/>
          <w:u w:val="none" w:color="auto"/>
          <w:lang w:val="en-US" w:eastAsia="zh-CN"/>
        </w:rPr>
        <w:t>7</w:t>
      </w:r>
      <w:r>
        <w:rPr>
          <w:rFonts w:hint="default" w:ascii="Times New Roman" w:hAnsi="Times New Roman" w:eastAsia="宋体" w:cs="Times New Roman"/>
          <w:color w:val="auto"/>
          <w:u w:val="none" w:color="auto"/>
          <w:lang w:eastAsia="zh-CN"/>
        </w:rPr>
        <w:t>次，则活性炭吸附</w:t>
      </w:r>
      <w:r>
        <w:rPr>
          <w:rFonts w:hint="eastAsia" w:ascii="Times New Roman" w:hAnsi="Times New Roman" w:eastAsia="宋体" w:cs="Times New Roman"/>
          <w:color w:val="auto"/>
          <w:u w:val="none" w:color="auto"/>
          <w:lang w:val="en-US" w:eastAsia="zh-CN"/>
        </w:rPr>
        <w:t>装置产生的</w:t>
      </w:r>
      <w:r>
        <w:rPr>
          <w:rFonts w:hint="default" w:ascii="Times New Roman" w:hAnsi="Times New Roman" w:eastAsia="宋体" w:cs="Times New Roman"/>
          <w:color w:val="auto"/>
          <w:u w:val="none" w:color="auto"/>
          <w:lang w:eastAsia="zh-CN"/>
        </w:rPr>
        <w:t>废活性炭量（含吸附的有机废气）为</w:t>
      </w:r>
      <w:r>
        <w:rPr>
          <w:rFonts w:hint="eastAsia" w:ascii="Times New Roman" w:hAnsi="Times New Roman" w:eastAsia="宋体" w:cs="Times New Roman"/>
          <w:color w:val="auto"/>
          <w:u w:val="none" w:color="auto"/>
          <w:lang w:val="en-US" w:eastAsia="zh-CN"/>
        </w:rPr>
        <w:t>8.735</w:t>
      </w:r>
      <w:r>
        <w:rPr>
          <w:rFonts w:hint="default" w:ascii="Times New Roman" w:hAnsi="Times New Roman" w:eastAsia="宋体" w:cs="Times New Roman"/>
          <w:color w:val="auto"/>
          <w:u w:val="none" w:color="auto"/>
          <w:lang w:eastAsia="zh-CN"/>
        </w:rPr>
        <w:t>t/a</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eastAsia="zh-CN"/>
        </w:rPr>
        <w:t>对照《国家危险废物名录》（202</w:t>
      </w:r>
      <w:r>
        <w:rPr>
          <w:rFonts w:hint="default"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eastAsia="zh-CN"/>
        </w:rPr>
        <w:t>年版），废活性炭属于危险废物</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分类编号为HW</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rPr>
        <w:t>，代码为</w:t>
      </w:r>
      <w:r>
        <w:rPr>
          <w:rFonts w:hint="default" w:ascii="Times New Roman" w:hAnsi="Times New Roman" w:eastAsia="宋体" w:cs="Times New Roman"/>
          <w:color w:val="auto"/>
          <w:u w:val="none" w:color="auto"/>
          <w:lang w:eastAsia="zh-CN"/>
        </w:rPr>
        <w:t>900-0</w:t>
      </w:r>
      <w:r>
        <w:rPr>
          <w:rFonts w:hint="eastAsia" w:ascii="Times New Roman" w:hAnsi="Times New Roman" w:eastAsia="宋体" w:cs="Times New Roman"/>
          <w:color w:val="auto"/>
          <w:u w:val="none" w:color="auto"/>
          <w:lang w:val="en-US" w:eastAsia="zh-CN"/>
        </w:rPr>
        <w:t>39</w:t>
      </w:r>
      <w:r>
        <w:rPr>
          <w:rFonts w:hint="default" w:ascii="Times New Roman" w:hAnsi="Times New Roman" w:eastAsia="宋体" w:cs="Times New Roman"/>
          <w:color w:val="auto"/>
          <w:u w:val="none" w:color="auto"/>
          <w:lang w:eastAsia="zh-CN"/>
        </w:rPr>
        <w:t>-49</w:t>
      </w:r>
      <w:r>
        <w:rPr>
          <w:rFonts w:hint="default" w:ascii="Times New Roman" w:hAnsi="Times New Roman" w:eastAsia="宋体" w:cs="Times New Roman"/>
          <w:color w:val="auto"/>
          <w:u w:val="none" w:color="auto"/>
        </w:rPr>
        <w:t>。收集后送有资质单位处理</w:t>
      </w:r>
      <w:r>
        <w:rPr>
          <w:rFonts w:hint="default" w:ascii="Times New Roman" w:hAnsi="Times New Roman" w:eastAsia="宋体" w:cs="Times New Roman"/>
          <w:color w:val="auto"/>
          <w:u w:val="none" w:color="auto"/>
          <w:lang w:eastAsia="zh-CN"/>
        </w:rPr>
        <w:t>。</w:t>
      </w:r>
    </w:p>
    <w:p w14:paraId="25809A7C">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.4-</w:t>
      </w:r>
      <w:r>
        <w:rPr>
          <w:rFonts w:hint="eastAsia" w:ascii="Times New Roman" w:hAnsi="Times New Roman" w:eastAsia="宋体" w:cs="Times New Roman"/>
          <w:color w:val="auto"/>
          <w:u w:val="none" w:color="auto"/>
          <w:lang w:val="en-US" w:eastAsia="zh-CN"/>
        </w:rPr>
        <w:t>7</w:t>
      </w:r>
      <w:r>
        <w:rPr>
          <w:rFonts w:hint="default" w:ascii="Times New Roman" w:hAnsi="Times New Roman" w:eastAsia="宋体" w:cs="Times New Roman"/>
          <w:color w:val="auto"/>
          <w:u w:val="none" w:color="auto"/>
          <w:lang w:val="en-US" w:eastAsia="zh-CN"/>
        </w:rPr>
        <w:t xml:space="preserve"> 项目固废产生处置情况表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366"/>
        <w:gridCol w:w="1350"/>
        <w:gridCol w:w="2325"/>
        <w:gridCol w:w="2743"/>
      </w:tblGrid>
      <w:tr w14:paraId="28066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D4123AA">
            <w:pPr>
              <w:pStyle w:val="25"/>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序号</w:t>
            </w:r>
          </w:p>
        </w:tc>
        <w:tc>
          <w:tcPr>
            <w:tcW w:w="1366" w:type="dxa"/>
            <w:noWrap w:val="0"/>
            <w:vAlign w:val="center"/>
          </w:tcPr>
          <w:p w14:paraId="660FCC40">
            <w:pPr>
              <w:pStyle w:val="25"/>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类别</w:t>
            </w:r>
          </w:p>
        </w:tc>
        <w:tc>
          <w:tcPr>
            <w:tcW w:w="1350" w:type="dxa"/>
            <w:noWrap w:val="0"/>
            <w:vAlign w:val="center"/>
          </w:tcPr>
          <w:p w14:paraId="07D00EF6">
            <w:pPr>
              <w:pStyle w:val="25"/>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产生量t/a</w:t>
            </w:r>
          </w:p>
        </w:tc>
        <w:tc>
          <w:tcPr>
            <w:tcW w:w="2325" w:type="dxa"/>
            <w:noWrap w:val="0"/>
            <w:vAlign w:val="center"/>
          </w:tcPr>
          <w:p w14:paraId="246EE5A3">
            <w:pPr>
              <w:pStyle w:val="25"/>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固废代码</w:t>
            </w:r>
          </w:p>
        </w:tc>
        <w:tc>
          <w:tcPr>
            <w:tcW w:w="2743" w:type="dxa"/>
            <w:noWrap w:val="0"/>
            <w:vAlign w:val="center"/>
          </w:tcPr>
          <w:p w14:paraId="1333D3AD">
            <w:pPr>
              <w:pStyle w:val="25"/>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处理方式</w:t>
            </w:r>
          </w:p>
        </w:tc>
      </w:tr>
      <w:tr w14:paraId="53385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4F00873F">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w:t>
            </w:r>
          </w:p>
        </w:tc>
        <w:tc>
          <w:tcPr>
            <w:tcW w:w="1366" w:type="dxa"/>
            <w:noWrap w:val="0"/>
            <w:vAlign w:val="center"/>
          </w:tcPr>
          <w:p w14:paraId="45D39E1A">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生活垃圾</w:t>
            </w:r>
          </w:p>
        </w:tc>
        <w:tc>
          <w:tcPr>
            <w:tcW w:w="1350" w:type="dxa"/>
            <w:noWrap w:val="0"/>
            <w:vAlign w:val="center"/>
          </w:tcPr>
          <w:p w14:paraId="4829683D">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w:t>
            </w:r>
          </w:p>
        </w:tc>
        <w:tc>
          <w:tcPr>
            <w:tcW w:w="2325" w:type="dxa"/>
            <w:noWrap w:val="0"/>
            <w:vAlign w:val="center"/>
          </w:tcPr>
          <w:p w14:paraId="130E171E">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生活垃圾</w:t>
            </w:r>
          </w:p>
        </w:tc>
        <w:tc>
          <w:tcPr>
            <w:tcW w:w="2743" w:type="dxa"/>
            <w:noWrap w:val="0"/>
            <w:vAlign w:val="center"/>
          </w:tcPr>
          <w:p w14:paraId="692546BC">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收集后交由环卫部门处理</w:t>
            </w:r>
          </w:p>
        </w:tc>
      </w:tr>
      <w:tr w14:paraId="58A07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5A108DB">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w:t>
            </w:r>
          </w:p>
        </w:tc>
        <w:tc>
          <w:tcPr>
            <w:tcW w:w="1366" w:type="dxa"/>
            <w:noWrap w:val="0"/>
            <w:vAlign w:val="center"/>
          </w:tcPr>
          <w:p w14:paraId="170418D8">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不合格品</w:t>
            </w:r>
          </w:p>
        </w:tc>
        <w:tc>
          <w:tcPr>
            <w:tcW w:w="1350" w:type="dxa"/>
            <w:noWrap w:val="0"/>
            <w:vAlign w:val="center"/>
          </w:tcPr>
          <w:p w14:paraId="38BFBE1B">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21.81</w:t>
            </w:r>
          </w:p>
        </w:tc>
        <w:tc>
          <w:tcPr>
            <w:tcW w:w="2325" w:type="dxa"/>
            <w:noWrap w:val="0"/>
            <w:vAlign w:val="center"/>
          </w:tcPr>
          <w:p w14:paraId="3FC779E6">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5774DEA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S59</w:t>
            </w:r>
          </w:p>
        </w:tc>
        <w:tc>
          <w:tcPr>
            <w:tcW w:w="2743" w:type="dxa"/>
            <w:noWrap w:val="0"/>
            <w:vAlign w:val="center"/>
          </w:tcPr>
          <w:p w14:paraId="04D5ECD9">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外售给原材料供应商加工</w:t>
            </w:r>
          </w:p>
        </w:tc>
      </w:tr>
      <w:tr w14:paraId="6041D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51A1DCC">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w:t>
            </w:r>
          </w:p>
        </w:tc>
        <w:tc>
          <w:tcPr>
            <w:tcW w:w="1366" w:type="dxa"/>
            <w:noWrap w:val="0"/>
            <w:vAlign w:val="center"/>
          </w:tcPr>
          <w:p w14:paraId="6E14602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收集的粉尘</w:t>
            </w:r>
          </w:p>
        </w:tc>
        <w:tc>
          <w:tcPr>
            <w:tcW w:w="1350" w:type="dxa"/>
            <w:noWrap w:val="0"/>
            <w:vAlign w:val="center"/>
          </w:tcPr>
          <w:p w14:paraId="02C4E12C">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8.915</w:t>
            </w:r>
          </w:p>
        </w:tc>
        <w:tc>
          <w:tcPr>
            <w:tcW w:w="2325" w:type="dxa"/>
            <w:noWrap w:val="0"/>
            <w:vAlign w:val="center"/>
          </w:tcPr>
          <w:p w14:paraId="7749C2EF">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7163BF8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003-S17</w:t>
            </w:r>
          </w:p>
        </w:tc>
        <w:tc>
          <w:tcPr>
            <w:tcW w:w="2743" w:type="dxa"/>
            <w:noWrap w:val="0"/>
            <w:vAlign w:val="center"/>
          </w:tcPr>
          <w:p w14:paraId="486C719F">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回用于生产</w:t>
            </w:r>
          </w:p>
        </w:tc>
      </w:tr>
      <w:tr w14:paraId="5E47A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4307AED5">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4</w:t>
            </w:r>
          </w:p>
        </w:tc>
        <w:tc>
          <w:tcPr>
            <w:tcW w:w="1366" w:type="dxa"/>
            <w:noWrap w:val="0"/>
            <w:vAlign w:val="center"/>
          </w:tcPr>
          <w:p w14:paraId="2A819FB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一般性废包装材料</w:t>
            </w:r>
          </w:p>
        </w:tc>
        <w:tc>
          <w:tcPr>
            <w:tcW w:w="1350" w:type="dxa"/>
            <w:noWrap w:val="0"/>
            <w:vAlign w:val="center"/>
          </w:tcPr>
          <w:p w14:paraId="053ACF8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w:t>
            </w:r>
          </w:p>
        </w:tc>
        <w:tc>
          <w:tcPr>
            <w:tcW w:w="2325" w:type="dxa"/>
            <w:noWrap w:val="0"/>
            <w:vAlign w:val="center"/>
          </w:tcPr>
          <w:p w14:paraId="260D206F">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20B8645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S59</w:t>
            </w:r>
          </w:p>
        </w:tc>
        <w:tc>
          <w:tcPr>
            <w:tcW w:w="2743" w:type="dxa"/>
            <w:noWrap w:val="0"/>
            <w:vAlign w:val="center"/>
          </w:tcPr>
          <w:p w14:paraId="4009B16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其他包装材料收集后外售综合利用、</w:t>
            </w:r>
            <w:r>
              <w:rPr>
                <w:rFonts w:hint="eastAsia" w:ascii="Times New Roman" w:hAnsi="Times New Roman" w:eastAsia="宋体" w:cs="Times New Roman"/>
                <w:color w:val="auto"/>
                <w:u w:val="none" w:color="auto"/>
                <w:lang w:val="en-US" w:eastAsia="zh-CN"/>
              </w:rPr>
              <w:t>树脂</w:t>
            </w:r>
            <w:r>
              <w:rPr>
                <w:rFonts w:hint="default" w:ascii="Times New Roman" w:hAnsi="Times New Roman" w:eastAsia="宋体" w:cs="Times New Roman"/>
                <w:color w:val="auto"/>
                <w:u w:val="none" w:color="auto"/>
                <w:lang w:val="en-US" w:eastAsia="zh-CN"/>
              </w:rPr>
              <w:t>包装桶收集后由厂家回收利用</w:t>
            </w:r>
          </w:p>
        </w:tc>
      </w:tr>
      <w:tr w14:paraId="08D92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ACA293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5</w:t>
            </w:r>
          </w:p>
        </w:tc>
        <w:tc>
          <w:tcPr>
            <w:tcW w:w="1366" w:type="dxa"/>
            <w:noWrap w:val="0"/>
            <w:vAlign w:val="center"/>
          </w:tcPr>
          <w:p w14:paraId="7D4690B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废耐火砖</w:t>
            </w:r>
          </w:p>
        </w:tc>
        <w:tc>
          <w:tcPr>
            <w:tcW w:w="1350" w:type="dxa"/>
            <w:noWrap w:val="0"/>
            <w:vAlign w:val="center"/>
          </w:tcPr>
          <w:p w14:paraId="0AC0E1E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5t/3a</w:t>
            </w:r>
          </w:p>
        </w:tc>
        <w:tc>
          <w:tcPr>
            <w:tcW w:w="2325" w:type="dxa"/>
            <w:noWrap w:val="0"/>
            <w:vAlign w:val="center"/>
          </w:tcPr>
          <w:p w14:paraId="5DAC2BA5">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15EA334B">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S59</w:t>
            </w:r>
          </w:p>
        </w:tc>
        <w:tc>
          <w:tcPr>
            <w:tcW w:w="2743" w:type="dxa"/>
            <w:noWrap w:val="0"/>
            <w:vAlign w:val="center"/>
          </w:tcPr>
          <w:p w14:paraId="307FE4CE">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收集后外售综合利用</w:t>
            </w:r>
          </w:p>
        </w:tc>
      </w:tr>
      <w:tr w14:paraId="2F813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49D64DE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6</w:t>
            </w:r>
          </w:p>
        </w:tc>
        <w:tc>
          <w:tcPr>
            <w:tcW w:w="1366" w:type="dxa"/>
            <w:noWrap w:val="0"/>
            <w:vAlign w:val="center"/>
          </w:tcPr>
          <w:p w14:paraId="2A794EA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废矿物油</w:t>
            </w:r>
          </w:p>
        </w:tc>
        <w:tc>
          <w:tcPr>
            <w:tcW w:w="1350" w:type="dxa"/>
            <w:noWrap w:val="0"/>
            <w:vAlign w:val="center"/>
          </w:tcPr>
          <w:p w14:paraId="03CF545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0.1</w:t>
            </w:r>
          </w:p>
        </w:tc>
        <w:tc>
          <w:tcPr>
            <w:tcW w:w="2325" w:type="dxa"/>
            <w:noWrap w:val="0"/>
            <w:vAlign w:val="center"/>
          </w:tcPr>
          <w:p w14:paraId="0487B64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危险废物，编号为HW08（900-214-08）</w:t>
            </w:r>
          </w:p>
        </w:tc>
        <w:tc>
          <w:tcPr>
            <w:tcW w:w="2743" w:type="dxa"/>
            <w:vMerge w:val="restart"/>
            <w:noWrap w:val="0"/>
            <w:vAlign w:val="center"/>
          </w:tcPr>
          <w:p w14:paraId="24E6079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收集后暂存于危废间，定期</w:t>
            </w:r>
            <w:r>
              <w:rPr>
                <w:rFonts w:hint="default" w:ascii="Times New Roman" w:hAnsi="Times New Roman" w:eastAsia="宋体" w:cs="Times New Roman"/>
                <w:color w:val="auto"/>
                <w:u w:val="none" w:color="auto"/>
              </w:rPr>
              <w:t>交由有危废处理资质单位统一处理</w:t>
            </w:r>
          </w:p>
        </w:tc>
      </w:tr>
      <w:tr w14:paraId="447A1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755BCB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w:t>
            </w:r>
          </w:p>
        </w:tc>
        <w:tc>
          <w:tcPr>
            <w:tcW w:w="1366" w:type="dxa"/>
            <w:noWrap w:val="0"/>
            <w:vAlign w:val="center"/>
          </w:tcPr>
          <w:p w14:paraId="2D36A43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废液压油</w:t>
            </w:r>
          </w:p>
        </w:tc>
        <w:tc>
          <w:tcPr>
            <w:tcW w:w="1350" w:type="dxa"/>
            <w:noWrap w:val="0"/>
            <w:vAlign w:val="center"/>
          </w:tcPr>
          <w:p w14:paraId="45B0AB6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0.4</w:t>
            </w:r>
          </w:p>
        </w:tc>
        <w:tc>
          <w:tcPr>
            <w:tcW w:w="2325" w:type="dxa"/>
            <w:noWrap w:val="0"/>
            <w:vAlign w:val="center"/>
          </w:tcPr>
          <w:p w14:paraId="14EC0C4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危险废物，编号为HW08（900-218-08）</w:t>
            </w:r>
          </w:p>
        </w:tc>
        <w:tc>
          <w:tcPr>
            <w:tcW w:w="2743" w:type="dxa"/>
            <w:vMerge w:val="continue"/>
            <w:noWrap w:val="0"/>
            <w:vAlign w:val="center"/>
          </w:tcPr>
          <w:p w14:paraId="55BFB3C9">
            <w:pPr>
              <w:pStyle w:val="25"/>
              <w:bidi w:val="0"/>
              <w:rPr>
                <w:rFonts w:hint="default" w:ascii="Times New Roman" w:hAnsi="Times New Roman" w:eastAsia="宋体" w:cs="Times New Roman"/>
                <w:color w:val="auto"/>
                <w:kern w:val="2"/>
                <w:sz w:val="21"/>
                <w:szCs w:val="21"/>
                <w:u w:val="none" w:color="auto"/>
                <w:lang w:val="en-US" w:eastAsia="zh-CN" w:bidi="ar-SA"/>
              </w:rPr>
            </w:pPr>
          </w:p>
        </w:tc>
      </w:tr>
      <w:tr w14:paraId="5D086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4E4BFB5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w:t>
            </w:r>
          </w:p>
        </w:tc>
        <w:tc>
          <w:tcPr>
            <w:tcW w:w="1366" w:type="dxa"/>
            <w:noWrap w:val="0"/>
            <w:vAlign w:val="center"/>
          </w:tcPr>
          <w:p w14:paraId="5E35732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废含油抹布及手套</w:t>
            </w:r>
          </w:p>
        </w:tc>
        <w:tc>
          <w:tcPr>
            <w:tcW w:w="1350" w:type="dxa"/>
            <w:noWrap w:val="0"/>
            <w:vAlign w:val="center"/>
          </w:tcPr>
          <w:p w14:paraId="5819D9C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0.01</w:t>
            </w:r>
          </w:p>
        </w:tc>
        <w:tc>
          <w:tcPr>
            <w:tcW w:w="2325" w:type="dxa"/>
            <w:noWrap w:val="0"/>
            <w:vAlign w:val="center"/>
          </w:tcPr>
          <w:p w14:paraId="7AC18F4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lang w:val="en-US" w:eastAsia="zh-CN"/>
              </w:rPr>
              <w:t>（900-</w:t>
            </w:r>
            <w:r>
              <w:rPr>
                <w:rFonts w:hint="eastAsia" w:ascii="Times New Roman" w:hAnsi="Times New Roman" w:eastAsia="宋体" w:cs="Times New Roman"/>
                <w:color w:val="auto"/>
                <w:u w:val="none" w:color="auto"/>
                <w:lang w:val="en-US" w:eastAsia="zh-CN"/>
              </w:rPr>
              <w:t>041</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lang w:val="en-US" w:eastAsia="zh-CN"/>
              </w:rPr>
              <w:t>）</w:t>
            </w:r>
          </w:p>
        </w:tc>
        <w:tc>
          <w:tcPr>
            <w:tcW w:w="2743" w:type="dxa"/>
            <w:vMerge w:val="continue"/>
            <w:noWrap w:val="0"/>
            <w:vAlign w:val="center"/>
          </w:tcPr>
          <w:p w14:paraId="281E1720">
            <w:pPr>
              <w:pStyle w:val="25"/>
              <w:bidi w:val="0"/>
              <w:rPr>
                <w:rFonts w:hint="default" w:ascii="Times New Roman" w:hAnsi="Times New Roman" w:eastAsia="宋体" w:cs="Times New Roman"/>
                <w:color w:val="auto"/>
                <w:kern w:val="2"/>
                <w:sz w:val="21"/>
                <w:szCs w:val="21"/>
                <w:u w:val="none" w:color="auto"/>
                <w:lang w:val="en-US" w:eastAsia="zh-CN" w:bidi="ar-SA"/>
              </w:rPr>
            </w:pPr>
          </w:p>
        </w:tc>
      </w:tr>
      <w:tr w14:paraId="13D8F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202F1AEB">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w:t>
            </w:r>
          </w:p>
        </w:tc>
        <w:tc>
          <w:tcPr>
            <w:tcW w:w="1366" w:type="dxa"/>
            <w:noWrap w:val="0"/>
            <w:vAlign w:val="center"/>
          </w:tcPr>
          <w:p w14:paraId="0A46DB2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废导热油</w:t>
            </w:r>
          </w:p>
        </w:tc>
        <w:tc>
          <w:tcPr>
            <w:tcW w:w="1350" w:type="dxa"/>
            <w:noWrap w:val="0"/>
            <w:vAlign w:val="center"/>
          </w:tcPr>
          <w:p w14:paraId="1AB6214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0.5</w:t>
            </w:r>
          </w:p>
        </w:tc>
        <w:tc>
          <w:tcPr>
            <w:tcW w:w="2325" w:type="dxa"/>
            <w:noWrap w:val="0"/>
            <w:vAlign w:val="center"/>
          </w:tcPr>
          <w:p w14:paraId="59442BB9">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危险废物，编号为HW</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（900-</w:t>
            </w:r>
            <w:r>
              <w:rPr>
                <w:rFonts w:hint="eastAsia" w:ascii="Times New Roman" w:hAnsi="Times New Roman" w:eastAsia="宋体" w:cs="Times New Roman"/>
                <w:color w:val="auto"/>
                <w:u w:val="none" w:color="auto"/>
                <w:lang w:val="en-US" w:eastAsia="zh-CN"/>
              </w:rPr>
              <w:t>249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w:t>
            </w:r>
          </w:p>
        </w:tc>
        <w:tc>
          <w:tcPr>
            <w:tcW w:w="2743" w:type="dxa"/>
            <w:vMerge w:val="continue"/>
            <w:noWrap w:val="0"/>
            <w:vAlign w:val="center"/>
          </w:tcPr>
          <w:p w14:paraId="468B87FD">
            <w:pPr>
              <w:pStyle w:val="25"/>
              <w:bidi w:val="0"/>
              <w:rPr>
                <w:rFonts w:hint="default" w:ascii="Times New Roman" w:hAnsi="Times New Roman" w:eastAsia="宋体" w:cs="Times New Roman"/>
                <w:color w:val="auto"/>
                <w:kern w:val="2"/>
                <w:sz w:val="21"/>
                <w:szCs w:val="21"/>
                <w:u w:val="none" w:color="auto"/>
                <w:lang w:val="en-US" w:eastAsia="zh-CN" w:bidi="ar-SA"/>
              </w:rPr>
            </w:pPr>
          </w:p>
        </w:tc>
      </w:tr>
      <w:tr w14:paraId="13F6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6FDC94A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1366" w:type="dxa"/>
            <w:noWrap w:val="0"/>
            <w:vAlign w:val="center"/>
          </w:tcPr>
          <w:p w14:paraId="58A9225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废油桶</w:t>
            </w:r>
          </w:p>
        </w:tc>
        <w:tc>
          <w:tcPr>
            <w:tcW w:w="1350" w:type="dxa"/>
            <w:noWrap w:val="0"/>
            <w:vAlign w:val="center"/>
          </w:tcPr>
          <w:p w14:paraId="664965FA">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0.1</w:t>
            </w:r>
          </w:p>
        </w:tc>
        <w:tc>
          <w:tcPr>
            <w:tcW w:w="2325" w:type="dxa"/>
            <w:noWrap w:val="0"/>
            <w:vAlign w:val="center"/>
          </w:tcPr>
          <w:p w14:paraId="65AE892E">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危险废物，编号为HW</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（900-</w:t>
            </w:r>
            <w:r>
              <w:rPr>
                <w:rFonts w:hint="eastAsia" w:ascii="Times New Roman" w:hAnsi="Times New Roman" w:eastAsia="宋体" w:cs="Times New Roman"/>
                <w:color w:val="auto"/>
                <w:u w:val="none" w:color="auto"/>
                <w:lang w:val="en-US" w:eastAsia="zh-CN"/>
              </w:rPr>
              <w:t>249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val="en-US" w:eastAsia="zh-CN"/>
              </w:rPr>
              <w:t>）</w:t>
            </w:r>
          </w:p>
        </w:tc>
        <w:tc>
          <w:tcPr>
            <w:tcW w:w="2743" w:type="dxa"/>
            <w:vMerge w:val="continue"/>
            <w:noWrap w:val="0"/>
            <w:vAlign w:val="center"/>
          </w:tcPr>
          <w:p w14:paraId="1F6DD4D3">
            <w:pPr>
              <w:pStyle w:val="25"/>
              <w:bidi w:val="0"/>
              <w:rPr>
                <w:rFonts w:hint="default" w:ascii="Times New Roman" w:hAnsi="Times New Roman" w:eastAsia="宋体" w:cs="Times New Roman"/>
                <w:color w:val="auto"/>
                <w:kern w:val="2"/>
                <w:sz w:val="21"/>
                <w:szCs w:val="21"/>
                <w:u w:val="none" w:color="auto"/>
                <w:lang w:val="en-US" w:eastAsia="zh-CN" w:bidi="ar-SA"/>
              </w:rPr>
            </w:pPr>
          </w:p>
        </w:tc>
      </w:tr>
      <w:tr w14:paraId="4178B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C4F0CF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11</w:t>
            </w:r>
          </w:p>
        </w:tc>
        <w:tc>
          <w:tcPr>
            <w:tcW w:w="1366" w:type="dxa"/>
            <w:noWrap w:val="0"/>
            <w:vAlign w:val="center"/>
          </w:tcPr>
          <w:p w14:paraId="65CB1837">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废活性炭</w:t>
            </w:r>
          </w:p>
        </w:tc>
        <w:tc>
          <w:tcPr>
            <w:tcW w:w="1350" w:type="dxa"/>
            <w:noWrap w:val="0"/>
            <w:vAlign w:val="center"/>
          </w:tcPr>
          <w:p w14:paraId="4A98057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8.735</w:t>
            </w:r>
          </w:p>
        </w:tc>
        <w:tc>
          <w:tcPr>
            <w:tcW w:w="2325" w:type="dxa"/>
            <w:noWrap w:val="0"/>
            <w:vAlign w:val="center"/>
          </w:tcPr>
          <w:p w14:paraId="54CD2EA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危险废物，编号为HW49（900-039-49）</w:t>
            </w:r>
          </w:p>
        </w:tc>
        <w:tc>
          <w:tcPr>
            <w:tcW w:w="2743" w:type="dxa"/>
            <w:vMerge w:val="continue"/>
            <w:noWrap w:val="0"/>
            <w:vAlign w:val="center"/>
          </w:tcPr>
          <w:p w14:paraId="1DE32F78">
            <w:pPr>
              <w:pStyle w:val="25"/>
              <w:bidi w:val="0"/>
              <w:rPr>
                <w:rFonts w:hint="default" w:ascii="Times New Roman" w:hAnsi="Times New Roman" w:eastAsia="宋体" w:cs="Times New Roman"/>
                <w:color w:val="auto"/>
                <w:kern w:val="2"/>
                <w:sz w:val="21"/>
                <w:szCs w:val="21"/>
                <w:u w:val="none" w:color="auto"/>
                <w:lang w:val="en-US" w:eastAsia="zh-CN" w:bidi="ar-SA"/>
              </w:rPr>
            </w:pPr>
          </w:p>
        </w:tc>
      </w:tr>
    </w:tbl>
    <w:p w14:paraId="1E2802CE">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.4-</w:t>
      </w:r>
      <w:r>
        <w:rPr>
          <w:rFonts w:hint="eastAsia" w:ascii="Times New Roman" w:hAnsi="Times New Roman" w:eastAsia="宋体" w:cs="Times New Roman"/>
          <w:color w:val="auto"/>
          <w:u w:val="none" w:color="auto"/>
          <w:lang w:val="en-US" w:eastAsia="zh-CN"/>
        </w:rPr>
        <w:t>8</w:t>
      </w:r>
      <w:r>
        <w:rPr>
          <w:rFonts w:hint="default" w:ascii="Times New Roman" w:hAnsi="Times New Roman" w:eastAsia="宋体" w:cs="Times New Roman"/>
          <w:color w:val="auto"/>
          <w:u w:val="none" w:color="auto"/>
          <w:lang w:val="en-US" w:eastAsia="zh-CN"/>
        </w:rPr>
        <w:t xml:space="preserve"> 项目危险废物产生处置情况统计表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56"/>
        <w:gridCol w:w="819"/>
        <w:gridCol w:w="819"/>
        <w:gridCol w:w="762"/>
        <w:gridCol w:w="861"/>
        <w:gridCol w:w="479"/>
        <w:gridCol w:w="833"/>
        <w:gridCol w:w="663"/>
        <w:gridCol w:w="650"/>
        <w:gridCol w:w="1058"/>
      </w:tblGrid>
      <w:tr w14:paraId="52A64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20EF7AC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1156" w:type="dxa"/>
            <w:tcBorders>
              <w:tl2br w:val="nil"/>
              <w:tr2bl w:val="nil"/>
            </w:tcBorders>
            <w:noWrap w:val="0"/>
            <w:vAlign w:val="center"/>
          </w:tcPr>
          <w:p w14:paraId="0D3BE1B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危险废物</w:t>
            </w:r>
            <w:r>
              <w:rPr>
                <w:rFonts w:hint="default" w:ascii="Times New Roman" w:hAnsi="Times New Roman" w:eastAsia="宋体" w:cs="Times New Roman"/>
                <w:b/>
                <w:bCs/>
                <w:color w:val="auto"/>
                <w:sz w:val="21"/>
                <w:szCs w:val="21"/>
                <w:u w:val="none" w:color="auto"/>
              </w:rPr>
              <w:t>名称</w:t>
            </w:r>
          </w:p>
        </w:tc>
        <w:tc>
          <w:tcPr>
            <w:tcW w:w="819" w:type="dxa"/>
            <w:tcBorders>
              <w:tl2br w:val="nil"/>
              <w:tr2bl w:val="nil"/>
            </w:tcBorders>
            <w:noWrap w:val="0"/>
            <w:vAlign w:val="center"/>
          </w:tcPr>
          <w:p w14:paraId="680CEC7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危险废物类别</w:t>
            </w:r>
          </w:p>
        </w:tc>
        <w:tc>
          <w:tcPr>
            <w:tcW w:w="819" w:type="dxa"/>
            <w:tcBorders>
              <w:tl2br w:val="nil"/>
              <w:tr2bl w:val="nil"/>
            </w:tcBorders>
            <w:noWrap w:val="0"/>
            <w:vAlign w:val="center"/>
          </w:tcPr>
          <w:p w14:paraId="4BB5081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危险废物代码</w:t>
            </w:r>
          </w:p>
        </w:tc>
        <w:tc>
          <w:tcPr>
            <w:tcW w:w="762" w:type="dxa"/>
            <w:tcBorders>
              <w:tl2br w:val="nil"/>
              <w:tr2bl w:val="nil"/>
            </w:tcBorders>
            <w:noWrap w:val="0"/>
            <w:vAlign w:val="center"/>
          </w:tcPr>
          <w:p w14:paraId="74A007C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w:t>
            </w:r>
            <w:r>
              <w:rPr>
                <w:rFonts w:hint="default" w:ascii="Times New Roman" w:hAnsi="Times New Roman" w:eastAsia="宋体" w:cs="Times New Roman"/>
                <w:b/>
                <w:bCs/>
                <w:color w:val="auto"/>
                <w:sz w:val="21"/>
                <w:szCs w:val="21"/>
                <w:u w:val="none" w:color="auto"/>
              </w:rPr>
              <w:t>量(t/a)</w:t>
            </w:r>
          </w:p>
        </w:tc>
        <w:tc>
          <w:tcPr>
            <w:tcW w:w="861" w:type="dxa"/>
            <w:tcBorders>
              <w:tl2br w:val="nil"/>
              <w:tr2bl w:val="nil"/>
            </w:tcBorders>
            <w:noWrap w:val="0"/>
            <w:vAlign w:val="center"/>
          </w:tcPr>
          <w:p w14:paraId="471E9C4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产生来源</w:t>
            </w:r>
          </w:p>
        </w:tc>
        <w:tc>
          <w:tcPr>
            <w:tcW w:w="479" w:type="dxa"/>
            <w:tcBorders>
              <w:tl2br w:val="nil"/>
              <w:tr2bl w:val="nil"/>
            </w:tcBorders>
            <w:noWrap w:val="0"/>
            <w:vAlign w:val="center"/>
          </w:tcPr>
          <w:p w14:paraId="67BE0CF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形态</w:t>
            </w:r>
          </w:p>
        </w:tc>
        <w:tc>
          <w:tcPr>
            <w:tcW w:w="833" w:type="dxa"/>
            <w:tcBorders>
              <w:tl2br w:val="nil"/>
              <w:tr2bl w:val="nil"/>
            </w:tcBorders>
            <w:noWrap w:val="0"/>
            <w:vAlign w:val="center"/>
          </w:tcPr>
          <w:p w14:paraId="480AC51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主要</w:t>
            </w:r>
            <w:r>
              <w:rPr>
                <w:rFonts w:hint="default" w:ascii="Times New Roman" w:hAnsi="Times New Roman" w:eastAsia="宋体" w:cs="Times New Roman"/>
                <w:b/>
                <w:bCs/>
                <w:color w:val="auto"/>
                <w:sz w:val="21"/>
                <w:szCs w:val="21"/>
                <w:u w:val="none" w:color="auto"/>
                <w:lang w:eastAsia="zh-CN"/>
              </w:rPr>
              <w:t>有害</w:t>
            </w:r>
            <w:r>
              <w:rPr>
                <w:rFonts w:hint="default" w:ascii="Times New Roman" w:hAnsi="Times New Roman" w:eastAsia="宋体" w:cs="Times New Roman"/>
                <w:b/>
                <w:bCs/>
                <w:color w:val="auto"/>
                <w:sz w:val="21"/>
                <w:szCs w:val="21"/>
                <w:u w:val="none" w:color="auto"/>
              </w:rPr>
              <w:t>成分</w:t>
            </w:r>
          </w:p>
        </w:tc>
        <w:tc>
          <w:tcPr>
            <w:tcW w:w="663" w:type="dxa"/>
            <w:tcBorders>
              <w:tl2br w:val="nil"/>
              <w:tr2bl w:val="nil"/>
            </w:tcBorders>
            <w:noWrap w:val="0"/>
            <w:vAlign w:val="center"/>
          </w:tcPr>
          <w:p w14:paraId="5D1CB41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产废周期</w:t>
            </w:r>
          </w:p>
        </w:tc>
        <w:tc>
          <w:tcPr>
            <w:tcW w:w="650" w:type="dxa"/>
            <w:tcBorders>
              <w:tl2br w:val="nil"/>
              <w:tr2bl w:val="nil"/>
            </w:tcBorders>
            <w:noWrap w:val="0"/>
            <w:vAlign w:val="center"/>
          </w:tcPr>
          <w:p w14:paraId="7EA5A8B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危险特性</w:t>
            </w:r>
          </w:p>
        </w:tc>
        <w:tc>
          <w:tcPr>
            <w:tcW w:w="1058" w:type="dxa"/>
            <w:tcBorders>
              <w:tl2br w:val="nil"/>
              <w:tr2bl w:val="nil"/>
            </w:tcBorders>
            <w:noWrap w:val="0"/>
            <w:vAlign w:val="center"/>
          </w:tcPr>
          <w:p w14:paraId="1F3DFDE4">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污染防治措施</w:t>
            </w:r>
          </w:p>
        </w:tc>
      </w:tr>
      <w:tr w14:paraId="18BE6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2C2455E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156" w:type="dxa"/>
            <w:tcBorders>
              <w:tl2br w:val="nil"/>
              <w:tr2bl w:val="nil"/>
            </w:tcBorders>
            <w:noWrap w:val="0"/>
            <w:vAlign w:val="center"/>
          </w:tcPr>
          <w:p w14:paraId="53EBB48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废矿物油</w:t>
            </w:r>
          </w:p>
        </w:tc>
        <w:tc>
          <w:tcPr>
            <w:tcW w:w="819" w:type="dxa"/>
            <w:tcBorders>
              <w:tl2br w:val="nil"/>
              <w:tr2bl w:val="nil"/>
            </w:tcBorders>
            <w:noWrap w:val="0"/>
            <w:vAlign w:val="center"/>
          </w:tcPr>
          <w:p w14:paraId="67A589D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22214927">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eastAsia="zh-CN"/>
              </w:rPr>
              <w:t>900-</w:t>
            </w:r>
            <w:r>
              <w:rPr>
                <w:rFonts w:hint="default" w:ascii="Times New Roman" w:hAnsi="Times New Roman" w:eastAsia="宋体" w:cs="Times New Roman"/>
                <w:color w:val="auto"/>
                <w:sz w:val="21"/>
                <w:szCs w:val="21"/>
                <w:u w:val="none" w:color="auto"/>
                <w:lang w:val="en-US" w:eastAsia="zh-CN"/>
              </w:rPr>
              <w:t>214-08</w:t>
            </w:r>
          </w:p>
        </w:tc>
        <w:tc>
          <w:tcPr>
            <w:tcW w:w="762" w:type="dxa"/>
            <w:tcBorders>
              <w:tl2br w:val="nil"/>
              <w:tr2bl w:val="nil"/>
            </w:tcBorders>
            <w:noWrap w:val="0"/>
            <w:vAlign w:val="center"/>
          </w:tcPr>
          <w:p w14:paraId="62B605D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0.1</w:t>
            </w:r>
          </w:p>
        </w:tc>
        <w:tc>
          <w:tcPr>
            <w:tcW w:w="861" w:type="dxa"/>
            <w:tcBorders>
              <w:tl2br w:val="nil"/>
              <w:tr2bl w:val="nil"/>
            </w:tcBorders>
            <w:noWrap w:val="0"/>
            <w:vAlign w:val="center"/>
          </w:tcPr>
          <w:p w14:paraId="4A1FD5BD">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6D46C8F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19495A6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65E5840A">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549BA09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restart"/>
            <w:tcBorders>
              <w:tl2br w:val="nil"/>
              <w:tr2bl w:val="nil"/>
            </w:tcBorders>
            <w:noWrap w:val="0"/>
            <w:vAlign w:val="center"/>
          </w:tcPr>
          <w:p w14:paraId="10F97010">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暂存于危废暂存间、定期交由有资质单位处置</w:t>
            </w:r>
          </w:p>
        </w:tc>
      </w:tr>
      <w:tr w14:paraId="3938C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0692CF6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156" w:type="dxa"/>
            <w:tcBorders>
              <w:tl2br w:val="nil"/>
              <w:tr2bl w:val="nil"/>
            </w:tcBorders>
            <w:noWrap w:val="0"/>
            <w:vAlign w:val="center"/>
          </w:tcPr>
          <w:p w14:paraId="569B90C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废液压油</w:t>
            </w:r>
          </w:p>
        </w:tc>
        <w:tc>
          <w:tcPr>
            <w:tcW w:w="819" w:type="dxa"/>
            <w:tcBorders>
              <w:tl2br w:val="nil"/>
              <w:tr2bl w:val="nil"/>
            </w:tcBorders>
            <w:noWrap w:val="0"/>
            <w:vAlign w:val="center"/>
          </w:tcPr>
          <w:p w14:paraId="227437B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03AF2637">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900-218-08</w:t>
            </w:r>
          </w:p>
        </w:tc>
        <w:tc>
          <w:tcPr>
            <w:tcW w:w="762" w:type="dxa"/>
            <w:tcBorders>
              <w:tl2br w:val="nil"/>
              <w:tr2bl w:val="nil"/>
            </w:tcBorders>
            <w:noWrap w:val="0"/>
            <w:vAlign w:val="center"/>
          </w:tcPr>
          <w:p w14:paraId="34F63AB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0.4</w:t>
            </w:r>
          </w:p>
        </w:tc>
        <w:tc>
          <w:tcPr>
            <w:tcW w:w="861" w:type="dxa"/>
            <w:tcBorders>
              <w:tl2br w:val="nil"/>
              <w:tr2bl w:val="nil"/>
            </w:tcBorders>
            <w:noWrap w:val="0"/>
            <w:vAlign w:val="center"/>
          </w:tcPr>
          <w:p w14:paraId="4430FCCD">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3EA7E4C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185795E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7F06C72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3B85C25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78756B9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7A6C8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1F65258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1156" w:type="dxa"/>
            <w:tcBorders>
              <w:tl2br w:val="nil"/>
              <w:tr2bl w:val="nil"/>
            </w:tcBorders>
            <w:noWrap w:val="0"/>
            <w:vAlign w:val="center"/>
          </w:tcPr>
          <w:p w14:paraId="14C4470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废含油抹布及手套</w:t>
            </w:r>
          </w:p>
        </w:tc>
        <w:tc>
          <w:tcPr>
            <w:tcW w:w="819" w:type="dxa"/>
            <w:tcBorders>
              <w:tl2br w:val="nil"/>
              <w:tr2bl w:val="nil"/>
            </w:tcBorders>
            <w:noWrap w:val="0"/>
            <w:vAlign w:val="center"/>
          </w:tcPr>
          <w:p w14:paraId="6DB80AA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HW</w:t>
            </w:r>
            <w:r>
              <w:rPr>
                <w:rFonts w:hint="eastAsia" w:ascii="Times New Roman" w:hAnsi="Times New Roman" w:eastAsia="宋体" w:cs="Times New Roman"/>
                <w:color w:val="auto"/>
                <w:sz w:val="21"/>
                <w:szCs w:val="21"/>
                <w:u w:val="none" w:color="auto"/>
                <w:lang w:val="en-US" w:eastAsia="zh-CN"/>
              </w:rPr>
              <w:t>49</w:t>
            </w:r>
          </w:p>
        </w:tc>
        <w:tc>
          <w:tcPr>
            <w:tcW w:w="819" w:type="dxa"/>
            <w:tcBorders>
              <w:tl2br w:val="nil"/>
              <w:tr2bl w:val="nil"/>
            </w:tcBorders>
            <w:noWrap w:val="0"/>
            <w:vAlign w:val="center"/>
          </w:tcPr>
          <w:p w14:paraId="283F46E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900-041-49</w:t>
            </w:r>
          </w:p>
        </w:tc>
        <w:tc>
          <w:tcPr>
            <w:tcW w:w="762" w:type="dxa"/>
            <w:tcBorders>
              <w:tl2br w:val="nil"/>
              <w:tr2bl w:val="nil"/>
            </w:tcBorders>
            <w:noWrap w:val="0"/>
            <w:vAlign w:val="center"/>
          </w:tcPr>
          <w:p w14:paraId="4DD44D9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0.01</w:t>
            </w:r>
          </w:p>
        </w:tc>
        <w:tc>
          <w:tcPr>
            <w:tcW w:w="861" w:type="dxa"/>
            <w:tcBorders>
              <w:tl2br w:val="nil"/>
              <w:tr2bl w:val="nil"/>
            </w:tcBorders>
            <w:noWrap w:val="0"/>
            <w:vAlign w:val="center"/>
          </w:tcPr>
          <w:p w14:paraId="3697357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57EDCDB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59B2EF4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21E31CF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51D1C14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47D4AF8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76BC7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28B3E3CF">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w:t>
            </w:r>
          </w:p>
        </w:tc>
        <w:tc>
          <w:tcPr>
            <w:tcW w:w="1156" w:type="dxa"/>
            <w:tcBorders>
              <w:tl2br w:val="nil"/>
              <w:tr2bl w:val="nil"/>
            </w:tcBorders>
            <w:noWrap w:val="0"/>
            <w:vAlign w:val="center"/>
          </w:tcPr>
          <w:p w14:paraId="7530FF14">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废导热油</w:t>
            </w:r>
          </w:p>
        </w:tc>
        <w:tc>
          <w:tcPr>
            <w:tcW w:w="819" w:type="dxa"/>
            <w:tcBorders>
              <w:tl2br w:val="nil"/>
              <w:tr2bl w:val="nil"/>
            </w:tcBorders>
            <w:noWrap w:val="0"/>
            <w:vAlign w:val="center"/>
          </w:tcPr>
          <w:p w14:paraId="0AB62F1B">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682E19EC">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900-249-08</w:t>
            </w:r>
          </w:p>
        </w:tc>
        <w:tc>
          <w:tcPr>
            <w:tcW w:w="762" w:type="dxa"/>
            <w:tcBorders>
              <w:tl2br w:val="nil"/>
              <w:tr2bl w:val="nil"/>
            </w:tcBorders>
            <w:noWrap w:val="0"/>
            <w:vAlign w:val="center"/>
          </w:tcPr>
          <w:p w14:paraId="3B9D8BC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861" w:type="dxa"/>
            <w:tcBorders>
              <w:tl2br w:val="nil"/>
              <w:tr2bl w:val="nil"/>
            </w:tcBorders>
            <w:noWrap w:val="0"/>
            <w:vAlign w:val="center"/>
          </w:tcPr>
          <w:p w14:paraId="72F301B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配套导热油炉</w:t>
            </w:r>
          </w:p>
        </w:tc>
        <w:tc>
          <w:tcPr>
            <w:tcW w:w="479" w:type="dxa"/>
            <w:tcBorders>
              <w:tl2br w:val="nil"/>
              <w:tr2bl w:val="nil"/>
            </w:tcBorders>
            <w:noWrap w:val="0"/>
            <w:vAlign w:val="center"/>
          </w:tcPr>
          <w:p w14:paraId="5A7A5EF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液体</w:t>
            </w:r>
          </w:p>
        </w:tc>
        <w:tc>
          <w:tcPr>
            <w:tcW w:w="833" w:type="dxa"/>
            <w:tcBorders>
              <w:tl2br w:val="nil"/>
              <w:tr2bl w:val="nil"/>
            </w:tcBorders>
            <w:noWrap w:val="0"/>
            <w:vAlign w:val="center"/>
          </w:tcPr>
          <w:p w14:paraId="14697EA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7F5AFF2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29F4566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2C79C59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115BF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4FDA6FF4">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w:t>
            </w:r>
          </w:p>
        </w:tc>
        <w:tc>
          <w:tcPr>
            <w:tcW w:w="1156" w:type="dxa"/>
            <w:tcBorders>
              <w:tl2br w:val="nil"/>
              <w:tr2bl w:val="nil"/>
            </w:tcBorders>
            <w:noWrap w:val="0"/>
            <w:vAlign w:val="center"/>
          </w:tcPr>
          <w:p w14:paraId="6BF7064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废油桶</w:t>
            </w:r>
          </w:p>
        </w:tc>
        <w:tc>
          <w:tcPr>
            <w:tcW w:w="819" w:type="dxa"/>
            <w:tcBorders>
              <w:tl2br w:val="nil"/>
              <w:tr2bl w:val="nil"/>
            </w:tcBorders>
            <w:noWrap w:val="0"/>
            <w:vAlign w:val="center"/>
          </w:tcPr>
          <w:p w14:paraId="32C2455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0AC0AFD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900-249-08</w:t>
            </w:r>
          </w:p>
        </w:tc>
        <w:tc>
          <w:tcPr>
            <w:tcW w:w="762" w:type="dxa"/>
            <w:tcBorders>
              <w:tl2br w:val="nil"/>
              <w:tr2bl w:val="nil"/>
            </w:tcBorders>
            <w:noWrap w:val="0"/>
            <w:vAlign w:val="center"/>
          </w:tcPr>
          <w:p w14:paraId="15EE93A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w:t>
            </w:r>
          </w:p>
        </w:tc>
        <w:tc>
          <w:tcPr>
            <w:tcW w:w="861" w:type="dxa"/>
            <w:tcBorders>
              <w:tl2br w:val="nil"/>
              <w:tr2bl w:val="nil"/>
            </w:tcBorders>
            <w:noWrap w:val="0"/>
            <w:vAlign w:val="center"/>
          </w:tcPr>
          <w:p w14:paraId="615F9A5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设备维修</w:t>
            </w:r>
          </w:p>
        </w:tc>
        <w:tc>
          <w:tcPr>
            <w:tcW w:w="479" w:type="dxa"/>
            <w:tcBorders>
              <w:tl2br w:val="nil"/>
              <w:tr2bl w:val="nil"/>
            </w:tcBorders>
            <w:noWrap w:val="0"/>
            <w:vAlign w:val="center"/>
          </w:tcPr>
          <w:p w14:paraId="418B611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0DD8CD7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1B92F9E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16648FE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0171315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34CF4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5507E63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1156" w:type="dxa"/>
            <w:tcBorders>
              <w:tl2br w:val="nil"/>
              <w:tr2bl w:val="nil"/>
            </w:tcBorders>
            <w:noWrap w:val="0"/>
            <w:vAlign w:val="center"/>
          </w:tcPr>
          <w:p w14:paraId="7672212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废活性炭</w:t>
            </w:r>
          </w:p>
        </w:tc>
        <w:tc>
          <w:tcPr>
            <w:tcW w:w="819" w:type="dxa"/>
            <w:tcBorders>
              <w:tl2br w:val="nil"/>
              <w:tr2bl w:val="nil"/>
            </w:tcBorders>
            <w:noWrap w:val="0"/>
            <w:vAlign w:val="center"/>
          </w:tcPr>
          <w:p w14:paraId="091684F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HW49</w:t>
            </w:r>
          </w:p>
        </w:tc>
        <w:tc>
          <w:tcPr>
            <w:tcW w:w="819" w:type="dxa"/>
            <w:tcBorders>
              <w:tl2br w:val="nil"/>
              <w:tr2bl w:val="nil"/>
            </w:tcBorders>
            <w:noWrap w:val="0"/>
            <w:vAlign w:val="center"/>
          </w:tcPr>
          <w:p w14:paraId="0E1FB5D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900-039-49</w:t>
            </w:r>
          </w:p>
        </w:tc>
        <w:tc>
          <w:tcPr>
            <w:tcW w:w="762" w:type="dxa"/>
            <w:tcBorders>
              <w:tl2br w:val="nil"/>
              <w:tr2bl w:val="nil"/>
            </w:tcBorders>
            <w:noWrap w:val="0"/>
            <w:vAlign w:val="center"/>
          </w:tcPr>
          <w:p w14:paraId="03E7494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8.735</w:t>
            </w:r>
          </w:p>
        </w:tc>
        <w:tc>
          <w:tcPr>
            <w:tcW w:w="861" w:type="dxa"/>
            <w:tcBorders>
              <w:tl2br w:val="nil"/>
              <w:tr2bl w:val="nil"/>
            </w:tcBorders>
            <w:noWrap w:val="0"/>
            <w:vAlign w:val="center"/>
          </w:tcPr>
          <w:p w14:paraId="52DB9BE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废气处理</w:t>
            </w:r>
          </w:p>
        </w:tc>
        <w:tc>
          <w:tcPr>
            <w:tcW w:w="479" w:type="dxa"/>
            <w:tcBorders>
              <w:tl2br w:val="nil"/>
              <w:tr2bl w:val="nil"/>
            </w:tcBorders>
            <w:noWrap w:val="0"/>
            <w:vAlign w:val="center"/>
          </w:tcPr>
          <w:p w14:paraId="0D34371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69EF02F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吸附有机废气</w:t>
            </w:r>
          </w:p>
        </w:tc>
        <w:tc>
          <w:tcPr>
            <w:tcW w:w="663" w:type="dxa"/>
            <w:tcBorders>
              <w:tl2br w:val="nil"/>
              <w:tr2bl w:val="nil"/>
            </w:tcBorders>
            <w:noWrap w:val="0"/>
            <w:vAlign w:val="center"/>
          </w:tcPr>
          <w:p w14:paraId="274166B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w:t>
            </w:r>
            <w:r>
              <w:rPr>
                <w:rFonts w:hint="eastAsia" w:ascii="Times New Roman" w:hAnsi="Times New Roman" w:eastAsia="宋体" w:cs="Times New Roman"/>
                <w:color w:val="auto"/>
                <w:sz w:val="21"/>
                <w:szCs w:val="21"/>
                <w:u w:val="none" w:color="auto"/>
                <w:lang w:val="en-US" w:eastAsia="zh-CN"/>
              </w:rPr>
              <w:t>季度</w:t>
            </w:r>
          </w:p>
        </w:tc>
        <w:tc>
          <w:tcPr>
            <w:tcW w:w="650" w:type="dxa"/>
            <w:tcBorders>
              <w:tl2br w:val="nil"/>
              <w:tr2bl w:val="nil"/>
            </w:tcBorders>
            <w:noWrap w:val="0"/>
            <w:vAlign w:val="center"/>
          </w:tcPr>
          <w:p w14:paraId="1025ADE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T</w:t>
            </w:r>
          </w:p>
        </w:tc>
        <w:tc>
          <w:tcPr>
            <w:tcW w:w="1058" w:type="dxa"/>
            <w:vMerge w:val="continue"/>
            <w:tcBorders>
              <w:tl2br w:val="nil"/>
              <w:tr2bl w:val="nil"/>
            </w:tcBorders>
            <w:noWrap w:val="0"/>
            <w:vAlign w:val="center"/>
          </w:tcPr>
          <w:p w14:paraId="72307174">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bl>
    <w:p w14:paraId="4FEE1516">
      <w:pPr>
        <w:pStyle w:val="29"/>
        <w:jc w:val="both"/>
        <w:rPr>
          <w:rStyle w:val="41"/>
          <w:rFonts w:hint="default" w:ascii="Times New Roman" w:hAnsi="Times New Roman" w:cs="Times New Roman"/>
          <w:b/>
          <w:color w:val="auto"/>
          <w:highlight w:val="none"/>
          <w:u w:val="none" w:color="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680C0AC9">
      <w:pPr>
        <w:pStyle w:val="7"/>
        <w:bidi w:val="0"/>
        <w:rPr>
          <w:rFonts w:hint="default"/>
          <w:color w:val="auto"/>
          <w:u w:val="none" w:color="auto"/>
        </w:rPr>
      </w:pPr>
      <w:bookmarkStart w:id="625" w:name="_Toc3332"/>
      <w:bookmarkStart w:id="626" w:name="_Toc11227"/>
      <w:bookmarkStart w:id="627" w:name="_Toc19158"/>
      <w:r>
        <w:rPr>
          <w:rFonts w:hint="eastAsia"/>
          <w:color w:val="auto"/>
          <w:u w:val="none" w:color="auto"/>
          <w:lang w:val="en-US" w:eastAsia="zh-CN"/>
        </w:rPr>
        <w:t>3.5</w:t>
      </w:r>
      <w:r>
        <w:rPr>
          <w:rFonts w:hint="default"/>
          <w:color w:val="auto"/>
          <w:u w:val="none" w:color="auto"/>
        </w:rPr>
        <w:t>污染物排放量汇总</w:t>
      </w:r>
      <w:bookmarkEnd w:id="622"/>
      <w:bookmarkEnd w:id="623"/>
      <w:bookmarkEnd w:id="624"/>
      <w:bookmarkEnd w:id="625"/>
      <w:bookmarkEnd w:id="626"/>
      <w:bookmarkEnd w:id="627"/>
    </w:p>
    <w:p w14:paraId="6CA9AD8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通过上述工程分析，本项目污染物排放量汇总见下表</w:t>
      </w:r>
      <w:r>
        <w:rPr>
          <w:rFonts w:hint="default" w:ascii="Times New Roman" w:hAnsi="Times New Roman" w:cs="Times New Roman"/>
          <w:color w:val="auto"/>
          <w:u w:val="none" w:color="auto"/>
          <w:lang w:eastAsia="zh-CN"/>
        </w:rPr>
        <w:t>。</w:t>
      </w:r>
    </w:p>
    <w:p w14:paraId="6CD861E2">
      <w:pPr>
        <w:pStyle w:val="31"/>
        <w:bidi w:val="0"/>
        <w:rPr>
          <w:rFonts w:hint="default"/>
          <w:color w:val="auto"/>
          <w:u w:val="none" w:color="auto"/>
        </w:rPr>
      </w:pPr>
      <w:r>
        <w:rPr>
          <w:rFonts w:hint="default"/>
          <w:color w:val="auto"/>
          <w:u w:val="none" w:color="auto"/>
        </w:rPr>
        <w:t>表</w:t>
      </w:r>
      <w:r>
        <w:rPr>
          <w:rFonts w:hint="eastAsia"/>
          <w:color w:val="auto"/>
          <w:u w:val="none" w:color="auto"/>
          <w:lang w:val="en-US" w:eastAsia="zh-CN"/>
        </w:rPr>
        <w:t>3.5</w:t>
      </w:r>
      <w:r>
        <w:rPr>
          <w:rFonts w:hint="default"/>
          <w:color w:val="auto"/>
          <w:u w:val="none" w:color="auto"/>
        </w:rPr>
        <w:t>-1 项目污染物产生及排放情况汇总表 单位：t/a</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85"/>
        <w:gridCol w:w="885"/>
        <w:gridCol w:w="900"/>
        <w:gridCol w:w="275"/>
        <w:gridCol w:w="865"/>
        <w:gridCol w:w="485"/>
        <w:gridCol w:w="580"/>
        <w:gridCol w:w="900"/>
        <w:gridCol w:w="997"/>
        <w:gridCol w:w="818"/>
        <w:gridCol w:w="675"/>
        <w:gridCol w:w="870"/>
        <w:gridCol w:w="530"/>
        <w:gridCol w:w="595"/>
        <w:gridCol w:w="656"/>
        <w:gridCol w:w="424"/>
        <w:gridCol w:w="900"/>
        <w:gridCol w:w="716"/>
      </w:tblGrid>
      <w:tr w14:paraId="3C2E6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48C93578">
            <w:pPr>
              <w:pStyle w:val="25"/>
              <w:bidi w:val="0"/>
              <w:rPr>
                <w:rFonts w:hint="default"/>
                <w:b/>
                <w:bCs/>
                <w:color w:val="auto"/>
                <w:u w:val="none" w:color="auto"/>
                <w:lang w:val="en-US" w:eastAsia="zh-CN"/>
              </w:rPr>
            </w:pPr>
            <w:bookmarkStart w:id="628" w:name="_Toc28632"/>
            <w:bookmarkStart w:id="629" w:name="_Toc25246"/>
            <w:bookmarkStart w:id="630" w:name="_Toc26943"/>
            <w:bookmarkStart w:id="631" w:name="_Toc2682"/>
            <w:bookmarkStart w:id="632" w:name="_Toc29928"/>
            <w:bookmarkStart w:id="633" w:name="_Toc5367"/>
            <w:bookmarkStart w:id="634" w:name="_Toc31562"/>
            <w:bookmarkStart w:id="635" w:name="_Toc21123"/>
            <w:r>
              <w:rPr>
                <w:rFonts w:hint="default"/>
                <w:b/>
                <w:bCs/>
                <w:color w:val="auto"/>
                <w:u w:val="none" w:color="auto"/>
                <w:lang w:eastAsia="zh-CN"/>
              </w:rPr>
              <w:t>污染源</w:t>
            </w:r>
          </w:p>
        </w:tc>
        <w:tc>
          <w:tcPr>
            <w:tcW w:w="1770" w:type="dxa"/>
            <w:gridSpan w:val="2"/>
            <w:vMerge w:val="restart"/>
            <w:noWrap w:val="0"/>
            <w:vAlign w:val="center"/>
          </w:tcPr>
          <w:p w14:paraId="7A2ABF77">
            <w:pPr>
              <w:pStyle w:val="25"/>
              <w:bidi w:val="0"/>
              <w:rPr>
                <w:rFonts w:hint="default"/>
                <w:b/>
                <w:bCs/>
                <w:color w:val="auto"/>
                <w:u w:val="none" w:color="auto"/>
                <w:lang w:val="en-US" w:eastAsia="zh-CN"/>
              </w:rPr>
            </w:pPr>
            <w:r>
              <w:rPr>
                <w:rFonts w:hint="default"/>
                <w:b/>
                <w:bCs/>
                <w:color w:val="auto"/>
                <w:u w:val="none" w:color="auto"/>
              </w:rPr>
              <w:t>污染物</w:t>
            </w:r>
          </w:p>
        </w:tc>
        <w:tc>
          <w:tcPr>
            <w:tcW w:w="4005" w:type="dxa"/>
            <w:gridSpan w:val="6"/>
            <w:noWrap w:val="0"/>
            <w:vAlign w:val="center"/>
          </w:tcPr>
          <w:p w14:paraId="4BB8B6E6">
            <w:pPr>
              <w:pStyle w:val="25"/>
              <w:bidi w:val="0"/>
              <w:rPr>
                <w:rFonts w:hint="default"/>
                <w:b/>
                <w:bCs/>
                <w:color w:val="auto"/>
                <w:u w:val="none" w:color="auto"/>
                <w:lang w:val="en-US" w:eastAsia="zh-CN"/>
              </w:rPr>
            </w:pPr>
            <w:r>
              <w:rPr>
                <w:rFonts w:hint="default"/>
                <w:b/>
                <w:bCs/>
                <w:color w:val="auto"/>
                <w:u w:val="none" w:color="auto"/>
                <w:lang w:eastAsia="zh-CN"/>
              </w:rPr>
              <w:t>污染物产生</w:t>
            </w:r>
          </w:p>
        </w:tc>
        <w:tc>
          <w:tcPr>
            <w:tcW w:w="2490" w:type="dxa"/>
            <w:gridSpan w:val="3"/>
            <w:noWrap w:val="0"/>
            <w:vAlign w:val="center"/>
          </w:tcPr>
          <w:p w14:paraId="27439498">
            <w:pPr>
              <w:pStyle w:val="25"/>
              <w:bidi w:val="0"/>
              <w:rPr>
                <w:rFonts w:hint="default"/>
                <w:b/>
                <w:bCs/>
                <w:color w:val="auto"/>
                <w:u w:val="none" w:color="auto"/>
                <w:lang w:val="en-US" w:eastAsia="zh-CN"/>
              </w:rPr>
            </w:pPr>
            <w:r>
              <w:rPr>
                <w:rFonts w:hint="default"/>
                <w:b/>
                <w:bCs/>
                <w:color w:val="auto"/>
                <w:u w:val="none" w:color="auto"/>
                <w:lang w:eastAsia="zh-CN"/>
              </w:rPr>
              <w:t>治理措施</w:t>
            </w:r>
          </w:p>
        </w:tc>
        <w:tc>
          <w:tcPr>
            <w:tcW w:w="3975" w:type="dxa"/>
            <w:gridSpan w:val="6"/>
            <w:noWrap w:val="0"/>
            <w:vAlign w:val="center"/>
          </w:tcPr>
          <w:p w14:paraId="0580C641">
            <w:pPr>
              <w:pStyle w:val="25"/>
              <w:bidi w:val="0"/>
              <w:rPr>
                <w:rFonts w:hint="default"/>
                <w:b/>
                <w:bCs/>
                <w:color w:val="auto"/>
                <w:u w:val="none" w:color="auto"/>
                <w:lang w:val="en-US" w:eastAsia="zh-CN"/>
              </w:rPr>
            </w:pPr>
            <w:r>
              <w:rPr>
                <w:rFonts w:hint="default"/>
                <w:b/>
                <w:bCs/>
                <w:color w:val="auto"/>
                <w:u w:val="none" w:color="auto"/>
                <w:lang w:eastAsia="zh-CN"/>
              </w:rPr>
              <w:t>污染物排放</w:t>
            </w:r>
          </w:p>
        </w:tc>
        <w:tc>
          <w:tcPr>
            <w:tcW w:w="716" w:type="dxa"/>
            <w:vMerge w:val="restart"/>
            <w:noWrap w:val="0"/>
            <w:vAlign w:val="center"/>
          </w:tcPr>
          <w:p w14:paraId="0ADC43D9">
            <w:pPr>
              <w:pStyle w:val="25"/>
              <w:bidi w:val="0"/>
              <w:rPr>
                <w:rFonts w:hint="default"/>
                <w:b/>
                <w:bCs/>
                <w:color w:val="auto"/>
                <w:u w:val="none" w:color="auto"/>
                <w:lang w:val="en-US" w:eastAsia="zh-CN"/>
              </w:rPr>
            </w:pPr>
            <w:r>
              <w:rPr>
                <w:rFonts w:hint="default"/>
                <w:b/>
                <w:bCs/>
                <w:color w:val="auto"/>
                <w:u w:val="none" w:color="auto"/>
                <w:lang w:eastAsia="zh-CN"/>
              </w:rPr>
              <w:t>排放时间（</w:t>
            </w:r>
            <w:r>
              <w:rPr>
                <w:rFonts w:hint="default"/>
                <w:b/>
                <w:bCs/>
                <w:color w:val="auto"/>
                <w:u w:val="none" w:color="auto"/>
                <w:lang w:val="en-US" w:eastAsia="zh-CN"/>
              </w:rPr>
              <w:t>h</w:t>
            </w:r>
            <w:r>
              <w:rPr>
                <w:rFonts w:hint="default"/>
                <w:b/>
                <w:bCs/>
                <w:color w:val="auto"/>
                <w:u w:val="none" w:color="auto"/>
                <w:lang w:eastAsia="zh-CN"/>
              </w:rPr>
              <w:t>）</w:t>
            </w:r>
          </w:p>
        </w:tc>
      </w:tr>
      <w:tr w14:paraId="5D7EA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F1693E2">
            <w:pPr>
              <w:pStyle w:val="25"/>
              <w:bidi w:val="0"/>
              <w:rPr>
                <w:rFonts w:hint="default"/>
                <w:b/>
                <w:bCs/>
                <w:color w:val="auto"/>
                <w:u w:val="none" w:color="auto"/>
                <w:lang w:eastAsia="zh-CN"/>
              </w:rPr>
            </w:pPr>
          </w:p>
        </w:tc>
        <w:tc>
          <w:tcPr>
            <w:tcW w:w="1770" w:type="dxa"/>
            <w:gridSpan w:val="2"/>
            <w:vMerge w:val="continue"/>
            <w:noWrap w:val="0"/>
            <w:vAlign w:val="center"/>
          </w:tcPr>
          <w:p w14:paraId="559CD103">
            <w:pPr>
              <w:pStyle w:val="25"/>
              <w:bidi w:val="0"/>
              <w:rPr>
                <w:rFonts w:hint="default"/>
                <w:b/>
                <w:bCs/>
                <w:color w:val="auto"/>
                <w:u w:val="none" w:color="auto"/>
              </w:rPr>
            </w:pPr>
          </w:p>
        </w:tc>
        <w:tc>
          <w:tcPr>
            <w:tcW w:w="900" w:type="dxa"/>
            <w:noWrap w:val="0"/>
            <w:vAlign w:val="center"/>
          </w:tcPr>
          <w:p w14:paraId="75592094">
            <w:pPr>
              <w:pStyle w:val="25"/>
              <w:bidi w:val="0"/>
              <w:rPr>
                <w:rFonts w:hint="default"/>
                <w:b/>
                <w:bCs/>
                <w:color w:val="auto"/>
                <w:u w:val="none" w:color="auto"/>
                <w:lang w:eastAsia="zh-CN"/>
              </w:rPr>
            </w:pPr>
            <w:r>
              <w:rPr>
                <w:rFonts w:hint="default"/>
                <w:b/>
                <w:bCs/>
                <w:color w:val="auto"/>
                <w:u w:val="none" w:color="auto"/>
                <w:lang w:eastAsia="zh-CN"/>
              </w:rPr>
              <w:t>核算</w:t>
            </w:r>
          </w:p>
          <w:p w14:paraId="6A687BBB">
            <w:pPr>
              <w:pStyle w:val="25"/>
              <w:bidi w:val="0"/>
              <w:rPr>
                <w:rFonts w:hint="default"/>
                <w:b/>
                <w:bCs/>
                <w:color w:val="auto"/>
                <w:u w:val="none" w:color="auto"/>
                <w:lang w:val="en-US" w:eastAsia="zh-CN"/>
              </w:rPr>
            </w:pPr>
            <w:r>
              <w:rPr>
                <w:rFonts w:hint="default"/>
                <w:b/>
                <w:bCs/>
                <w:color w:val="auto"/>
                <w:u w:val="none" w:color="auto"/>
                <w:lang w:eastAsia="zh-CN"/>
              </w:rPr>
              <w:t>方案</w:t>
            </w:r>
          </w:p>
        </w:tc>
        <w:tc>
          <w:tcPr>
            <w:tcW w:w="1140" w:type="dxa"/>
            <w:gridSpan w:val="2"/>
            <w:noWrap w:val="0"/>
            <w:vAlign w:val="center"/>
          </w:tcPr>
          <w:p w14:paraId="5FC87C3F">
            <w:pPr>
              <w:pStyle w:val="25"/>
              <w:bidi w:val="0"/>
              <w:rPr>
                <w:rFonts w:hint="default"/>
                <w:b/>
                <w:bCs/>
                <w:color w:val="auto"/>
                <w:u w:val="none" w:color="auto"/>
                <w:lang w:val="en-US" w:eastAsia="zh-CN"/>
              </w:rPr>
            </w:pPr>
            <w:r>
              <w:rPr>
                <w:rFonts w:hint="default"/>
                <w:b/>
                <w:bCs/>
                <w:color w:val="auto"/>
                <w:u w:val="none" w:color="auto"/>
                <w:lang w:eastAsia="zh-CN"/>
              </w:rPr>
              <w:t>产生浓度（</w:t>
            </w:r>
            <w:r>
              <w:rPr>
                <w:rFonts w:hint="default"/>
                <w:b/>
                <w:bCs/>
                <w:color w:val="auto"/>
                <w:u w:val="none" w:color="auto"/>
                <w:lang w:val="en-US" w:eastAsia="zh-CN"/>
              </w:rPr>
              <w:t>mg/m</w:t>
            </w:r>
            <w:r>
              <w:rPr>
                <w:rFonts w:hint="default"/>
                <w:b/>
                <w:bCs/>
                <w:color w:val="auto"/>
                <w:u w:val="none" w:color="auto"/>
                <w:vertAlign w:val="superscript"/>
                <w:lang w:val="en-US" w:eastAsia="zh-CN"/>
              </w:rPr>
              <w:t>3</w:t>
            </w:r>
            <w:r>
              <w:rPr>
                <w:rFonts w:hint="default"/>
                <w:b/>
                <w:bCs/>
                <w:color w:val="auto"/>
                <w:u w:val="none" w:color="auto"/>
                <w:lang w:eastAsia="zh-CN"/>
              </w:rPr>
              <w:t>）</w:t>
            </w:r>
          </w:p>
        </w:tc>
        <w:tc>
          <w:tcPr>
            <w:tcW w:w="1065" w:type="dxa"/>
            <w:gridSpan w:val="2"/>
            <w:noWrap w:val="0"/>
            <w:vAlign w:val="center"/>
          </w:tcPr>
          <w:p w14:paraId="6031B53F">
            <w:pPr>
              <w:pStyle w:val="25"/>
              <w:bidi w:val="0"/>
              <w:rPr>
                <w:rFonts w:hint="default"/>
                <w:b/>
                <w:bCs/>
                <w:color w:val="auto"/>
                <w:u w:val="none" w:color="auto"/>
                <w:lang w:val="en-US" w:eastAsia="zh-CN"/>
              </w:rPr>
            </w:pPr>
            <w:r>
              <w:rPr>
                <w:rFonts w:hint="default"/>
                <w:b/>
                <w:bCs/>
                <w:color w:val="auto"/>
                <w:u w:val="none" w:color="auto"/>
              </w:rPr>
              <w:t>产生</w:t>
            </w:r>
            <w:r>
              <w:rPr>
                <w:rFonts w:hint="default"/>
                <w:b/>
                <w:bCs/>
                <w:color w:val="auto"/>
                <w:u w:val="none" w:color="auto"/>
                <w:lang w:eastAsia="zh-CN"/>
              </w:rPr>
              <w:t>速率（</w:t>
            </w:r>
            <w:r>
              <w:rPr>
                <w:rFonts w:hint="default"/>
                <w:b/>
                <w:bCs/>
                <w:color w:val="auto"/>
                <w:u w:val="none" w:color="auto"/>
                <w:lang w:val="en-US" w:eastAsia="zh-CN"/>
              </w:rPr>
              <w:t>kg</w:t>
            </w:r>
            <w:r>
              <w:rPr>
                <w:rFonts w:hint="default"/>
                <w:b/>
                <w:bCs/>
                <w:color w:val="auto"/>
                <w:u w:val="none" w:color="auto"/>
                <w:lang w:val="nl-NL"/>
              </w:rPr>
              <w:t>/</w:t>
            </w:r>
            <w:r>
              <w:rPr>
                <w:rFonts w:hint="default"/>
                <w:b/>
                <w:bCs/>
                <w:color w:val="auto"/>
                <w:u w:val="none" w:color="auto"/>
                <w:lang w:val="en-US" w:eastAsia="zh-CN"/>
              </w:rPr>
              <w:t>h</w:t>
            </w:r>
            <w:r>
              <w:rPr>
                <w:rFonts w:hint="default"/>
                <w:b/>
                <w:bCs/>
                <w:color w:val="auto"/>
                <w:u w:val="none" w:color="auto"/>
                <w:lang w:eastAsia="zh-CN"/>
              </w:rPr>
              <w:t>）</w:t>
            </w:r>
          </w:p>
        </w:tc>
        <w:tc>
          <w:tcPr>
            <w:tcW w:w="900" w:type="dxa"/>
            <w:noWrap w:val="0"/>
            <w:vAlign w:val="center"/>
          </w:tcPr>
          <w:p w14:paraId="1EC809F6">
            <w:pPr>
              <w:pStyle w:val="25"/>
              <w:bidi w:val="0"/>
              <w:rPr>
                <w:rFonts w:hint="default"/>
                <w:b/>
                <w:bCs/>
                <w:color w:val="auto"/>
                <w:u w:val="none" w:color="auto"/>
                <w:lang w:val="en-US" w:eastAsia="zh-CN"/>
              </w:rPr>
            </w:pPr>
            <w:r>
              <w:rPr>
                <w:rFonts w:hint="default"/>
                <w:b/>
                <w:bCs/>
                <w:color w:val="auto"/>
                <w:u w:val="none" w:color="auto"/>
              </w:rPr>
              <w:t>产生量</w:t>
            </w:r>
            <w:r>
              <w:rPr>
                <w:rFonts w:hint="default"/>
                <w:b/>
                <w:bCs/>
                <w:color w:val="auto"/>
                <w:u w:val="none" w:color="auto"/>
                <w:lang w:eastAsia="zh-CN"/>
              </w:rPr>
              <w:t>（</w:t>
            </w:r>
            <w:r>
              <w:rPr>
                <w:rFonts w:hint="default"/>
                <w:b/>
                <w:bCs/>
                <w:color w:val="auto"/>
                <w:u w:val="none" w:color="auto"/>
              </w:rPr>
              <w:t>t/a</w:t>
            </w:r>
            <w:r>
              <w:rPr>
                <w:rFonts w:hint="default"/>
                <w:b/>
                <w:bCs/>
                <w:color w:val="auto"/>
                <w:u w:val="none" w:color="auto"/>
                <w:lang w:eastAsia="zh-CN"/>
              </w:rPr>
              <w:t>）</w:t>
            </w:r>
          </w:p>
        </w:tc>
        <w:tc>
          <w:tcPr>
            <w:tcW w:w="1815" w:type="dxa"/>
            <w:gridSpan w:val="2"/>
            <w:noWrap w:val="0"/>
            <w:vAlign w:val="center"/>
          </w:tcPr>
          <w:p w14:paraId="753DEA66">
            <w:pPr>
              <w:pStyle w:val="25"/>
              <w:bidi w:val="0"/>
              <w:rPr>
                <w:rFonts w:hint="default"/>
                <w:b/>
                <w:bCs/>
                <w:color w:val="auto"/>
                <w:u w:val="none" w:color="auto"/>
                <w:lang w:val="en-US" w:eastAsia="zh-CN"/>
              </w:rPr>
            </w:pPr>
            <w:r>
              <w:rPr>
                <w:rFonts w:hint="default"/>
                <w:b/>
                <w:bCs/>
                <w:color w:val="auto"/>
                <w:u w:val="none" w:color="auto"/>
                <w:lang w:eastAsia="zh-CN"/>
              </w:rPr>
              <w:t>工艺</w:t>
            </w:r>
          </w:p>
        </w:tc>
        <w:tc>
          <w:tcPr>
            <w:tcW w:w="675" w:type="dxa"/>
            <w:noWrap w:val="0"/>
            <w:vAlign w:val="center"/>
          </w:tcPr>
          <w:p w14:paraId="013DA8A5">
            <w:pPr>
              <w:pStyle w:val="25"/>
              <w:bidi w:val="0"/>
              <w:rPr>
                <w:rFonts w:hint="default"/>
                <w:b/>
                <w:bCs/>
                <w:color w:val="auto"/>
                <w:u w:val="none" w:color="auto"/>
                <w:lang w:val="en-US" w:eastAsia="zh-CN"/>
              </w:rPr>
            </w:pPr>
            <w:r>
              <w:rPr>
                <w:rFonts w:hint="default"/>
                <w:b/>
                <w:bCs/>
                <w:color w:val="auto"/>
                <w:u w:val="none" w:color="auto"/>
                <w:lang w:eastAsia="zh-CN"/>
              </w:rPr>
              <w:t>效率</w:t>
            </w:r>
            <w:r>
              <w:rPr>
                <w:rFonts w:hint="default"/>
                <w:b/>
                <w:bCs/>
                <w:color w:val="auto"/>
                <w:u w:val="none" w:color="auto"/>
                <w:lang w:val="en-US" w:eastAsia="zh-CN"/>
              </w:rPr>
              <w:t>%</w:t>
            </w:r>
          </w:p>
        </w:tc>
        <w:tc>
          <w:tcPr>
            <w:tcW w:w="870" w:type="dxa"/>
            <w:noWrap w:val="0"/>
            <w:vAlign w:val="center"/>
          </w:tcPr>
          <w:p w14:paraId="076BCF51">
            <w:pPr>
              <w:pStyle w:val="25"/>
              <w:bidi w:val="0"/>
              <w:rPr>
                <w:rFonts w:hint="default"/>
                <w:b/>
                <w:bCs/>
                <w:color w:val="auto"/>
                <w:u w:val="none" w:color="auto"/>
                <w:lang w:eastAsia="zh-CN"/>
              </w:rPr>
            </w:pPr>
            <w:r>
              <w:rPr>
                <w:rFonts w:hint="default"/>
                <w:b/>
                <w:bCs/>
                <w:color w:val="auto"/>
                <w:u w:val="none" w:color="auto"/>
                <w:lang w:eastAsia="zh-CN"/>
              </w:rPr>
              <w:t>核算</w:t>
            </w:r>
          </w:p>
          <w:p w14:paraId="3C31C44A">
            <w:pPr>
              <w:pStyle w:val="25"/>
              <w:bidi w:val="0"/>
              <w:rPr>
                <w:rFonts w:hint="default"/>
                <w:b/>
                <w:bCs/>
                <w:color w:val="auto"/>
                <w:u w:val="none" w:color="auto"/>
                <w:lang w:val="en-US" w:eastAsia="zh-CN"/>
              </w:rPr>
            </w:pPr>
            <w:r>
              <w:rPr>
                <w:rFonts w:hint="default"/>
                <w:b/>
                <w:bCs/>
                <w:color w:val="auto"/>
                <w:u w:val="none" w:color="auto"/>
                <w:lang w:eastAsia="zh-CN"/>
              </w:rPr>
              <w:t>方案</w:t>
            </w:r>
          </w:p>
        </w:tc>
        <w:tc>
          <w:tcPr>
            <w:tcW w:w="1125" w:type="dxa"/>
            <w:gridSpan w:val="2"/>
            <w:noWrap w:val="0"/>
            <w:vAlign w:val="center"/>
          </w:tcPr>
          <w:p w14:paraId="6BBAB35B">
            <w:pPr>
              <w:pStyle w:val="25"/>
              <w:bidi w:val="0"/>
              <w:rPr>
                <w:rFonts w:hint="default"/>
                <w:b/>
                <w:bCs/>
                <w:color w:val="auto"/>
                <w:u w:val="none" w:color="auto"/>
                <w:lang w:val="en-US" w:eastAsia="zh-CN"/>
              </w:rPr>
            </w:pPr>
            <w:r>
              <w:rPr>
                <w:rFonts w:hint="default"/>
                <w:b/>
                <w:bCs/>
                <w:color w:val="auto"/>
                <w:u w:val="none" w:color="auto"/>
                <w:lang w:eastAsia="zh-CN"/>
              </w:rPr>
              <w:t>排放浓度（</w:t>
            </w:r>
            <w:r>
              <w:rPr>
                <w:rFonts w:hint="default"/>
                <w:b/>
                <w:bCs/>
                <w:color w:val="auto"/>
                <w:u w:val="none" w:color="auto"/>
                <w:lang w:val="en-US" w:eastAsia="zh-CN"/>
              </w:rPr>
              <w:t>mg/m</w:t>
            </w:r>
            <w:r>
              <w:rPr>
                <w:rFonts w:hint="default"/>
                <w:b/>
                <w:bCs/>
                <w:color w:val="auto"/>
                <w:u w:val="none" w:color="auto"/>
                <w:vertAlign w:val="superscript"/>
                <w:lang w:val="en-US" w:eastAsia="zh-CN"/>
              </w:rPr>
              <w:t>3</w:t>
            </w:r>
            <w:r>
              <w:rPr>
                <w:rFonts w:hint="default"/>
                <w:b/>
                <w:bCs/>
                <w:color w:val="auto"/>
                <w:u w:val="none" w:color="auto"/>
                <w:lang w:eastAsia="zh-CN"/>
              </w:rPr>
              <w:t>）</w:t>
            </w:r>
          </w:p>
        </w:tc>
        <w:tc>
          <w:tcPr>
            <w:tcW w:w="1080" w:type="dxa"/>
            <w:gridSpan w:val="2"/>
            <w:noWrap w:val="0"/>
            <w:vAlign w:val="center"/>
          </w:tcPr>
          <w:p w14:paraId="2683A3DE">
            <w:pPr>
              <w:pStyle w:val="25"/>
              <w:bidi w:val="0"/>
              <w:rPr>
                <w:rFonts w:hint="default"/>
                <w:b/>
                <w:bCs/>
                <w:color w:val="auto"/>
                <w:u w:val="none" w:color="auto"/>
                <w:lang w:val="en-US" w:eastAsia="zh-CN"/>
              </w:rPr>
            </w:pPr>
            <w:r>
              <w:rPr>
                <w:rFonts w:hint="default"/>
                <w:b/>
                <w:bCs/>
                <w:color w:val="auto"/>
                <w:u w:val="none" w:color="auto"/>
                <w:lang w:eastAsia="zh-CN"/>
              </w:rPr>
              <w:t>排放速率（</w:t>
            </w:r>
            <w:r>
              <w:rPr>
                <w:rFonts w:hint="default"/>
                <w:b/>
                <w:bCs/>
                <w:color w:val="auto"/>
                <w:u w:val="none" w:color="auto"/>
                <w:lang w:val="en-US" w:eastAsia="zh-CN"/>
              </w:rPr>
              <w:t>kg</w:t>
            </w:r>
            <w:r>
              <w:rPr>
                <w:rFonts w:hint="default"/>
                <w:b/>
                <w:bCs/>
                <w:color w:val="auto"/>
                <w:u w:val="none" w:color="auto"/>
                <w:lang w:val="nl-NL"/>
              </w:rPr>
              <w:t>/</w:t>
            </w:r>
            <w:r>
              <w:rPr>
                <w:rFonts w:hint="default"/>
                <w:b/>
                <w:bCs/>
                <w:color w:val="auto"/>
                <w:u w:val="none" w:color="auto"/>
                <w:lang w:val="en-US" w:eastAsia="zh-CN"/>
              </w:rPr>
              <w:t>h</w:t>
            </w:r>
            <w:r>
              <w:rPr>
                <w:rFonts w:hint="default"/>
                <w:b/>
                <w:bCs/>
                <w:color w:val="auto"/>
                <w:u w:val="none" w:color="auto"/>
                <w:lang w:eastAsia="zh-CN"/>
              </w:rPr>
              <w:t>）</w:t>
            </w:r>
          </w:p>
        </w:tc>
        <w:tc>
          <w:tcPr>
            <w:tcW w:w="900" w:type="dxa"/>
            <w:noWrap w:val="0"/>
            <w:vAlign w:val="center"/>
          </w:tcPr>
          <w:p w14:paraId="31A40CEF">
            <w:pPr>
              <w:pStyle w:val="25"/>
              <w:bidi w:val="0"/>
              <w:rPr>
                <w:rFonts w:hint="default"/>
                <w:b/>
                <w:bCs/>
                <w:color w:val="auto"/>
                <w:u w:val="none" w:color="auto"/>
                <w:lang w:val="en-US" w:eastAsia="zh-CN"/>
              </w:rPr>
            </w:pPr>
            <w:r>
              <w:rPr>
                <w:rFonts w:hint="default"/>
                <w:b/>
                <w:bCs/>
                <w:color w:val="auto"/>
                <w:u w:val="none" w:color="auto"/>
                <w:lang w:eastAsia="zh-CN"/>
              </w:rPr>
              <w:t>排放</w:t>
            </w:r>
            <w:r>
              <w:rPr>
                <w:rFonts w:hint="default"/>
                <w:b/>
                <w:bCs/>
                <w:color w:val="auto"/>
                <w:u w:val="none" w:color="auto"/>
              </w:rPr>
              <w:t>量</w:t>
            </w:r>
            <w:r>
              <w:rPr>
                <w:rFonts w:hint="default"/>
                <w:b/>
                <w:bCs/>
                <w:color w:val="auto"/>
                <w:u w:val="none" w:color="auto"/>
                <w:lang w:eastAsia="zh-CN"/>
              </w:rPr>
              <w:t>（</w:t>
            </w:r>
            <w:r>
              <w:rPr>
                <w:rFonts w:hint="default"/>
                <w:b/>
                <w:bCs/>
                <w:color w:val="auto"/>
                <w:u w:val="none" w:color="auto"/>
              </w:rPr>
              <w:t>t/a</w:t>
            </w:r>
            <w:r>
              <w:rPr>
                <w:rFonts w:hint="default"/>
                <w:b/>
                <w:bCs/>
                <w:color w:val="auto"/>
                <w:u w:val="none" w:color="auto"/>
                <w:lang w:eastAsia="zh-CN"/>
              </w:rPr>
              <w:t>）</w:t>
            </w:r>
          </w:p>
        </w:tc>
        <w:tc>
          <w:tcPr>
            <w:tcW w:w="716" w:type="dxa"/>
            <w:vMerge w:val="continue"/>
            <w:noWrap w:val="0"/>
            <w:vAlign w:val="center"/>
          </w:tcPr>
          <w:p w14:paraId="309F8E14">
            <w:pPr>
              <w:pStyle w:val="25"/>
              <w:bidi w:val="0"/>
              <w:rPr>
                <w:rFonts w:hint="default"/>
                <w:b/>
                <w:bCs/>
                <w:color w:val="auto"/>
                <w:u w:val="none" w:color="auto"/>
                <w:lang w:val="en-US" w:eastAsia="zh-CN"/>
              </w:rPr>
            </w:pPr>
          </w:p>
        </w:tc>
      </w:tr>
      <w:tr w14:paraId="493B6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noWrap w:val="0"/>
            <w:vAlign w:val="center"/>
          </w:tcPr>
          <w:p w14:paraId="20E87C1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配料投料废气</w:t>
            </w:r>
          </w:p>
        </w:tc>
        <w:tc>
          <w:tcPr>
            <w:tcW w:w="885" w:type="dxa"/>
            <w:noWrap w:val="0"/>
            <w:vAlign w:val="center"/>
          </w:tcPr>
          <w:p w14:paraId="3432B67F">
            <w:pPr>
              <w:pStyle w:val="25"/>
              <w:bidi w:val="0"/>
              <w:rPr>
                <w:rFonts w:hint="default"/>
                <w:color w:val="auto"/>
                <w:u w:val="none" w:color="auto"/>
                <w:lang w:val="en-US" w:eastAsia="zh-CN"/>
              </w:rPr>
            </w:pPr>
            <w:r>
              <w:rPr>
                <w:rFonts w:hint="eastAsia"/>
                <w:color w:val="auto"/>
                <w:u w:val="none" w:color="auto"/>
                <w:lang w:val="en-US" w:eastAsia="zh-CN"/>
              </w:rPr>
              <w:t>颗粒物</w:t>
            </w:r>
          </w:p>
        </w:tc>
        <w:tc>
          <w:tcPr>
            <w:tcW w:w="885" w:type="dxa"/>
            <w:noWrap w:val="0"/>
            <w:vAlign w:val="center"/>
          </w:tcPr>
          <w:p w14:paraId="6AE73F09">
            <w:pPr>
              <w:pStyle w:val="25"/>
              <w:bidi w:val="0"/>
              <w:rPr>
                <w:rFonts w:hint="default"/>
                <w:color w:val="auto"/>
                <w:u w:val="none" w:color="auto"/>
                <w:lang w:val="en-US" w:eastAsia="zh-CN"/>
              </w:rPr>
            </w:pPr>
            <w:r>
              <w:rPr>
                <w:rFonts w:hint="eastAsia"/>
                <w:color w:val="auto"/>
                <w:u w:val="none" w:color="auto"/>
                <w:lang w:val="en-US" w:eastAsia="zh-CN"/>
              </w:rPr>
              <w:t>无组织</w:t>
            </w:r>
          </w:p>
        </w:tc>
        <w:tc>
          <w:tcPr>
            <w:tcW w:w="900" w:type="dxa"/>
            <w:noWrap w:val="0"/>
            <w:vAlign w:val="center"/>
          </w:tcPr>
          <w:p w14:paraId="563B2DA1">
            <w:pPr>
              <w:pStyle w:val="25"/>
              <w:bidi w:val="0"/>
              <w:rPr>
                <w:rFonts w:hint="default"/>
                <w:color w:val="auto"/>
                <w:u w:val="none" w:color="auto"/>
                <w:lang w:val="en-US" w:eastAsia="zh-CN"/>
              </w:rPr>
            </w:pPr>
            <w:r>
              <w:rPr>
                <w:rFonts w:hint="eastAsia"/>
                <w:color w:val="auto"/>
                <w:u w:val="none" w:color="auto"/>
                <w:lang w:val="en-US" w:eastAsia="zh-CN"/>
              </w:rPr>
              <w:t>产污系数法</w:t>
            </w:r>
          </w:p>
        </w:tc>
        <w:tc>
          <w:tcPr>
            <w:tcW w:w="1140" w:type="dxa"/>
            <w:gridSpan w:val="2"/>
            <w:noWrap w:val="0"/>
            <w:vAlign w:val="center"/>
          </w:tcPr>
          <w:p w14:paraId="64C3EFF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66A59E0B">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0.25</w:t>
            </w:r>
          </w:p>
        </w:tc>
        <w:tc>
          <w:tcPr>
            <w:tcW w:w="900" w:type="dxa"/>
            <w:noWrap w:val="0"/>
            <w:vAlign w:val="center"/>
          </w:tcPr>
          <w:p w14:paraId="62453E7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0.6</w:t>
            </w:r>
          </w:p>
        </w:tc>
        <w:tc>
          <w:tcPr>
            <w:tcW w:w="1815" w:type="dxa"/>
            <w:gridSpan w:val="2"/>
            <w:noWrap w:val="0"/>
            <w:vAlign w:val="center"/>
          </w:tcPr>
          <w:p w14:paraId="71AAC82D">
            <w:pPr>
              <w:pStyle w:val="25"/>
              <w:bidi w:val="0"/>
              <w:rPr>
                <w:rFonts w:hint="default"/>
                <w:color w:val="auto"/>
                <w:u w:val="none" w:color="auto"/>
                <w:lang w:val="en-US" w:eastAsia="zh-CN"/>
              </w:rPr>
            </w:pPr>
            <w:r>
              <w:rPr>
                <w:rFonts w:hint="eastAsia"/>
                <w:color w:val="auto"/>
                <w:u w:val="none" w:color="auto"/>
                <w:lang w:val="en-US" w:eastAsia="zh-CN"/>
              </w:rPr>
              <w:t>车间沉降</w:t>
            </w:r>
          </w:p>
        </w:tc>
        <w:tc>
          <w:tcPr>
            <w:tcW w:w="675" w:type="dxa"/>
            <w:noWrap w:val="0"/>
            <w:vAlign w:val="center"/>
          </w:tcPr>
          <w:p w14:paraId="302B5EA7">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noWrap w:val="0"/>
            <w:vAlign w:val="center"/>
          </w:tcPr>
          <w:p w14:paraId="014184CA">
            <w:pPr>
              <w:pStyle w:val="25"/>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76E4C53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65285E44">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0.25</w:t>
            </w:r>
          </w:p>
        </w:tc>
        <w:tc>
          <w:tcPr>
            <w:tcW w:w="900" w:type="dxa"/>
            <w:noWrap w:val="0"/>
            <w:vAlign w:val="center"/>
          </w:tcPr>
          <w:p w14:paraId="4F7E8D6E">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0.6</w:t>
            </w:r>
          </w:p>
        </w:tc>
        <w:tc>
          <w:tcPr>
            <w:tcW w:w="716" w:type="dxa"/>
            <w:noWrap w:val="0"/>
            <w:vAlign w:val="center"/>
          </w:tcPr>
          <w:p w14:paraId="56535988">
            <w:pPr>
              <w:pStyle w:val="25"/>
              <w:bidi w:val="0"/>
              <w:rPr>
                <w:rFonts w:hint="default"/>
                <w:color w:val="auto"/>
                <w:u w:val="none" w:color="auto"/>
                <w:lang w:val="en-US" w:eastAsia="zh-CN"/>
              </w:rPr>
            </w:pPr>
            <w:r>
              <w:rPr>
                <w:rFonts w:hint="eastAsia"/>
                <w:color w:val="auto"/>
                <w:u w:val="none" w:color="auto"/>
                <w:lang w:val="en-US" w:eastAsia="zh-CN"/>
              </w:rPr>
              <w:t>2400</w:t>
            </w:r>
          </w:p>
        </w:tc>
      </w:tr>
      <w:tr w14:paraId="44870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47AA10A4">
            <w:pPr>
              <w:pStyle w:val="25"/>
              <w:bidi w:val="0"/>
              <w:rPr>
                <w:rFonts w:hint="default"/>
                <w:color w:val="auto"/>
                <w:u w:val="none" w:color="auto"/>
                <w:lang w:val="en-US" w:eastAsia="zh-CN"/>
              </w:rPr>
            </w:pPr>
            <w:r>
              <w:rPr>
                <w:rFonts w:hint="eastAsia"/>
                <w:color w:val="auto"/>
                <w:u w:val="none" w:color="auto"/>
                <w:lang w:val="en-US" w:eastAsia="zh-CN"/>
              </w:rPr>
              <w:t>加热混捏废气、冷却废气、磨粉废气、混合废气</w:t>
            </w:r>
          </w:p>
        </w:tc>
        <w:tc>
          <w:tcPr>
            <w:tcW w:w="885" w:type="dxa"/>
            <w:vMerge w:val="restart"/>
            <w:noWrap w:val="0"/>
            <w:vAlign w:val="center"/>
          </w:tcPr>
          <w:p w14:paraId="3171C299">
            <w:pPr>
              <w:pStyle w:val="25"/>
              <w:bidi w:val="0"/>
              <w:rPr>
                <w:rFonts w:hint="default"/>
                <w:color w:val="auto"/>
                <w:u w:val="none" w:color="auto"/>
                <w:lang w:eastAsia="zh-CN"/>
              </w:rPr>
            </w:pPr>
            <w:r>
              <w:rPr>
                <w:rFonts w:hint="default"/>
                <w:color w:val="auto"/>
                <w:u w:val="none" w:color="auto"/>
                <w:lang w:eastAsia="zh-CN"/>
              </w:rPr>
              <w:t>颗粒物</w:t>
            </w:r>
          </w:p>
        </w:tc>
        <w:tc>
          <w:tcPr>
            <w:tcW w:w="885" w:type="dxa"/>
            <w:noWrap w:val="0"/>
            <w:vAlign w:val="center"/>
          </w:tcPr>
          <w:p w14:paraId="465590B8">
            <w:pPr>
              <w:pStyle w:val="25"/>
              <w:bidi w:val="0"/>
              <w:rPr>
                <w:rFonts w:hint="default"/>
                <w:color w:val="auto"/>
                <w:u w:val="none" w:color="auto"/>
                <w:lang w:eastAsia="zh-CN"/>
              </w:rPr>
            </w:pPr>
            <w:r>
              <w:rPr>
                <w:rFonts w:hint="default"/>
                <w:color w:val="auto"/>
                <w:u w:val="none" w:color="auto"/>
                <w:lang w:val="en-US" w:eastAsia="zh-CN"/>
              </w:rPr>
              <w:t>有</w:t>
            </w:r>
            <w:r>
              <w:rPr>
                <w:rFonts w:hint="default"/>
                <w:color w:val="auto"/>
                <w:u w:val="none" w:color="auto"/>
                <w:lang w:eastAsia="zh-CN"/>
              </w:rPr>
              <w:t>组织</w:t>
            </w:r>
          </w:p>
        </w:tc>
        <w:tc>
          <w:tcPr>
            <w:tcW w:w="900" w:type="dxa"/>
            <w:vMerge w:val="restart"/>
            <w:noWrap w:val="0"/>
            <w:vAlign w:val="center"/>
          </w:tcPr>
          <w:p w14:paraId="2FAB8B5B">
            <w:pPr>
              <w:pStyle w:val="25"/>
              <w:bidi w:val="0"/>
              <w:rPr>
                <w:rFonts w:hint="default"/>
                <w:color w:val="auto"/>
                <w:u w:val="none" w:color="auto"/>
                <w:lang w:val="en-US" w:eastAsia="zh-CN"/>
              </w:rPr>
            </w:pPr>
            <w:r>
              <w:rPr>
                <w:rFonts w:hint="default"/>
                <w:color w:val="auto"/>
                <w:u w:val="none" w:color="auto"/>
                <w:lang w:val="en-US" w:eastAsia="zh-CN"/>
              </w:rPr>
              <w:t>产污系数法</w:t>
            </w:r>
          </w:p>
        </w:tc>
        <w:tc>
          <w:tcPr>
            <w:tcW w:w="1140" w:type="dxa"/>
            <w:gridSpan w:val="2"/>
            <w:noWrap w:val="0"/>
            <w:vAlign w:val="center"/>
          </w:tcPr>
          <w:p w14:paraId="6323DD4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93.803</w:t>
            </w:r>
          </w:p>
        </w:tc>
        <w:tc>
          <w:tcPr>
            <w:tcW w:w="1065" w:type="dxa"/>
            <w:gridSpan w:val="2"/>
            <w:noWrap w:val="0"/>
            <w:vAlign w:val="center"/>
          </w:tcPr>
          <w:p w14:paraId="3B1EEC2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3.752</w:t>
            </w:r>
          </w:p>
        </w:tc>
        <w:tc>
          <w:tcPr>
            <w:tcW w:w="900" w:type="dxa"/>
            <w:noWrap w:val="0"/>
            <w:vAlign w:val="center"/>
          </w:tcPr>
          <w:p w14:paraId="64BF617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9.005</w:t>
            </w:r>
          </w:p>
        </w:tc>
        <w:tc>
          <w:tcPr>
            <w:tcW w:w="1815" w:type="dxa"/>
            <w:gridSpan w:val="2"/>
            <w:vMerge w:val="restart"/>
            <w:noWrap w:val="0"/>
            <w:vAlign w:val="center"/>
          </w:tcPr>
          <w:p w14:paraId="565DFA74">
            <w:pPr>
              <w:pStyle w:val="25"/>
              <w:bidi w:val="0"/>
              <w:rPr>
                <w:rFonts w:hint="default"/>
                <w:color w:val="auto"/>
                <w:u w:val="none" w:color="auto"/>
                <w:lang w:val="en-US" w:eastAsia="zh-CN"/>
              </w:rPr>
            </w:pPr>
            <w:r>
              <w:rPr>
                <w:rFonts w:hint="default"/>
                <w:color w:val="auto"/>
                <w:u w:val="none" w:color="auto"/>
                <w:lang w:val="en-US" w:eastAsia="zh-CN"/>
              </w:rPr>
              <w:t>布袋除尘器+</w:t>
            </w:r>
            <w:r>
              <w:rPr>
                <w:rFonts w:hint="eastAsia"/>
                <w:color w:val="auto"/>
                <w:u w:val="none" w:color="auto"/>
                <w:lang w:val="en-US" w:eastAsia="zh-CN"/>
              </w:rPr>
              <w:t>二级</w:t>
            </w:r>
            <w:r>
              <w:rPr>
                <w:rFonts w:hint="default"/>
                <w:color w:val="auto"/>
                <w:u w:val="none" w:color="auto"/>
                <w:lang w:val="en-US" w:eastAsia="zh-CN"/>
              </w:rPr>
              <w:t>活性炭吸附装置+</w:t>
            </w:r>
            <w:r>
              <w:rPr>
                <w:rFonts w:hint="eastAsia"/>
                <w:color w:val="auto"/>
                <w:u w:val="none" w:color="auto"/>
                <w:lang w:val="en-US" w:eastAsia="zh-CN"/>
              </w:rPr>
              <w:t>15</w:t>
            </w:r>
            <w:r>
              <w:rPr>
                <w:rFonts w:hint="default"/>
                <w:color w:val="auto"/>
                <w:u w:val="none" w:color="auto"/>
                <w:lang w:val="en-US" w:eastAsia="zh-CN"/>
              </w:rPr>
              <w:t>m高排气筒</w:t>
            </w:r>
            <w:r>
              <w:rPr>
                <w:rFonts w:hint="eastAsia"/>
                <w:color w:val="auto"/>
                <w:u w:val="none" w:color="auto"/>
                <w:lang w:val="en-US" w:eastAsia="zh-CN"/>
              </w:rPr>
              <w:t>（DA001）</w:t>
            </w:r>
          </w:p>
        </w:tc>
        <w:tc>
          <w:tcPr>
            <w:tcW w:w="675" w:type="dxa"/>
            <w:vMerge w:val="restart"/>
            <w:noWrap w:val="0"/>
            <w:vAlign w:val="center"/>
          </w:tcPr>
          <w:p w14:paraId="15A84B7C">
            <w:pPr>
              <w:pStyle w:val="25"/>
              <w:bidi w:val="0"/>
              <w:rPr>
                <w:rFonts w:hint="default"/>
                <w:color w:val="auto"/>
                <w:u w:val="none" w:color="auto"/>
                <w:lang w:val="en-US" w:eastAsia="zh-CN"/>
              </w:rPr>
            </w:pPr>
            <w:r>
              <w:rPr>
                <w:rFonts w:hint="default"/>
                <w:color w:val="auto"/>
                <w:u w:val="none" w:color="auto"/>
                <w:lang w:val="en-US" w:eastAsia="zh-CN"/>
              </w:rPr>
              <w:t>9</w:t>
            </w:r>
            <w:r>
              <w:rPr>
                <w:rFonts w:hint="eastAsia"/>
                <w:color w:val="auto"/>
                <w:u w:val="none" w:color="auto"/>
                <w:lang w:val="en-US" w:eastAsia="zh-CN"/>
              </w:rPr>
              <w:t>9</w:t>
            </w:r>
          </w:p>
        </w:tc>
        <w:tc>
          <w:tcPr>
            <w:tcW w:w="870" w:type="dxa"/>
            <w:vMerge w:val="restart"/>
            <w:noWrap w:val="0"/>
            <w:vAlign w:val="center"/>
          </w:tcPr>
          <w:p w14:paraId="2A58CB80">
            <w:pPr>
              <w:pStyle w:val="25"/>
              <w:bidi w:val="0"/>
              <w:rPr>
                <w:rFonts w:hint="default"/>
                <w:color w:val="auto"/>
                <w:u w:val="none" w:color="auto"/>
              </w:rPr>
            </w:pPr>
            <w:r>
              <w:rPr>
                <w:rFonts w:hint="default"/>
                <w:color w:val="auto"/>
                <w:u w:val="none" w:color="auto"/>
                <w:lang w:val="en-US" w:eastAsia="zh-CN"/>
              </w:rPr>
              <w:t>产污系数法</w:t>
            </w:r>
          </w:p>
        </w:tc>
        <w:tc>
          <w:tcPr>
            <w:tcW w:w="1125" w:type="dxa"/>
            <w:gridSpan w:val="2"/>
            <w:noWrap w:val="0"/>
            <w:vAlign w:val="center"/>
          </w:tcPr>
          <w:p w14:paraId="42C222CF">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0.938</w:t>
            </w:r>
          </w:p>
        </w:tc>
        <w:tc>
          <w:tcPr>
            <w:tcW w:w="1080" w:type="dxa"/>
            <w:gridSpan w:val="2"/>
            <w:noWrap w:val="0"/>
            <w:vAlign w:val="center"/>
          </w:tcPr>
          <w:p w14:paraId="2A18364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0.038</w:t>
            </w:r>
          </w:p>
        </w:tc>
        <w:tc>
          <w:tcPr>
            <w:tcW w:w="900" w:type="dxa"/>
            <w:noWrap w:val="0"/>
            <w:vAlign w:val="center"/>
          </w:tcPr>
          <w:p w14:paraId="4207E8AB">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716" w:type="dxa"/>
            <w:vMerge w:val="restart"/>
            <w:noWrap w:val="0"/>
            <w:vAlign w:val="center"/>
          </w:tcPr>
          <w:p w14:paraId="4EAA210B">
            <w:pPr>
              <w:pStyle w:val="25"/>
              <w:bidi w:val="0"/>
              <w:rPr>
                <w:rFonts w:hint="default"/>
                <w:color w:val="auto"/>
                <w:u w:val="none" w:color="auto"/>
                <w:lang w:val="en-US" w:eastAsia="zh-CN"/>
              </w:rPr>
            </w:pPr>
            <w:r>
              <w:rPr>
                <w:rFonts w:hint="eastAsia"/>
                <w:color w:val="auto"/>
                <w:u w:val="none" w:color="auto"/>
                <w:lang w:val="en-US" w:eastAsia="zh-CN"/>
              </w:rPr>
              <w:t>24</w:t>
            </w:r>
            <w:r>
              <w:rPr>
                <w:rFonts w:hint="default"/>
                <w:color w:val="auto"/>
                <w:u w:val="none" w:color="auto"/>
                <w:lang w:val="en-US" w:eastAsia="zh-CN"/>
              </w:rPr>
              <w:t>00</w:t>
            </w:r>
          </w:p>
        </w:tc>
      </w:tr>
      <w:tr w14:paraId="2C705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583A805">
            <w:pPr>
              <w:pStyle w:val="25"/>
              <w:bidi w:val="0"/>
              <w:rPr>
                <w:rFonts w:hint="default"/>
                <w:color w:val="auto"/>
                <w:u w:val="none" w:color="auto"/>
                <w:lang w:val="en-US" w:eastAsia="zh-CN"/>
              </w:rPr>
            </w:pPr>
            <w:bookmarkStart w:id="636" w:name="_Toc18282"/>
            <w:bookmarkStart w:id="637" w:name="_Hlk509235414"/>
          </w:p>
        </w:tc>
        <w:tc>
          <w:tcPr>
            <w:tcW w:w="885" w:type="dxa"/>
            <w:vMerge w:val="continue"/>
            <w:noWrap w:val="0"/>
            <w:vAlign w:val="center"/>
          </w:tcPr>
          <w:p w14:paraId="33C96411">
            <w:pPr>
              <w:pStyle w:val="25"/>
              <w:bidi w:val="0"/>
              <w:rPr>
                <w:rFonts w:hint="default"/>
                <w:color w:val="auto"/>
                <w:u w:val="none" w:color="auto"/>
                <w:lang w:eastAsia="zh-CN"/>
              </w:rPr>
            </w:pPr>
          </w:p>
        </w:tc>
        <w:tc>
          <w:tcPr>
            <w:tcW w:w="885" w:type="dxa"/>
            <w:noWrap w:val="0"/>
            <w:vAlign w:val="center"/>
          </w:tcPr>
          <w:p w14:paraId="58A23FBE">
            <w:pPr>
              <w:pStyle w:val="25"/>
              <w:bidi w:val="0"/>
              <w:rPr>
                <w:rFonts w:hint="default"/>
                <w:color w:val="auto"/>
                <w:u w:val="none" w:color="auto"/>
                <w:lang w:val="en-US" w:eastAsia="zh-CN"/>
              </w:rPr>
            </w:pPr>
            <w:r>
              <w:rPr>
                <w:rFonts w:hint="default"/>
                <w:color w:val="auto"/>
                <w:u w:val="none" w:color="auto"/>
                <w:lang w:val="en-US" w:eastAsia="zh-CN"/>
              </w:rPr>
              <w:t>无组织</w:t>
            </w:r>
          </w:p>
        </w:tc>
        <w:tc>
          <w:tcPr>
            <w:tcW w:w="900" w:type="dxa"/>
            <w:vMerge w:val="continue"/>
            <w:noWrap w:val="0"/>
            <w:vAlign w:val="center"/>
          </w:tcPr>
          <w:p w14:paraId="7C01C7F5">
            <w:pPr>
              <w:pStyle w:val="25"/>
              <w:bidi w:val="0"/>
              <w:rPr>
                <w:rFonts w:hint="default"/>
                <w:color w:val="auto"/>
                <w:u w:val="none" w:color="auto"/>
                <w:lang w:val="en-US" w:eastAsia="zh-CN"/>
              </w:rPr>
            </w:pPr>
          </w:p>
        </w:tc>
        <w:tc>
          <w:tcPr>
            <w:tcW w:w="1140" w:type="dxa"/>
            <w:gridSpan w:val="2"/>
            <w:noWrap w:val="0"/>
            <w:vAlign w:val="center"/>
          </w:tcPr>
          <w:p w14:paraId="0ABB22BE">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2A66FB2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0.198</w:t>
            </w:r>
          </w:p>
        </w:tc>
        <w:tc>
          <w:tcPr>
            <w:tcW w:w="900" w:type="dxa"/>
            <w:noWrap w:val="0"/>
            <w:vAlign w:val="center"/>
          </w:tcPr>
          <w:p w14:paraId="61EC20C8">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0.474</w:t>
            </w:r>
          </w:p>
        </w:tc>
        <w:tc>
          <w:tcPr>
            <w:tcW w:w="1815" w:type="dxa"/>
            <w:gridSpan w:val="2"/>
            <w:vMerge w:val="continue"/>
            <w:noWrap w:val="0"/>
            <w:vAlign w:val="center"/>
          </w:tcPr>
          <w:p w14:paraId="061061CB">
            <w:pPr>
              <w:pStyle w:val="25"/>
              <w:bidi w:val="0"/>
              <w:rPr>
                <w:rFonts w:hint="default"/>
                <w:color w:val="auto"/>
                <w:u w:val="none" w:color="auto"/>
                <w:lang w:val="en-US" w:eastAsia="zh-CN"/>
              </w:rPr>
            </w:pPr>
          </w:p>
        </w:tc>
        <w:tc>
          <w:tcPr>
            <w:tcW w:w="675" w:type="dxa"/>
            <w:vMerge w:val="continue"/>
            <w:noWrap w:val="0"/>
            <w:vAlign w:val="center"/>
          </w:tcPr>
          <w:p w14:paraId="6FE52C01">
            <w:pPr>
              <w:pStyle w:val="25"/>
              <w:bidi w:val="0"/>
              <w:rPr>
                <w:rFonts w:hint="default"/>
                <w:color w:val="auto"/>
                <w:u w:val="none" w:color="auto"/>
                <w:lang w:val="en-US" w:eastAsia="zh-CN"/>
              </w:rPr>
            </w:pPr>
          </w:p>
        </w:tc>
        <w:tc>
          <w:tcPr>
            <w:tcW w:w="870" w:type="dxa"/>
            <w:vMerge w:val="continue"/>
            <w:noWrap w:val="0"/>
            <w:vAlign w:val="center"/>
          </w:tcPr>
          <w:p w14:paraId="42A70077">
            <w:pPr>
              <w:pStyle w:val="25"/>
              <w:bidi w:val="0"/>
              <w:rPr>
                <w:rFonts w:hint="default"/>
                <w:color w:val="auto"/>
                <w:u w:val="none" w:color="auto"/>
                <w:lang w:val="en-US" w:eastAsia="zh-CN"/>
              </w:rPr>
            </w:pPr>
          </w:p>
        </w:tc>
        <w:tc>
          <w:tcPr>
            <w:tcW w:w="1125" w:type="dxa"/>
            <w:gridSpan w:val="2"/>
            <w:noWrap w:val="0"/>
            <w:vAlign w:val="center"/>
          </w:tcPr>
          <w:p w14:paraId="31EE48F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360059B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0.198</w:t>
            </w:r>
          </w:p>
        </w:tc>
        <w:tc>
          <w:tcPr>
            <w:tcW w:w="900" w:type="dxa"/>
            <w:noWrap w:val="0"/>
            <w:vAlign w:val="center"/>
          </w:tcPr>
          <w:p w14:paraId="70A4DB1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0.474</w:t>
            </w:r>
          </w:p>
        </w:tc>
        <w:tc>
          <w:tcPr>
            <w:tcW w:w="716" w:type="dxa"/>
            <w:vMerge w:val="continue"/>
            <w:noWrap w:val="0"/>
            <w:vAlign w:val="center"/>
          </w:tcPr>
          <w:p w14:paraId="572E2219">
            <w:pPr>
              <w:pStyle w:val="25"/>
              <w:bidi w:val="0"/>
              <w:rPr>
                <w:rFonts w:hint="default"/>
                <w:color w:val="auto"/>
                <w:u w:val="none" w:color="auto"/>
                <w:lang w:val="en-US" w:eastAsia="zh-CN"/>
              </w:rPr>
            </w:pPr>
          </w:p>
        </w:tc>
      </w:tr>
      <w:tr w14:paraId="10CEE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5801F685">
            <w:pPr>
              <w:pStyle w:val="25"/>
              <w:bidi w:val="0"/>
              <w:rPr>
                <w:rFonts w:hint="eastAsia"/>
                <w:color w:val="auto"/>
                <w:u w:val="none" w:color="auto"/>
                <w:lang w:val="en-US" w:eastAsia="zh-CN"/>
              </w:rPr>
            </w:pPr>
          </w:p>
        </w:tc>
        <w:tc>
          <w:tcPr>
            <w:tcW w:w="885" w:type="dxa"/>
            <w:vMerge w:val="restart"/>
            <w:noWrap w:val="0"/>
            <w:vAlign w:val="center"/>
          </w:tcPr>
          <w:p w14:paraId="06480B96">
            <w:pPr>
              <w:pStyle w:val="25"/>
              <w:bidi w:val="0"/>
              <w:rPr>
                <w:rFonts w:hint="default"/>
                <w:color w:val="auto"/>
                <w:u w:val="none" w:color="auto"/>
                <w:lang w:val="en-US" w:eastAsia="zh-CN"/>
              </w:rPr>
            </w:pPr>
            <w:r>
              <w:rPr>
                <w:rFonts w:hint="default"/>
                <w:color w:val="auto"/>
                <w:u w:val="none" w:color="auto"/>
                <w:lang w:val="en-US" w:eastAsia="zh-CN"/>
              </w:rPr>
              <w:t>非甲烷总烃</w:t>
            </w:r>
          </w:p>
        </w:tc>
        <w:tc>
          <w:tcPr>
            <w:tcW w:w="885" w:type="dxa"/>
            <w:noWrap w:val="0"/>
            <w:vAlign w:val="center"/>
          </w:tcPr>
          <w:p w14:paraId="7DACBAC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w:t>
            </w:r>
            <w:r>
              <w:rPr>
                <w:rFonts w:hint="default"/>
                <w:color w:val="auto"/>
                <w:u w:val="none" w:color="auto"/>
                <w:lang w:eastAsia="zh-CN"/>
              </w:rPr>
              <w:t>组织</w:t>
            </w:r>
          </w:p>
        </w:tc>
        <w:tc>
          <w:tcPr>
            <w:tcW w:w="900" w:type="dxa"/>
            <w:vMerge w:val="continue"/>
            <w:noWrap w:val="0"/>
            <w:vAlign w:val="center"/>
          </w:tcPr>
          <w:p w14:paraId="1334BA20">
            <w:pPr>
              <w:pStyle w:val="25"/>
              <w:bidi w:val="0"/>
              <w:rPr>
                <w:rFonts w:hint="default"/>
                <w:color w:val="auto"/>
                <w:u w:val="none" w:color="auto"/>
                <w:lang w:val="en-US" w:eastAsia="zh-CN"/>
              </w:rPr>
            </w:pPr>
          </w:p>
        </w:tc>
        <w:tc>
          <w:tcPr>
            <w:tcW w:w="1140" w:type="dxa"/>
            <w:gridSpan w:val="2"/>
            <w:noWrap w:val="0"/>
            <w:vAlign w:val="center"/>
          </w:tcPr>
          <w:p w14:paraId="2EB5D13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8.906</w:t>
            </w:r>
          </w:p>
        </w:tc>
        <w:tc>
          <w:tcPr>
            <w:tcW w:w="1065" w:type="dxa"/>
            <w:gridSpan w:val="2"/>
            <w:noWrap w:val="0"/>
            <w:vAlign w:val="center"/>
          </w:tcPr>
          <w:p w14:paraId="50D3BB2F">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0.356</w:t>
            </w:r>
          </w:p>
        </w:tc>
        <w:tc>
          <w:tcPr>
            <w:tcW w:w="900" w:type="dxa"/>
            <w:noWrap w:val="0"/>
            <w:vAlign w:val="center"/>
          </w:tcPr>
          <w:p w14:paraId="26D0B43F">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0.855</w:t>
            </w:r>
          </w:p>
        </w:tc>
        <w:tc>
          <w:tcPr>
            <w:tcW w:w="1815" w:type="dxa"/>
            <w:gridSpan w:val="2"/>
            <w:vMerge w:val="continue"/>
            <w:noWrap w:val="0"/>
            <w:vAlign w:val="center"/>
          </w:tcPr>
          <w:p w14:paraId="744B9E26">
            <w:pPr>
              <w:pStyle w:val="25"/>
              <w:bidi w:val="0"/>
              <w:rPr>
                <w:rFonts w:hint="default"/>
                <w:color w:val="auto"/>
                <w:u w:val="none" w:color="auto"/>
                <w:lang w:val="en-US" w:eastAsia="zh-CN"/>
              </w:rPr>
            </w:pPr>
          </w:p>
        </w:tc>
        <w:tc>
          <w:tcPr>
            <w:tcW w:w="675" w:type="dxa"/>
            <w:vMerge w:val="restart"/>
            <w:noWrap w:val="0"/>
            <w:vAlign w:val="center"/>
          </w:tcPr>
          <w:p w14:paraId="7BA8AE1F">
            <w:pPr>
              <w:pStyle w:val="25"/>
              <w:bidi w:val="0"/>
              <w:rPr>
                <w:rFonts w:hint="default"/>
                <w:color w:val="auto"/>
                <w:u w:val="none" w:color="auto"/>
                <w:lang w:val="en-US" w:eastAsia="zh-CN"/>
              </w:rPr>
            </w:pPr>
            <w:r>
              <w:rPr>
                <w:rFonts w:hint="eastAsia"/>
                <w:color w:val="auto"/>
                <w:u w:val="none" w:color="auto"/>
                <w:lang w:val="en-US" w:eastAsia="zh-CN"/>
              </w:rPr>
              <w:t>70</w:t>
            </w:r>
          </w:p>
        </w:tc>
        <w:tc>
          <w:tcPr>
            <w:tcW w:w="870" w:type="dxa"/>
            <w:vMerge w:val="continue"/>
            <w:noWrap w:val="0"/>
            <w:vAlign w:val="center"/>
          </w:tcPr>
          <w:p w14:paraId="246B18FD">
            <w:pPr>
              <w:pStyle w:val="25"/>
              <w:bidi w:val="0"/>
              <w:rPr>
                <w:rFonts w:hint="default"/>
                <w:color w:val="auto"/>
                <w:u w:val="none" w:color="auto"/>
                <w:lang w:val="en-US" w:eastAsia="zh-CN"/>
              </w:rPr>
            </w:pPr>
          </w:p>
        </w:tc>
        <w:tc>
          <w:tcPr>
            <w:tcW w:w="1125" w:type="dxa"/>
            <w:gridSpan w:val="2"/>
            <w:noWrap w:val="0"/>
            <w:vAlign w:val="center"/>
          </w:tcPr>
          <w:p w14:paraId="3B232B38">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2.672</w:t>
            </w:r>
          </w:p>
        </w:tc>
        <w:tc>
          <w:tcPr>
            <w:tcW w:w="1080" w:type="dxa"/>
            <w:gridSpan w:val="2"/>
            <w:noWrap w:val="0"/>
            <w:vAlign w:val="center"/>
          </w:tcPr>
          <w:p w14:paraId="084FFB3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0.107</w:t>
            </w:r>
          </w:p>
        </w:tc>
        <w:tc>
          <w:tcPr>
            <w:tcW w:w="900" w:type="dxa"/>
            <w:noWrap w:val="0"/>
            <w:vAlign w:val="center"/>
          </w:tcPr>
          <w:p w14:paraId="5CB7C9E0">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0.257</w:t>
            </w:r>
          </w:p>
        </w:tc>
        <w:tc>
          <w:tcPr>
            <w:tcW w:w="716" w:type="dxa"/>
            <w:vMerge w:val="continue"/>
            <w:noWrap w:val="0"/>
            <w:vAlign w:val="center"/>
          </w:tcPr>
          <w:p w14:paraId="607541B2">
            <w:pPr>
              <w:pStyle w:val="25"/>
              <w:bidi w:val="0"/>
              <w:rPr>
                <w:rFonts w:hint="eastAsia"/>
                <w:color w:val="auto"/>
                <w:u w:val="none" w:color="auto"/>
                <w:lang w:val="en-US" w:eastAsia="zh-CN"/>
              </w:rPr>
            </w:pPr>
          </w:p>
        </w:tc>
      </w:tr>
      <w:tr w14:paraId="25108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8636236">
            <w:pPr>
              <w:pStyle w:val="25"/>
              <w:bidi w:val="0"/>
              <w:rPr>
                <w:rFonts w:hint="eastAsia"/>
                <w:color w:val="auto"/>
                <w:u w:val="none" w:color="auto"/>
                <w:lang w:val="en-US" w:eastAsia="zh-CN"/>
              </w:rPr>
            </w:pPr>
          </w:p>
        </w:tc>
        <w:tc>
          <w:tcPr>
            <w:tcW w:w="885" w:type="dxa"/>
            <w:vMerge w:val="continue"/>
            <w:noWrap w:val="0"/>
            <w:vAlign w:val="center"/>
          </w:tcPr>
          <w:p w14:paraId="5BED4E98">
            <w:pPr>
              <w:pStyle w:val="25"/>
              <w:bidi w:val="0"/>
              <w:rPr>
                <w:rFonts w:hint="default"/>
                <w:color w:val="auto"/>
                <w:u w:val="none" w:color="auto"/>
                <w:lang w:val="en-US" w:eastAsia="zh-CN"/>
              </w:rPr>
            </w:pPr>
          </w:p>
        </w:tc>
        <w:tc>
          <w:tcPr>
            <w:tcW w:w="885" w:type="dxa"/>
            <w:noWrap w:val="0"/>
            <w:vAlign w:val="center"/>
          </w:tcPr>
          <w:p w14:paraId="3E82067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无组织</w:t>
            </w:r>
          </w:p>
        </w:tc>
        <w:tc>
          <w:tcPr>
            <w:tcW w:w="900" w:type="dxa"/>
            <w:vMerge w:val="continue"/>
            <w:noWrap w:val="0"/>
            <w:vAlign w:val="center"/>
          </w:tcPr>
          <w:p w14:paraId="149FC8B1">
            <w:pPr>
              <w:pStyle w:val="25"/>
              <w:bidi w:val="0"/>
              <w:rPr>
                <w:rFonts w:hint="default"/>
                <w:color w:val="auto"/>
                <w:u w:val="none" w:color="auto"/>
                <w:lang w:val="en-US" w:eastAsia="zh-CN"/>
              </w:rPr>
            </w:pPr>
          </w:p>
        </w:tc>
        <w:tc>
          <w:tcPr>
            <w:tcW w:w="1140" w:type="dxa"/>
            <w:gridSpan w:val="2"/>
            <w:noWrap w:val="0"/>
            <w:vAlign w:val="center"/>
          </w:tcPr>
          <w:p w14:paraId="2974633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201C080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0.019</w:t>
            </w:r>
          </w:p>
        </w:tc>
        <w:tc>
          <w:tcPr>
            <w:tcW w:w="900" w:type="dxa"/>
            <w:noWrap w:val="0"/>
            <w:vAlign w:val="center"/>
          </w:tcPr>
          <w:p w14:paraId="14B6050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0.045</w:t>
            </w:r>
          </w:p>
        </w:tc>
        <w:tc>
          <w:tcPr>
            <w:tcW w:w="1815" w:type="dxa"/>
            <w:gridSpan w:val="2"/>
            <w:vMerge w:val="continue"/>
            <w:noWrap w:val="0"/>
            <w:vAlign w:val="center"/>
          </w:tcPr>
          <w:p w14:paraId="3D4DBC9E">
            <w:pPr>
              <w:pStyle w:val="25"/>
              <w:bidi w:val="0"/>
              <w:rPr>
                <w:rFonts w:hint="default"/>
                <w:color w:val="auto"/>
                <w:u w:val="none" w:color="auto"/>
                <w:lang w:val="en-US" w:eastAsia="zh-CN"/>
              </w:rPr>
            </w:pPr>
          </w:p>
        </w:tc>
        <w:tc>
          <w:tcPr>
            <w:tcW w:w="675" w:type="dxa"/>
            <w:vMerge w:val="continue"/>
            <w:noWrap w:val="0"/>
            <w:vAlign w:val="center"/>
          </w:tcPr>
          <w:p w14:paraId="2846D896">
            <w:pPr>
              <w:pStyle w:val="25"/>
              <w:bidi w:val="0"/>
              <w:rPr>
                <w:rFonts w:hint="eastAsia"/>
                <w:color w:val="auto"/>
                <w:u w:val="none" w:color="auto"/>
                <w:lang w:val="en-US" w:eastAsia="zh-CN"/>
              </w:rPr>
            </w:pPr>
          </w:p>
        </w:tc>
        <w:tc>
          <w:tcPr>
            <w:tcW w:w="870" w:type="dxa"/>
            <w:vMerge w:val="continue"/>
            <w:noWrap w:val="0"/>
            <w:vAlign w:val="center"/>
          </w:tcPr>
          <w:p w14:paraId="43ADA66B">
            <w:pPr>
              <w:pStyle w:val="25"/>
              <w:bidi w:val="0"/>
              <w:rPr>
                <w:rFonts w:hint="default"/>
                <w:color w:val="auto"/>
                <w:u w:val="none" w:color="auto"/>
                <w:lang w:val="en-US" w:eastAsia="zh-CN"/>
              </w:rPr>
            </w:pPr>
          </w:p>
        </w:tc>
        <w:tc>
          <w:tcPr>
            <w:tcW w:w="1125" w:type="dxa"/>
            <w:gridSpan w:val="2"/>
            <w:noWrap w:val="0"/>
            <w:vAlign w:val="center"/>
          </w:tcPr>
          <w:p w14:paraId="1B940AB5">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3E766259">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0.019</w:t>
            </w:r>
          </w:p>
        </w:tc>
        <w:tc>
          <w:tcPr>
            <w:tcW w:w="900" w:type="dxa"/>
            <w:noWrap w:val="0"/>
            <w:vAlign w:val="center"/>
          </w:tcPr>
          <w:p w14:paraId="510EFF32">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0.045</w:t>
            </w:r>
          </w:p>
        </w:tc>
        <w:tc>
          <w:tcPr>
            <w:tcW w:w="716" w:type="dxa"/>
            <w:vMerge w:val="continue"/>
            <w:noWrap w:val="0"/>
            <w:vAlign w:val="center"/>
          </w:tcPr>
          <w:p w14:paraId="14EBAEBD">
            <w:pPr>
              <w:pStyle w:val="25"/>
              <w:bidi w:val="0"/>
              <w:rPr>
                <w:rFonts w:hint="eastAsia"/>
                <w:color w:val="auto"/>
                <w:u w:val="none" w:color="auto"/>
                <w:lang w:val="en-US" w:eastAsia="zh-CN"/>
              </w:rPr>
            </w:pPr>
          </w:p>
        </w:tc>
      </w:tr>
      <w:tr w14:paraId="56C86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2B2A92BE">
            <w:pPr>
              <w:pStyle w:val="25"/>
              <w:bidi w:val="0"/>
              <w:rPr>
                <w:rFonts w:hint="default"/>
                <w:color w:val="auto"/>
                <w:u w:val="none" w:color="auto"/>
                <w:lang w:val="en-US" w:eastAsia="zh-CN"/>
              </w:rPr>
            </w:pPr>
          </w:p>
        </w:tc>
        <w:tc>
          <w:tcPr>
            <w:tcW w:w="885" w:type="dxa"/>
            <w:vMerge w:val="restart"/>
            <w:noWrap w:val="0"/>
            <w:vAlign w:val="center"/>
          </w:tcPr>
          <w:p w14:paraId="0A796C3D">
            <w:pPr>
              <w:pStyle w:val="25"/>
              <w:bidi w:val="0"/>
              <w:rPr>
                <w:rFonts w:hint="default"/>
                <w:color w:val="auto"/>
                <w:u w:val="none" w:color="auto"/>
                <w:lang w:val="en-US" w:eastAsia="zh-CN"/>
              </w:rPr>
            </w:pPr>
            <w:r>
              <w:rPr>
                <w:rFonts w:hint="eastAsia"/>
                <w:color w:val="auto"/>
                <w:u w:val="none" w:color="auto"/>
                <w:lang w:val="en-US" w:eastAsia="zh-CN"/>
              </w:rPr>
              <w:t>酚类</w:t>
            </w:r>
          </w:p>
        </w:tc>
        <w:tc>
          <w:tcPr>
            <w:tcW w:w="885" w:type="dxa"/>
            <w:noWrap w:val="0"/>
            <w:vAlign w:val="center"/>
          </w:tcPr>
          <w:p w14:paraId="53E3B0E3">
            <w:pPr>
              <w:pStyle w:val="25"/>
              <w:bidi w:val="0"/>
              <w:rPr>
                <w:rFonts w:hint="default"/>
                <w:color w:val="auto"/>
                <w:u w:val="none" w:color="auto"/>
                <w:lang w:val="en-US" w:eastAsia="zh-CN"/>
              </w:rPr>
            </w:pPr>
            <w:r>
              <w:rPr>
                <w:rFonts w:hint="default"/>
                <w:color w:val="auto"/>
                <w:u w:val="none" w:color="auto"/>
                <w:lang w:val="en-US" w:eastAsia="zh-CN"/>
              </w:rPr>
              <w:t>有组织</w:t>
            </w:r>
          </w:p>
        </w:tc>
        <w:tc>
          <w:tcPr>
            <w:tcW w:w="900" w:type="dxa"/>
            <w:vMerge w:val="restart"/>
            <w:noWrap w:val="0"/>
            <w:vAlign w:val="center"/>
          </w:tcPr>
          <w:p w14:paraId="564BFED9">
            <w:pPr>
              <w:pStyle w:val="25"/>
              <w:bidi w:val="0"/>
              <w:rPr>
                <w:rFonts w:hint="default"/>
                <w:color w:val="auto"/>
                <w:u w:val="none" w:color="auto"/>
                <w:lang w:val="en-US" w:eastAsia="zh-CN"/>
              </w:rPr>
            </w:pPr>
            <w:r>
              <w:rPr>
                <w:rFonts w:hint="eastAsia"/>
                <w:color w:val="auto"/>
                <w:u w:val="none" w:color="auto"/>
                <w:lang w:val="en-US" w:eastAsia="zh-CN"/>
              </w:rPr>
              <w:t>类比法</w:t>
            </w:r>
          </w:p>
        </w:tc>
        <w:tc>
          <w:tcPr>
            <w:tcW w:w="1140" w:type="dxa"/>
            <w:gridSpan w:val="2"/>
            <w:noWrap w:val="0"/>
            <w:vAlign w:val="center"/>
          </w:tcPr>
          <w:p w14:paraId="531FD71C">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5.047</w:t>
            </w:r>
          </w:p>
        </w:tc>
        <w:tc>
          <w:tcPr>
            <w:tcW w:w="1065" w:type="dxa"/>
            <w:gridSpan w:val="2"/>
            <w:noWrap w:val="0"/>
            <w:vAlign w:val="center"/>
          </w:tcPr>
          <w:p w14:paraId="4235F10E">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0.202</w:t>
            </w:r>
          </w:p>
        </w:tc>
        <w:tc>
          <w:tcPr>
            <w:tcW w:w="900" w:type="dxa"/>
            <w:noWrap w:val="0"/>
            <w:vAlign w:val="center"/>
          </w:tcPr>
          <w:p w14:paraId="2368DD5F">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0.485</w:t>
            </w:r>
          </w:p>
        </w:tc>
        <w:tc>
          <w:tcPr>
            <w:tcW w:w="1815" w:type="dxa"/>
            <w:gridSpan w:val="2"/>
            <w:vMerge w:val="continue"/>
            <w:noWrap w:val="0"/>
            <w:vAlign w:val="center"/>
          </w:tcPr>
          <w:p w14:paraId="7D87D8B1">
            <w:pPr>
              <w:pStyle w:val="25"/>
              <w:bidi w:val="0"/>
              <w:rPr>
                <w:rFonts w:hint="default"/>
                <w:color w:val="auto"/>
                <w:u w:val="none" w:color="auto"/>
                <w:lang w:val="en-US" w:eastAsia="zh-CN"/>
              </w:rPr>
            </w:pPr>
          </w:p>
        </w:tc>
        <w:tc>
          <w:tcPr>
            <w:tcW w:w="675" w:type="dxa"/>
            <w:vMerge w:val="restart"/>
            <w:noWrap w:val="0"/>
            <w:vAlign w:val="center"/>
          </w:tcPr>
          <w:p w14:paraId="27CC949F">
            <w:pPr>
              <w:pStyle w:val="25"/>
              <w:bidi w:val="0"/>
              <w:rPr>
                <w:rFonts w:hint="default"/>
                <w:color w:val="auto"/>
                <w:u w:val="none" w:color="auto"/>
                <w:lang w:val="en-US" w:eastAsia="zh-CN"/>
              </w:rPr>
            </w:pPr>
            <w:r>
              <w:rPr>
                <w:rFonts w:hint="eastAsia"/>
                <w:color w:val="auto"/>
                <w:u w:val="none" w:color="auto"/>
                <w:lang w:val="en-US" w:eastAsia="zh-CN"/>
              </w:rPr>
              <w:t>70</w:t>
            </w:r>
          </w:p>
        </w:tc>
        <w:tc>
          <w:tcPr>
            <w:tcW w:w="870" w:type="dxa"/>
            <w:vMerge w:val="restart"/>
            <w:noWrap w:val="0"/>
            <w:vAlign w:val="center"/>
          </w:tcPr>
          <w:p w14:paraId="696D10F7">
            <w:pPr>
              <w:pStyle w:val="25"/>
              <w:bidi w:val="0"/>
              <w:rPr>
                <w:rFonts w:hint="default"/>
                <w:color w:val="auto"/>
                <w:u w:val="none" w:color="auto"/>
                <w:lang w:val="en-US" w:eastAsia="zh-CN"/>
              </w:rPr>
            </w:pPr>
            <w:r>
              <w:rPr>
                <w:rFonts w:hint="eastAsia"/>
                <w:color w:val="auto"/>
                <w:u w:val="none" w:color="auto"/>
                <w:lang w:val="en-US" w:eastAsia="zh-CN"/>
              </w:rPr>
              <w:t>类比法</w:t>
            </w:r>
          </w:p>
        </w:tc>
        <w:tc>
          <w:tcPr>
            <w:tcW w:w="1125" w:type="dxa"/>
            <w:gridSpan w:val="2"/>
            <w:noWrap w:val="0"/>
            <w:vAlign w:val="center"/>
          </w:tcPr>
          <w:p w14:paraId="6F7AA104">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1.514</w:t>
            </w:r>
          </w:p>
        </w:tc>
        <w:tc>
          <w:tcPr>
            <w:tcW w:w="1080" w:type="dxa"/>
            <w:gridSpan w:val="2"/>
            <w:noWrap w:val="0"/>
            <w:vAlign w:val="center"/>
          </w:tcPr>
          <w:p w14:paraId="26FA770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0.061</w:t>
            </w:r>
          </w:p>
        </w:tc>
        <w:tc>
          <w:tcPr>
            <w:tcW w:w="900" w:type="dxa"/>
            <w:noWrap w:val="0"/>
            <w:vAlign w:val="center"/>
          </w:tcPr>
          <w:p w14:paraId="7CD455E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0.146</w:t>
            </w:r>
          </w:p>
        </w:tc>
        <w:tc>
          <w:tcPr>
            <w:tcW w:w="716" w:type="dxa"/>
            <w:vMerge w:val="continue"/>
            <w:noWrap w:val="0"/>
            <w:vAlign w:val="center"/>
          </w:tcPr>
          <w:p w14:paraId="52FD1EC1">
            <w:pPr>
              <w:pStyle w:val="25"/>
              <w:bidi w:val="0"/>
              <w:rPr>
                <w:rFonts w:hint="default"/>
                <w:color w:val="auto"/>
                <w:u w:val="none" w:color="auto"/>
                <w:lang w:val="en-US" w:eastAsia="zh-CN"/>
              </w:rPr>
            </w:pPr>
          </w:p>
        </w:tc>
      </w:tr>
      <w:tr w14:paraId="7979D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10CC2BFA">
            <w:pPr>
              <w:pStyle w:val="25"/>
              <w:bidi w:val="0"/>
              <w:rPr>
                <w:rFonts w:hint="default"/>
                <w:color w:val="auto"/>
                <w:u w:val="none" w:color="auto"/>
                <w:lang w:val="en-US" w:eastAsia="zh-CN"/>
              </w:rPr>
            </w:pPr>
          </w:p>
        </w:tc>
        <w:tc>
          <w:tcPr>
            <w:tcW w:w="885" w:type="dxa"/>
            <w:vMerge w:val="continue"/>
            <w:noWrap w:val="0"/>
            <w:vAlign w:val="center"/>
          </w:tcPr>
          <w:p w14:paraId="15E69A19">
            <w:pPr>
              <w:pStyle w:val="25"/>
              <w:bidi w:val="0"/>
              <w:rPr>
                <w:rFonts w:hint="default"/>
                <w:color w:val="auto"/>
                <w:u w:val="none" w:color="auto"/>
                <w:lang w:eastAsia="zh-CN"/>
              </w:rPr>
            </w:pPr>
          </w:p>
        </w:tc>
        <w:tc>
          <w:tcPr>
            <w:tcW w:w="885" w:type="dxa"/>
            <w:noWrap w:val="0"/>
            <w:vAlign w:val="center"/>
          </w:tcPr>
          <w:p w14:paraId="390E2F9D">
            <w:pPr>
              <w:pStyle w:val="25"/>
              <w:bidi w:val="0"/>
              <w:rPr>
                <w:rFonts w:hint="default"/>
                <w:color w:val="auto"/>
                <w:u w:val="none" w:color="auto"/>
                <w:lang w:val="en-US" w:eastAsia="zh-CN"/>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03222FAD">
            <w:pPr>
              <w:pStyle w:val="25"/>
              <w:bidi w:val="0"/>
              <w:rPr>
                <w:rFonts w:hint="default"/>
                <w:color w:val="auto"/>
                <w:u w:val="none" w:color="auto"/>
                <w:lang w:val="en-US" w:eastAsia="zh-CN"/>
              </w:rPr>
            </w:pPr>
          </w:p>
        </w:tc>
        <w:tc>
          <w:tcPr>
            <w:tcW w:w="1140" w:type="dxa"/>
            <w:gridSpan w:val="2"/>
            <w:noWrap w:val="0"/>
            <w:vAlign w:val="center"/>
          </w:tcPr>
          <w:p w14:paraId="563FFF1B">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372BD06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0.011</w:t>
            </w:r>
          </w:p>
        </w:tc>
        <w:tc>
          <w:tcPr>
            <w:tcW w:w="900" w:type="dxa"/>
            <w:noWrap w:val="0"/>
            <w:vAlign w:val="center"/>
          </w:tcPr>
          <w:p w14:paraId="4056D4EA">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0.025</w:t>
            </w:r>
          </w:p>
        </w:tc>
        <w:tc>
          <w:tcPr>
            <w:tcW w:w="1815" w:type="dxa"/>
            <w:gridSpan w:val="2"/>
            <w:vMerge w:val="continue"/>
            <w:noWrap w:val="0"/>
            <w:vAlign w:val="center"/>
          </w:tcPr>
          <w:p w14:paraId="2CEB125C">
            <w:pPr>
              <w:pStyle w:val="25"/>
              <w:bidi w:val="0"/>
              <w:rPr>
                <w:rFonts w:hint="default"/>
                <w:color w:val="auto"/>
                <w:u w:val="none" w:color="auto"/>
                <w:lang w:val="en-US" w:eastAsia="zh-CN"/>
              </w:rPr>
            </w:pPr>
          </w:p>
        </w:tc>
        <w:tc>
          <w:tcPr>
            <w:tcW w:w="675" w:type="dxa"/>
            <w:vMerge w:val="continue"/>
            <w:noWrap w:val="0"/>
            <w:vAlign w:val="center"/>
          </w:tcPr>
          <w:p w14:paraId="1D042031">
            <w:pPr>
              <w:pStyle w:val="25"/>
              <w:bidi w:val="0"/>
              <w:rPr>
                <w:rFonts w:hint="default"/>
                <w:color w:val="auto"/>
                <w:u w:val="none" w:color="auto"/>
                <w:lang w:val="en-US" w:eastAsia="zh-CN"/>
              </w:rPr>
            </w:pPr>
          </w:p>
        </w:tc>
        <w:tc>
          <w:tcPr>
            <w:tcW w:w="870" w:type="dxa"/>
            <w:vMerge w:val="continue"/>
            <w:noWrap w:val="0"/>
            <w:vAlign w:val="center"/>
          </w:tcPr>
          <w:p w14:paraId="2D58A584">
            <w:pPr>
              <w:pStyle w:val="25"/>
              <w:bidi w:val="0"/>
              <w:rPr>
                <w:rFonts w:hint="default"/>
                <w:color w:val="auto"/>
                <w:u w:val="none" w:color="auto"/>
                <w:lang w:val="en-US" w:eastAsia="zh-CN"/>
              </w:rPr>
            </w:pPr>
          </w:p>
        </w:tc>
        <w:tc>
          <w:tcPr>
            <w:tcW w:w="1125" w:type="dxa"/>
            <w:gridSpan w:val="2"/>
            <w:noWrap w:val="0"/>
            <w:vAlign w:val="center"/>
          </w:tcPr>
          <w:p w14:paraId="2262C6E1">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3334E48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0.011</w:t>
            </w:r>
          </w:p>
        </w:tc>
        <w:tc>
          <w:tcPr>
            <w:tcW w:w="900" w:type="dxa"/>
            <w:noWrap w:val="0"/>
            <w:vAlign w:val="center"/>
          </w:tcPr>
          <w:p w14:paraId="71460FF5">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0.025</w:t>
            </w:r>
          </w:p>
        </w:tc>
        <w:tc>
          <w:tcPr>
            <w:tcW w:w="716" w:type="dxa"/>
            <w:vMerge w:val="continue"/>
            <w:noWrap w:val="0"/>
            <w:vAlign w:val="center"/>
          </w:tcPr>
          <w:p w14:paraId="7AB570C1">
            <w:pPr>
              <w:pStyle w:val="25"/>
              <w:bidi w:val="0"/>
              <w:rPr>
                <w:rFonts w:hint="default"/>
                <w:color w:val="auto"/>
                <w:u w:val="none" w:color="auto"/>
                <w:lang w:val="en-US" w:eastAsia="zh-CN"/>
              </w:rPr>
            </w:pPr>
          </w:p>
        </w:tc>
      </w:tr>
      <w:tr w14:paraId="06751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68D0411">
            <w:pPr>
              <w:pStyle w:val="25"/>
              <w:bidi w:val="0"/>
              <w:rPr>
                <w:rFonts w:hint="default"/>
                <w:color w:val="auto"/>
                <w:u w:val="none" w:color="auto"/>
                <w:lang w:val="en-US" w:eastAsia="zh-CN"/>
              </w:rPr>
            </w:pPr>
          </w:p>
        </w:tc>
        <w:tc>
          <w:tcPr>
            <w:tcW w:w="885" w:type="dxa"/>
            <w:vMerge w:val="restart"/>
            <w:noWrap w:val="0"/>
            <w:vAlign w:val="center"/>
          </w:tcPr>
          <w:p w14:paraId="6372D14E">
            <w:pPr>
              <w:pStyle w:val="25"/>
              <w:bidi w:val="0"/>
              <w:rPr>
                <w:rFonts w:hint="default"/>
                <w:color w:val="auto"/>
                <w:u w:val="none" w:color="auto"/>
                <w:lang w:val="en-US" w:eastAsia="zh-CN"/>
              </w:rPr>
            </w:pPr>
            <w:r>
              <w:rPr>
                <w:rFonts w:hint="eastAsia"/>
                <w:color w:val="auto"/>
                <w:u w:val="none" w:color="auto"/>
                <w:lang w:val="en-US" w:eastAsia="zh-CN"/>
              </w:rPr>
              <w:t>甲醛</w:t>
            </w:r>
          </w:p>
        </w:tc>
        <w:tc>
          <w:tcPr>
            <w:tcW w:w="885" w:type="dxa"/>
            <w:noWrap w:val="0"/>
            <w:vAlign w:val="center"/>
          </w:tcPr>
          <w:p w14:paraId="38C7B4DC">
            <w:pPr>
              <w:pStyle w:val="25"/>
              <w:bidi w:val="0"/>
              <w:rPr>
                <w:rFonts w:hint="default"/>
                <w:color w:val="auto"/>
                <w:u w:val="none" w:color="auto"/>
                <w:lang w:val="en-US" w:eastAsia="zh-CN"/>
              </w:rPr>
            </w:pPr>
            <w:r>
              <w:rPr>
                <w:rFonts w:hint="default"/>
                <w:color w:val="auto"/>
                <w:u w:val="none" w:color="auto"/>
                <w:lang w:val="en-US" w:eastAsia="zh-CN"/>
              </w:rPr>
              <w:t>有组织</w:t>
            </w:r>
          </w:p>
        </w:tc>
        <w:tc>
          <w:tcPr>
            <w:tcW w:w="900" w:type="dxa"/>
            <w:vMerge w:val="continue"/>
            <w:noWrap w:val="0"/>
            <w:vAlign w:val="center"/>
          </w:tcPr>
          <w:p w14:paraId="2670DC71">
            <w:pPr>
              <w:pStyle w:val="25"/>
              <w:bidi w:val="0"/>
              <w:rPr>
                <w:rFonts w:hint="default"/>
                <w:color w:val="auto"/>
                <w:u w:val="none" w:color="auto"/>
                <w:lang w:val="en-US" w:eastAsia="zh-CN"/>
              </w:rPr>
            </w:pPr>
          </w:p>
        </w:tc>
        <w:tc>
          <w:tcPr>
            <w:tcW w:w="1140" w:type="dxa"/>
            <w:gridSpan w:val="2"/>
            <w:noWrap w:val="0"/>
            <w:vAlign w:val="center"/>
          </w:tcPr>
          <w:p w14:paraId="6C0AEDA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11.875</w:t>
            </w:r>
          </w:p>
        </w:tc>
        <w:tc>
          <w:tcPr>
            <w:tcW w:w="1065" w:type="dxa"/>
            <w:gridSpan w:val="2"/>
            <w:noWrap w:val="0"/>
            <w:vAlign w:val="center"/>
          </w:tcPr>
          <w:p w14:paraId="066E1CBE">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0.475</w:t>
            </w:r>
          </w:p>
        </w:tc>
        <w:tc>
          <w:tcPr>
            <w:tcW w:w="900" w:type="dxa"/>
            <w:noWrap w:val="0"/>
            <w:vAlign w:val="center"/>
          </w:tcPr>
          <w:p w14:paraId="4A981C9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1.14</w:t>
            </w:r>
          </w:p>
        </w:tc>
        <w:tc>
          <w:tcPr>
            <w:tcW w:w="1815" w:type="dxa"/>
            <w:gridSpan w:val="2"/>
            <w:vMerge w:val="continue"/>
            <w:noWrap w:val="0"/>
            <w:vAlign w:val="center"/>
          </w:tcPr>
          <w:p w14:paraId="1BF1D2A8">
            <w:pPr>
              <w:pStyle w:val="25"/>
              <w:bidi w:val="0"/>
              <w:rPr>
                <w:rFonts w:hint="default"/>
                <w:color w:val="auto"/>
                <w:u w:val="none" w:color="auto"/>
                <w:lang w:val="en-US" w:eastAsia="zh-CN"/>
              </w:rPr>
            </w:pPr>
          </w:p>
        </w:tc>
        <w:tc>
          <w:tcPr>
            <w:tcW w:w="675" w:type="dxa"/>
            <w:vMerge w:val="restart"/>
            <w:noWrap w:val="0"/>
            <w:vAlign w:val="center"/>
          </w:tcPr>
          <w:p w14:paraId="56BD95F2">
            <w:pPr>
              <w:pStyle w:val="25"/>
              <w:bidi w:val="0"/>
              <w:rPr>
                <w:rFonts w:hint="default"/>
                <w:color w:val="auto"/>
                <w:u w:val="none" w:color="auto"/>
                <w:lang w:val="en-US" w:eastAsia="zh-CN"/>
              </w:rPr>
            </w:pPr>
            <w:r>
              <w:rPr>
                <w:rFonts w:hint="eastAsia"/>
                <w:color w:val="auto"/>
                <w:u w:val="none" w:color="auto"/>
                <w:lang w:val="en-US" w:eastAsia="zh-CN"/>
              </w:rPr>
              <w:t>70</w:t>
            </w:r>
          </w:p>
        </w:tc>
        <w:tc>
          <w:tcPr>
            <w:tcW w:w="870" w:type="dxa"/>
            <w:vMerge w:val="continue"/>
            <w:noWrap w:val="0"/>
            <w:vAlign w:val="center"/>
          </w:tcPr>
          <w:p w14:paraId="55330F38">
            <w:pPr>
              <w:pStyle w:val="25"/>
              <w:bidi w:val="0"/>
              <w:rPr>
                <w:rFonts w:hint="default"/>
                <w:color w:val="auto"/>
                <w:u w:val="none" w:color="auto"/>
                <w:lang w:val="en-US" w:eastAsia="zh-CN"/>
              </w:rPr>
            </w:pPr>
          </w:p>
        </w:tc>
        <w:tc>
          <w:tcPr>
            <w:tcW w:w="1125" w:type="dxa"/>
            <w:gridSpan w:val="2"/>
            <w:noWrap w:val="0"/>
            <w:vAlign w:val="center"/>
          </w:tcPr>
          <w:p w14:paraId="78669454">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3.563</w:t>
            </w:r>
          </w:p>
        </w:tc>
        <w:tc>
          <w:tcPr>
            <w:tcW w:w="1080" w:type="dxa"/>
            <w:gridSpan w:val="2"/>
            <w:noWrap w:val="0"/>
            <w:vAlign w:val="center"/>
          </w:tcPr>
          <w:p w14:paraId="19D8754D">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0.143</w:t>
            </w:r>
          </w:p>
        </w:tc>
        <w:tc>
          <w:tcPr>
            <w:tcW w:w="900" w:type="dxa"/>
            <w:noWrap w:val="0"/>
            <w:vAlign w:val="center"/>
          </w:tcPr>
          <w:p w14:paraId="790D6F5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0.342</w:t>
            </w:r>
          </w:p>
        </w:tc>
        <w:tc>
          <w:tcPr>
            <w:tcW w:w="716" w:type="dxa"/>
            <w:vMerge w:val="continue"/>
            <w:noWrap w:val="0"/>
            <w:vAlign w:val="center"/>
          </w:tcPr>
          <w:p w14:paraId="00773F16">
            <w:pPr>
              <w:pStyle w:val="25"/>
              <w:bidi w:val="0"/>
              <w:rPr>
                <w:rFonts w:hint="default"/>
                <w:color w:val="auto"/>
                <w:u w:val="none" w:color="auto"/>
                <w:lang w:val="en-US" w:eastAsia="zh-CN"/>
              </w:rPr>
            </w:pPr>
          </w:p>
        </w:tc>
      </w:tr>
      <w:tr w14:paraId="22885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91C8122">
            <w:pPr>
              <w:pStyle w:val="25"/>
              <w:bidi w:val="0"/>
              <w:rPr>
                <w:rFonts w:hint="default"/>
                <w:color w:val="auto"/>
                <w:u w:val="none" w:color="auto"/>
                <w:lang w:val="en-US" w:eastAsia="zh-CN"/>
              </w:rPr>
            </w:pPr>
          </w:p>
        </w:tc>
        <w:tc>
          <w:tcPr>
            <w:tcW w:w="885" w:type="dxa"/>
            <w:vMerge w:val="continue"/>
            <w:noWrap w:val="0"/>
            <w:vAlign w:val="center"/>
          </w:tcPr>
          <w:p w14:paraId="6620FC48">
            <w:pPr>
              <w:pStyle w:val="25"/>
              <w:bidi w:val="0"/>
              <w:rPr>
                <w:rFonts w:hint="default"/>
                <w:color w:val="auto"/>
                <w:u w:val="none" w:color="auto"/>
                <w:lang w:val="en-US" w:eastAsia="zh-CN"/>
              </w:rPr>
            </w:pPr>
          </w:p>
        </w:tc>
        <w:tc>
          <w:tcPr>
            <w:tcW w:w="885" w:type="dxa"/>
            <w:noWrap w:val="0"/>
            <w:vAlign w:val="center"/>
          </w:tcPr>
          <w:p w14:paraId="7D3D54C1">
            <w:pPr>
              <w:pStyle w:val="25"/>
              <w:bidi w:val="0"/>
              <w:rPr>
                <w:rFonts w:hint="default"/>
                <w:color w:val="auto"/>
                <w:u w:val="none" w:color="auto"/>
                <w:lang w:val="en-US" w:eastAsia="zh-CN"/>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1D5D378E">
            <w:pPr>
              <w:pStyle w:val="25"/>
              <w:bidi w:val="0"/>
              <w:rPr>
                <w:rFonts w:hint="default"/>
                <w:color w:val="auto"/>
                <w:u w:val="none" w:color="auto"/>
                <w:lang w:val="en-US" w:eastAsia="zh-CN"/>
              </w:rPr>
            </w:pPr>
          </w:p>
        </w:tc>
        <w:tc>
          <w:tcPr>
            <w:tcW w:w="1140" w:type="dxa"/>
            <w:gridSpan w:val="2"/>
            <w:noWrap w:val="0"/>
            <w:vAlign w:val="center"/>
          </w:tcPr>
          <w:p w14:paraId="527F6B0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16355298">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0.025</w:t>
            </w:r>
          </w:p>
        </w:tc>
        <w:tc>
          <w:tcPr>
            <w:tcW w:w="900" w:type="dxa"/>
            <w:noWrap w:val="0"/>
            <w:vAlign w:val="center"/>
          </w:tcPr>
          <w:p w14:paraId="13C72C1C">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w:t>
            </w:r>
          </w:p>
        </w:tc>
        <w:tc>
          <w:tcPr>
            <w:tcW w:w="1815" w:type="dxa"/>
            <w:gridSpan w:val="2"/>
            <w:vMerge w:val="continue"/>
            <w:noWrap w:val="0"/>
            <w:vAlign w:val="center"/>
          </w:tcPr>
          <w:p w14:paraId="6DEDFBD8">
            <w:pPr>
              <w:pStyle w:val="25"/>
              <w:bidi w:val="0"/>
              <w:rPr>
                <w:rFonts w:hint="default"/>
                <w:color w:val="auto"/>
                <w:u w:val="none" w:color="auto"/>
                <w:lang w:val="en-US" w:eastAsia="zh-CN"/>
              </w:rPr>
            </w:pPr>
          </w:p>
        </w:tc>
        <w:tc>
          <w:tcPr>
            <w:tcW w:w="675" w:type="dxa"/>
            <w:vMerge w:val="continue"/>
            <w:noWrap w:val="0"/>
            <w:vAlign w:val="center"/>
          </w:tcPr>
          <w:p w14:paraId="7BBDE3ED">
            <w:pPr>
              <w:pStyle w:val="25"/>
              <w:bidi w:val="0"/>
              <w:rPr>
                <w:rFonts w:hint="default"/>
                <w:color w:val="auto"/>
                <w:u w:val="none" w:color="auto"/>
                <w:lang w:val="en-US" w:eastAsia="zh-CN"/>
              </w:rPr>
            </w:pPr>
          </w:p>
        </w:tc>
        <w:tc>
          <w:tcPr>
            <w:tcW w:w="870" w:type="dxa"/>
            <w:vMerge w:val="continue"/>
            <w:noWrap w:val="0"/>
            <w:vAlign w:val="center"/>
          </w:tcPr>
          <w:p w14:paraId="7280001C">
            <w:pPr>
              <w:pStyle w:val="25"/>
              <w:bidi w:val="0"/>
              <w:rPr>
                <w:rFonts w:hint="default"/>
                <w:color w:val="auto"/>
                <w:u w:val="none" w:color="auto"/>
                <w:lang w:val="en-US" w:eastAsia="zh-CN"/>
              </w:rPr>
            </w:pPr>
          </w:p>
        </w:tc>
        <w:tc>
          <w:tcPr>
            <w:tcW w:w="1125" w:type="dxa"/>
            <w:gridSpan w:val="2"/>
            <w:noWrap w:val="0"/>
            <w:vAlign w:val="center"/>
          </w:tcPr>
          <w:p w14:paraId="00A5ADE9">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3CA05C7D">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0.025</w:t>
            </w:r>
          </w:p>
        </w:tc>
        <w:tc>
          <w:tcPr>
            <w:tcW w:w="900" w:type="dxa"/>
            <w:noWrap w:val="0"/>
            <w:vAlign w:val="center"/>
          </w:tcPr>
          <w:p w14:paraId="59D1EFDD">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w:t>
            </w:r>
          </w:p>
        </w:tc>
        <w:tc>
          <w:tcPr>
            <w:tcW w:w="716" w:type="dxa"/>
            <w:vMerge w:val="continue"/>
            <w:noWrap w:val="0"/>
            <w:vAlign w:val="center"/>
          </w:tcPr>
          <w:p w14:paraId="4BCA0E69">
            <w:pPr>
              <w:pStyle w:val="25"/>
              <w:bidi w:val="0"/>
              <w:rPr>
                <w:rFonts w:hint="default"/>
                <w:color w:val="auto"/>
                <w:u w:val="none" w:color="auto"/>
                <w:lang w:val="en-US" w:eastAsia="zh-CN"/>
              </w:rPr>
            </w:pPr>
          </w:p>
        </w:tc>
      </w:tr>
      <w:tr w14:paraId="687D9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noWrap w:val="0"/>
            <w:vAlign w:val="center"/>
          </w:tcPr>
          <w:p w14:paraId="3A796BCE">
            <w:pPr>
              <w:pStyle w:val="25"/>
              <w:bidi w:val="0"/>
              <w:rPr>
                <w:rFonts w:hint="default"/>
                <w:color w:val="auto"/>
                <w:u w:val="none" w:color="auto"/>
                <w:lang w:val="en-US" w:eastAsia="zh-CN"/>
              </w:rPr>
            </w:pPr>
            <w:r>
              <w:rPr>
                <w:rFonts w:hint="eastAsia"/>
                <w:color w:val="auto"/>
                <w:u w:val="none" w:color="auto"/>
                <w:lang w:val="en-US" w:eastAsia="zh-CN"/>
              </w:rPr>
              <w:t>热压废气</w:t>
            </w:r>
          </w:p>
        </w:tc>
        <w:tc>
          <w:tcPr>
            <w:tcW w:w="885" w:type="dxa"/>
            <w:noWrap w:val="0"/>
            <w:vAlign w:val="center"/>
          </w:tcPr>
          <w:p w14:paraId="62C85026">
            <w:pPr>
              <w:pStyle w:val="25"/>
              <w:bidi w:val="0"/>
              <w:rPr>
                <w:rFonts w:hint="default"/>
                <w:color w:val="auto"/>
                <w:u w:val="none" w:color="auto"/>
                <w:lang w:val="en-US" w:eastAsia="zh-CN"/>
              </w:rPr>
            </w:pPr>
            <w:r>
              <w:rPr>
                <w:rFonts w:hint="eastAsia"/>
                <w:color w:val="auto"/>
                <w:u w:val="none" w:color="auto"/>
                <w:lang w:val="en-US" w:eastAsia="zh-CN"/>
              </w:rPr>
              <w:t>酚类</w:t>
            </w:r>
          </w:p>
        </w:tc>
        <w:tc>
          <w:tcPr>
            <w:tcW w:w="885" w:type="dxa"/>
            <w:noWrap w:val="0"/>
            <w:vAlign w:val="center"/>
          </w:tcPr>
          <w:p w14:paraId="56F2A9D1">
            <w:pPr>
              <w:pStyle w:val="25"/>
              <w:bidi w:val="0"/>
              <w:rPr>
                <w:rFonts w:hint="default"/>
                <w:color w:val="auto"/>
                <w:u w:val="none" w:color="auto"/>
                <w:lang w:val="en-US" w:eastAsia="zh-CN"/>
              </w:rPr>
            </w:pPr>
            <w:r>
              <w:rPr>
                <w:rFonts w:hint="eastAsia"/>
                <w:color w:val="auto"/>
                <w:u w:val="none" w:color="auto"/>
                <w:lang w:val="en-US" w:eastAsia="zh-CN"/>
              </w:rPr>
              <w:t>无组织</w:t>
            </w:r>
          </w:p>
        </w:tc>
        <w:tc>
          <w:tcPr>
            <w:tcW w:w="900" w:type="dxa"/>
            <w:noWrap w:val="0"/>
            <w:vAlign w:val="center"/>
          </w:tcPr>
          <w:p w14:paraId="02DDAB55">
            <w:pPr>
              <w:pStyle w:val="25"/>
              <w:bidi w:val="0"/>
              <w:rPr>
                <w:rFonts w:hint="default"/>
                <w:color w:val="auto"/>
                <w:u w:val="none" w:color="auto"/>
                <w:lang w:val="en-US" w:eastAsia="zh-CN"/>
              </w:rPr>
            </w:pPr>
            <w:r>
              <w:rPr>
                <w:rFonts w:hint="eastAsia"/>
                <w:color w:val="auto"/>
                <w:u w:val="none" w:color="auto"/>
                <w:lang w:val="en-US" w:eastAsia="zh-CN"/>
              </w:rPr>
              <w:t>类比法</w:t>
            </w:r>
          </w:p>
        </w:tc>
        <w:tc>
          <w:tcPr>
            <w:tcW w:w="1140" w:type="dxa"/>
            <w:gridSpan w:val="2"/>
            <w:noWrap w:val="0"/>
            <w:vAlign w:val="center"/>
          </w:tcPr>
          <w:p w14:paraId="35D94239">
            <w:pPr>
              <w:pStyle w:val="25"/>
              <w:bidi w:val="0"/>
              <w:rPr>
                <w:rFonts w:hint="default"/>
                <w:color w:val="auto"/>
                <w:u w:val="none" w:color="auto"/>
                <w:lang w:val="en-US" w:eastAsia="zh-CN"/>
              </w:rPr>
            </w:pPr>
            <w:r>
              <w:rPr>
                <w:rFonts w:hint="eastAsia"/>
                <w:color w:val="auto"/>
                <w:u w:val="none" w:color="auto"/>
                <w:lang w:val="en-US" w:eastAsia="zh-CN"/>
              </w:rPr>
              <w:t>/</w:t>
            </w:r>
          </w:p>
        </w:tc>
        <w:tc>
          <w:tcPr>
            <w:tcW w:w="1065" w:type="dxa"/>
            <w:gridSpan w:val="2"/>
            <w:noWrap w:val="0"/>
            <w:vAlign w:val="center"/>
          </w:tcPr>
          <w:p w14:paraId="41E51BC6">
            <w:pPr>
              <w:pStyle w:val="25"/>
              <w:bidi w:val="0"/>
              <w:rPr>
                <w:rFonts w:hint="default"/>
                <w:color w:val="auto"/>
                <w:u w:val="none" w:color="auto"/>
                <w:lang w:val="en-US" w:eastAsia="zh-CN"/>
              </w:rPr>
            </w:pPr>
            <w:r>
              <w:rPr>
                <w:rFonts w:hint="eastAsia"/>
                <w:color w:val="auto"/>
                <w:u w:val="none" w:color="auto"/>
                <w:lang w:val="en-US" w:eastAsia="zh-CN"/>
              </w:rPr>
              <w:t>0.106</w:t>
            </w:r>
          </w:p>
        </w:tc>
        <w:tc>
          <w:tcPr>
            <w:tcW w:w="900" w:type="dxa"/>
            <w:noWrap w:val="0"/>
            <w:vAlign w:val="center"/>
          </w:tcPr>
          <w:p w14:paraId="28415616">
            <w:pPr>
              <w:pStyle w:val="25"/>
              <w:bidi w:val="0"/>
              <w:rPr>
                <w:rFonts w:hint="default"/>
                <w:color w:val="auto"/>
                <w:u w:val="none" w:color="auto"/>
                <w:lang w:val="en-US" w:eastAsia="zh-CN"/>
              </w:rPr>
            </w:pPr>
            <w:r>
              <w:rPr>
                <w:rFonts w:hint="eastAsia"/>
                <w:color w:val="auto"/>
                <w:u w:val="none" w:color="auto"/>
                <w:lang w:val="en-US" w:eastAsia="zh-CN"/>
              </w:rPr>
              <w:t>0.255</w:t>
            </w:r>
          </w:p>
        </w:tc>
        <w:tc>
          <w:tcPr>
            <w:tcW w:w="1815" w:type="dxa"/>
            <w:gridSpan w:val="2"/>
            <w:noWrap w:val="0"/>
            <w:vAlign w:val="center"/>
          </w:tcPr>
          <w:p w14:paraId="52F1349A">
            <w:pPr>
              <w:pStyle w:val="25"/>
              <w:bidi w:val="0"/>
              <w:rPr>
                <w:rFonts w:hint="default"/>
                <w:color w:val="auto"/>
                <w:u w:val="none" w:color="auto"/>
                <w:lang w:val="en-US" w:eastAsia="zh-CN"/>
              </w:rPr>
            </w:pPr>
            <w:r>
              <w:rPr>
                <w:rFonts w:hint="eastAsia"/>
                <w:color w:val="auto"/>
                <w:u w:val="none" w:color="auto"/>
                <w:lang w:val="en-US" w:eastAsia="zh-CN"/>
              </w:rPr>
              <w:t>加强通风</w:t>
            </w:r>
          </w:p>
        </w:tc>
        <w:tc>
          <w:tcPr>
            <w:tcW w:w="675" w:type="dxa"/>
            <w:noWrap w:val="0"/>
            <w:vAlign w:val="center"/>
          </w:tcPr>
          <w:p w14:paraId="003D8420">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noWrap w:val="0"/>
            <w:vAlign w:val="center"/>
          </w:tcPr>
          <w:p w14:paraId="6AD5BC07">
            <w:pPr>
              <w:pStyle w:val="25"/>
              <w:bidi w:val="0"/>
              <w:rPr>
                <w:rFonts w:hint="default"/>
                <w:color w:val="auto"/>
                <w:u w:val="none" w:color="auto"/>
                <w:lang w:val="en-US" w:eastAsia="zh-CN"/>
              </w:rPr>
            </w:pPr>
            <w:r>
              <w:rPr>
                <w:rFonts w:hint="eastAsia"/>
                <w:color w:val="auto"/>
                <w:u w:val="none" w:color="auto"/>
                <w:lang w:val="en-US" w:eastAsia="zh-CN"/>
              </w:rPr>
              <w:t>类比法</w:t>
            </w:r>
          </w:p>
        </w:tc>
        <w:tc>
          <w:tcPr>
            <w:tcW w:w="1125" w:type="dxa"/>
            <w:gridSpan w:val="2"/>
            <w:noWrap w:val="0"/>
            <w:vAlign w:val="center"/>
          </w:tcPr>
          <w:p w14:paraId="13B2AAC9">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c>
          <w:tcPr>
            <w:tcW w:w="1080" w:type="dxa"/>
            <w:gridSpan w:val="2"/>
            <w:noWrap w:val="0"/>
            <w:vAlign w:val="center"/>
          </w:tcPr>
          <w:p w14:paraId="20D6C4F8">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0.106</w:t>
            </w:r>
          </w:p>
        </w:tc>
        <w:tc>
          <w:tcPr>
            <w:tcW w:w="900" w:type="dxa"/>
            <w:noWrap w:val="0"/>
            <w:vAlign w:val="center"/>
          </w:tcPr>
          <w:p w14:paraId="7696D262">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0.255</w:t>
            </w:r>
          </w:p>
        </w:tc>
        <w:tc>
          <w:tcPr>
            <w:tcW w:w="716" w:type="dxa"/>
            <w:noWrap w:val="0"/>
            <w:vAlign w:val="center"/>
          </w:tcPr>
          <w:p w14:paraId="667BC5BC">
            <w:pPr>
              <w:pStyle w:val="25"/>
              <w:bidi w:val="0"/>
              <w:rPr>
                <w:rFonts w:hint="default"/>
                <w:color w:val="auto"/>
                <w:u w:val="none" w:color="auto"/>
                <w:lang w:val="en-US" w:eastAsia="zh-CN"/>
              </w:rPr>
            </w:pPr>
            <w:r>
              <w:rPr>
                <w:rFonts w:hint="eastAsia"/>
                <w:color w:val="auto"/>
                <w:u w:val="none" w:color="auto"/>
                <w:lang w:val="en-US" w:eastAsia="zh-CN"/>
              </w:rPr>
              <w:t>2400</w:t>
            </w:r>
          </w:p>
        </w:tc>
      </w:tr>
      <w:tr w14:paraId="14000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5B54BF6B">
            <w:pPr>
              <w:pStyle w:val="25"/>
              <w:bidi w:val="0"/>
              <w:rPr>
                <w:rFonts w:hint="default"/>
                <w:color w:val="auto"/>
                <w:u w:val="none" w:color="auto"/>
                <w:lang w:val="en-US" w:eastAsia="zh-CN"/>
              </w:rPr>
            </w:pPr>
            <w:r>
              <w:rPr>
                <w:rFonts w:hint="eastAsia"/>
                <w:color w:val="auto"/>
                <w:u w:val="none" w:color="auto"/>
                <w:lang w:val="en-US" w:eastAsia="zh-CN"/>
              </w:rPr>
              <w:t>1#厂房焙烧废气</w:t>
            </w:r>
          </w:p>
        </w:tc>
        <w:tc>
          <w:tcPr>
            <w:tcW w:w="885" w:type="dxa"/>
            <w:noWrap w:val="0"/>
            <w:vAlign w:val="center"/>
          </w:tcPr>
          <w:p w14:paraId="12636673">
            <w:pPr>
              <w:pStyle w:val="25"/>
              <w:bidi w:val="0"/>
              <w:rPr>
                <w:rFonts w:hint="default"/>
                <w:color w:val="auto"/>
                <w:u w:val="none" w:color="auto"/>
                <w:lang w:val="en-US" w:eastAsia="zh-CN"/>
              </w:rPr>
            </w:pPr>
            <w:r>
              <w:rPr>
                <w:rFonts w:hint="eastAsia"/>
                <w:color w:val="auto"/>
                <w:u w:val="none" w:color="auto"/>
                <w:lang w:val="en-US" w:eastAsia="zh-CN"/>
              </w:rPr>
              <w:t>非甲烷总烃</w:t>
            </w:r>
          </w:p>
        </w:tc>
        <w:tc>
          <w:tcPr>
            <w:tcW w:w="885" w:type="dxa"/>
            <w:noWrap w:val="0"/>
            <w:vAlign w:val="center"/>
          </w:tcPr>
          <w:p w14:paraId="50EDE5A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restart"/>
            <w:noWrap w:val="0"/>
            <w:vAlign w:val="center"/>
          </w:tcPr>
          <w:p w14:paraId="18DEEC39">
            <w:pPr>
              <w:pStyle w:val="25"/>
              <w:bidi w:val="0"/>
              <w:rPr>
                <w:rFonts w:hint="default"/>
                <w:color w:val="auto"/>
                <w:u w:val="none" w:color="auto"/>
                <w:lang w:val="en-US" w:eastAsia="zh-CN"/>
              </w:rPr>
            </w:pPr>
            <w:r>
              <w:rPr>
                <w:rFonts w:hint="default"/>
                <w:color w:val="auto"/>
                <w:u w:val="none" w:color="auto"/>
                <w:lang w:val="en-US" w:eastAsia="zh-CN"/>
              </w:rPr>
              <w:t>产污系数法</w:t>
            </w:r>
          </w:p>
        </w:tc>
        <w:tc>
          <w:tcPr>
            <w:tcW w:w="1140" w:type="dxa"/>
            <w:gridSpan w:val="2"/>
            <w:noWrap w:val="0"/>
            <w:vAlign w:val="center"/>
          </w:tcPr>
          <w:p w14:paraId="6CDD86E7">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1166.667</w:t>
            </w:r>
          </w:p>
        </w:tc>
        <w:tc>
          <w:tcPr>
            <w:tcW w:w="1065" w:type="dxa"/>
            <w:gridSpan w:val="2"/>
            <w:noWrap w:val="0"/>
            <w:vAlign w:val="center"/>
          </w:tcPr>
          <w:p w14:paraId="7F914873">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7</w:t>
            </w:r>
          </w:p>
        </w:tc>
        <w:tc>
          <w:tcPr>
            <w:tcW w:w="900" w:type="dxa"/>
            <w:noWrap w:val="0"/>
            <w:vAlign w:val="center"/>
          </w:tcPr>
          <w:p w14:paraId="3875D34E">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42</w:t>
            </w:r>
          </w:p>
        </w:tc>
        <w:tc>
          <w:tcPr>
            <w:tcW w:w="1815" w:type="dxa"/>
            <w:gridSpan w:val="2"/>
            <w:vMerge w:val="restart"/>
            <w:noWrap w:val="0"/>
            <w:vAlign w:val="center"/>
          </w:tcPr>
          <w:p w14:paraId="45262D25">
            <w:pPr>
              <w:pStyle w:val="25"/>
              <w:bidi w:val="0"/>
              <w:rPr>
                <w:rFonts w:hint="default"/>
                <w:color w:val="auto"/>
                <w:u w:val="none" w:color="auto"/>
                <w:lang w:val="en-US" w:eastAsia="zh-CN"/>
              </w:rPr>
            </w:pPr>
            <w:r>
              <w:rPr>
                <w:rFonts w:hint="eastAsia"/>
                <w:color w:val="auto"/>
                <w:u w:val="none" w:color="auto"/>
                <w:lang w:val="en-US" w:eastAsia="zh-CN"/>
              </w:rPr>
              <w:t>焚烧炉1</w:t>
            </w:r>
            <w:r>
              <w:rPr>
                <w:rFonts w:hint="default"/>
                <w:color w:val="auto"/>
                <w:u w:val="none" w:color="auto"/>
                <w:lang w:val="en-US" w:eastAsia="zh-CN"/>
              </w:rPr>
              <w:t>+</w:t>
            </w:r>
            <w:r>
              <w:rPr>
                <w:rFonts w:hint="eastAsia"/>
                <w:color w:val="auto"/>
                <w:u w:val="none" w:color="auto"/>
                <w:lang w:val="en-US" w:eastAsia="zh-CN"/>
              </w:rPr>
              <w:t>15</w:t>
            </w:r>
            <w:r>
              <w:rPr>
                <w:rFonts w:hint="default"/>
                <w:color w:val="auto"/>
                <w:u w:val="none" w:color="auto"/>
                <w:lang w:val="en-US" w:eastAsia="zh-CN"/>
              </w:rPr>
              <w:t>m高排气筒</w:t>
            </w:r>
            <w:r>
              <w:rPr>
                <w:rFonts w:hint="eastAsia"/>
                <w:color w:val="auto"/>
                <w:u w:val="none" w:color="auto"/>
                <w:lang w:val="en-US" w:eastAsia="zh-CN"/>
              </w:rPr>
              <w:t>（DA002）</w:t>
            </w:r>
          </w:p>
        </w:tc>
        <w:tc>
          <w:tcPr>
            <w:tcW w:w="675" w:type="dxa"/>
            <w:noWrap w:val="0"/>
            <w:vAlign w:val="center"/>
          </w:tcPr>
          <w:p w14:paraId="4ADA0A19">
            <w:pPr>
              <w:pStyle w:val="25"/>
              <w:bidi w:val="0"/>
              <w:rPr>
                <w:rFonts w:hint="default"/>
                <w:color w:val="auto"/>
                <w:u w:val="none" w:color="auto"/>
                <w:lang w:val="en-US" w:eastAsia="zh-CN"/>
              </w:rPr>
            </w:pPr>
            <w:r>
              <w:rPr>
                <w:rFonts w:hint="eastAsia"/>
                <w:color w:val="auto"/>
                <w:u w:val="none" w:color="auto"/>
                <w:lang w:val="en-US" w:eastAsia="zh-CN"/>
              </w:rPr>
              <w:t>95</w:t>
            </w:r>
          </w:p>
        </w:tc>
        <w:tc>
          <w:tcPr>
            <w:tcW w:w="870" w:type="dxa"/>
            <w:vMerge w:val="restart"/>
            <w:noWrap w:val="0"/>
            <w:vAlign w:val="center"/>
          </w:tcPr>
          <w:p w14:paraId="3875C59F">
            <w:pPr>
              <w:pStyle w:val="25"/>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654CB626">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58.334</w:t>
            </w:r>
          </w:p>
        </w:tc>
        <w:tc>
          <w:tcPr>
            <w:tcW w:w="1080" w:type="dxa"/>
            <w:gridSpan w:val="2"/>
            <w:noWrap w:val="0"/>
            <w:vAlign w:val="center"/>
          </w:tcPr>
          <w:p w14:paraId="5297AED8">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0.35</w:t>
            </w:r>
          </w:p>
        </w:tc>
        <w:tc>
          <w:tcPr>
            <w:tcW w:w="900" w:type="dxa"/>
            <w:noWrap w:val="0"/>
            <w:vAlign w:val="center"/>
          </w:tcPr>
          <w:p w14:paraId="26FC9C82">
            <w:pPr>
              <w:pStyle w:val="32"/>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2.1</w:t>
            </w:r>
          </w:p>
        </w:tc>
        <w:tc>
          <w:tcPr>
            <w:tcW w:w="716" w:type="dxa"/>
            <w:vMerge w:val="restart"/>
            <w:noWrap w:val="0"/>
            <w:vAlign w:val="center"/>
          </w:tcPr>
          <w:p w14:paraId="018FF076">
            <w:pPr>
              <w:pStyle w:val="25"/>
              <w:bidi w:val="0"/>
              <w:rPr>
                <w:rFonts w:hint="default"/>
                <w:color w:val="auto"/>
                <w:u w:val="none" w:color="auto"/>
                <w:lang w:val="en-US" w:eastAsia="zh-CN"/>
              </w:rPr>
            </w:pPr>
            <w:r>
              <w:rPr>
                <w:rFonts w:hint="eastAsia"/>
                <w:color w:val="auto"/>
                <w:u w:val="none" w:color="auto"/>
                <w:lang w:val="en-US" w:eastAsia="zh-CN"/>
              </w:rPr>
              <w:t>6000</w:t>
            </w:r>
          </w:p>
        </w:tc>
      </w:tr>
      <w:tr w14:paraId="4FCE9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3386F96C">
            <w:pPr>
              <w:pStyle w:val="25"/>
              <w:bidi w:val="0"/>
              <w:rPr>
                <w:rFonts w:hint="eastAsia"/>
                <w:color w:val="auto"/>
                <w:u w:val="none" w:color="auto"/>
                <w:lang w:val="en-US" w:eastAsia="zh-CN"/>
              </w:rPr>
            </w:pPr>
          </w:p>
        </w:tc>
        <w:tc>
          <w:tcPr>
            <w:tcW w:w="885" w:type="dxa"/>
            <w:noWrap w:val="0"/>
            <w:vAlign w:val="center"/>
          </w:tcPr>
          <w:p w14:paraId="183DA0A6">
            <w:pPr>
              <w:pStyle w:val="25"/>
              <w:bidi w:val="0"/>
              <w:rPr>
                <w:rFonts w:hint="default"/>
                <w:color w:val="auto"/>
                <w:u w:val="none" w:color="auto"/>
                <w:lang w:val="en-US" w:eastAsia="zh-CN"/>
              </w:rPr>
            </w:pPr>
            <w:r>
              <w:rPr>
                <w:rFonts w:hint="eastAsia"/>
                <w:color w:val="auto"/>
                <w:u w:val="none" w:color="auto"/>
                <w:lang w:val="en-US" w:eastAsia="zh-CN"/>
              </w:rPr>
              <w:t>酚类</w:t>
            </w:r>
          </w:p>
        </w:tc>
        <w:tc>
          <w:tcPr>
            <w:tcW w:w="885" w:type="dxa"/>
            <w:noWrap w:val="0"/>
            <w:vAlign w:val="center"/>
          </w:tcPr>
          <w:p w14:paraId="72FF6475">
            <w:pPr>
              <w:pStyle w:val="25"/>
              <w:bidi w:val="0"/>
              <w:rPr>
                <w:rFonts w:hint="default"/>
                <w:color w:val="auto"/>
                <w:u w:val="none" w:color="auto"/>
                <w:lang w:val="en-US" w:eastAsia="zh-CN"/>
              </w:rPr>
            </w:pPr>
            <w:r>
              <w:rPr>
                <w:rFonts w:hint="eastAsia"/>
                <w:color w:val="auto"/>
                <w:u w:val="none" w:color="auto"/>
                <w:lang w:val="en-US" w:eastAsia="zh-CN"/>
              </w:rPr>
              <w:t>有组织</w:t>
            </w:r>
          </w:p>
        </w:tc>
        <w:tc>
          <w:tcPr>
            <w:tcW w:w="900" w:type="dxa"/>
            <w:vMerge w:val="continue"/>
            <w:noWrap w:val="0"/>
            <w:vAlign w:val="center"/>
          </w:tcPr>
          <w:p w14:paraId="5975166D">
            <w:pPr>
              <w:pStyle w:val="25"/>
              <w:bidi w:val="0"/>
              <w:rPr>
                <w:rFonts w:hint="default"/>
                <w:color w:val="auto"/>
                <w:u w:val="none" w:color="auto"/>
                <w:lang w:val="en-US" w:eastAsia="zh-CN"/>
              </w:rPr>
            </w:pPr>
          </w:p>
        </w:tc>
        <w:tc>
          <w:tcPr>
            <w:tcW w:w="1140" w:type="dxa"/>
            <w:gridSpan w:val="2"/>
            <w:noWrap w:val="0"/>
            <w:vAlign w:val="center"/>
          </w:tcPr>
          <w:p w14:paraId="582AB4AB">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69.772</w:t>
            </w:r>
          </w:p>
        </w:tc>
        <w:tc>
          <w:tcPr>
            <w:tcW w:w="1065" w:type="dxa"/>
            <w:gridSpan w:val="2"/>
            <w:noWrap w:val="0"/>
            <w:vAlign w:val="center"/>
          </w:tcPr>
          <w:p w14:paraId="0FC66B45">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0.419</w:t>
            </w:r>
          </w:p>
        </w:tc>
        <w:tc>
          <w:tcPr>
            <w:tcW w:w="900" w:type="dxa"/>
            <w:noWrap w:val="0"/>
            <w:vAlign w:val="center"/>
          </w:tcPr>
          <w:p w14:paraId="7CB3D6B4">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2.512</w:t>
            </w:r>
          </w:p>
        </w:tc>
        <w:tc>
          <w:tcPr>
            <w:tcW w:w="1815" w:type="dxa"/>
            <w:gridSpan w:val="2"/>
            <w:vMerge w:val="continue"/>
            <w:noWrap w:val="0"/>
            <w:vAlign w:val="center"/>
          </w:tcPr>
          <w:p w14:paraId="7E50B112">
            <w:pPr>
              <w:pStyle w:val="25"/>
              <w:bidi w:val="0"/>
              <w:rPr>
                <w:rFonts w:hint="eastAsia"/>
                <w:color w:val="auto"/>
                <w:u w:val="none" w:color="auto"/>
                <w:lang w:val="en-US" w:eastAsia="zh-CN"/>
              </w:rPr>
            </w:pPr>
          </w:p>
        </w:tc>
        <w:tc>
          <w:tcPr>
            <w:tcW w:w="675" w:type="dxa"/>
            <w:noWrap w:val="0"/>
            <w:vAlign w:val="center"/>
          </w:tcPr>
          <w:p w14:paraId="5A0F164F">
            <w:pPr>
              <w:pStyle w:val="25"/>
              <w:bidi w:val="0"/>
              <w:rPr>
                <w:rFonts w:hint="default"/>
                <w:color w:val="auto"/>
                <w:u w:val="none" w:color="auto"/>
                <w:lang w:val="en-US" w:eastAsia="zh-CN"/>
              </w:rPr>
            </w:pPr>
            <w:r>
              <w:rPr>
                <w:rFonts w:hint="eastAsia"/>
                <w:color w:val="auto"/>
                <w:u w:val="none" w:color="auto"/>
                <w:lang w:val="en-US" w:eastAsia="zh-CN"/>
              </w:rPr>
              <w:t>95</w:t>
            </w:r>
          </w:p>
        </w:tc>
        <w:tc>
          <w:tcPr>
            <w:tcW w:w="870" w:type="dxa"/>
            <w:vMerge w:val="continue"/>
            <w:noWrap w:val="0"/>
            <w:vAlign w:val="center"/>
          </w:tcPr>
          <w:p w14:paraId="68B4D97B">
            <w:pPr>
              <w:pStyle w:val="25"/>
              <w:bidi w:val="0"/>
              <w:rPr>
                <w:rFonts w:hint="default"/>
                <w:color w:val="auto"/>
                <w:u w:val="none" w:color="auto"/>
                <w:lang w:val="en-US" w:eastAsia="zh-CN"/>
              </w:rPr>
            </w:pPr>
          </w:p>
        </w:tc>
        <w:tc>
          <w:tcPr>
            <w:tcW w:w="1125" w:type="dxa"/>
            <w:gridSpan w:val="2"/>
            <w:noWrap w:val="0"/>
            <w:vAlign w:val="center"/>
          </w:tcPr>
          <w:p w14:paraId="72C974E2">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3.489</w:t>
            </w:r>
          </w:p>
        </w:tc>
        <w:tc>
          <w:tcPr>
            <w:tcW w:w="1080" w:type="dxa"/>
            <w:gridSpan w:val="2"/>
            <w:noWrap w:val="0"/>
            <w:vAlign w:val="center"/>
          </w:tcPr>
          <w:p w14:paraId="59A01924">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0.021</w:t>
            </w:r>
          </w:p>
        </w:tc>
        <w:tc>
          <w:tcPr>
            <w:tcW w:w="900" w:type="dxa"/>
            <w:noWrap w:val="0"/>
            <w:vAlign w:val="center"/>
          </w:tcPr>
          <w:p w14:paraId="58B60DB1">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0.126</w:t>
            </w:r>
          </w:p>
        </w:tc>
        <w:tc>
          <w:tcPr>
            <w:tcW w:w="716" w:type="dxa"/>
            <w:vMerge w:val="continue"/>
            <w:noWrap w:val="0"/>
            <w:vAlign w:val="center"/>
          </w:tcPr>
          <w:p w14:paraId="09FD4D09">
            <w:pPr>
              <w:pStyle w:val="25"/>
              <w:bidi w:val="0"/>
              <w:rPr>
                <w:rFonts w:hint="eastAsia"/>
                <w:color w:val="auto"/>
                <w:u w:val="none" w:color="auto"/>
                <w:lang w:val="en-US" w:eastAsia="zh-CN"/>
              </w:rPr>
            </w:pPr>
          </w:p>
        </w:tc>
      </w:tr>
      <w:tr w14:paraId="795CF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2DE2FD7">
            <w:pPr>
              <w:pStyle w:val="25"/>
              <w:bidi w:val="0"/>
              <w:rPr>
                <w:rFonts w:hint="default"/>
                <w:color w:val="auto"/>
                <w:u w:val="none" w:color="auto"/>
                <w:lang w:val="en-US" w:eastAsia="zh-CN"/>
              </w:rPr>
            </w:pPr>
          </w:p>
        </w:tc>
        <w:tc>
          <w:tcPr>
            <w:tcW w:w="885" w:type="dxa"/>
            <w:noWrap w:val="0"/>
            <w:vAlign w:val="center"/>
          </w:tcPr>
          <w:p w14:paraId="61B177CF">
            <w:pPr>
              <w:pStyle w:val="25"/>
              <w:bidi w:val="0"/>
              <w:rPr>
                <w:rFonts w:hint="default"/>
                <w:color w:val="auto"/>
                <w:u w:val="none" w:color="auto"/>
                <w:lang w:val="en-US" w:eastAsia="zh-CN"/>
              </w:rPr>
            </w:pPr>
            <w:r>
              <w:rPr>
                <w:rFonts w:hint="eastAsia"/>
                <w:color w:val="auto"/>
                <w:u w:val="none" w:color="auto"/>
                <w:lang w:val="en-US" w:eastAsia="zh-CN"/>
              </w:rPr>
              <w:t>颗粒物</w:t>
            </w:r>
          </w:p>
        </w:tc>
        <w:tc>
          <w:tcPr>
            <w:tcW w:w="885" w:type="dxa"/>
            <w:noWrap w:val="0"/>
            <w:vAlign w:val="center"/>
          </w:tcPr>
          <w:p w14:paraId="6DFDCC6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有</w:t>
            </w:r>
            <w:r>
              <w:rPr>
                <w:rFonts w:hint="default"/>
                <w:color w:val="auto"/>
                <w:u w:val="none" w:color="auto"/>
                <w:lang w:eastAsia="zh-CN"/>
              </w:rPr>
              <w:t>组织</w:t>
            </w:r>
          </w:p>
        </w:tc>
        <w:tc>
          <w:tcPr>
            <w:tcW w:w="900" w:type="dxa"/>
            <w:vMerge w:val="continue"/>
            <w:noWrap w:val="0"/>
            <w:vAlign w:val="center"/>
          </w:tcPr>
          <w:p w14:paraId="5EFC5209">
            <w:pPr>
              <w:pStyle w:val="25"/>
              <w:bidi w:val="0"/>
              <w:rPr>
                <w:rFonts w:hint="default"/>
                <w:color w:val="auto"/>
                <w:u w:val="none" w:color="auto"/>
                <w:lang w:val="en-US" w:eastAsia="zh-CN"/>
              </w:rPr>
            </w:pPr>
          </w:p>
        </w:tc>
        <w:tc>
          <w:tcPr>
            <w:tcW w:w="1140" w:type="dxa"/>
            <w:gridSpan w:val="2"/>
            <w:noWrap w:val="0"/>
            <w:vAlign w:val="center"/>
          </w:tcPr>
          <w:p w14:paraId="27861995">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65" w:type="dxa"/>
            <w:gridSpan w:val="2"/>
            <w:noWrap w:val="0"/>
            <w:vAlign w:val="center"/>
          </w:tcPr>
          <w:p w14:paraId="12B4C7FB">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219CCC37">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815" w:type="dxa"/>
            <w:gridSpan w:val="2"/>
            <w:vMerge w:val="continue"/>
            <w:noWrap w:val="0"/>
            <w:vAlign w:val="center"/>
          </w:tcPr>
          <w:p w14:paraId="7A1E573B">
            <w:pPr>
              <w:pStyle w:val="25"/>
              <w:bidi w:val="0"/>
              <w:rPr>
                <w:rFonts w:hint="default"/>
                <w:color w:val="auto"/>
                <w:u w:val="none" w:color="auto"/>
                <w:lang w:val="en-US" w:eastAsia="zh-CN"/>
              </w:rPr>
            </w:pPr>
          </w:p>
        </w:tc>
        <w:tc>
          <w:tcPr>
            <w:tcW w:w="675" w:type="dxa"/>
            <w:noWrap w:val="0"/>
            <w:vAlign w:val="center"/>
          </w:tcPr>
          <w:p w14:paraId="6F0E677E">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0A27E641">
            <w:pPr>
              <w:pStyle w:val="25"/>
              <w:bidi w:val="0"/>
              <w:rPr>
                <w:rFonts w:hint="default"/>
                <w:color w:val="auto"/>
                <w:u w:val="none" w:color="auto"/>
                <w:lang w:val="en-US" w:eastAsia="zh-CN"/>
              </w:rPr>
            </w:pPr>
          </w:p>
        </w:tc>
        <w:tc>
          <w:tcPr>
            <w:tcW w:w="1125" w:type="dxa"/>
            <w:gridSpan w:val="2"/>
            <w:noWrap w:val="0"/>
            <w:vAlign w:val="center"/>
          </w:tcPr>
          <w:p w14:paraId="59768ADB">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80" w:type="dxa"/>
            <w:gridSpan w:val="2"/>
            <w:noWrap w:val="0"/>
            <w:vAlign w:val="center"/>
          </w:tcPr>
          <w:p w14:paraId="61927AE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0EA0B1DD">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716" w:type="dxa"/>
            <w:vMerge w:val="continue"/>
            <w:noWrap w:val="0"/>
            <w:vAlign w:val="center"/>
          </w:tcPr>
          <w:p w14:paraId="6F6895CE">
            <w:pPr>
              <w:pStyle w:val="25"/>
              <w:bidi w:val="0"/>
              <w:rPr>
                <w:rFonts w:hint="default"/>
                <w:color w:val="auto"/>
                <w:u w:val="none" w:color="auto"/>
                <w:lang w:val="en-US" w:eastAsia="zh-CN"/>
              </w:rPr>
            </w:pPr>
          </w:p>
        </w:tc>
      </w:tr>
      <w:tr w14:paraId="65C50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731585A">
            <w:pPr>
              <w:pStyle w:val="25"/>
              <w:bidi w:val="0"/>
              <w:rPr>
                <w:rFonts w:hint="default"/>
                <w:color w:val="auto"/>
                <w:u w:val="none" w:color="auto"/>
                <w:lang w:val="en-US" w:eastAsia="zh-CN"/>
              </w:rPr>
            </w:pPr>
          </w:p>
        </w:tc>
        <w:tc>
          <w:tcPr>
            <w:tcW w:w="885" w:type="dxa"/>
            <w:noWrap w:val="0"/>
            <w:vAlign w:val="center"/>
          </w:tcPr>
          <w:p w14:paraId="4692F638">
            <w:pPr>
              <w:pStyle w:val="25"/>
              <w:bidi w:val="0"/>
              <w:rPr>
                <w:rFonts w:hint="default"/>
                <w:color w:val="auto"/>
                <w:u w:val="none" w:color="auto"/>
                <w:lang w:val="en-US" w:eastAsia="zh-CN"/>
              </w:rPr>
            </w:pPr>
            <w:r>
              <w:rPr>
                <w:rFonts w:hint="eastAsia"/>
                <w:color w:val="auto"/>
                <w:u w:val="none" w:color="auto"/>
                <w:lang w:val="en-US" w:eastAsia="zh-CN"/>
              </w:rPr>
              <w:t>二氧化硫</w:t>
            </w:r>
          </w:p>
        </w:tc>
        <w:tc>
          <w:tcPr>
            <w:tcW w:w="885" w:type="dxa"/>
            <w:noWrap w:val="0"/>
            <w:vAlign w:val="center"/>
          </w:tcPr>
          <w:p w14:paraId="1A4FFE5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continue"/>
            <w:noWrap w:val="0"/>
            <w:vAlign w:val="center"/>
          </w:tcPr>
          <w:p w14:paraId="2157E932">
            <w:pPr>
              <w:pStyle w:val="25"/>
              <w:bidi w:val="0"/>
              <w:rPr>
                <w:rFonts w:hint="default"/>
                <w:color w:val="auto"/>
                <w:u w:val="none" w:color="auto"/>
                <w:lang w:val="en-US" w:eastAsia="zh-CN"/>
              </w:rPr>
            </w:pPr>
          </w:p>
        </w:tc>
        <w:tc>
          <w:tcPr>
            <w:tcW w:w="1140" w:type="dxa"/>
            <w:gridSpan w:val="2"/>
            <w:noWrap w:val="0"/>
            <w:vAlign w:val="center"/>
          </w:tcPr>
          <w:p w14:paraId="6E9014D2">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65" w:type="dxa"/>
            <w:gridSpan w:val="2"/>
            <w:noWrap w:val="0"/>
            <w:vAlign w:val="center"/>
          </w:tcPr>
          <w:p w14:paraId="20D52D16">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4F28A149">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815" w:type="dxa"/>
            <w:gridSpan w:val="2"/>
            <w:vMerge w:val="continue"/>
            <w:noWrap w:val="0"/>
            <w:vAlign w:val="center"/>
          </w:tcPr>
          <w:p w14:paraId="4CA7C606">
            <w:pPr>
              <w:pStyle w:val="25"/>
              <w:bidi w:val="0"/>
              <w:rPr>
                <w:rFonts w:hint="default"/>
                <w:color w:val="auto"/>
                <w:u w:val="none" w:color="auto"/>
                <w:lang w:val="en-US" w:eastAsia="zh-CN"/>
              </w:rPr>
            </w:pPr>
          </w:p>
        </w:tc>
        <w:tc>
          <w:tcPr>
            <w:tcW w:w="675" w:type="dxa"/>
            <w:noWrap w:val="0"/>
            <w:vAlign w:val="center"/>
          </w:tcPr>
          <w:p w14:paraId="036530B6">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357AA5D6">
            <w:pPr>
              <w:pStyle w:val="25"/>
              <w:bidi w:val="0"/>
              <w:rPr>
                <w:rFonts w:hint="default"/>
                <w:color w:val="auto"/>
                <w:u w:val="none" w:color="auto"/>
                <w:lang w:val="en-US" w:eastAsia="zh-CN"/>
              </w:rPr>
            </w:pPr>
          </w:p>
        </w:tc>
        <w:tc>
          <w:tcPr>
            <w:tcW w:w="1125" w:type="dxa"/>
            <w:gridSpan w:val="2"/>
            <w:noWrap w:val="0"/>
            <w:vAlign w:val="center"/>
          </w:tcPr>
          <w:p w14:paraId="4B696650">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80" w:type="dxa"/>
            <w:gridSpan w:val="2"/>
            <w:noWrap w:val="0"/>
            <w:vAlign w:val="center"/>
          </w:tcPr>
          <w:p w14:paraId="7605275F">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2668DA6F">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716" w:type="dxa"/>
            <w:vMerge w:val="continue"/>
            <w:noWrap w:val="0"/>
            <w:vAlign w:val="center"/>
          </w:tcPr>
          <w:p w14:paraId="4034B753">
            <w:pPr>
              <w:pStyle w:val="25"/>
              <w:bidi w:val="0"/>
              <w:rPr>
                <w:rFonts w:hint="default"/>
                <w:color w:val="auto"/>
                <w:u w:val="none" w:color="auto"/>
                <w:lang w:val="en-US" w:eastAsia="zh-CN"/>
              </w:rPr>
            </w:pPr>
          </w:p>
        </w:tc>
      </w:tr>
      <w:tr w14:paraId="117E8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7EA2526">
            <w:pPr>
              <w:pStyle w:val="25"/>
              <w:bidi w:val="0"/>
              <w:rPr>
                <w:rFonts w:hint="default"/>
                <w:color w:val="auto"/>
                <w:u w:val="none" w:color="auto"/>
                <w:lang w:val="en-US" w:eastAsia="zh-CN"/>
              </w:rPr>
            </w:pPr>
          </w:p>
        </w:tc>
        <w:tc>
          <w:tcPr>
            <w:tcW w:w="885" w:type="dxa"/>
            <w:noWrap w:val="0"/>
            <w:vAlign w:val="center"/>
          </w:tcPr>
          <w:p w14:paraId="602725C4">
            <w:pPr>
              <w:pStyle w:val="25"/>
              <w:bidi w:val="0"/>
              <w:rPr>
                <w:rFonts w:hint="default"/>
                <w:color w:val="auto"/>
                <w:u w:val="none" w:color="auto"/>
                <w:lang w:val="en-US" w:eastAsia="zh-CN"/>
              </w:rPr>
            </w:pPr>
            <w:r>
              <w:rPr>
                <w:rFonts w:hint="eastAsia"/>
                <w:color w:val="auto"/>
                <w:u w:val="none" w:color="auto"/>
                <w:lang w:val="en-US" w:eastAsia="zh-CN"/>
              </w:rPr>
              <w:t>氮氧化物</w:t>
            </w:r>
          </w:p>
        </w:tc>
        <w:tc>
          <w:tcPr>
            <w:tcW w:w="885" w:type="dxa"/>
            <w:noWrap w:val="0"/>
            <w:vAlign w:val="center"/>
          </w:tcPr>
          <w:p w14:paraId="700089F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有</w:t>
            </w:r>
            <w:r>
              <w:rPr>
                <w:rFonts w:hint="default"/>
                <w:color w:val="auto"/>
                <w:u w:val="none" w:color="auto"/>
                <w:lang w:eastAsia="zh-CN"/>
              </w:rPr>
              <w:t>组织</w:t>
            </w:r>
          </w:p>
        </w:tc>
        <w:tc>
          <w:tcPr>
            <w:tcW w:w="900" w:type="dxa"/>
            <w:vMerge w:val="continue"/>
            <w:noWrap w:val="0"/>
            <w:vAlign w:val="center"/>
          </w:tcPr>
          <w:p w14:paraId="44F9D781">
            <w:pPr>
              <w:pStyle w:val="25"/>
              <w:bidi w:val="0"/>
              <w:rPr>
                <w:rFonts w:hint="default"/>
                <w:color w:val="auto"/>
                <w:u w:val="none" w:color="auto"/>
                <w:lang w:val="en-US" w:eastAsia="zh-CN"/>
              </w:rPr>
            </w:pPr>
          </w:p>
        </w:tc>
        <w:tc>
          <w:tcPr>
            <w:tcW w:w="1140" w:type="dxa"/>
            <w:gridSpan w:val="2"/>
            <w:noWrap w:val="0"/>
            <w:vAlign w:val="center"/>
          </w:tcPr>
          <w:p w14:paraId="1590F5E3">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1065" w:type="dxa"/>
            <w:gridSpan w:val="2"/>
            <w:noWrap w:val="0"/>
            <w:vAlign w:val="center"/>
          </w:tcPr>
          <w:p w14:paraId="0C40BF0D">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900" w:type="dxa"/>
            <w:noWrap w:val="0"/>
            <w:vAlign w:val="center"/>
          </w:tcPr>
          <w:p w14:paraId="1E928403">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c>
          <w:tcPr>
            <w:tcW w:w="1815" w:type="dxa"/>
            <w:gridSpan w:val="2"/>
            <w:vMerge w:val="continue"/>
            <w:noWrap w:val="0"/>
            <w:vAlign w:val="center"/>
          </w:tcPr>
          <w:p w14:paraId="5DC26A57">
            <w:pPr>
              <w:pStyle w:val="25"/>
              <w:bidi w:val="0"/>
              <w:rPr>
                <w:rFonts w:hint="default"/>
                <w:color w:val="auto"/>
                <w:u w:val="none" w:color="auto"/>
                <w:lang w:val="en-US" w:eastAsia="zh-CN"/>
              </w:rPr>
            </w:pPr>
          </w:p>
        </w:tc>
        <w:tc>
          <w:tcPr>
            <w:tcW w:w="675" w:type="dxa"/>
            <w:noWrap w:val="0"/>
            <w:vAlign w:val="center"/>
          </w:tcPr>
          <w:p w14:paraId="373E8271">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10712F51">
            <w:pPr>
              <w:pStyle w:val="25"/>
              <w:bidi w:val="0"/>
              <w:rPr>
                <w:rFonts w:hint="default"/>
                <w:color w:val="auto"/>
                <w:u w:val="none" w:color="auto"/>
                <w:lang w:val="en-US" w:eastAsia="zh-CN"/>
              </w:rPr>
            </w:pPr>
          </w:p>
        </w:tc>
        <w:tc>
          <w:tcPr>
            <w:tcW w:w="1125" w:type="dxa"/>
            <w:gridSpan w:val="2"/>
            <w:noWrap w:val="0"/>
            <w:vAlign w:val="center"/>
          </w:tcPr>
          <w:p w14:paraId="1683C164">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1080" w:type="dxa"/>
            <w:gridSpan w:val="2"/>
            <w:noWrap w:val="0"/>
            <w:vAlign w:val="center"/>
          </w:tcPr>
          <w:p w14:paraId="7F5B8FD8">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900" w:type="dxa"/>
            <w:noWrap w:val="0"/>
            <w:vAlign w:val="center"/>
          </w:tcPr>
          <w:p w14:paraId="468C2200">
            <w:pPr>
              <w:pStyle w:val="25"/>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c>
          <w:tcPr>
            <w:tcW w:w="716" w:type="dxa"/>
            <w:vMerge w:val="continue"/>
            <w:noWrap w:val="0"/>
            <w:vAlign w:val="center"/>
          </w:tcPr>
          <w:p w14:paraId="407717C3">
            <w:pPr>
              <w:pStyle w:val="25"/>
              <w:bidi w:val="0"/>
              <w:rPr>
                <w:rFonts w:hint="default"/>
                <w:color w:val="auto"/>
                <w:u w:val="none" w:color="auto"/>
                <w:lang w:val="en-US" w:eastAsia="zh-CN"/>
              </w:rPr>
            </w:pPr>
          </w:p>
        </w:tc>
      </w:tr>
      <w:tr w14:paraId="75242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662D0026">
            <w:pPr>
              <w:pStyle w:val="25"/>
              <w:bidi w:val="0"/>
              <w:rPr>
                <w:rFonts w:hint="default"/>
                <w:color w:val="auto"/>
                <w:u w:val="none" w:color="auto"/>
                <w:lang w:val="en-US" w:eastAsia="zh-CN"/>
              </w:rPr>
            </w:pPr>
            <w:r>
              <w:rPr>
                <w:rFonts w:hint="eastAsia"/>
                <w:color w:val="auto"/>
                <w:u w:val="none" w:color="auto"/>
                <w:lang w:val="en-US" w:eastAsia="zh-CN"/>
              </w:rPr>
              <w:t>1#厂房焙烧废气</w:t>
            </w:r>
          </w:p>
        </w:tc>
        <w:tc>
          <w:tcPr>
            <w:tcW w:w="885" w:type="dxa"/>
            <w:noWrap w:val="0"/>
            <w:vAlign w:val="center"/>
          </w:tcPr>
          <w:p w14:paraId="14C069A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非甲烷总烃</w:t>
            </w:r>
          </w:p>
        </w:tc>
        <w:tc>
          <w:tcPr>
            <w:tcW w:w="885" w:type="dxa"/>
            <w:noWrap w:val="0"/>
            <w:vAlign w:val="center"/>
          </w:tcPr>
          <w:p w14:paraId="5B08400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restart"/>
            <w:noWrap w:val="0"/>
            <w:vAlign w:val="center"/>
          </w:tcPr>
          <w:p w14:paraId="10A077EA">
            <w:pPr>
              <w:pStyle w:val="25"/>
              <w:bidi w:val="0"/>
              <w:rPr>
                <w:rFonts w:hint="default"/>
                <w:color w:val="auto"/>
                <w:u w:val="none" w:color="auto"/>
                <w:lang w:val="en-US" w:eastAsia="zh-CN"/>
              </w:rPr>
            </w:pPr>
            <w:r>
              <w:rPr>
                <w:rFonts w:hint="eastAsia"/>
                <w:color w:val="auto"/>
                <w:u w:val="none" w:color="auto"/>
                <w:lang w:val="en-US" w:eastAsia="zh-CN"/>
              </w:rPr>
              <w:t>产污系数法</w:t>
            </w:r>
          </w:p>
        </w:tc>
        <w:tc>
          <w:tcPr>
            <w:tcW w:w="1140" w:type="dxa"/>
            <w:gridSpan w:val="2"/>
            <w:noWrap w:val="0"/>
            <w:vAlign w:val="center"/>
          </w:tcPr>
          <w:p w14:paraId="645EB4C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1166.667</w:t>
            </w:r>
          </w:p>
        </w:tc>
        <w:tc>
          <w:tcPr>
            <w:tcW w:w="1065" w:type="dxa"/>
            <w:gridSpan w:val="2"/>
            <w:noWrap w:val="0"/>
            <w:vAlign w:val="center"/>
          </w:tcPr>
          <w:p w14:paraId="3774A079">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7</w:t>
            </w:r>
          </w:p>
        </w:tc>
        <w:tc>
          <w:tcPr>
            <w:tcW w:w="900" w:type="dxa"/>
            <w:noWrap w:val="0"/>
            <w:vAlign w:val="center"/>
          </w:tcPr>
          <w:p w14:paraId="152AFEA0">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42</w:t>
            </w:r>
          </w:p>
        </w:tc>
        <w:tc>
          <w:tcPr>
            <w:tcW w:w="1815" w:type="dxa"/>
            <w:gridSpan w:val="2"/>
            <w:vMerge w:val="restart"/>
            <w:noWrap w:val="0"/>
            <w:vAlign w:val="center"/>
          </w:tcPr>
          <w:p w14:paraId="63343DE9">
            <w:pPr>
              <w:pStyle w:val="25"/>
              <w:bidi w:val="0"/>
              <w:rPr>
                <w:rFonts w:hint="default"/>
                <w:color w:val="auto"/>
                <w:u w:val="none" w:color="auto"/>
                <w:lang w:val="en-US" w:eastAsia="zh-CN"/>
              </w:rPr>
            </w:pPr>
            <w:r>
              <w:rPr>
                <w:rFonts w:hint="eastAsia"/>
                <w:color w:val="auto"/>
                <w:u w:val="none" w:color="auto"/>
                <w:lang w:val="en-US" w:eastAsia="zh-CN"/>
              </w:rPr>
              <w:t>焚烧炉2</w:t>
            </w:r>
            <w:r>
              <w:rPr>
                <w:rFonts w:hint="default"/>
                <w:color w:val="auto"/>
                <w:u w:val="none" w:color="auto"/>
                <w:lang w:val="en-US" w:eastAsia="zh-CN"/>
              </w:rPr>
              <w:t>+</w:t>
            </w:r>
            <w:r>
              <w:rPr>
                <w:rFonts w:hint="eastAsia"/>
                <w:color w:val="auto"/>
                <w:u w:val="none" w:color="auto"/>
                <w:lang w:val="en-US" w:eastAsia="zh-CN"/>
              </w:rPr>
              <w:t>15</w:t>
            </w:r>
            <w:r>
              <w:rPr>
                <w:rFonts w:hint="default"/>
                <w:color w:val="auto"/>
                <w:u w:val="none" w:color="auto"/>
                <w:lang w:val="en-US" w:eastAsia="zh-CN"/>
              </w:rPr>
              <w:t>m高排气筒</w:t>
            </w:r>
            <w:r>
              <w:rPr>
                <w:rFonts w:hint="eastAsia"/>
                <w:color w:val="auto"/>
                <w:u w:val="none" w:color="auto"/>
                <w:lang w:val="en-US" w:eastAsia="zh-CN"/>
              </w:rPr>
              <w:t>（DA003）</w:t>
            </w:r>
          </w:p>
        </w:tc>
        <w:tc>
          <w:tcPr>
            <w:tcW w:w="675" w:type="dxa"/>
            <w:noWrap w:val="0"/>
            <w:vAlign w:val="center"/>
          </w:tcPr>
          <w:p w14:paraId="3D1DA78F">
            <w:pPr>
              <w:pStyle w:val="25"/>
              <w:bidi w:val="0"/>
              <w:rPr>
                <w:rFonts w:hint="default"/>
                <w:color w:val="auto"/>
                <w:u w:val="none" w:color="auto"/>
                <w:lang w:val="en-US" w:eastAsia="zh-CN"/>
              </w:rPr>
            </w:pPr>
            <w:r>
              <w:rPr>
                <w:rFonts w:hint="eastAsia"/>
                <w:color w:val="auto"/>
                <w:u w:val="none" w:color="auto"/>
                <w:lang w:val="en-US" w:eastAsia="zh-CN"/>
              </w:rPr>
              <w:t>95</w:t>
            </w:r>
          </w:p>
        </w:tc>
        <w:tc>
          <w:tcPr>
            <w:tcW w:w="870" w:type="dxa"/>
            <w:vMerge w:val="restart"/>
            <w:noWrap w:val="0"/>
            <w:vAlign w:val="center"/>
          </w:tcPr>
          <w:p w14:paraId="22A189A2">
            <w:pPr>
              <w:pStyle w:val="25"/>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3C416EC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58.334</w:t>
            </w:r>
          </w:p>
        </w:tc>
        <w:tc>
          <w:tcPr>
            <w:tcW w:w="1080" w:type="dxa"/>
            <w:gridSpan w:val="2"/>
            <w:noWrap w:val="0"/>
            <w:vAlign w:val="center"/>
          </w:tcPr>
          <w:p w14:paraId="1CA85043">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0.35</w:t>
            </w:r>
          </w:p>
        </w:tc>
        <w:tc>
          <w:tcPr>
            <w:tcW w:w="900" w:type="dxa"/>
            <w:noWrap w:val="0"/>
            <w:vAlign w:val="center"/>
          </w:tcPr>
          <w:p w14:paraId="20E0B10F">
            <w:pPr>
              <w:pStyle w:val="32"/>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2.1</w:t>
            </w:r>
          </w:p>
        </w:tc>
        <w:tc>
          <w:tcPr>
            <w:tcW w:w="716" w:type="dxa"/>
            <w:vMerge w:val="restart"/>
            <w:noWrap w:val="0"/>
            <w:vAlign w:val="center"/>
          </w:tcPr>
          <w:p w14:paraId="65FDF46E">
            <w:pPr>
              <w:pStyle w:val="25"/>
              <w:bidi w:val="0"/>
              <w:rPr>
                <w:rFonts w:hint="default"/>
                <w:color w:val="auto"/>
                <w:u w:val="none" w:color="auto"/>
                <w:lang w:val="en-US" w:eastAsia="zh-CN"/>
              </w:rPr>
            </w:pPr>
            <w:r>
              <w:rPr>
                <w:rFonts w:hint="eastAsia"/>
                <w:color w:val="auto"/>
                <w:u w:val="none" w:color="auto"/>
                <w:lang w:val="en-US" w:eastAsia="zh-CN"/>
              </w:rPr>
              <w:t>6000</w:t>
            </w:r>
          </w:p>
        </w:tc>
      </w:tr>
      <w:tr w14:paraId="76A27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0B28E01">
            <w:pPr>
              <w:pStyle w:val="25"/>
              <w:bidi w:val="0"/>
              <w:rPr>
                <w:rFonts w:hint="eastAsia"/>
                <w:color w:val="auto"/>
                <w:u w:val="none" w:color="auto"/>
                <w:lang w:val="en-US" w:eastAsia="zh-CN"/>
              </w:rPr>
            </w:pPr>
          </w:p>
        </w:tc>
        <w:tc>
          <w:tcPr>
            <w:tcW w:w="885" w:type="dxa"/>
            <w:noWrap w:val="0"/>
            <w:vAlign w:val="center"/>
          </w:tcPr>
          <w:p w14:paraId="454E6FE4">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酚类</w:t>
            </w:r>
          </w:p>
        </w:tc>
        <w:tc>
          <w:tcPr>
            <w:tcW w:w="885" w:type="dxa"/>
            <w:noWrap w:val="0"/>
            <w:vAlign w:val="center"/>
          </w:tcPr>
          <w:p w14:paraId="2D0A1D87">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有组织</w:t>
            </w:r>
          </w:p>
        </w:tc>
        <w:tc>
          <w:tcPr>
            <w:tcW w:w="900" w:type="dxa"/>
            <w:vMerge w:val="continue"/>
            <w:noWrap w:val="0"/>
            <w:vAlign w:val="center"/>
          </w:tcPr>
          <w:p w14:paraId="257C3829">
            <w:pPr>
              <w:pStyle w:val="25"/>
              <w:bidi w:val="0"/>
              <w:rPr>
                <w:rFonts w:hint="eastAsia"/>
                <w:color w:val="auto"/>
                <w:u w:val="none" w:color="auto"/>
                <w:lang w:val="en-US" w:eastAsia="zh-CN"/>
              </w:rPr>
            </w:pPr>
          </w:p>
        </w:tc>
        <w:tc>
          <w:tcPr>
            <w:tcW w:w="1140" w:type="dxa"/>
            <w:gridSpan w:val="2"/>
            <w:noWrap w:val="0"/>
            <w:vAlign w:val="center"/>
          </w:tcPr>
          <w:p w14:paraId="60862376">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69.772</w:t>
            </w:r>
          </w:p>
        </w:tc>
        <w:tc>
          <w:tcPr>
            <w:tcW w:w="1065" w:type="dxa"/>
            <w:gridSpan w:val="2"/>
            <w:noWrap w:val="0"/>
            <w:vAlign w:val="center"/>
          </w:tcPr>
          <w:p w14:paraId="1AAB0766">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0.419</w:t>
            </w:r>
          </w:p>
        </w:tc>
        <w:tc>
          <w:tcPr>
            <w:tcW w:w="900" w:type="dxa"/>
            <w:noWrap w:val="0"/>
            <w:vAlign w:val="center"/>
          </w:tcPr>
          <w:p w14:paraId="043B09FB">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2.512</w:t>
            </w:r>
          </w:p>
        </w:tc>
        <w:tc>
          <w:tcPr>
            <w:tcW w:w="1815" w:type="dxa"/>
            <w:gridSpan w:val="2"/>
            <w:vMerge w:val="continue"/>
            <w:noWrap w:val="0"/>
            <w:vAlign w:val="center"/>
          </w:tcPr>
          <w:p w14:paraId="588A4394">
            <w:pPr>
              <w:pStyle w:val="25"/>
              <w:bidi w:val="0"/>
              <w:rPr>
                <w:rFonts w:hint="eastAsia"/>
                <w:color w:val="auto"/>
                <w:u w:val="none" w:color="auto"/>
                <w:lang w:val="en-US" w:eastAsia="zh-CN"/>
              </w:rPr>
            </w:pPr>
          </w:p>
        </w:tc>
        <w:tc>
          <w:tcPr>
            <w:tcW w:w="675" w:type="dxa"/>
            <w:noWrap w:val="0"/>
            <w:vAlign w:val="center"/>
          </w:tcPr>
          <w:p w14:paraId="76DFF969">
            <w:pPr>
              <w:pStyle w:val="25"/>
              <w:bidi w:val="0"/>
              <w:rPr>
                <w:rFonts w:hint="default"/>
                <w:color w:val="auto"/>
                <w:u w:val="none" w:color="auto"/>
                <w:lang w:val="en-US" w:eastAsia="zh-CN"/>
              </w:rPr>
            </w:pPr>
            <w:r>
              <w:rPr>
                <w:rFonts w:hint="eastAsia"/>
                <w:color w:val="auto"/>
                <w:u w:val="none" w:color="auto"/>
                <w:lang w:val="en-US" w:eastAsia="zh-CN"/>
              </w:rPr>
              <w:t>95</w:t>
            </w:r>
          </w:p>
        </w:tc>
        <w:tc>
          <w:tcPr>
            <w:tcW w:w="870" w:type="dxa"/>
            <w:vMerge w:val="continue"/>
            <w:noWrap w:val="0"/>
            <w:vAlign w:val="center"/>
          </w:tcPr>
          <w:p w14:paraId="2B393EF6">
            <w:pPr>
              <w:pStyle w:val="25"/>
              <w:bidi w:val="0"/>
              <w:rPr>
                <w:rFonts w:hint="default"/>
                <w:color w:val="auto"/>
                <w:u w:val="none" w:color="auto"/>
                <w:lang w:val="en-US" w:eastAsia="zh-CN"/>
              </w:rPr>
            </w:pPr>
          </w:p>
        </w:tc>
        <w:tc>
          <w:tcPr>
            <w:tcW w:w="1125" w:type="dxa"/>
            <w:gridSpan w:val="2"/>
            <w:noWrap w:val="0"/>
            <w:vAlign w:val="center"/>
          </w:tcPr>
          <w:p w14:paraId="14B79310">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3.489</w:t>
            </w:r>
          </w:p>
        </w:tc>
        <w:tc>
          <w:tcPr>
            <w:tcW w:w="1080" w:type="dxa"/>
            <w:gridSpan w:val="2"/>
            <w:noWrap w:val="0"/>
            <w:vAlign w:val="center"/>
          </w:tcPr>
          <w:p w14:paraId="085633D9">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0.021</w:t>
            </w:r>
          </w:p>
        </w:tc>
        <w:tc>
          <w:tcPr>
            <w:tcW w:w="900" w:type="dxa"/>
            <w:noWrap w:val="0"/>
            <w:vAlign w:val="center"/>
          </w:tcPr>
          <w:p w14:paraId="16E16107">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0.126</w:t>
            </w:r>
          </w:p>
        </w:tc>
        <w:tc>
          <w:tcPr>
            <w:tcW w:w="716" w:type="dxa"/>
            <w:vMerge w:val="continue"/>
            <w:noWrap w:val="0"/>
            <w:vAlign w:val="center"/>
          </w:tcPr>
          <w:p w14:paraId="203EA0B1">
            <w:pPr>
              <w:pStyle w:val="25"/>
              <w:bidi w:val="0"/>
              <w:rPr>
                <w:rFonts w:hint="eastAsia"/>
                <w:color w:val="auto"/>
                <w:u w:val="none" w:color="auto"/>
                <w:lang w:val="en-US" w:eastAsia="zh-CN"/>
              </w:rPr>
            </w:pPr>
          </w:p>
        </w:tc>
      </w:tr>
      <w:tr w14:paraId="5E6E0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511F0DD4">
            <w:pPr>
              <w:pStyle w:val="25"/>
              <w:bidi w:val="0"/>
              <w:rPr>
                <w:rFonts w:hint="default"/>
                <w:color w:val="auto"/>
                <w:u w:val="none" w:color="auto"/>
                <w:lang w:val="en-US" w:eastAsia="zh-CN"/>
              </w:rPr>
            </w:pPr>
          </w:p>
        </w:tc>
        <w:tc>
          <w:tcPr>
            <w:tcW w:w="885" w:type="dxa"/>
            <w:noWrap w:val="0"/>
            <w:vAlign w:val="center"/>
          </w:tcPr>
          <w:p w14:paraId="45982E5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颗粒物</w:t>
            </w:r>
          </w:p>
        </w:tc>
        <w:tc>
          <w:tcPr>
            <w:tcW w:w="885" w:type="dxa"/>
            <w:noWrap w:val="0"/>
            <w:vAlign w:val="center"/>
          </w:tcPr>
          <w:p w14:paraId="20CF93E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有</w:t>
            </w:r>
            <w:r>
              <w:rPr>
                <w:rFonts w:hint="default"/>
                <w:color w:val="auto"/>
                <w:u w:val="none" w:color="auto"/>
                <w:lang w:eastAsia="zh-CN"/>
              </w:rPr>
              <w:t>组织</w:t>
            </w:r>
          </w:p>
        </w:tc>
        <w:tc>
          <w:tcPr>
            <w:tcW w:w="900" w:type="dxa"/>
            <w:vMerge w:val="continue"/>
            <w:noWrap w:val="0"/>
            <w:vAlign w:val="center"/>
          </w:tcPr>
          <w:p w14:paraId="71B9681F">
            <w:pPr>
              <w:pStyle w:val="25"/>
              <w:bidi w:val="0"/>
              <w:rPr>
                <w:rFonts w:hint="default"/>
                <w:color w:val="auto"/>
                <w:u w:val="none" w:color="auto"/>
                <w:lang w:val="en-US" w:eastAsia="zh-CN"/>
              </w:rPr>
            </w:pPr>
          </w:p>
        </w:tc>
        <w:tc>
          <w:tcPr>
            <w:tcW w:w="1140" w:type="dxa"/>
            <w:gridSpan w:val="2"/>
            <w:noWrap w:val="0"/>
            <w:vAlign w:val="center"/>
          </w:tcPr>
          <w:p w14:paraId="5641CE02">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65" w:type="dxa"/>
            <w:gridSpan w:val="2"/>
            <w:noWrap w:val="0"/>
            <w:vAlign w:val="center"/>
          </w:tcPr>
          <w:p w14:paraId="32D46A83">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2383F5DA">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815" w:type="dxa"/>
            <w:gridSpan w:val="2"/>
            <w:vMerge w:val="continue"/>
            <w:noWrap w:val="0"/>
            <w:vAlign w:val="center"/>
          </w:tcPr>
          <w:p w14:paraId="55E246B1">
            <w:pPr>
              <w:pStyle w:val="25"/>
              <w:bidi w:val="0"/>
              <w:rPr>
                <w:rFonts w:hint="default"/>
                <w:color w:val="auto"/>
                <w:u w:val="none" w:color="auto"/>
                <w:lang w:val="en-US" w:eastAsia="zh-CN"/>
              </w:rPr>
            </w:pPr>
          </w:p>
        </w:tc>
        <w:tc>
          <w:tcPr>
            <w:tcW w:w="675" w:type="dxa"/>
            <w:noWrap w:val="0"/>
            <w:vAlign w:val="center"/>
          </w:tcPr>
          <w:p w14:paraId="34310BDA">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6E5B0750">
            <w:pPr>
              <w:pStyle w:val="25"/>
              <w:bidi w:val="0"/>
              <w:rPr>
                <w:rFonts w:hint="default"/>
                <w:color w:val="auto"/>
                <w:u w:val="none" w:color="auto"/>
                <w:lang w:val="en-US" w:eastAsia="zh-CN"/>
              </w:rPr>
            </w:pPr>
          </w:p>
        </w:tc>
        <w:tc>
          <w:tcPr>
            <w:tcW w:w="1125" w:type="dxa"/>
            <w:gridSpan w:val="2"/>
            <w:noWrap w:val="0"/>
            <w:vAlign w:val="center"/>
          </w:tcPr>
          <w:p w14:paraId="7ECCB7E4">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80" w:type="dxa"/>
            <w:gridSpan w:val="2"/>
            <w:noWrap w:val="0"/>
            <w:vAlign w:val="center"/>
          </w:tcPr>
          <w:p w14:paraId="3A85751E">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42F636CF">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716" w:type="dxa"/>
            <w:vMerge w:val="continue"/>
            <w:noWrap w:val="0"/>
            <w:vAlign w:val="center"/>
          </w:tcPr>
          <w:p w14:paraId="66B3BE03">
            <w:pPr>
              <w:pStyle w:val="25"/>
              <w:bidi w:val="0"/>
              <w:rPr>
                <w:rFonts w:hint="default"/>
                <w:color w:val="auto"/>
                <w:u w:val="none" w:color="auto"/>
                <w:lang w:val="en-US" w:eastAsia="zh-CN"/>
              </w:rPr>
            </w:pPr>
          </w:p>
        </w:tc>
      </w:tr>
      <w:tr w14:paraId="7E813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32C00EE">
            <w:pPr>
              <w:pStyle w:val="25"/>
              <w:bidi w:val="0"/>
              <w:rPr>
                <w:rFonts w:hint="default"/>
                <w:color w:val="auto"/>
                <w:u w:val="none" w:color="auto"/>
                <w:lang w:val="en-US" w:eastAsia="zh-CN"/>
              </w:rPr>
            </w:pPr>
          </w:p>
        </w:tc>
        <w:tc>
          <w:tcPr>
            <w:tcW w:w="885" w:type="dxa"/>
            <w:noWrap w:val="0"/>
            <w:vAlign w:val="center"/>
          </w:tcPr>
          <w:p w14:paraId="32472DA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二氧化硫</w:t>
            </w:r>
          </w:p>
        </w:tc>
        <w:tc>
          <w:tcPr>
            <w:tcW w:w="885" w:type="dxa"/>
            <w:noWrap w:val="0"/>
            <w:vAlign w:val="center"/>
          </w:tcPr>
          <w:p w14:paraId="2ED354F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continue"/>
            <w:noWrap w:val="0"/>
            <w:vAlign w:val="center"/>
          </w:tcPr>
          <w:p w14:paraId="6B731B45">
            <w:pPr>
              <w:pStyle w:val="25"/>
              <w:bidi w:val="0"/>
              <w:rPr>
                <w:rFonts w:hint="default"/>
                <w:color w:val="auto"/>
                <w:u w:val="none" w:color="auto"/>
                <w:lang w:val="en-US" w:eastAsia="zh-CN"/>
              </w:rPr>
            </w:pPr>
          </w:p>
        </w:tc>
        <w:tc>
          <w:tcPr>
            <w:tcW w:w="1140" w:type="dxa"/>
            <w:gridSpan w:val="2"/>
            <w:noWrap w:val="0"/>
            <w:vAlign w:val="center"/>
          </w:tcPr>
          <w:p w14:paraId="074A444A">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65" w:type="dxa"/>
            <w:gridSpan w:val="2"/>
            <w:noWrap w:val="0"/>
            <w:vAlign w:val="center"/>
          </w:tcPr>
          <w:p w14:paraId="27BB35FD">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32B8BD5E">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1815" w:type="dxa"/>
            <w:gridSpan w:val="2"/>
            <w:vMerge w:val="continue"/>
            <w:noWrap w:val="0"/>
            <w:vAlign w:val="center"/>
          </w:tcPr>
          <w:p w14:paraId="049F333E">
            <w:pPr>
              <w:pStyle w:val="25"/>
              <w:bidi w:val="0"/>
              <w:rPr>
                <w:rFonts w:hint="default"/>
                <w:color w:val="auto"/>
                <w:u w:val="none" w:color="auto"/>
                <w:lang w:val="en-US" w:eastAsia="zh-CN"/>
              </w:rPr>
            </w:pPr>
          </w:p>
        </w:tc>
        <w:tc>
          <w:tcPr>
            <w:tcW w:w="675" w:type="dxa"/>
            <w:noWrap w:val="0"/>
            <w:vAlign w:val="center"/>
          </w:tcPr>
          <w:p w14:paraId="38A79467">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192BC8C6">
            <w:pPr>
              <w:pStyle w:val="25"/>
              <w:bidi w:val="0"/>
              <w:rPr>
                <w:rFonts w:hint="default"/>
                <w:color w:val="auto"/>
                <w:u w:val="none" w:color="auto"/>
                <w:lang w:val="en-US" w:eastAsia="zh-CN"/>
              </w:rPr>
            </w:pPr>
          </w:p>
        </w:tc>
        <w:tc>
          <w:tcPr>
            <w:tcW w:w="1125" w:type="dxa"/>
            <w:gridSpan w:val="2"/>
            <w:noWrap w:val="0"/>
            <w:vAlign w:val="center"/>
          </w:tcPr>
          <w:p w14:paraId="370A0AFC">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2.5</w:t>
            </w:r>
          </w:p>
        </w:tc>
        <w:tc>
          <w:tcPr>
            <w:tcW w:w="1080" w:type="dxa"/>
            <w:gridSpan w:val="2"/>
            <w:noWrap w:val="0"/>
            <w:vAlign w:val="center"/>
          </w:tcPr>
          <w:p w14:paraId="2BE507DC">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0.015</w:t>
            </w:r>
          </w:p>
        </w:tc>
        <w:tc>
          <w:tcPr>
            <w:tcW w:w="900" w:type="dxa"/>
            <w:noWrap w:val="0"/>
            <w:vAlign w:val="center"/>
          </w:tcPr>
          <w:p w14:paraId="5C9C7FD6">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0.09</w:t>
            </w:r>
          </w:p>
        </w:tc>
        <w:tc>
          <w:tcPr>
            <w:tcW w:w="716" w:type="dxa"/>
            <w:vMerge w:val="continue"/>
            <w:noWrap w:val="0"/>
            <w:vAlign w:val="center"/>
          </w:tcPr>
          <w:p w14:paraId="6158F7F5">
            <w:pPr>
              <w:pStyle w:val="25"/>
              <w:bidi w:val="0"/>
              <w:rPr>
                <w:rFonts w:hint="default"/>
                <w:color w:val="auto"/>
                <w:u w:val="none" w:color="auto"/>
                <w:lang w:val="en-US" w:eastAsia="zh-CN"/>
              </w:rPr>
            </w:pPr>
          </w:p>
        </w:tc>
      </w:tr>
      <w:tr w14:paraId="5E43E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78A19FF">
            <w:pPr>
              <w:pStyle w:val="25"/>
              <w:bidi w:val="0"/>
              <w:rPr>
                <w:rFonts w:hint="default"/>
                <w:color w:val="auto"/>
                <w:u w:val="none" w:color="auto"/>
                <w:lang w:val="en-US" w:eastAsia="zh-CN"/>
              </w:rPr>
            </w:pPr>
          </w:p>
        </w:tc>
        <w:tc>
          <w:tcPr>
            <w:tcW w:w="885" w:type="dxa"/>
            <w:noWrap w:val="0"/>
            <w:vAlign w:val="center"/>
          </w:tcPr>
          <w:p w14:paraId="2E1D689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氮氧化物</w:t>
            </w:r>
          </w:p>
        </w:tc>
        <w:tc>
          <w:tcPr>
            <w:tcW w:w="885" w:type="dxa"/>
            <w:noWrap w:val="0"/>
            <w:vAlign w:val="center"/>
          </w:tcPr>
          <w:p w14:paraId="3C26937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有</w:t>
            </w:r>
            <w:r>
              <w:rPr>
                <w:rFonts w:hint="default"/>
                <w:color w:val="auto"/>
                <w:u w:val="none" w:color="auto"/>
                <w:lang w:eastAsia="zh-CN"/>
              </w:rPr>
              <w:t>组织</w:t>
            </w:r>
          </w:p>
        </w:tc>
        <w:tc>
          <w:tcPr>
            <w:tcW w:w="900" w:type="dxa"/>
            <w:vMerge w:val="continue"/>
            <w:noWrap w:val="0"/>
            <w:vAlign w:val="center"/>
          </w:tcPr>
          <w:p w14:paraId="6C91A17E">
            <w:pPr>
              <w:pStyle w:val="25"/>
              <w:bidi w:val="0"/>
              <w:rPr>
                <w:rFonts w:hint="default"/>
                <w:color w:val="auto"/>
                <w:u w:val="none" w:color="auto"/>
                <w:lang w:val="en-US" w:eastAsia="zh-CN"/>
              </w:rPr>
            </w:pPr>
          </w:p>
        </w:tc>
        <w:tc>
          <w:tcPr>
            <w:tcW w:w="1140" w:type="dxa"/>
            <w:gridSpan w:val="2"/>
            <w:noWrap w:val="0"/>
            <w:vAlign w:val="center"/>
          </w:tcPr>
          <w:p w14:paraId="4D3F12E0">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1065" w:type="dxa"/>
            <w:gridSpan w:val="2"/>
            <w:noWrap w:val="0"/>
            <w:vAlign w:val="center"/>
          </w:tcPr>
          <w:p w14:paraId="25F634AC">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900" w:type="dxa"/>
            <w:noWrap w:val="0"/>
            <w:vAlign w:val="center"/>
          </w:tcPr>
          <w:p w14:paraId="266900D8">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c>
          <w:tcPr>
            <w:tcW w:w="1815" w:type="dxa"/>
            <w:gridSpan w:val="2"/>
            <w:vMerge w:val="continue"/>
            <w:noWrap w:val="0"/>
            <w:vAlign w:val="center"/>
          </w:tcPr>
          <w:p w14:paraId="449C9B8E">
            <w:pPr>
              <w:pStyle w:val="25"/>
              <w:bidi w:val="0"/>
              <w:rPr>
                <w:rFonts w:hint="default"/>
                <w:color w:val="auto"/>
                <w:u w:val="none" w:color="auto"/>
                <w:lang w:val="en-US" w:eastAsia="zh-CN"/>
              </w:rPr>
            </w:pPr>
          </w:p>
        </w:tc>
        <w:tc>
          <w:tcPr>
            <w:tcW w:w="675" w:type="dxa"/>
            <w:noWrap w:val="0"/>
            <w:vAlign w:val="center"/>
          </w:tcPr>
          <w:p w14:paraId="0FA98445">
            <w:pPr>
              <w:pStyle w:val="25"/>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12DFC9B2">
            <w:pPr>
              <w:pStyle w:val="25"/>
              <w:bidi w:val="0"/>
              <w:rPr>
                <w:rFonts w:hint="default"/>
                <w:color w:val="auto"/>
                <w:u w:val="none" w:color="auto"/>
                <w:lang w:val="en-US" w:eastAsia="zh-CN"/>
              </w:rPr>
            </w:pPr>
          </w:p>
        </w:tc>
        <w:tc>
          <w:tcPr>
            <w:tcW w:w="1125" w:type="dxa"/>
            <w:gridSpan w:val="2"/>
            <w:noWrap w:val="0"/>
            <w:vAlign w:val="center"/>
          </w:tcPr>
          <w:p w14:paraId="29C66655">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37.695</w:t>
            </w:r>
          </w:p>
        </w:tc>
        <w:tc>
          <w:tcPr>
            <w:tcW w:w="1080" w:type="dxa"/>
            <w:gridSpan w:val="2"/>
            <w:noWrap w:val="0"/>
            <w:vAlign w:val="center"/>
          </w:tcPr>
          <w:p w14:paraId="147B699B">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0.226</w:t>
            </w:r>
          </w:p>
        </w:tc>
        <w:tc>
          <w:tcPr>
            <w:tcW w:w="900" w:type="dxa"/>
            <w:noWrap w:val="0"/>
            <w:vAlign w:val="center"/>
          </w:tcPr>
          <w:p w14:paraId="0AFAF2F6">
            <w:pPr>
              <w:pStyle w:val="25"/>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1.357</w:t>
            </w:r>
          </w:p>
        </w:tc>
        <w:tc>
          <w:tcPr>
            <w:tcW w:w="716" w:type="dxa"/>
            <w:vMerge w:val="continue"/>
            <w:noWrap w:val="0"/>
            <w:vAlign w:val="center"/>
          </w:tcPr>
          <w:p w14:paraId="65C9E2F5">
            <w:pPr>
              <w:pStyle w:val="25"/>
              <w:bidi w:val="0"/>
              <w:rPr>
                <w:rFonts w:hint="default"/>
                <w:color w:val="auto"/>
                <w:u w:val="none" w:color="auto"/>
                <w:lang w:val="en-US" w:eastAsia="zh-CN"/>
              </w:rPr>
            </w:pPr>
          </w:p>
        </w:tc>
      </w:tr>
      <w:tr w14:paraId="18977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0E555F51">
            <w:pPr>
              <w:pStyle w:val="25"/>
              <w:bidi w:val="0"/>
              <w:rPr>
                <w:rFonts w:hint="default"/>
                <w:b/>
                <w:bCs/>
                <w:color w:val="auto"/>
                <w:u w:val="none" w:color="auto"/>
                <w:lang w:val="en-US" w:eastAsia="zh-CN"/>
              </w:rPr>
            </w:pPr>
            <w:r>
              <w:rPr>
                <w:rFonts w:hint="default"/>
                <w:b/>
                <w:bCs/>
                <w:color w:val="auto"/>
                <w:u w:val="none" w:color="auto"/>
                <w:lang w:val="en-US" w:eastAsia="zh-CN"/>
              </w:rPr>
              <w:t>污染源</w:t>
            </w:r>
          </w:p>
        </w:tc>
        <w:tc>
          <w:tcPr>
            <w:tcW w:w="1770" w:type="dxa"/>
            <w:gridSpan w:val="2"/>
            <w:vMerge w:val="restart"/>
            <w:noWrap w:val="0"/>
            <w:vAlign w:val="center"/>
          </w:tcPr>
          <w:p w14:paraId="06C4EBA7">
            <w:pPr>
              <w:pStyle w:val="25"/>
              <w:bidi w:val="0"/>
              <w:rPr>
                <w:rFonts w:hint="default"/>
                <w:b/>
                <w:bCs/>
                <w:color w:val="auto"/>
                <w:u w:val="none" w:color="auto"/>
                <w:lang w:val="en-US" w:eastAsia="zh-CN"/>
              </w:rPr>
            </w:pPr>
            <w:r>
              <w:rPr>
                <w:rFonts w:hint="default"/>
                <w:b/>
                <w:bCs/>
                <w:color w:val="auto"/>
                <w:u w:val="none" w:color="auto"/>
                <w:lang w:val="en-US" w:eastAsia="zh-CN"/>
              </w:rPr>
              <w:t>污染物</w:t>
            </w:r>
          </w:p>
        </w:tc>
        <w:tc>
          <w:tcPr>
            <w:tcW w:w="4005" w:type="dxa"/>
            <w:gridSpan w:val="6"/>
            <w:noWrap w:val="0"/>
            <w:vAlign w:val="center"/>
          </w:tcPr>
          <w:p w14:paraId="3D59443D">
            <w:pPr>
              <w:pStyle w:val="25"/>
              <w:bidi w:val="0"/>
              <w:rPr>
                <w:rFonts w:hint="default"/>
                <w:b/>
                <w:bCs/>
                <w:color w:val="auto"/>
                <w:u w:val="none" w:color="auto"/>
                <w:lang w:val="en-US" w:eastAsia="zh-CN"/>
              </w:rPr>
            </w:pPr>
            <w:r>
              <w:rPr>
                <w:rFonts w:hint="default"/>
                <w:b/>
                <w:bCs/>
                <w:color w:val="auto"/>
                <w:u w:val="none" w:color="auto"/>
                <w:lang w:val="en-US" w:eastAsia="zh-CN"/>
              </w:rPr>
              <w:t>污染物产生</w:t>
            </w:r>
          </w:p>
        </w:tc>
        <w:tc>
          <w:tcPr>
            <w:tcW w:w="2490" w:type="dxa"/>
            <w:gridSpan w:val="3"/>
            <w:vMerge w:val="restart"/>
            <w:noWrap w:val="0"/>
            <w:vAlign w:val="center"/>
          </w:tcPr>
          <w:p w14:paraId="6BDE5CA0">
            <w:pPr>
              <w:pStyle w:val="25"/>
              <w:bidi w:val="0"/>
              <w:rPr>
                <w:rFonts w:hint="default"/>
                <w:b/>
                <w:bCs/>
                <w:color w:val="auto"/>
                <w:u w:val="none" w:color="auto"/>
                <w:lang w:val="en-US" w:eastAsia="zh-CN"/>
              </w:rPr>
            </w:pPr>
            <w:r>
              <w:rPr>
                <w:rFonts w:hint="default"/>
                <w:b/>
                <w:bCs/>
                <w:color w:val="auto"/>
                <w:u w:val="none" w:color="auto"/>
                <w:lang w:val="en-US" w:eastAsia="zh-CN"/>
              </w:rPr>
              <w:t>治理工艺</w:t>
            </w:r>
          </w:p>
        </w:tc>
        <w:tc>
          <w:tcPr>
            <w:tcW w:w="3975" w:type="dxa"/>
            <w:gridSpan w:val="6"/>
            <w:noWrap w:val="0"/>
            <w:vAlign w:val="center"/>
          </w:tcPr>
          <w:p w14:paraId="07F32D25">
            <w:pPr>
              <w:pStyle w:val="25"/>
              <w:bidi w:val="0"/>
              <w:rPr>
                <w:rFonts w:hint="default"/>
                <w:b/>
                <w:bCs/>
                <w:color w:val="auto"/>
                <w:u w:val="none" w:color="auto"/>
                <w:lang w:val="en-US" w:eastAsia="zh-CN"/>
              </w:rPr>
            </w:pPr>
            <w:r>
              <w:rPr>
                <w:rFonts w:hint="default"/>
                <w:b/>
                <w:bCs/>
                <w:color w:val="auto"/>
                <w:u w:val="none" w:color="auto"/>
                <w:lang w:val="en-US" w:eastAsia="zh-CN"/>
              </w:rPr>
              <w:t>污染物排放</w:t>
            </w:r>
          </w:p>
        </w:tc>
        <w:tc>
          <w:tcPr>
            <w:tcW w:w="716" w:type="dxa"/>
            <w:vMerge w:val="restart"/>
            <w:noWrap w:val="0"/>
            <w:vAlign w:val="center"/>
          </w:tcPr>
          <w:p w14:paraId="1DBD8172">
            <w:pPr>
              <w:pStyle w:val="25"/>
              <w:bidi w:val="0"/>
              <w:rPr>
                <w:rFonts w:hint="default"/>
                <w:b/>
                <w:bCs/>
                <w:color w:val="auto"/>
                <w:u w:val="none" w:color="auto"/>
                <w:lang w:val="en-US" w:eastAsia="zh-CN"/>
              </w:rPr>
            </w:pPr>
            <w:r>
              <w:rPr>
                <w:rFonts w:hint="default"/>
                <w:b/>
                <w:bCs/>
                <w:color w:val="auto"/>
                <w:u w:val="none" w:color="auto"/>
                <w:lang w:val="en-US" w:eastAsia="zh-CN"/>
              </w:rPr>
              <w:t>排放时间（h）</w:t>
            </w:r>
          </w:p>
        </w:tc>
      </w:tr>
      <w:tr w14:paraId="6DFA9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39589820">
            <w:pPr>
              <w:pStyle w:val="25"/>
              <w:bidi w:val="0"/>
              <w:rPr>
                <w:rFonts w:hint="default"/>
                <w:b/>
                <w:bCs/>
                <w:color w:val="auto"/>
                <w:u w:val="none" w:color="auto"/>
              </w:rPr>
            </w:pPr>
          </w:p>
        </w:tc>
        <w:tc>
          <w:tcPr>
            <w:tcW w:w="1770" w:type="dxa"/>
            <w:gridSpan w:val="2"/>
            <w:vMerge w:val="continue"/>
            <w:noWrap w:val="0"/>
            <w:vAlign w:val="center"/>
          </w:tcPr>
          <w:p w14:paraId="39F3EC41">
            <w:pPr>
              <w:pStyle w:val="25"/>
              <w:bidi w:val="0"/>
              <w:rPr>
                <w:rFonts w:hint="default"/>
                <w:b/>
                <w:bCs/>
                <w:color w:val="auto"/>
                <w:u w:val="none" w:color="auto"/>
              </w:rPr>
            </w:pPr>
          </w:p>
        </w:tc>
        <w:tc>
          <w:tcPr>
            <w:tcW w:w="1175" w:type="dxa"/>
            <w:gridSpan w:val="2"/>
            <w:noWrap w:val="0"/>
            <w:vAlign w:val="center"/>
          </w:tcPr>
          <w:p w14:paraId="27A6CD08">
            <w:pPr>
              <w:pStyle w:val="25"/>
              <w:bidi w:val="0"/>
              <w:rPr>
                <w:rFonts w:hint="default"/>
                <w:b/>
                <w:bCs/>
                <w:color w:val="auto"/>
                <w:u w:val="none" w:color="auto"/>
                <w:lang w:val="en-US" w:eastAsia="zh-CN"/>
              </w:rPr>
            </w:pPr>
            <w:r>
              <w:rPr>
                <w:rFonts w:hint="default"/>
                <w:b/>
                <w:bCs/>
                <w:color w:val="auto"/>
                <w:u w:val="none" w:color="auto"/>
              </w:rPr>
              <w:t>产生废水量（m</w:t>
            </w:r>
            <w:r>
              <w:rPr>
                <w:rFonts w:hint="default"/>
                <w:b/>
                <w:bCs/>
                <w:color w:val="auto"/>
                <w:u w:val="none" w:color="auto"/>
                <w:vertAlign w:val="superscript"/>
              </w:rPr>
              <w:t>3</w:t>
            </w:r>
            <w:r>
              <w:rPr>
                <w:rFonts w:hint="default"/>
                <w:b/>
                <w:bCs/>
                <w:color w:val="auto"/>
                <w:u w:val="none" w:color="auto"/>
              </w:rPr>
              <w:t>/a）</w:t>
            </w:r>
          </w:p>
        </w:tc>
        <w:tc>
          <w:tcPr>
            <w:tcW w:w="1350" w:type="dxa"/>
            <w:gridSpan w:val="2"/>
            <w:noWrap w:val="0"/>
            <w:vAlign w:val="center"/>
          </w:tcPr>
          <w:p w14:paraId="38D6CFC1">
            <w:pPr>
              <w:pStyle w:val="25"/>
              <w:bidi w:val="0"/>
              <w:rPr>
                <w:rFonts w:hint="default"/>
                <w:b/>
                <w:bCs/>
                <w:color w:val="auto"/>
                <w:u w:val="none" w:color="auto"/>
                <w:lang w:val="en-US" w:eastAsia="zh-CN"/>
              </w:rPr>
            </w:pPr>
            <w:r>
              <w:rPr>
                <w:rFonts w:hint="default"/>
                <w:b/>
                <w:bCs/>
                <w:color w:val="auto"/>
                <w:u w:val="none" w:color="auto"/>
              </w:rPr>
              <w:t>产生</w:t>
            </w:r>
            <w:r>
              <w:rPr>
                <w:rFonts w:hint="default"/>
                <w:b/>
                <w:bCs/>
                <w:color w:val="auto"/>
                <w:u w:val="none" w:color="auto"/>
                <w:lang w:val="en-US" w:eastAsia="zh-CN"/>
              </w:rPr>
              <w:t>浓度</w:t>
            </w:r>
            <w:r>
              <w:rPr>
                <w:rFonts w:hint="default"/>
                <w:b/>
                <w:bCs/>
                <w:color w:val="auto"/>
                <w:u w:val="none" w:color="auto"/>
              </w:rPr>
              <w:t>（</w:t>
            </w:r>
            <w:r>
              <w:rPr>
                <w:rFonts w:hint="default"/>
                <w:b/>
                <w:bCs/>
                <w:color w:val="auto"/>
                <w:u w:val="none" w:color="auto"/>
                <w:lang w:val="en-US" w:eastAsia="zh-CN"/>
              </w:rPr>
              <w:t>mg/L</w:t>
            </w:r>
            <w:r>
              <w:rPr>
                <w:rFonts w:hint="default"/>
                <w:b/>
                <w:bCs/>
                <w:color w:val="auto"/>
                <w:u w:val="none" w:color="auto"/>
              </w:rPr>
              <w:t>）</w:t>
            </w:r>
          </w:p>
        </w:tc>
        <w:tc>
          <w:tcPr>
            <w:tcW w:w="1480" w:type="dxa"/>
            <w:gridSpan w:val="2"/>
            <w:noWrap w:val="0"/>
            <w:vAlign w:val="center"/>
          </w:tcPr>
          <w:p w14:paraId="3EF4AF60">
            <w:pPr>
              <w:pStyle w:val="25"/>
              <w:bidi w:val="0"/>
              <w:rPr>
                <w:rFonts w:hint="default"/>
                <w:b/>
                <w:bCs/>
                <w:color w:val="auto"/>
                <w:u w:val="none" w:color="auto"/>
              </w:rPr>
            </w:pPr>
            <w:r>
              <w:rPr>
                <w:rFonts w:hint="default"/>
                <w:b/>
                <w:bCs/>
                <w:color w:val="auto"/>
                <w:u w:val="none" w:color="auto"/>
              </w:rPr>
              <w:t>产生量（t/a）</w:t>
            </w:r>
          </w:p>
        </w:tc>
        <w:tc>
          <w:tcPr>
            <w:tcW w:w="2490" w:type="dxa"/>
            <w:gridSpan w:val="3"/>
            <w:vMerge w:val="continue"/>
            <w:noWrap w:val="0"/>
            <w:vAlign w:val="center"/>
          </w:tcPr>
          <w:p w14:paraId="7F183711">
            <w:pPr>
              <w:pStyle w:val="25"/>
              <w:bidi w:val="0"/>
              <w:rPr>
                <w:rFonts w:hint="default"/>
                <w:b/>
                <w:bCs/>
                <w:color w:val="auto"/>
                <w:u w:val="none" w:color="auto"/>
                <w:lang w:val="en-US" w:eastAsia="zh-CN"/>
              </w:rPr>
            </w:pPr>
          </w:p>
        </w:tc>
        <w:tc>
          <w:tcPr>
            <w:tcW w:w="1400" w:type="dxa"/>
            <w:gridSpan w:val="2"/>
            <w:noWrap w:val="0"/>
            <w:vAlign w:val="center"/>
          </w:tcPr>
          <w:p w14:paraId="056BEFF4">
            <w:pPr>
              <w:pStyle w:val="25"/>
              <w:bidi w:val="0"/>
              <w:rPr>
                <w:rFonts w:hint="default"/>
                <w:b/>
                <w:bCs/>
                <w:color w:val="auto"/>
                <w:u w:val="none" w:color="auto"/>
                <w:lang w:val="en-US" w:eastAsia="zh-CN"/>
              </w:rPr>
            </w:pPr>
            <w:r>
              <w:rPr>
                <w:rFonts w:hint="default"/>
                <w:b/>
                <w:bCs/>
                <w:color w:val="auto"/>
                <w:u w:val="none" w:color="auto"/>
              </w:rPr>
              <w:t>排放废水量（m</w:t>
            </w:r>
            <w:r>
              <w:rPr>
                <w:rFonts w:hint="default"/>
                <w:b/>
                <w:bCs/>
                <w:color w:val="auto"/>
                <w:u w:val="none" w:color="auto"/>
                <w:vertAlign w:val="superscript"/>
              </w:rPr>
              <w:t>3</w:t>
            </w:r>
            <w:r>
              <w:rPr>
                <w:rFonts w:hint="default"/>
                <w:b/>
                <w:bCs/>
                <w:color w:val="auto"/>
                <w:u w:val="none" w:color="auto"/>
              </w:rPr>
              <w:t>/a）</w:t>
            </w:r>
          </w:p>
        </w:tc>
        <w:tc>
          <w:tcPr>
            <w:tcW w:w="1251" w:type="dxa"/>
            <w:gridSpan w:val="2"/>
            <w:noWrap w:val="0"/>
            <w:vAlign w:val="center"/>
          </w:tcPr>
          <w:p w14:paraId="0051CC91">
            <w:pPr>
              <w:pStyle w:val="25"/>
              <w:bidi w:val="0"/>
              <w:rPr>
                <w:rFonts w:hint="default"/>
                <w:b/>
                <w:bCs/>
                <w:color w:val="auto"/>
                <w:u w:val="none" w:color="auto"/>
                <w:lang w:val="en-US" w:eastAsia="zh-CN"/>
              </w:rPr>
            </w:pPr>
            <w:r>
              <w:rPr>
                <w:rFonts w:hint="default"/>
                <w:b/>
                <w:bCs/>
                <w:color w:val="auto"/>
                <w:u w:val="none" w:color="auto"/>
                <w:lang w:val="en-US" w:eastAsia="zh-CN"/>
              </w:rPr>
              <w:t>排放浓度（mg/L）</w:t>
            </w:r>
          </w:p>
        </w:tc>
        <w:tc>
          <w:tcPr>
            <w:tcW w:w="1324" w:type="dxa"/>
            <w:gridSpan w:val="2"/>
            <w:noWrap w:val="0"/>
            <w:vAlign w:val="center"/>
          </w:tcPr>
          <w:p w14:paraId="384C411A">
            <w:pPr>
              <w:pStyle w:val="25"/>
              <w:bidi w:val="0"/>
              <w:rPr>
                <w:rFonts w:hint="default"/>
                <w:b/>
                <w:bCs/>
                <w:color w:val="auto"/>
                <w:u w:val="none" w:color="auto"/>
                <w:lang w:val="en-US" w:eastAsia="zh-CN"/>
              </w:rPr>
            </w:pPr>
            <w:r>
              <w:rPr>
                <w:rFonts w:hint="default"/>
                <w:b/>
                <w:bCs/>
                <w:color w:val="auto"/>
                <w:u w:val="none" w:color="auto"/>
              </w:rPr>
              <w:t>排放量（t/a）</w:t>
            </w:r>
          </w:p>
        </w:tc>
        <w:tc>
          <w:tcPr>
            <w:tcW w:w="716" w:type="dxa"/>
            <w:vMerge w:val="continue"/>
            <w:noWrap w:val="0"/>
            <w:vAlign w:val="center"/>
          </w:tcPr>
          <w:p w14:paraId="6E44B951">
            <w:pPr>
              <w:pStyle w:val="25"/>
              <w:bidi w:val="0"/>
              <w:rPr>
                <w:rFonts w:hint="default"/>
                <w:b/>
                <w:bCs/>
                <w:color w:val="auto"/>
                <w:u w:val="none" w:color="auto"/>
                <w:lang w:val="en-US" w:eastAsia="zh-CN"/>
              </w:rPr>
            </w:pPr>
          </w:p>
        </w:tc>
      </w:tr>
      <w:tr w14:paraId="2812D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3A52D1CF">
            <w:pPr>
              <w:pStyle w:val="25"/>
              <w:bidi w:val="0"/>
              <w:rPr>
                <w:rFonts w:hint="default"/>
                <w:color w:val="auto"/>
                <w:u w:val="none" w:color="auto"/>
                <w:lang w:val="en-US" w:eastAsia="zh-CN"/>
              </w:rPr>
            </w:pPr>
            <w:r>
              <w:rPr>
                <w:rFonts w:hint="default"/>
                <w:color w:val="auto"/>
                <w:highlight w:val="none"/>
                <w:u w:val="none" w:color="auto"/>
                <w:lang w:val="en-US" w:eastAsia="zh-CN"/>
              </w:rPr>
              <w:t>生活污水</w:t>
            </w:r>
            <w:r>
              <w:rPr>
                <w:rFonts w:hint="eastAsia"/>
                <w:color w:val="auto"/>
                <w:highlight w:val="none"/>
                <w:u w:val="none" w:color="auto"/>
                <w:lang w:val="en-US" w:eastAsia="zh-CN"/>
              </w:rPr>
              <w:t>（排入外环境）</w:t>
            </w:r>
          </w:p>
        </w:tc>
        <w:tc>
          <w:tcPr>
            <w:tcW w:w="1770" w:type="dxa"/>
            <w:gridSpan w:val="2"/>
            <w:noWrap w:val="0"/>
            <w:vAlign w:val="center"/>
          </w:tcPr>
          <w:p w14:paraId="7578A753">
            <w:pPr>
              <w:pStyle w:val="25"/>
              <w:bidi w:val="0"/>
              <w:rPr>
                <w:rFonts w:hint="default"/>
                <w:color w:val="auto"/>
                <w:u w:val="none" w:color="auto"/>
                <w:lang w:val="en-US" w:eastAsia="zh-CN"/>
              </w:rPr>
            </w:pPr>
            <w:r>
              <w:rPr>
                <w:rFonts w:hint="default"/>
                <w:color w:val="auto"/>
                <w:u w:val="none" w:color="auto"/>
                <w:lang w:eastAsia="zh-CN"/>
              </w:rPr>
              <w:t>CODcr</w:t>
            </w:r>
          </w:p>
        </w:tc>
        <w:tc>
          <w:tcPr>
            <w:tcW w:w="1175" w:type="dxa"/>
            <w:gridSpan w:val="2"/>
            <w:vMerge w:val="restart"/>
            <w:noWrap w:val="0"/>
            <w:vAlign w:val="center"/>
          </w:tcPr>
          <w:p w14:paraId="443B2ECA">
            <w:pPr>
              <w:pStyle w:val="25"/>
              <w:bidi w:val="0"/>
              <w:rPr>
                <w:rFonts w:hint="default"/>
                <w:color w:val="auto"/>
                <w:u w:val="none" w:color="auto"/>
                <w:lang w:val="en-US" w:eastAsia="zh-CN"/>
              </w:rPr>
            </w:pPr>
            <w:r>
              <w:rPr>
                <w:rFonts w:hint="eastAsia"/>
                <w:color w:val="auto"/>
                <w:u w:val="none" w:color="auto"/>
                <w:lang w:val="en-US" w:eastAsia="zh-CN"/>
              </w:rPr>
              <w:t>1216</w:t>
            </w:r>
          </w:p>
        </w:tc>
        <w:tc>
          <w:tcPr>
            <w:tcW w:w="1350" w:type="dxa"/>
            <w:gridSpan w:val="2"/>
            <w:noWrap w:val="0"/>
            <w:vAlign w:val="center"/>
          </w:tcPr>
          <w:p w14:paraId="5D31279B">
            <w:pPr>
              <w:pStyle w:val="25"/>
              <w:bidi w:val="0"/>
              <w:rPr>
                <w:rFonts w:hint="default"/>
                <w:color w:val="auto"/>
                <w:u w:val="none" w:color="auto"/>
                <w:lang w:val="en-US" w:eastAsia="zh-CN"/>
              </w:rPr>
            </w:pPr>
            <w:r>
              <w:rPr>
                <w:rFonts w:hint="eastAsia"/>
                <w:color w:val="auto"/>
                <w:u w:val="none" w:color="auto"/>
                <w:lang w:val="en-US" w:eastAsia="zh-CN"/>
              </w:rPr>
              <w:t>350</w:t>
            </w:r>
          </w:p>
        </w:tc>
        <w:tc>
          <w:tcPr>
            <w:tcW w:w="1480" w:type="dxa"/>
            <w:gridSpan w:val="2"/>
            <w:noWrap w:val="0"/>
            <w:vAlign w:val="center"/>
          </w:tcPr>
          <w:p w14:paraId="385ACB98">
            <w:pPr>
              <w:pStyle w:val="25"/>
              <w:bidi w:val="0"/>
              <w:rPr>
                <w:rFonts w:hint="default"/>
                <w:color w:val="auto"/>
                <w:u w:val="none" w:color="auto"/>
                <w:lang w:val="en-US" w:eastAsia="zh-CN"/>
              </w:rPr>
            </w:pPr>
            <w:r>
              <w:rPr>
                <w:rFonts w:hint="eastAsia"/>
                <w:color w:val="auto"/>
                <w:u w:val="none" w:color="auto"/>
                <w:lang w:val="en-US" w:eastAsia="zh-CN"/>
              </w:rPr>
              <w:t>0.4256</w:t>
            </w:r>
          </w:p>
        </w:tc>
        <w:tc>
          <w:tcPr>
            <w:tcW w:w="2490" w:type="dxa"/>
            <w:gridSpan w:val="3"/>
            <w:vMerge w:val="restart"/>
            <w:noWrap w:val="0"/>
            <w:vAlign w:val="center"/>
          </w:tcPr>
          <w:p w14:paraId="47D314F4">
            <w:pPr>
              <w:pStyle w:val="25"/>
              <w:bidi w:val="0"/>
              <w:rPr>
                <w:rFonts w:hint="default"/>
                <w:color w:val="auto"/>
                <w:u w:val="none" w:color="auto"/>
                <w:lang w:val="en-US" w:eastAsia="zh-CN"/>
              </w:rPr>
            </w:pPr>
            <w:r>
              <w:rPr>
                <w:rFonts w:hint="default"/>
                <w:color w:val="auto"/>
                <w:u w:val="none" w:color="auto"/>
                <w:lang w:eastAsia="zh-CN"/>
              </w:rPr>
              <w:t>经</w:t>
            </w:r>
            <w:r>
              <w:rPr>
                <w:rFonts w:hint="default"/>
                <w:color w:val="auto"/>
                <w:u w:val="none" w:color="auto"/>
                <w:lang w:val="en-US" w:eastAsia="zh-CN"/>
              </w:rPr>
              <w:t>化粪池</w:t>
            </w:r>
            <w:r>
              <w:rPr>
                <w:rFonts w:hint="default"/>
                <w:color w:val="auto"/>
                <w:u w:val="none" w:color="auto"/>
                <w:lang w:eastAsia="zh-CN"/>
              </w:rPr>
              <w:t>预处理后排入长沙经开区汨罗产业园污水处理厂</w:t>
            </w:r>
          </w:p>
        </w:tc>
        <w:tc>
          <w:tcPr>
            <w:tcW w:w="1400" w:type="dxa"/>
            <w:gridSpan w:val="2"/>
            <w:vMerge w:val="restart"/>
            <w:noWrap w:val="0"/>
            <w:vAlign w:val="center"/>
          </w:tcPr>
          <w:p w14:paraId="6B65CC7A">
            <w:pPr>
              <w:pStyle w:val="25"/>
              <w:bidi w:val="0"/>
              <w:rPr>
                <w:rFonts w:hint="default"/>
                <w:color w:val="auto"/>
                <w:u w:val="none" w:color="auto"/>
                <w:lang w:val="en-US" w:eastAsia="zh-CN"/>
              </w:rPr>
            </w:pPr>
            <w:r>
              <w:rPr>
                <w:rFonts w:hint="eastAsia"/>
                <w:color w:val="auto"/>
                <w:u w:val="none" w:color="auto"/>
                <w:lang w:val="en-US" w:eastAsia="zh-CN"/>
              </w:rPr>
              <w:t>1216</w:t>
            </w:r>
          </w:p>
        </w:tc>
        <w:tc>
          <w:tcPr>
            <w:tcW w:w="1251" w:type="dxa"/>
            <w:gridSpan w:val="2"/>
            <w:noWrap w:val="0"/>
            <w:vAlign w:val="center"/>
          </w:tcPr>
          <w:p w14:paraId="6E2980ED">
            <w:pPr>
              <w:pStyle w:val="25"/>
              <w:bidi w:val="0"/>
              <w:rPr>
                <w:rFonts w:hint="default"/>
                <w:color w:val="auto"/>
                <w:u w:val="none" w:color="auto"/>
                <w:lang w:val="en-US" w:eastAsia="zh-CN"/>
              </w:rPr>
            </w:pPr>
            <w:r>
              <w:rPr>
                <w:rFonts w:hint="eastAsia"/>
                <w:color w:val="auto"/>
                <w:u w:val="none" w:color="auto"/>
                <w:lang w:val="en-US" w:eastAsia="zh-CN"/>
              </w:rPr>
              <w:t>50</w:t>
            </w:r>
          </w:p>
        </w:tc>
        <w:tc>
          <w:tcPr>
            <w:tcW w:w="1324" w:type="dxa"/>
            <w:gridSpan w:val="2"/>
            <w:noWrap w:val="0"/>
            <w:vAlign w:val="center"/>
          </w:tcPr>
          <w:p w14:paraId="0414351E">
            <w:pPr>
              <w:pStyle w:val="25"/>
              <w:bidi w:val="0"/>
              <w:rPr>
                <w:rFonts w:hint="default"/>
                <w:color w:val="auto"/>
                <w:u w:val="none" w:color="auto"/>
                <w:lang w:val="en-US" w:eastAsia="zh-CN"/>
              </w:rPr>
            </w:pPr>
            <w:r>
              <w:rPr>
                <w:rFonts w:hint="eastAsia"/>
                <w:color w:val="auto"/>
                <w:u w:val="none" w:color="auto"/>
                <w:lang w:val="en-US" w:eastAsia="zh-CN"/>
              </w:rPr>
              <w:t>0.0608</w:t>
            </w:r>
          </w:p>
        </w:tc>
        <w:tc>
          <w:tcPr>
            <w:tcW w:w="716" w:type="dxa"/>
            <w:vMerge w:val="restart"/>
            <w:noWrap w:val="0"/>
            <w:vAlign w:val="center"/>
          </w:tcPr>
          <w:p w14:paraId="1A674468">
            <w:pPr>
              <w:pStyle w:val="25"/>
              <w:bidi w:val="0"/>
              <w:rPr>
                <w:rFonts w:hint="default"/>
                <w:color w:val="auto"/>
                <w:u w:val="none" w:color="auto"/>
                <w:lang w:val="en-US" w:eastAsia="zh-CN"/>
              </w:rPr>
            </w:pPr>
            <w:r>
              <w:rPr>
                <w:rFonts w:hint="eastAsia"/>
                <w:color w:val="auto"/>
                <w:u w:val="none" w:color="auto"/>
                <w:lang w:val="en-US" w:eastAsia="zh-CN"/>
              </w:rPr>
              <w:t>24</w:t>
            </w:r>
            <w:r>
              <w:rPr>
                <w:rFonts w:hint="default"/>
                <w:color w:val="auto"/>
                <w:u w:val="none" w:color="auto"/>
                <w:lang w:val="en-US" w:eastAsia="zh-CN"/>
              </w:rPr>
              <w:t>00</w:t>
            </w:r>
          </w:p>
        </w:tc>
      </w:tr>
      <w:tr w14:paraId="2D453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DFEE935">
            <w:pPr>
              <w:pStyle w:val="25"/>
              <w:bidi w:val="0"/>
              <w:rPr>
                <w:rFonts w:hint="default"/>
                <w:color w:val="auto"/>
                <w:u w:val="none" w:color="auto"/>
                <w:lang w:val="en-US" w:eastAsia="zh-CN"/>
              </w:rPr>
            </w:pPr>
          </w:p>
        </w:tc>
        <w:tc>
          <w:tcPr>
            <w:tcW w:w="1770" w:type="dxa"/>
            <w:gridSpan w:val="2"/>
            <w:noWrap w:val="0"/>
            <w:vAlign w:val="center"/>
          </w:tcPr>
          <w:p w14:paraId="26176BC6">
            <w:pPr>
              <w:pStyle w:val="25"/>
              <w:bidi w:val="0"/>
              <w:rPr>
                <w:rFonts w:hint="default"/>
                <w:color w:val="auto"/>
                <w:u w:val="none" w:color="auto"/>
                <w:lang w:val="en-US" w:eastAsia="zh-CN"/>
              </w:rPr>
            </w:pPr>
            <w:r>
              <w:rPr>
                <w:rFonts w:hint="default"/>
                <w:color w:val="auto"/>
                <w:u w:val="none" w:color="auto"/>
                <w:lang w:val="en-US" w:eastAsia="zh-CN"/>
              </w:rPr>
              <w:t>BOD</w:t>
            </w:r>
            <w:r>
              <w:rPr>
                <w:rFonts w:hint="default"/>
                <w:color w:val="auto"/>
                <w:u w:val="none" w:color="auto"/>
                <w:vertAlign w:val="subscript"/>
                <w:lang w:val="en-US" w:eastAsia="zh-CN"/>
              </w:rPr>
              <w:t>5</w:t>
            </w:r>
          </w:p>
        </w:tc>
        <w:tc>
          <w:tcPr>
            <w:tcW w:w="1175" w:type="dxa"/>
            <w:gridSpan w:val="2"/>
            <w:vMerge w:val="continue"/>
            <w:noWrap w:val="0"/>
            <w:vAlign w:val="center"/>
          </w:tcPr>
          <w:p w14:paraId="70CB4D35">
            <w:pPr>
              <w:pStyle w:val="25"/>
              <w:bidi w:val="0"/>
              <w:rPr>
                <w:rFonts w:hint="default"/>
                <w:color w:val="auto"/>
                <w:u w:val="none" w:color="auto"/>
                <w:lang w:val="en-US" w:eastAsia="zh-CN"/>
              </w:rPr>
            </w:pPr>
          </w:p>
        </w:tc>
        <w:tc>
          <w:tcPr>
            <w:tcW w:w="1350" w:type="dxa"/>
            <w:gridSpan w:val="2"/>
            <w:noWrap w:val="0"/>
            <w:vAlign w:val="center"/>
          </w:tcPr>
          <w:p w14:paraId="6B602BFD">
            <w:pPr>
              <w:pStyle w:val="25"/>
              <w:bidi w:val="0"/>
              <w:rPr>
                <w:rFonts w:hint="default"/>
                <w:color w:val="auto"/>
                <w:u w:val="none" w:color="auto"/>
                <w:lang w:val="en-US" w:eastAsia="zh-CN"/>
              </w:rPr>
            </w:pPr>
            <w:r>
              <w:rPr>
                <w:rFonts w:hint="eastAsia"/>
                <w:color w:val="auto"/>
                <w:u w:val="none" w:color="auto"/>
                <w:lang w:val="en-US" w:eastAsia="zh-CN"/>
              </w:rPr>
              <w:t>160</w:t>
            </w:r>
          </w:p>
        </w:tc>
        <w:tc>
          <w:tcPr>
            <w:tcW w:w="1480" w:type="dxa"/>
            <w:gridSpan w:val="2"/>
            <w:noWrap w:val="0"/>
            <w:vAlign w:val="center"/>
          </w:tcPr>
          <w:p w14:paraId="3EED3BE5">
            <w:pPr>
              <w:pStyle w:val="25"/>
              <w:bidi w:val="0"/>
              <w:rPr>
                <w:rFonts w:hint="default"/>
                <w:color w:val="auto"/>
                <w:u w:val="none" w:color="auto"/>
                <w:lang w:val="en-US" w:eastAsia="zh-CN"/>
              </w:rPr>
            </w:pPr>
            <w:r>
              <w:rPr>
                <w:rFonts w:hint="eastAsia"/>
                <w:color w:val="auto"/>
                <w:u w:val="none" w:color="auto"/>
                <w:lang w:val="en-US" w:eastAsia="zh-CN"/>
              </w:rPr>
              <w:t>0.1946</w:t>
            </w:r>
          </w:p>
        </w:tc>
        <w:tc>
          <w:tcPr>
            <w:tcW w:w="2490" w:type="dxa"/>
            <w:gridSpan w:val="3"/>
            <w:vMerge w:val="continue"/>
            <w:noWrap w:val="0"/>
            <w:vAlign w:val="center"/>
          </w:tcPr>
          <w:p w14:paraId="775E7635">
            <w:pPr>
              <w:pStyle w:val="25"/>
              <w:bidi w:val="0"/>
              <w:rPr>
                <w:rFonts w:hint="default"/>
                <w:color w:val="auto"/>
                <w:u w:val="none" w:color="auto"/>
                <w:lang w:val="en-US" w:eastAsia="zh-CN"/>
              </w:rPr>
            </w:pPr>
          </w:p>
        </w:tc>
        <w:tc>
          <w:tcPr>
            <w:tcW w:w="1400" w:type="dxa"/>
            <w:gridSpan w:val="2"/>
            <w:vMerge w:val="continue"/>
            <w:noWrap w:val="0"/>
            <w:vAlign w:val="center"/>
          </w:tcPr>
          <w:p w14:paraId="02D0AFC3">
            <w:pPr>
              <w:pStyle w:val="25"/>
              <w:bidi w:val="0"/>
              <w:rPr>
                <w:rFonts w:hint="default"/>
                <w:color w:val="auto"/>
                <w:u w:val="none" w:color="auto"/>
                <w:lang w:val="en-US" w:eastAsia="zh-CN"/>
              </w:rPr>
            </w:pPr>
          </w:p>
        </w:tc>
        <w:tc>
          <w:tcPr>
            <w:tcW w:w="1251" w:type="dxa"/>
            <w:gridSpan w:val="2"/>
            <w:noWrap w:val="0"/>
            <w:vAlign w:val="center"/>
          </w:tcPr>
          <w:p w14:paraId="7EA7BF9F">
            <w:pPr>
              <w:pStyle w:val="25"/>
              <w:bidi w:val="0"/>
              <w:rPr>
                <w:rFonts w:hint="default"/>
                <w:color w:val="auto"/>
                <w:u w:val="none" w:color="auto"/>
                <w:lang w:val="en-US" w:eastAsia="zh-CN"/>
              </w:rPr>
            </w:pPr>
            <w:r>
              <w:rPr>
                <w:rFonts w:hint="eastAsia"/>
                <w:color w:val="auto"/>
                <w:u w:val="none" w:color="auto"/>
                <w:lang w:val="en-US" w:eastAsia="zh-CN"/>
              </w:rPr>
              <w:t>10</w:t>
            </w:r>
          </w:p>
        </w:tc>
        <w:tc>
          <w:tcPr>
            <w:tcW w:w="1324" w:type="dxa"/>
            <w:gridSpan w:val="2"/>
            <w:noWrap w:val="0"/>
            <w:vAlign w:val="center"/>
          </w:tcPr>
          <w:p w14:paraId="4C8837D8">
            <w:pPr>
              <w:pStyle w:val="25"/>
              <w:bidi w:val="0"/>
              <w:rPr>
                <w:rFonts w:hint="default"/>
                <w:color w:val="auto"/>
                <w:u w:val="none" w:color="auto"/>
                <w:lang w:val="en-US" w:eastAsia="zh-CN"/>
              </w:rPr>
            </w:pPr>
            <w:r>
              <w:rPr>
                <w:rFonts w:hint="eastAsia"/>
                <w:color w:val="auto"/>
                <w:u w:val="none" w:color="auto"/>
                <w:lang w:val="en-US" w:eastAsia="zh-CN"/>
              </w:rPr>
              <w:t>0.0122</w:t>
            </w:r>
          </w:p>
        </w:tc>
        <w:tc>
          <w:tcPr>
            <w:tcW w:w="716" w:type="dxa"/>
            <w:vMerge w:val="continue"/>
            <w:noWrap w:val="0"/>
            <w:vAlign w:val="center"/>
          </w:tcPr>
          <w:p w14:paraId="28020B78">
            <w:pPr>
              <w:pStyle w:val="25"/>
              <w:bidi w:val="0"/>
              <w:rPr>
                <w:rFonts w:hint="default"/>
                <w:color w:val="auto"/>
                <w:u w:val="none" w:color="auto"/>
                <w:lang w:val="en-US" w:eastAsia="zh-CN"/>
              </w:rPr>
            </w:pPr>
          </w:p>
        </w:tc>
      </w:tr>
      <w:tr w14:paraId="76D8C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56D0C49">
            <w:pPr>
              <w:pStyle w:val="25"/>
              <w:bidi w:val="0"/>
              <w:rPr>
                <w:rFonts w:hint="default"/>
                <w:color w:val="auto"/>
                <w:u w:val="none" w:color="auto"/>
                <w:lang w:val="en-US" w:eastAsia="zh-CN"/>
              </w:rPr>
            </w:pPr>
          </w:p>
        </w:tc>
        <w:tc>
          <w:tcPr>
            <w:tcW w:w="1770" w:type="dxa"/>
            <w:gridSpan w:val="2"/>
            <w:noWrap w:val="0"/>
            <w:vAlign w:val="center"/>
          </w:tcPr>
          <w:p w14:paraId="357233F5">
            <w:pPr>
              <w:pStyle w:val="25"/>
              <w:bidi w:val="0"/>
              <w:rPr>
                <w:rFonts w:hint="default"/>
                <w:color w:val="auto"/>
                <w:u w:val="none" w:color="auto"/>
                <w:lang w:val="en-US" w:eastAsia="zh-CN"/>
              </w:rPr>
            </w:pPr>
            <w:r>
              <w:rPr>
                <w:rFonts w:hint="default"/>
                <w:color w:val="auto"/>
                <w:u w:val="none" w:color="auto"/>
              </w:rPr>
              <w:t>氨氮</w:t>
            </w:r>
          </w:p>
        </w:tc>
        <w:tc>
          <w:tcPr>
            <w:tcW w:w="1175" w:type="dxa"/>
            <w:gridSpan w:val="2"/>
            <w:vMerge w:val="continue"/>
            <w:noWrap w:val="0"/>
            <w:vAlign w:val="center"/>
          </w:tcPr>
          <w:p w14:paraId="48FEBE50">
            <w:pPr>
              <w:pStyle w:val="25"/>
              <w:bidi w:val="0"/>
              <w:rPr>
                <w:rFonts w:hint="default"/>
                <w:color w:val="auto"/>
                <w:u w:val="none" w:color="auto"/>
                <w:lang w:val="en-US" w:eastAsia="zh-CN"/>
              </w:rPr>
            </w:pPr>
          </w:p>
        </w:tc>
        <w:tc>
          <w:tcPr>
            <w:tcW w:w="1350" w:type="dxa"/>
            <w:gridSpan w:val="2"/>
            <w:noWrap w:val="0"/>
            <w:vAlign w:val="center"/>
          </w:tcPr>
          <w:p w14:paraId="52332380">
            <w:pPr>
              <w:pStyle w:val="25"/>
              <w:bidi w:val="0"/>
              <w:rPr>
                <w:rFonts w:hint="default"/>
                <w:color w:val="auto"/>
                <w:u w:val="none" w:color="auto"/>
                <w:lang w:val="en-US" w:eastAsia="zh-CN"/>
              </w:rPr>
            </w:pPr>
            <w:r>
              <w:rPr>
                <w:rFonts w:hint="eastAsia"/>
                <w:color w:val="auto"/>
                <w:u w:val="none" w:color="auto"/>
                <w:lang w:val="en-US" w:eastAsia="zh-CN"/>
              </w:rPr>
              <w:t>30</w:t>
            </w:r>
          </w:p>
        </w:tc>
        <w:tc>
          <w:tcPr>
            <w:tcW w:w="1480" w:type="dxa"/>
            <w:gridSpan w:val="2"/>
            <w:noWrap w:val="0"/>
            <w:vAlign w:val="center"/>
          </w:tcPr>
          <w:p w14:paraId="03C0498F">
            <w:pPr>
              <w:pStyle w:val="25"/>
              <w:bidi w:val="0"/>
              <w:rPr>
                <w:rFonts w:hint="default"/>
                <w:color w:val="auto"/>
                <w:u w:val="none" w:color="auto"/>
                <w:lang w:val="en-US" w:eastAsia="zh-CN"/>
              </w:rPr>
            </w:pPr>
            <w:r>
              <w:rPr>
                <w:rFonts w:hint="eastAsia"/>
                <w:color w:val="auto"/>
                <w:u w:val="none" w:color="auto"/>
                <w:lang w:val="en-US" w:eastAsia="zh-CN"/>
              </w:rPr>
              <w:t>0.0365</w:t>
            </w:r>
          </w:p>
        </w:tc>
        <w:tc>
          <w:tcPr>
            <w:tcW w:w="2490" w:type="dxa"/>
            <w:gridSpan w:val="3"/>
            <w:vMerge w:val="continue"/>
            <w:noWrap w:val="0"/>
            <w:vAlign w:val="center"/>
          </w:tcPr>
          <w:p w14:paraId="71D64486">
            <w:pPr>
              <w:pStyle w:val="25"/>
              <w:bidi w:val="0"/>
              <w:rPr>
                <w:rFonts w:hint="default"/>
                <w:color w:val="auto"/>
                <w:u w:val="none" w:color="auto"/>
                <w:lang w:val="en-US" w:eastAsia="zh-CN"/>
              </w:rPr>
            </w:pPr>
          </w:p>
        </w:tc>
        <w:tc>
          <w:tcPr>
            <w:tcW w:w="1400" w:type="dxa"/>
            <w:gridSpan w:val="2"/>
            <w:vMerge w:val="continue"/>
            <w:noWrap w:val="0"/>
            <w:vAlign w:val="center"/>
          </w:tcPr>
          <w:p w14:paraId="4A7D45C1">
            <w:pPr>
              <w:pStyle w:val="25"/>
              <w:bidi w:val="0"/>
              <w:rPr>
                <w:rFonts w:hint="default"/>
                <w:color w:val="auto"/>
                <w:u w:val="none" w:color="auto"/>
                <w:lang w:val="en-US" w:eastAsia="zh-CN"/>
              </w:rPr>
            </w:pPr>
          </w:p>
        </w:tc>
        <w:tc>
          <w:tcPr>
            <w:tcW w:w="1251" w:type="dxa"/>
            <w:gridSpan w:val="2"/>
            <w:noWrap w:val="0"/>
            <w:vAlign w:val="center"/>
          </w:tcPr>
          <w:p w14:paraId="50020C31">
            <w:pPr>
              <w:pStyle w:val="25"/>
              <w:bidi w:val="0"/>
              <w:rPr>
                <w:rFonts w:hint="default"/>
                <w:color w:val="auto"/>
                <w:u w:val="none" w:color="auto"/>
                <w:lang w:val="en-US" w:eastAsia="zh-CN"/>
              </w:rPr>
            </w:pPr>
            <w:r>
              <w:rPr>
                <w:rFonts w:hint="eastAsia"/>
                <w:color w:val="auto"/>
                <w:u w:val="none" w:color="auto"/>
                <w:lang w:val="en-US" w:eastAsia="zh-CN"/>
              </w:rPr>
              <w:t>5</w:t>
            </w:r>
          </w:p>
        </w:tc>
        <w:tc>
          <w:tcPr>
            <w:tcW w:w="1324" w:type="dxa"/>
            <w:gridSpan w:val="2"/>
            <w:noWrap w:val="0"/>
            <w:vAlign w:val="center"/>
          </w:tcPr>
          <w:p w14:paraId="7206DEDE">
            <w:pPr>
              <w:pStyle w:val="25"/>
              <w:bidi w:val="0"/>
              <w:rPr>
                <w:rFonts w:hint="default"/>
                <w:color w:val="auto"/>
                <w:u w:val="none" w:color="auto"/>
                <w:lang w:val="en-US" w:eastAsia="zh-CN"/>
              </w:rPr>
            </w:pPr>
            <w:r>
              <w:rPr>
                <w:rFonts w:hint="eastAsia"/>
                <w:color w:val="auto"/>
                <w:u w:val="none" w:color="auto"/>
                <w:lang w:val="en-US" w:eastAsia="zh-CN"/>
              </w:rPr>
              <w:t>0.0061</w:t>
            </w:r>
          </w:p>
        </w:tc>
        <w:tc>
          <w:tcPr>
            <w:tcW w:w="716" w:type="dxa"/>
            <w:vMerge w:val="continue"/>
            <w:noWrap w:val="0"/>
            <w:vAlign w:val="center"/>
          </w:tcPr>
          <w:p w14:paraId="7EDE507B">
            <w:pPr>
              <w:pStyle w:val="25"/>
              <w:bidi w:val="0"/>
              <w:rPr>
                <w:rFonts w:hint="default"/>
                <w:color w:val="auto"/>
                <w:u w:val="none" w:color="auto"/>
                <w:lang w:val="en-US" w:eastAsia="zh-CN"/>
              </w:rPr>
            </w:pPr>
          </w:p>
        </w:tc>
      </w:tr>
      <w:tr w14:paraId="3D26D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55F2875C">
            <w:pPr>
              <w:pStyle w:val="25"/>
              <w:bidi w:val="0"/>
              <w:rPr>
                <w:rFonts w:hint="default"/>
                <w:color w:val="auto"/>
                <w:u w:val="none" w:color="auto"/>
                <w:lang w:val="en-US" w:eastAsia="zh-CN"/>
              </w:rPr>
            </w:pPr>
          </w:p>
        </w:tc>
        <w:tc>
          <w:tcPr>
            <w:tcW w:w="1770" w:type="dxa"/>
            <w:gridSpan w:val="2"/>
            <w:noWrap w:val="0"/>
            <w:vAlign w:val="center"/>
          </w:tcPr>
          <w:p w14:paraId="5393F86F">
            <w:pPr>
              <w:pStyle w:val="25"/>
              <w:bidi w:val="0"/>
              <w:rPr>
                <w:rFonts w:hint="default"/>
                <w:color w:val="auto"/>
                <w:u w:val="none" w:color="auto"/>
                <w:lang w:val="en-US" w:eastAsia="zh-CN"/>
              </w:rPr>
            </w:pPr>
            <w:r>
              <w:rPr>
                <w:rFonts w:hint="default"/>
                <w:color w:val="auto"/>
                <w:u w:val="none" w:color="auto"/>
                <w:lang w:val="en-US" w:eastAsia="zh-CN"/>
              </w:rPr>
              <w:t>SS</w:t>
            </w:r>
          </w:p>
        </w:tc>
        <w:tc>
          <w:tcPr>
            <w:tcW w:w="1175" w:type="dxa"/>
            <w:gridSpan w:val="2"/>
            <w:vMerge w:val="continue"/>
            <w:noWrap w:val="0"/>
            <w:vAlign w:val="center"/>
          </w:tcPr>
          <w:p w14:paraId="164E40F4">
            <w:pPr>
              <w:pStyle w:val="25"/>
              <w:bidi w:val="0"/>
              <w:rPr>
                <w:rFonts w:hint="default"/>
                <w:color w:val="auto"/>
                <w:u w:val="none" w:color="auto"/>
                <w:lang w:val="en-US" w:eastAsia="zh-CN"/>
              </w:rPr>
            </w:pPr>
          </w:p>
        </w:tc>
        <w:tc>
          <w:tcPr>
            <w:tcW w:w="1350" w:type="dxa"/>
            <w:gridSpan w:val="2"/>
            <w:noWrap w:val="0"/>
            <w:vAlign w:val="center"/>
          </w:tcPr>
          <w:p w14:paraId="468DBF65">
            <w:pPr>
              <w:pStyle w:val="25"/>
              <w:bidi w:val="0"/>
              <w:rPr>
                <w:rFonts w:hint="default"/>
                <w:color w:val="auto"/>
                <w:u w:val="none" w:color="auto"/>
                <w:lang w:val="en-US" w:eastAsia="zh-CN"/>
              </w:rPr>
            </w:pPr>
            <w:r>
              <w:rPr>
                <w:rFonts w:hint="eastAsia"/>
                <w:color w:val="auto"/>
                <w:u w:val="none" w:color="auto"/>
                <w:lang w:val="en-US" w:eastAsia="zh-CN"/>
              </w:rPr>
              <w:t>250</w:t>
            </w:r>
          </w:p>
        </w:tc>
        <w:tc>
          <w:tcPr>
            <w:tcW w:w="1480" w:type="dxa"/>
            <w:gridSpan w:val="2"/>
            <w:noWrap w:val="0"/>
            <w:vAlign w:val="center"/>
          </w:tcPr>
          <w:p w14:paraId="5566FC11">
            <w:pPr>
              <w:pStyle w:val="25"/>
              <w:bidi w:val="0"/>
              <w:rPr>
                <w:rFonts w:hint="default"/>
                <w:color w:val="auto"/>
                <w:u w:val="none" w:color="auto"/>
                <w:lang w:val="en-US" w:eastAsia="zh-CN"/>
              </w:rPr>
            </w:pPr>
            <w:r>
              <w:rPr>
                <w:rFonts w:hint="eastAsia"/>
                <w:color w:val="auto"/>
                <w:u w:val="none" w:color="auto"/>
                <w:lang w:val="en-US" w:eastAsia="zh-CN"/>
              </w:rPr>
              <w:t>0.304</w:t>
            </w:r>
          </w:p>
        </w:tc>
        <w:tc>
          <w:tcPr>
            <w:tcW w:w="2490" w:type="dxa"/>
            <w:gridSpan w:val="3"/>
            <w:vMerge w:val="continue"/>
            <w:noWrap w:val="0"/>
            <w:vAlign w:val="center"/>
          </w:tcPr>
          <w:p w14:paraId="303F952B">
            <w:pPr>
              <w:pStyle w:val="25"/>
              <w:bidi w:val="0"/>
              <w:rPr>
                <w:rFonts w:hint="default"/>
                <w:color w:val="auto"/>
                <w:u w:val="none" w:color="auto"/>
                <w:lang w:val="en-US" w:eastAsia="zh-CN"/>
              </w:rPr>
            </w:pPr>
          </w:p>
        </w:tc>
        <w:tc>
          <w:tcPr>
            <w:tcW w:w="1400" w:type="dxa"/>
            <w:gridSpan w:val="2"/>
            <w:vMerge w:val="continue"/>
            <w:noWrap w:val="0"/>
            <w:vAlign w:val="center"/>
          </w:tcPr>
          <w:p w14:paraId="712EE668">
            <w:pPr>
              <w:pStyle w:val="25"/>
              <w:bidi w:val="0"/>
              <w:rPr>
                <w:rFonts w:hint="default"/>
                <w:color w:val="auto"/>
                <w:u w:val="none" w:color="auto"/>
                <w:lang w:val="en-US" w:eastAsia="zh-CN"/>
              </w:rPr>
            </w:pPr>
          </w:p>
        </w:tc>
        <w:tc>
          <w:tcPr>
            <w:tcW w:w="1251" w:type="dxa"/>
            <w:gridSpan w:val="2"/>
            <w:noWrap w:val="0"/>
            <w:vAlign w:val="center"/>
          </w:tcPr>
          <w:p w14:paraId="050E44E5">
            <w:pPr>
              <w:pStyle w:val="25"/>
              <w:bidi w:val="0"/>
              <w:rPr>
                <w:rFonts w:hint="default"/>
                <w:color w:val="auto"/>
                <w:u w:val="none" w:color="auto"/>
                <w:lang w:val="en-US" w:eastAsia="zh-CN"/>
              </w:rPr>
            </w:pPr>
            <w:r>
              <w:rPr>
                <w:rFonts w:hint="eastAsia"/>
                <w:color w:val="auto"/>
                <w:u w:val="none" w:color="auto"/>
                <w:lang w:val="en-US" w:eastAsia="zh-CN"/>
              </w:rPr>
              <w:t>10</w:t>
            </w:r>
          </w:p>
        </w:tc>
        <w:tc>
          <w:tcPr>
            <w:tcW w:w="1324" w:type="dxa"/>
            <w:gridSpan w:val="2"/>
            <w:noWrap w:val="0"/>
            <w:vAlign w:val="center"/>
          </w:tcPr>
          <w:p w14:paraId="475C92C5">
            <w:pPr>
              <w:pStyle w:val="25"/>
              <w:bidi w:val="0"/>
              <w:rPr>
                <w:rFonts w:hint="default"/>
                <w:color w:val="auto"/>
                <w:u w:val="none" w:color="auto"/>
                <w:lang w:val="en-US" w:eastAsia="zh-CN"/>
              </w:rPr>
            </w:pPr>
            <w:r>
              <w:rPr>
                <w:rFonts w:hint="eastAsia"/>
                <w:color w:val="auto"/>
                <w:u w:val="none" w:color="auto"/>
                <w:lang w:val="en-US" w:eastAsia="zh-CN"/>
              </w:rPr>
              <w:t>0.0122</w:t>
            </w:r>
          </w:p>
        </w:tc>
        <w:tc>
          <w:tcPr>
            <w:tcW w:w="716" w:type="dxa"/>
            <w:vMerge w:val="continue"/>
            <w:noWrap w:val="0"/>
            <w:vAlign w:val="center"/>
          </w:tcPr>
          <w:p w14:paraId="412AC9F1">
            <w:pPr>
              <w:pStyle w:val="25"/>
              <w:bidi w:val="0"/>
              <w:rPr>
                <w:rFonts w:hint="default"/>
                <w:color w:val="auto"/>
                <w:u w:val="none" w:color="auto"/>
                <w:lang w:val="en-US" w:eastAsia="zh-CN"/>
              </w:rPr>
            </w:pPr>
          </w:p>
        </w:tc>
      </w:tr>
      <w:tr w14:paraId="02E1C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6D102AB1">
            <w:pPr>
              <w:pStyle w:val="25"/>
              <w:bidi w:val="0"/>
              <w:rPr>
                <w:rFonts w:hint="default"/>
                <w:color w:val="auto"/>
                <w:u w:val="none" w:color="auto"/>
              </w:rPr>
            </w:pPr>
            <w:r>
              <w:rPr>
                <w:rFonts w:hint="default"/>
                <w:color w:val="auto"/>
                <w:u w:val="none" w:color="auto"/>
              </w:rPr>
              <w:t>固废</w:t>
            </w:r>
          </w:p>
        </w:tc>
        <w:tc>
          <w:tcPr>
            <w:tcW w:w="1770" w:type="dxa"/>
            <w:gridSpan w:val="2"/>
            <w:noWrap w:val="0"/>
            <w:vAlign w:val="center"/>
          </w:tcPr>
          <w:p w14:paraId="78C0D107">
            <w:pPr>
              <w:pStyle w:val="25"/>
              <w:bidi w:val="0"/>
              <w:rPr>
                <w:rFonts w:hint="default"/>
                <w:b/>
                <w:bCs/>
                <w:color w:val="auto"/>
                <w:u w:val="none" w:color="auto"/>
              </w:rPr>
            </w:pPr>
            <w:r>
              <w:rPr>
                <w:rFonts w:hint="default"/>
                <w:b/>
                <w:bCs/>
                <w:color w:val="auto"/>
                <w:u w:val="none" w:color="auto"/>
              </w:rPr>
              <w:t>固废种类</w:t>
            </w:r>
          </w:p>
        </w:tc>
        <w:tc>
          <w:tcPr>
            <w:tcW w:w="3105" w:type="dxa"/>
            <w:gridSpan w:val="5"/>
            <w:noWrap w:val="0"/>
            <w:vAlign w:val="center"/>
          </w:tcPr>
          <w:p w14:paraId="6D9BD0C2">
            <w:pPr>
              <w:pStyle w:val="25"/>
              <w:bidi w:val="0"/>
              <w:rPr>
                <w:rFonts w:hint="default"/>
                <w:b/>
                <w:bCs/>
                <w:color w:val="auto"/>
                <w:u w:val="none" w:color="auto"/>
              </w:rPr>
            </w:pPr>
            <w:r>
              <w:rPr>
                <w:rFonts w:hint="default"/>
                <w:b/>
                <w:bCs/>
                <w:color w:val="auto"/>
                <w:u w:val="none" w:color="auto"/>
              </w:rPr>
              <w:t>固废名称</w:t>
            </w:r>
          </w:p>
        </w:tc>
        <w:tc>
          <w:tcPr>
            <w:tcW w:w="1897" w:type="dxa"/>
            <w:gridSpan w:val="2"/>
            <w:noWrap w:val="0"/>
            <w:vAlign w:val="center"/>
          </w:tcPr>
          <w:p w14:paraId="4CE00A50">
            <w:pPr>
              <w:pStyle w:val="25"/>
              <w:bidi w:val="0"/>
              <w:rPr>
                <w:rFonts w:hint="default"/>
                <w:b/>
                <w:bCs/>
                <w:color w:val="auto"/>
                <w:u w:val="none" w:color="auto"/>
              </w:rPr>
            </w:pPr>
            <w:r>
              <w:rPr>
                <w:rFonts w:hint="default"/>
                <w:b/>
                <w:bCs/>
                <w:color w:val="auto"/>
                <w:u w:val="none" w:color="auto"/>
              </w:rPr>
              <w:t>产生量（t/a）</w:t>
            </w:r>
          </w:p>
        </w:tc>
        <w:tc>
          <w:tcPr>
            <w:tcW w:w="2893" w:type="dxa"/>
            <w:gridSpan w:val="4"/>
            <w:noWrap w:val="0"/>
            <w:vAlign w:val="center"/>
          </w:tcPr>
          <w:p w14:paraId="4908F293">
            <w:pPr>
              <w:pStyle w:val="25"/>
              <w:bidi w:val="0"/>
              <w:rPr>
                <w:rFonts w:hint="default"/>
                <w:b/>
                <w:bCs/>
                <w:color w:val="auto"/>
                <w:u w:val="none" w:color="auto"/>
              </w:rPr>
            </w:pPr>
            <w:r>
              <w:rPr>
                <w:rFonts w:hint="default"/>
                <w:b/>
                <w:bCs/>
                <w:color w:val="auto"/>
                <w:u w:val="none" w:color="auto"/>
              </w:rPr>
              <w:t>排放量（t/a）</w:t>
            </w:r>
          </w:p>
        </w:tc>
        <w:tc>
          <w:tcPr>
            <w:tcW w:w="3291" w:type="dxa"/>
            <w:gridSpan w:val="5"/>
            <w:noWrap w:val="0"/>
            <w:vAlign w:val="center"/>
          </w:tcPr>
          <w:p w14:paraId="5CB12BC8">
            <w:pPr>
              <w:pStyle w:val="25"/>
              <w:bidi w:val="0"/>
              <w:rPr>
                <w:rFonts w:hint="default"/>
                <w:b/>
                <w:bCs/>
                <w:color w:val="auto"/>
                <w:u w:val="none" w:color="auto"/>
              </w:rPr>
            </w:pPr>
            <w:r>
              <w:rPr>
                <w:rFonts w:hint="default"/>
                <w:b/>
                <w:bCs/>
                <w:color w:val="auto"/>
                <w:u w:val="none" w:color="auto"/>
              </w:rPr>
              <w:t>处置措施</w:t>
            </w:r>
          </w:p>
        </w:tc>
      </w:tr>
      <w:tr w14:paraId="2BE4B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BA0D239">
            <w:pPr>
              <w:pStyle w:val="25"/>
              <w:bidi w:val="0"/>
              <w:rPr>
                <w:rFonts w:hint="default"/>
                <w:color w:val="auto"/>
                <w:u w:val="none" w:color="auto"/>
              </w:rPr>
            </w:pPr>
          </w:p>
        </w:tc>
        <w:tc>
          <w:tcPr>
            <w:tcW w:w="1770" w:type="dxa"/>
            <w:gridSpan w:val="2"/>
            <w:noWrap w:val="0"/>
            <w:vAlign w:val="center"/>
          </w:tcPr>
          <w:p w14:paraId="794B8E02">
            <w:pPr>
              <w:pStyle w:val="25"/>
              <w:bidi w:val="0"/>
              <w:rPr>
                <w:rFonts w:hint="default"/>
                <w:color w:val="auto"/>
                <w:u w:val="none" w:color="auto"/>
              </w:rPr>
            </w:pPr>
            <w:r>
              <w:rPr>
                <w:rFonts w:hint="default"/>
                <w:color w:val="auto"/>
                <w:u w:val="none" w:color="auto"/>
              </w:rPr>
              <w:t>员工生活</w:t>
            </w:r>
          </w:p>
        </w:tc>
        <w:tc>
          <w:tcPr>
            <w:tcW w:w="3105" w:type="dxa"/>
            <w:gridSpan w:val="5"/>
            <w:noWrap w:val="0"/>
            <w:vAlign w:val="center"/>
          </w:tcPr>
          <w:p w14:paraId="590C5EF2">
            <w:pPr>
              <w:pStyle w:val="25"/>
              <w:bidi w:val="0"/>
              <w:rPr>
                <w:rFonts w:hint="default"/>
                <w:color w:val="auto"/>
                <w:u w:val="none" w:color="auto"/>
                <w:lang w:val="en-US" w:eastAsia="zh-CN"/>
              </w:rPr>
            </w:pPr>
            <w:r>
              <w:rPr>
                <w:rFonts w:hint="default"/>
                <w:color w:val="auto"/>
                <w:u w:val="none" w:color="auto"/>
                <w:lang w:val="en-US" w:eastAsia="zh-CN"/>
              </w:rPr>
              <w:t>生活垃圾</w:t>
            </w:r>
          </w:p>
        </w:tc>
        <w:tc>
          <w:tcPr>
            <w:tcW w:w="1897" w:type="dxa"/>
            <w:gridSpan w:val="2"/>
            <w:noWrap w:val="0"/>
            <w:vAlign w:val="center"/>
          </w:tcPr>
          <w:p w14:paraId="408D9106">
            <w:pPr>
              <w:pStyle w:val="25"/>
              <w:bidi w:val="0"/>
              <w:rPr>
                <w:rFonts w:hint="default"/>
                <w:color w:val="auto"/>
                <w:u w:val="none" w:color="auto"/>
                <w:lang w:val="en-US" w:eastAsia="zh-CN"/>
              </w:rPr>
            </w:pPr>
            <w:r>
              <w:rPr>
                <w:rFonts w:hint="eastAsia"/>
                <w:color w:val="auto"/>
                <w:u w:val="none" w:color="auto"/>
                <w:lang w:val="en-US" w:eastAsia="zh-CN"/>
              </w:rPr>
              <w:t>6</w:t>
            </w:r>
          </w:p>
        </w:tc>
        <w:tc>
          <w:tcPr>
            <w:tcW w:w="2893" w:type="dxa"/>
            <w:gridSpan w:val="4"/>
            <w:noWrap w:val="0"/>
            <w:vAlign w:val="center"/>
          </w:tcPr>
          <w:p w14:paraId="0202CAF0">
            <w:pPr>
              <w:pStyle w:val="25"/>
              <w:bidi w:val="0"/>
              <w:rPr>
                <w:rFonts w:hint="default"/>
                <w:color w:val="auto"/>
                <w:u w:val="none" w:color="auto"/>
              </w:rPr>
            </w:pPr>
            <w:r>
              <w:rPr>
                <w:rFonts w:hint="default"/>
                <w:color w:val="auto"/>
                <w:u w:val="none" w:color="auto"/>
              </w:rPr>
              <w:t>0</w:t>
            </w:r>
          </w:p>
        </w:tc>
        <w:tc>
          <w:tcPr>
            <w:tcW w:w="3291" w:type="dxa"/>
            <w:gridSpan w:val="5"/>
            <w:noWrap w:val="0"/>
            <w:vAlign w:val="center"/>
          </w:tcPr>
          <w:p w14:paraId="6A525573">
            <w:pPr>
              <w:pStyle w:val="25"/>
              <w:bidi w:val="0"/>
              <w:rPr>
                <w:rFonts w:hint="default"/>
                <w:color w:val="auto"/>
                <w:u w:val="none" w:color="auto"/>
              </w:rPr>
            </w:pPr>
            <w:r>
              <w:rPr>
                <w:rFonts w:hint="default"/>
                <w:color w:val="auto"/>
                <w:u w:val="none" w:color="auto"/>
                <w:lang w:val="en-US" w:eastAsia="zh-CN"/>
              </w:rPr>
              <w:t>收集</w:t>
            </w:r>
            <w:r>
              <w:rPr>
                <w:rFonts w:hint="eastAsia"/>
                <w:color w:val="auto"/>
                <w:u w:val="none" w:color="auto"/>
                <w:lang w:val="en-US" w:eastAsia="zh-CN"/>
              </w:rPr>
              <w:t>后交由</w:t>
            </w:r>
            <w:r>
              <w:rPr>
                <w:rFonts w:hint="default"/>
                <w:color w:val="auto"/>
                <w:u w:val="none" w:color="auto"/>
              </w:rPr>
              <w:t>环卫部门清运处置</w:t>
            </w:r>
          </w:p>
        </w:tc>
      </w:tr>
      <w:tr w14:paraId="1B717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6048FF5">
            <w:pPr>
              <w:pStyle w:val="25"/>
              <w:bidi w:val="0"/>
              <w:rPr>
                <w:rFonts w:hint="default"/>
                <w:color w:val="auto"/>
                <w:u w:val="none" w:color="auto"/>
              </w:rPr>
            </w:pPr>
          </w:p>
        </w:tc>
        <w:tc>
          <w:tcPr>
            <w:tcW w:w="1770" w:type="dxa"/>
            <w:gridSpan w:val="2"/>
            <w:vMerge w:val="restart"/>
            <w:noWrap w:val="0"/>
            <w:vAlign w:val="center"/>
          </w:tcPr>
          <w:p w14:paraId="0CE23447">
            <w:pPr>
              <w:pStyle w:val="25"/>
              <w:bidi w:val="0"/>
              <w:rPr>
                <w:rFonts w:hint="default"/>
                <w:color w:val="auto"/>
                <w:u w:val="none" w:color="auto"/>
              </w:rPr>
            </w:pPr>
            <w:r>
              <w:rPr>
                <w:rFonts w:hint="default"/>
                <w:color w:val="auto"/>
                <w:u w:val="none" w:color="auto"/>
              </w:rPr>
              <w:t>一般工业固废</w:t>
            </w:r>
          </w:p>
        </w:tc>
        <w:tc>
          <w:tcPr>
            <w:tcW w:w="3105" w:type="dxa"/>
            <w:gridSpan w:val="5"/>
            <w:noWrap w:val="0"/>
            <w:vAlign w:val="center"/>
          </w:tcPr>
          <w:p w14:paraId="34AD89E1">
            <w:pPr>
              <w:pStyle w:val="25"/>
              <w:bidi w:val="0"/>
              <w:rPr>
                <w:rFonts w:hint="default"/>
                <w:color w:val="auto"/>
                <w:u w:val="none" w:color="auto"/>
                <w:lang w:val="en-US" w:eastAsia="zh-CN"/>
              </w:rPr>
            </w:pPr>
            <w:r>
              <w:rPr>
                <w:rFonts w:hint="eastAsia"/>
                <w:color w:val="auto"/>
                <w:u w:val="none" w:color="auto"/>
                <w:lang w:val="en-US" w:eastAsia="zh-CN"/>
              </w:rPr>
              <w:t>不合格品</w:t>
            </w:r>
          </w:p>
        </w:tc>
        <w:tc>
          <w:tcPr>
            <w:tcW w:w="1897" w:type="dxa"/>
            <w:gridSpan w:val="2"/>
            <w:noWrap w:val="0"/>
            <w:vAlign w:val="center"/>
          </w:tcPr>
          <w:p w14:paraId="23A02057">
            <w:pPr>
              <w:pStyle w:val="25"/>
              <w:bidi w:val="0"/>
              <w:rPr>
                <w:rFonts w:hint="default"/>
                <w:color w:val="auto"/>
                <w:u w:val="none" w:color="auto"/>
                <w:lang w:val="en-US" w:eastAsia="zh-CN"/>
              </w:rPr>
            </w:pPr>
            <w:r>
              <w:rPr>
                <w:rFonts w:hint="eastAsia"/>
                <w:color w:val="auto"/>
                <w:u w:val="none" w:color="auto"/>
                <w:lang w:val="en-US" w:eastAsia="zh-CN"/>
              </w:rPr>
              <w:t>21.81</w:t>
            </w:r>
          </w:p>
        </w:tc>
        <w:tc>
          <w:tcPr>
            <w:tcW w:w="2893" w:type="dxa"/>
            <w:gridSpan w:val="4"/>
            <w:noWrap w:val="0"/>
            <w:vAlign w:val="center"/>
          </w:tcPr>
          <w:p w14:paraId="65E14066">
            <w:pPr>
              <w:pStyle w:val="25"/>
              <w:bidi w:val="0"/>
              <w:rPr>
                <w:rFonts w:hint="default"/>
                <w:color w:val="auto"/>
                <w:u w:val="none" w:color="auto"/>
                <w:lang w:val="en-US" w:eastAsia="zh-CN"/>
              </w:rPr>
            </w:pPr>
            <w:r>
              <w:rPr>
                <w:rFonts w:hint="default"/>
                <w:color w:val="auto"/>
                <w:u w:val="none" w:color="auto"/>
              </w:rPr>
              <w:t>0</w:t>
            </w:r>
          </w:p>
        </w:tc>
        <w:tc>
          <w:tcPr>
            <w:tcW w:w="3291" w:type="dxa"/>
            <w:gridSpan w:val="5"/>
            <w:noWrap w:val="0"/>
            <w:vAlign w:val="center"/>
          </w:tcPr>
          <w:p w14:paraId="3FD6A980">
            <w:pPr>
              <w:pStyle w:val="25"/>
              <w:bidi w:val="0"/>
              <w:rPr>
                <w:rFonts w:hint="default"/>
                <w:color w:val="auto"/>
                <w:u w:val="none" w:color="auto"/>
                <w:lang w:val="en-US" w:eastAsia="zh-CN"/>
              </w:rPr>
            </w:pPr>
            <w:r>
              <w:rPr>
                <w:rFonts w:hint="eastAsia"/>
                <w:color w:val="auto"/>
                <w:u w:val="none" w:color="auto"/>
                <w:lang w:val="en-US" w:eastAsia="zh-CN"/>
              </w:rPr>
              <w:t>外售综合利用</w:t>
            </w:r>
          </w:p>
        </w:tc>
      </w:tr>
      <w:tr w14:paraId="24698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5C0BB50">
            <w:pPr>
              <w:pStyle w:val="25"/>
              <w:bidi w:val="0"/>
              <w:rPr>
                <w:rFonts w:hint="default"/>
                <w:color w:val="auto"/>
                <w:u w:val="none" w:color="auto"/>
              </w:rPr>
            </w:pPr>
          </w:p>
        </w:tc>
        <w:tc>
          <w:tcPr>
            <w:tcW w:w="1770" w:type="dxa"/>
            <w:gridSpan w:val="2"/>
            <w:vMerge w:val="continue"/>
            <w:noWrap w:val="0"/>
            <w:vAlign w:val="center"/>
          </w:tcPr>
          <w:p w14:paraId="623F15D4">
            <w:pPr>
              <w:pStyle w:val="25"/>
              <w:bidi w:val="0"/>
              <w:rPr>
                <w:rFonts w:hint="default"/>
                <w:color w:val="auto"/>
                <w:u w:val="none" w:color="auto"/>
              </w:rPr>
            </w:pPr>
          </w:p>
        </w:tc>
        <w:tc>
          <w:tcPr>
            <w:tcW w:w="3105" w:type="dxa"/>
            <w:gridSpan w:val="5"/>
            <w:noWrap w:val="0"/>
            <w:vAlign w:val="center"/>
          </w:tcPr>
          <w:p w14:paraId="6D3CA190">
            <w:pPr>
              <w:pStyle w:val="25"/>
              <w:bidi w:val="0"/>
              <w:rPr>
                <w:rFonts w:hint="default"/>
                <w:color w:val="auto"/>
                <w:u w:val="none" w:color="auto"/>
                <w:lang w:val="en-US" w:eastAsia="zh-CN"/>
              </w:rPr>
            </w:pPr>
            <w:r>
              <w:rPr>
                <w:rFonts w:hint="eastAsia"/>
                <w:color w:val="auto"/>
                <w:u w:val="none" w:color="auto"/>
                <w:lang w:val="en-US" w:eastAsia="zh-CN"/>
              </w:rPr>
              <w:t>收集的粉尘</w:t>
            </w:r>
          </w:p>
        </w:tc>
        <w:tc>
          <w:tcPr>
            <w:tcW w:w="1897" w:type="dxa"/>
            <w:gridSpan w:val="2"/>
            <w:noWrap w:val="0"/>
            <w:vAlign w:val="center"/>
          </w:tcPr>
          <w:p w14:paraId="65374679">
            <w:pPr>
              <w:pStyle w:val="25"/>
              <w:bidi w:val="0"/>
              <w:rPr>
                <w:rFonts w:hint="default"/>
                <w:color w:val="auto"/>
                <w:u w:val="none" w:color="auto"/>
                <w:lang w:val="en-US" w:eastAsia="zh-CN"/>
              </w:rPr>
            </w:pPr>
            <w:r>
              <w:rPr>
                <w:rFonts w:hint="eastAsia"/>
                <w:color w:val="auto"/>
                <w:u w:val="none" w:color="auto"/>
                <w:lang w:val="en-US" w:eastAsia="zh-CN"/>
              </w:rPr>
              <w:t>8.915</w:t>
            </w:r>
          </w:p>
        </w:tc>
        <w:tc>
          <w:tcPr>
            <w:tcW w:w="2893" w:type="dxa"/>
            <w:gridSpan w:val="4"/>
            <w:noWrap w:val="0"/>
            <w:vAlign w:val="center"/>
          </w:tcPr>
          <w:p w14:paraId="5506546F">
            <w:pPr>
              <w:pStyle w:val="25"/>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noWrap w:val="0"/>
            <w:vAlign w:val="center"/>
          </w:tcPr>
          <w:p w14:paraId="7567C535">
            <w:pPr>
              <w:pStyle w:val="25"/>
              <w:bidi w:val="0"/>
              <w:rPr>
                <w:rFonts w:hint="default"/>
                <w:color w:val="auto"/>
                <w:u w:val="none" w:color="auto"/>
                <w:lang w:val="en-US" w:eastAsia="zh-CN"/>
              </w:rPr>
            </w:pPr>
            <w:r>
              <w:rPr>
                <w:rFonts w:hint="eastAsia"/>
                <w:color w:val="auto"/>
                <w:u w:val="none" w:color="auto"/>
                <w:lang w:val="en-US" w:eastAsia="zh-CN"/>
              </w:rPr>
              <w:t>回用于生产</w:t>
            </w:r>
          </w:p>
        </w:tc>
      </w:tr>
      <w:tr w14:paraId="58338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3F678348">
            <w:pPr>
              <w:pStyle w:val="25"/>
              <w:bidi w:val="0"/>
              <w:rPr>
                <w:rFonts w:hint="default"/>
                <w:color w:val="auto"/>
                <w:u w:val="none" w:color="auto"/>
              </w:rPr>
            </w:pPr>
          </w:p>
        </w:tc>
        <w:tc>
          <w:tcPr>
            <w:tcW w:w="1770" w:type="dxa"/>
            <w:gridSpan w:val="2"/>
            <w:vMerge w:val="continue"/>
            <w:noWrap w:val="0"/>
            <w:vAlign w:val="center"/>
          </w:tcPr>
          <w:p w14:paraId="42CDE3FA">
            <w:pPr>
              <w:pStyle w:val="25"/>
              <w:bidi w:val="0"/>
              <w:rPr>
                <w:rFonts w:hint="default"/>
                <w:color w:val="auto"/>
                <w:u w:val="none" w:color="auto"/>
              </w:rPr>
            </w:pPr>
          </w:p>
        </w:tc>
        <w:tc>
          <w:tcPr>
            <w:tcW w:w="3105" w:type="dxa"/>
            <w:gridSpan w:val="5"/>
            <w:noWrap w:val="0"/>
            <w:vAlign w:val="center"/>
          </w:tcPr>
          <w:p w14:paraId="2334A644">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一般性废包装材料</w:t>
            </w:r>
          </w:p>
        </w:tc>
        <w:tc>
          <w:tcPr>
            <w:tcW w:w="1897" w:type="dxa"/>
            <w:gridSpan w:val="2"/>
            <w:noWrap w:val="0"/>
            <w:vAlign w:val="center"/>
          </w:tcPr>
          <w:p w14:paraId="74BF4F72">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5</w:t>
            </w:r>
          </w:p>
        </w:tc>
        <w:tc>
          <w:tcPr>
            <w:tcW w:w="2893" w:type="dxa"/>
            <w:gridSpan w:val="4"/>
            <w:noWrap w:val="0"/>
            <w:vAlign w:val="center"/>
          </w:tcPr>
          <w:p w14:paraId="4B32DC92">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w:t>
            </w:r>
          </w:p>
        </w:tc>
        <w:tc>
          <w:tcPr>
            <w:tcW w:w="3291" w:type="dxa"/>
            <w:gridSpan w:val="5"/>
            <w:noWrap w:val="0"/>
            <w:vAlign w:val="center"/>
          </w:tcPr>
          <w:p w14:paraId="6FDC059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其他包装材料收集后外售综合利用、</w:t>
            </w:r>
            <w:r>
              <w:rPr>
                <w:rFonts w:hint="eastAsia"/>
                <w:color w:val="auto"/>
                <w:u w:val="none" w:color="auto"/>
                <w:lang w:val="en-US" w:eastAsia="zh-CN"/>
              </w:rPr>
              <w:t>树脂</w:t>
            </w:r>
            <w:r>
              <w:rPr>
                <w:rFonts w:hint="default"/>
                <w:color w:val="auto"/>
                <w:u w:val="none" w:color="auto"/>
                <w:lang w:val="en-US" w:eastAsia="zh-CN"/>
              </w:rPr>
              <w:t>包装桶收集后由厂家回收利用</w:t>
            </w:r>
          </w:p>
        </w:tc>
      </w:tr>
      <w:tr w14:paraId="784A1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E207B15">
            <w:pPr>
              <w:pStyle w:val="25"/>
              <w:bidi w:val="0"/>
              <w:rPr>
                <w:rFonts w:hint="default"/>
                <w:color w:val="auto"/>
                <w:u w:val="none" w:color="auto"/>
              </w:rPr>
            </w:pPr>
          </w:p>
        </w:tc>
        <w:tc>
          <w:tcPr>
            <w:tcW w:w="1770" w:type="dxa"/>
            <w:gridSpan w:val="2"/>
            <w:vMerge w:val="continue"/>
            <w:noWrap w:val="0"/>
            <w:vAlign w:val="center"/>
          </w:tcPr>
          <w:p w14:paraId="7A9D948B">
            <w:pPr>
              <w:pStyle w:val="25"/>
              <w:bidi w:val="0"/>
              <w:rPr>
                <w:rFonts w:hint="default"/>
                <w:color w:val="auto"/>
                <w:u w:val="none" w:color="auto"/>
              </w:rPr>
            </w:pPr>
          </w:p>
        </w:tc>
        <w:tc>
          <w:tcPr>
            <w:tcW w:w="3105" w:type="dxa"/>
            <w:gridSpan w:val="5"/>
            <w:noWrap w:val="0"/>
            <w:vAlign w:val="center"/>
          </w:tcPr>
          <w:p w14:paraId="5F8A445D">
            <w:pPr>
              <w:pStyle w:val="25"/>
              <w:bidi w:val="0"/>
              <w:rPr>
                <w:rFonts w:hint="default"/>
                <w:color w:val="auto"/>
                <w:u w:val="none" w:color="auto"/>
                <w:lang w:val="en-US" w:eastAsia="zh-CN"/>
              </w:rPr>
            </w:pPr>
            <w:r>
              <w:rPr>
                <w:rFonts w:hint="eastAsia"/>
                <w:color w:val="auto"/>
                <w:u w:val="none" w:color="auto"/>
                <w:lang w:val="en-US" w:eastAsia="zh-CN"/>
              </w:rPr>
              <w:t>废耐火砖</w:t>
            </w:r>
          </w:p>
        </w:tc>
        <w:tc>
          <w:tcPr>
            <w:tcW w:w="1897" w:type="dxa"/>
            <w:gridSpan w:val="2"/>
            <w:noWrap w:val="0"/>
            <w:vAlign w:val="center"/>
          </w:tcPr>
          <w:p w14:paraId="181CFBF4">
            <w:pPr>
              <w:pStyle w:val="25"/>
              <w:bidi w:val="0"/>
              <w:rPr>
                <w:rFonts w:hint="default"/>
                <w:color w:val="auto"/>
                <w:u w:val="none" w:color="auto"/>
                <w:lang w:val="en-US" w:eastAsia="zh-CN"/>
              </w:rPr>
            </w:pPr>
            <w:r>
              <w:rPr>
                <w:rFonts w:hint="eastAsia"/>
                <w:color w:val="auto"/>
                <w:u w:val="none" w:color="auto"/>
                <w:lang w:val="en-US" w:eastAsia="zh-CN"/>
              </w:rPr>
              <w:t>5t/3a</w:t>
            </w:r>
          </w:p>
        </w:tc>
        <w:tc>
          <w:tcPr>
            <w:tcW w:w="2893" w:type="dxa"/>
            <w:gridSpan w:val="4"/>
            <w:noWrap w:val="0"/>
            <w:vAlign w:val="center"/>
          </w:tcPr>
          <w:p w14:paraId="645F9D43">
            <w:pPr>
              <w:pStyle w:val="25"/>
              <w:bidi w:val="0"/>
              <w:rPr>
                <w:rFonts w:hint="default"/>
                <w:color w:val="auto"/>
                <w:u w:val="none" w:color="auto"/>
                <w:lang w:val="en-US" w:eastAsia="zh-CN"/>
              </w:rPr>
            </w:pPr>
            <w:r>
              <w:rPr>
                <w:rFonts w:hint="eastAsia"/>
                <w:color w:val="auto"/>
                <w:u w:val="none" w:color="auto"/>
                <w:lang w:val="en-US" w:eastAsia="zh-CN"/>
              </w:rPr>
              <w:t>0</w:t>
            </w:r>
          </w:p>
        </w:tc>
        <w:tc>
          <w:tcPr>
            <w:tcW w:w="3291" w:type="dxa"/>
            <w:gridSpan w:val="5"/>
            <w:noWrap w:val="0"/>
            <w:vAlign w:val="center"/>
          </w:tcPr>
          <w:p w14:paraId="415B96B9">
            <w:pPr>
              <w:pStyle w:val="25"/>
              <w:bidi w:val="0"/>
              <w:rPr>
                <w:rFonts w:hint="default"/>
                <w:color w:val="auto"/>
                <w:u w:val="none" w:color="auto"/>
                <w:lang w:val="en-US" w:eastAsia="zh-CN"/>
              </w:rPr>
            </w:pPr>
            <w:r>
              <w:rPr>
                <w:rFonts w:hint="default"/>
                <w:color w:val="auto"/>
                <w:u w:val="none" w:color="auto"/>
                <w:lang w:val="en-US" w:eastAsia="zh-CN"/>
              </w:rPr>
              <w:t>收集后外售综合利用</w:t>
            </w:r>
          </w:p>
        </w:tc>
      </w:tr>
      <w:tr w14:paraId="04FCD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132A8DF6">
            <w:pPr>
              <w:pStyle w:val="25"/>
              <w:bidi w:val="0"/>
              <w:rPr>
                <w:rFonts w:hint="default"/>
                <w:color w:val="auto"/>
                <w:u w:val="none" w:color="auto"/>
              </w:rPr>
            </w:pPr>
          </w:p>
        </w:tc>
        <w:tc>
          <w:tcPr>
            <w:tcW w:w="1770" w:type="dxa"/>
            <w:gridSpan w:val="2"/>
            <w:vMerge w:val="restart"/>
            <w:noWrap w:val="0"/>
            <w:vAlign w:val="center"/>
          </w:tcPr>
          <w:p w14:paraId="0E6CD6A4">
            <w:pPr>
              <w:pStyle w:val="25"/>
              <w:bidi w:val="0"/>
              <w:rPr>
                <w:rFonts w:hint="default"/>
                <w:color w:val="auto"/>
                <w:u w:val="none" w:color="auto"/>
              </w:rPr>
            </w:pPr>
            <w:r>
              <w:rPr>
                <w:rFonts w:hint="default"/>
                <w:color w:val="auto"/>
                <w:u w:val="none" w:color="auto"/>
                <w:lang w:val="en-US" w:eastAsia="zh-CN"/>
              </w:rPr>
              <w:t>危险废物</w:t>
            </w:r>
          </w:p>
        </w:tc>
        <w:tc>
          <w:tcPr>
            <w:tcW w:w="3105" w:type="dxa"/>
            <w:gridSpan w:val="5"/>
            <w:noWrap w:val="0"/>
            <w:vAlign w:val="center"/>
          </w:tcPr>
          <w:p w14:paraId="4C51EF9E">
            <w:pPr>
              <w:pStyle w:val="25"/>
              <w:bidi w:val="0"/>
              <w:rPr>
                <w:rFonts w:hint="default"/>
                <w:color w:val="auto"/>
                <w:u w:val="none" w:color="auto"/>
                <w:lang w:val="en-US" w:eastAsia="zh-CN"/>
              </w:rPr>
            </w:pPr>
            <w:r>
              <w:rPr>
                <w:rFonts w:hint="eastAsia"/>
                <w:color w:val="auto"/>
                <w:u w:val="none" w:color="auto"/>
                <w:lang w:val="en-US" w:eastAsia="zh-CN"/>
              </w:rPr>
              <w:t>废矿物油</w:t>
            </w:r>
          </w:p>
        </w:tc>
        <w:tc>
          <w:tcPr>
            <w:tcW w:w="1897" w:type="dxa"/>
            <w:gridSpan w:val="2"/>
            <w:noWrap w:val="0"/>
            <w:vAlign w:val="center"/>
          </w:tcPr>
          <w:p w14:paraId="0DC5B8EF">
            <w:pPr>
              <w:pStyle w:val="25"/>
              <w:bidi w:val="0"/>
              <w:rPr>
                <w:rFonts w:hint="default"/>
                <w:color w:val="auto"/>
                <w:u w:val="none" w:color="auto"/>
                <w:lang w:val="en-US" w:eastAsia="zh-CN"/>
              </w:rPr>
            </w:pPr>
            <w:r>
              <w:rPr>
                <w:rFonts w:hint="eastAsia"/>
                <w:color w:val="auto"/>
                <w:u w:val="none" w:color="auto"/>
                <w:lang w:val="en-US" w:eastAsia="zh-CN"/>
              </w:rPr>
              <w:t>0.1</w:t>
            </w:r>
          </w:p>
        </w:tc>
        <w:tc>
          <w:tcPr>
            <w:tcW w:w="2893" w:type="dxa"/>
            <w:gridSpan w:val="4"/>
            <w:noWrap w:val="0"/>
            <w:vAlign w:val="center"/>
          </w:tcPr>
          <w:p w14:paraId="2D4CC6D7">
            <w:pPr>
              <w:pStyle w:val="25"/>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restart"/>
            <w:noWrap w:val="0"/>
            <w:vAlign w:val="center"/>
          </w:tcPr>
          <w:p w14:paraId="6AAAEF1B">
            <w:pPr>
              <w:pStyle w:val="25"/>
              <w:bidi w:val="0"/>
              <w:rPr>
                <w:rFonts w:hint="default"/>
                <w:color w:val="auto"/>
                <w:u w:val="none" w:color="auto"/>
                <w:lang w:val="en-US" w:eastAsia="zh-CN"/>
              </w:rPr>
            </w:pPr>
            <w:r>
              <w:rPr>
                <w:rFonts w:hint="default"/>
                <w:color w:val="auto"/>
                <w:u w:val="none" w:color="auto"/>
                <w:lang w:val="en-US" w:eastAsia="zh-CN"/>
              </w:rPr>
              <w:t>收集后暂存于危废间，定期</w:t>
            </w:r>
            <w:r>
              <w:rPr>
                <w:rFonts w:hint="default"/>
                <w:color w:val="auto"/>
                <w:u w:val="none" w:color="auto"/>
              </w:rPr>
              <w:t>交由有危废处理资质单位统一处理</w:t>
            </w:r>
          </w:p>
        </w:tc>
      </w:tr>
      <w:tr w14:paraId="5E0B5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12E07DF7">
            <w:pPr>
              <w:pStyle w:val="25"/>
              <w:bidi w:val="0"/>
              <w:rPr>
                <w:rFonts w:hint="default"/>
                <w:color w:val="auto"/>
                <w:u w:val="none" w:color="auto"/>
              </w:rPr>
            </w:pPr>
          </w:p>
        </w:tc>
        <w:tc>
          <w:tcPr>
            <w:tcW w:w="1770" w:type="dxa"/>
            <w:gridSpan w:val="2"/>
            <w:vMerge w:val="continue"/>
            <w:noWrap w:val="0"/>
            <w:vAlign w:val="center"/>
          </w:tcPr>
          <w:p w14:paraId="2E3BC9D9">
            <w:pPr>
              <w:pStyle w:val="25"/>
              <w:bidi w:val="0"/>
              <w:rPr>
                <w:rFonts w:hint="default"/>
                <w:color w:val="auto"/>
                <w:u w:val="none" w:color="auto"/>
                <w:lang w:val="en-US" w:eastAsia="zh-CN"/>
              </w:rPr>
            </w:pPr>
          </w:p>
        </w:tc>
        <w:tc>
          <w:tcPr>
            <w:tcW w:w="3105" w:type="dxa"/>
            <w:gridSpan w:val="5"/>
            <w:noWrap w:val="0"/>
            <w:vAlign w:val="center"/>
          </w:tcPr>
          <w:p w14:paraId="59B45AAD">
            <w:pPr>
              <w:pStyle w:val="25"/>
              <w:bidi w:val="0"/>
              <w:rPr>
                <w:rFonts w:hint="default"/>
                <w:color w:val="auto"/>
                <w:u w:val="none" w:color="auto"/>
                <w:lang w:val="en-US" w:eastAsia="zh-CN"/>
              </w:rPr>
            </w:pPr>
            <w:r>
              <w:rPr>
                <w:rFonts w:hint="eastAsia"/>
                <w:color w:val="auto"/>
                <w:u w:val="none" w:color="auto"/>
                <w:lang w:val="en-US" w:eastAsia="zh-CN"/>
              </w:rPr>
              <w:t>废液压油</w:t>
            </w:r>
          </w:p>
        </w:tc>
        <w:tc>
          <w:tcPr>
            <w:tcW w:w="1897" w:type="dxa"/>
            <w:gridSpan w:val="2"/>
            <w:noWrap w:val="0"/>
            <w:vAlign w:val="center"/>
          </w:tcPr>
          <w:p w14:paraId="44D6F508">
            <w:pPr>
              <w:pStyle w:val="25"/>
              <w:bidi w:val="0"/>
              <w:rPr>
                <w:rFonts w:hint="default"/>
                <w:color w:val="auto"/>
                <w:u w:val="none" w:color="auto"/>
                <w:lang w:val="en-US" w:eastAsia="zh-CN"/>
              </w:rPr>
            </w:pPr>
            <w:r>
              <w:rPr>
                <w:rFonts w:hint="eastAsia"/>
                <w:color w:val="auto"/>
                <w:u w:val="none" w:color="auto"/>
                <w:lang w:val="en-US" w:eastAsia="zh-CN"/>
              </w:rPr>
              <w:t>0.4</w:t>
            </w:r>
          </w:p>
        </w:tc>
        <w:tc>
          <w:tcPr>
            <w:tcW w:w="2893" w:type="dxa"/>
            <w:gridSpan w:val="4"/>
            <w:noWrap w:val="0"/>
            <w:vAlign w:val="center"/>
          </w:tcPr>
          <w:p w14:paraId="39D95FF9">
            <w:pPr>
              <w:pStyle w:val="25"/>
              <w:bidi w:val="0"/>
              <w:rPr>
                <w:rFonts w:hint="default"/>
                <w:color w:val="auto"/>
                <w:u w:val="none" w:color="auto"/>
                <w:lang w:val="en-US" w:eastAsia="zh-CN"/>
              </w:rPr>
            </w:pPr>
            <w:r>
              <w:rPr>
                <w:rFonts w:hint="eastAsia"/>
                <w:color w:val="auto"/>
                <w:u w:val="none" w:color="auto"/>
                <w:lang w:val="en-US" w:eastAsia="zh-CN"/>
              </w:rPr>
              <w:t>0</w:t>
            </w:r>
          </w:p>
        </w:tc>
        <w:tc>
          <w:tcPr>
            <w:tcW w:w="3291" w:type="dxa"/>
            <w:gridSpan w:val="5"/>
            <w:vMerge w:val="continue"/>
            <w:noWrap w:val="0"/>
            <w:vAlign w:val="center"/>
          </w:tcPr>
          <w:p w14:paraId="7F8A298B">
            <w:pPr>
              <w:pStyle w:val="25"/>
              <w:bidi w:val="0"/>
              <w:rPr>
                <w:rFonts w:hint="default"/>
                <w:color w:val="auto"/>
                <w:u w:val="none" w:color="auto"/>
                <w:lang w:val="en-US" w:eastAsia="zh-CN"/>
              </w:rPr>
            </w:pPr>
          </w:p>
        </w:tc>
      </w:tr>
      <w:tr w14:paraId="2D13A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F7EF8C0">
            <w:pPr>
              <w:pStyle w:val="25"/>
              <w:bidi w:val="0"/>
              <w:rPr>
                <w:rFonts w:hint="default"/>
                <w:color w:val="auto"/>
                <w:u w:val="none" w:color="auto"/>
              </w:rPr>
            </w:pPr>
          </w:p>
        </w:tc>
        <w:tc>
          <w:tcPr>
            <w:tcW w:w="1770" w:type="dxa"/>
            <w:gridSpan w:val="2"/>
            <w:vMerge w:val="continue"/>
            <w:noWrap w:val="0"/>
            <w:vAlign w:val="center"/>
          </w:tcPr>
          <w:p w14:paraId="3E2730FC">
            <w:pPr>
              <w:pStyle w:val="25"/>
              <w:bidi w:val="0"/>
              <w:rPr>
                <w:rFonts w:hint="default"/>
                <w:color w:val="auto"/>
                <w:u w:val="none" w:color="auto"/>
                <w:lang w:val="en-US" w:eastAsia="zh-CN"/>
              </w:rPr>
            </w:pPr>
          </w:p>
        </w:tc>
        <w:tc>
          <w:tcPr>
            <w:tcW w:w="3105" w:type="dxa"/>
            <w:gridSpan w:val="5"/>
            <w:noWrap w:val="0"/>
            <w:vAlign w:val="center"/>
          </w:tcPr>
          <w:p w14:paraId="76D04E3F">
            <w:pPr>
              <w:pStyle w:val="25"/>
              <w:bidi w:val="0"/>
              <w:rPr>
                <w:rFonts w:hint="default"/>
                <w:color w:val="auto"/>
                <w:u w:val="none" w:color="auto"/>
                <w:lang w:val="en-US" w:eastAsia="zh-CN"/>
              </w:rPr>
            </w:pPr>
            <w:r>
              <w:rPr>
                <w:rFonts w:hint="eastAsia"/>
                <w:color w:val="auto"/>
                <w:u w:val="none" w:color="auto"/>
                <w:lang w:val="en-US" w:eastAsia="zh-CN"/>
              </w:rPr>
              <w:t>废含油抹布及手套</w:t>
            </w:r>
          </w:p>
        </w:tc>
        <w:tc>
          <w:tcPr>
            <w:tcW w:w="1897" w:type="dxa"/>
            <w:gridSpan w:val="2"/>
            <w:noWrap w:val="0"/>
            <w:vAlign w:val="center"/>
          </w:tcPr>
          <w:p w14:paraId="7337806D">
            <w:pPr>
              <w:pStyle w:val="25"/>
              <w:bidi w:val="0"/>
              <w:rPr>
                <w:rFonts w:hint="default"/>
                <w:color w:val="auto"/>
                <w:u w:val="none" w:color="auto"/>
                <w:lang w:val="en-US" w:eastAsia="zh-CN"/>
              </w:rPr>
            </w:pPr>
            <w:r>
              <w:rPr>
                <w:rFonts w:hint="eastAsia"/>
                <w:color w:val="auto"/>
                <w:u w:val="none" w:color="auto"/>
                <w:lang w:val="en-US" w:eastAsia="zh-CN"/>
              </w:rPr>
              <w:t>0.01</w:t>
            </w:r>
          </w:p>
        </w:tc>
        <w:tc>
          <w:tcPr>
            <w:tcW w:w="2893" w:type="dxa"/>
            <w:gridSpan w:val="4"/>
            <w:noWrap w:val="0"/>
            <w:vAlign w:val="center"/>
          </w:tcPr>
          <w:p w14:paraId="2FEDFE26">
            <w:pPr>
              <w:pStyle w:val="25"/>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continue"/>
            <w:noWrap w:val="0"/>
            <w:vAlign w:val="center"/>
          </w:tcPr>
          <w:p w14:paraId="101B2EEB">
            <w:pPr>
              <w:pStyle w:val="25"/>
              <w:bidi w:val="0"/>
              <w:rPr>
                <w:rFonts w:hint="default"/>
                <w:color w:val="auto"/>
                <w:u w:val="none" w:color="auto"/>
                <w:lang w:val="en-US" w:eastAsia="zh-CN"/>
              </w:rPr>
            </w:pPr>
          </w:p>
        </w:tc>
      </w:tr>
      <w:tr w14:paraId="504DA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A08BA16">
            <w:pPr>
              <w:pStyle w:val="25"/>
              <w:bidi w:val="0"/>
              <w:rPr>
                <w:rFonts w:hint="default"/>
                <w:color w:val="auto"/>
                <w:u w:val="none" w:color="auto"/>
              </w:rPr>
            </w:pPr>
          </w:p>
        </w:tc>
        <w:tc>
          <w:tcPr>
            <w:tcW w:w="1770" w:type="dxa"/>
            <w:gridSpan w:val="2"/>
            <w:vMerge w:val="continue"/>
            <w:noWrap w:val="0"/>
            <w:vAlign w:val="center"/>
          </w:tcPr>
          <w:p w14:paraId="4B28B2D3">
            <w:pPr>
              <w:pStyle w:val="25"/>
              <w:bidi w:val="0"/>
              <w:rPr>
                <w:rFonts w:hint="default"/>
                <w:color w:val="auto"/>
                <w:u w:val="none" w:color="auto"/>
                <w:lang w:val="en-US" w:eastAsia="zh-CN"/>
              </w:rPr>
            </w:pPr>
          </w:p>
        </w:tc>
        <w:tc>
          <w:tcPr>
            <w:tcW w:w="3105" w:type="dxa"/>
            <w:gridSpan w:val="5"/>
            <w:noWrap w:val="0"/>
            <w:vAlign w:val="center"/>
          </w:tcPr>
          <w:p w14:paraId="6203B37A">
            <w:pPr>
              <w:pStyle w:val="25"/>
              <w:bidi w:val="0"/>
              <w:rPr>
                <w:rFonts w:hint="default"/>
                <w:color w:val="auto"/>
                <w:u w:val="none" w:color="auto"/>
                <w:lang w:val="en-US" w:eastAsia="zh-CN"/>
              </w:rPr>
            </w:pPr>
            <w:r>
              <w:rPr>
                <w:rFonts w:hint="eastAsia"/>
                <w:color w:val="auto"/>
                <w:u w:val="none" w:color="auto"/>
                <w:lang w:val="en-US" w:eastAsia="zh-CN"/>
              </w:rPr>
              <w:t>废导热油</w:t>
            </w:r>
          </w:p>
        </w:tc>
        <w:tc>
          <w:tcPr>
            <w:tcW w:w="1897" w:type="dxa"/>
            <w:gridSpan w:val="2"/>
            <w:noWrap w:val="0"/>
            <w:vAlign w:val="center"/>
          </w:tcPr>
          <w:p w14:paraId="292C1F00">
            <w:pPr>
              <w:pStyle w:val="25"/>
              <w:bidi w:val="0"/>
              <w:rPr>
                <w:rFonts w:hint="default"/>
                <w:color w:val="auto"/>
                <w:u w:val="none" w:color="auto"/>
                <w:lang w:val="en-US" w:eastAsia="zh-CN"/>
              </w:rPr>
            </w:pPr>
            <w:r>
              <w:rPr>
                <w:rFonts w:hint="eastAsia"/>
                <w:color w:val="auto"/>
                <w:u w:val="none" w:color="auto"/>
                <w:lang w:val="en-US" w:eastAsia="zh-CN"/>
              </w:rPr>
              <w:t>0.5</w:t>
            </w:r>
          </w:p>
        </w:tc>
        <w:tc>
          <w:tcPr>
            <w:tcW w:w="2893" w:type="dxa"/>
            <w:gridSpan w:val="4"/>
            <w:noWrap w:val="0"/>
            <w:vAlign w:val="center"/>
          </w:tcPr>
          <w:p w14:paraId="7EC4FD04">
            <w:pPr>
              <w:pStyle w:val="25"/>
              <w:bidi w:val="0"/>
              <w:rPr>
                <w:rFonts w:hint="default"/>
                <w:color w:val="auto"/>
                <w:u w:val="none" w:color="auto"/>
                <w:lang w:val="en-US" w:eastAsia="zh-CN"/>
              </w:rPr>
            </w:pPr>
            <w:r>
              <w:rPr>
                <w:rFonts w:hint="eastAsia"/>
                <w:color w:val="auto"/>
                <w:u w:val="none" w:color="auto"/>
                <w:lang w:val="en-US" w:eastAsia="zh-CN"/>
              </w:rPr>
              <w:t>0</w:t>
            </w:r>
          </w:p>
        </w:tc>
        <w:tc>
          <w:tcPr>
            <w:tcW w:w="3291" w:type="dxa"/>
            <w:gridSpan w:val="5"/>
            <w:vMerge w:val="continue"/>
            <w:noWrap w:val="0"/>
            <w:vAlign w:val="center"/>
          </w:tcPr>
          <w:p w14:paraId="176AF9D5">
            <w:pPr>
              <w:pStyle w:val="25"/>
              <w:bidi w:val="0"/>
              <w:rPr>
                <w:rFonts w:hint="default"/>
                <w:color w:val="auto"/>
                <w:u w:val="none" w:color="auto"/>
                <w:lang w:val="en-US" w:eastAsia="zh-CN"/>
              </w:rPr>
            </w:pPr>
          </w:p>
        </w:tc>
      </w:tr>
      <w:tr w14:paraId="13B41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8423519">
            <w:pPr>
              <w:pStyle w:val="25"/>
              <w:bidi w:val="0"/>
              <w:rPr>
                <w:rFonts w:hint="default"/>
                <w:color w:val="auto"/>
                <w:u w:val="none" w:color="auto"/>
              </w:rPr>
            </w:pPr>
          </w:p>
        </w:tc>
        <w:tc>
          <w:tcPr>
            <w:tcW w:w="1770" w:type="dxa"/>
            <w:gridSpan w:val="2"/>
            <w:vMerge w:val="continue"/>
            <w:noWrap w:val="0"/>
            <w:vAlign w:val="center"/>
          </w:tcPr>
          <w:p w14:paraId="464D656C">
            <w:pPr>
              <w:pStyle w:val="25"/>
              <w:bidi w:val="0"/>
              <w:rPr>
                <w:rFonts w:hint="default"/>
                <w:color w:val="auto"/>
                <w:u w:val="none" w:color="auto"/>
                <w:lang w:val="en-US" w:eastAsia="zh-CN"/>
              </w:rPr>
            </w:pPr>
          </w:p>
        </w:tc>
        <w:tc>
          <w:tcPr>
            <w:tcW w:w="3105" w:type="dxa"/>
            <w:gridSpan w:val="5"/>
            <w:noWrap w:val="0"/>
            <w:vAlign w:val="center"/>
          </w:tcPr>
          <w:p w14:paraId="086ED3A2">
            <w:pPr>
              <w:pStyle w:val="25"/>
              <w:bidi w:val="0"/>
              <w:rPr>
                <w:rFonts w:hint="default"/>
                <w:color w:val="auto"/>
                <w:u w:val="none" w:color="auto"/>
                <w:lang w:val="en-US" w:eastAsia="zh-CN"/>
              </w:rPr>
            </w:pPr>
            <w:r>
              <w:rPr>
                <w:rFonts w:hint="eastAsia"/>
                <w:color w:val="auto"/>
                <w:u w:val="none" w:color="auto"/>
                <w:lang w:val="en-US" w:eastAsia="zh-CN"/>
              </w:rPr>
              <w:t>废油桶</w:t>
            </w:r>
          </w:p>
        </w:tc>
        <w:tc>
          <w:tcPr>
            <w:tcW w:w="1897" w:type="dxa"/>
            <w:gridSpan w:val="2"/>
            <w:noWrap w:val="0"/>
            <w:vAlign w:val="center"/>
          </w:tcPr>
          <w:p w14:paraId="44DABE24">
            <w:pPr>
              <w:pStyle w:val="25"/>
              <w:bidi w:val="0"/>
              <w:rPr>
                <w:rFonts w:hint="default"/>
                <w:color w:val="auto"/>
                <w:u w:val="none" w:color="auto"/>
                <w:lang w:val="en-US" w:eastAsia="zh-CN"/>
              </w:rPr>
            </w:pPr>
            <w:r>
              <w:rPr>
                <w:rFonts w:hint="eastAsia"/>
                <w:color w:val="auto"/>
                <w:u w:val="none" w:color="auto"/>
                <w:lang w:val="en-US" w:eastAsia="zh-CN"/>
              </w:rPr>
              <w:t>0.1</w:t>
            </w:r>
          </w:p>
        </w:tc>
        <w:tc>
          <w:tcPr>
            <w:tcW w:w="2893" w:type="dxa"/>
            <w:gridSpan w:val="4"/>
            <w:noWrap w:val="0"/>
            <w:vAlign w:val="center"/>
          </w:tcPr>
          <w:p w14:paraId="215AD813">
            <w:pPr>
              <w:pStyle w:val="25"/>
              <w:bidi w:val="0"/>
              <w:rPr>
                <w:rFonts w:hint="default"/>
                <w:color w:val="auto"/>
                <w:u w:val="none" w:color="auto"/>
                <w:lang w:val="en-US" w:eastAsia="zh-CN"/>
              </w:rPr>
            </w:pPr>
            <w:r>
              <w:rPr>
                <w:rFonts w:hint="eastAsia"/>
                <w:color w:val="auto"/>
                <w:u w:val="none" w:color="auto"/>
                <w:lang w:val="en-US" w:eastAsia="zh-CN"/>
              </w:rPr>
              <w:t>0</w:t>
            </w:r>
          </w:p>
        </w:tc>
        <w:tc>
          <w:tcPr>
            <w:tcW w:w="3291" w:type="dxa"/>
            <w:gridSpan w:val="5"/>
            <w:vMerge w:val="continue"/>
            <w:noWrap w:val="0"/>
            <w:vAlign w:val="center"/>
          </w:tcPr>
          <w:p w14:paraId="42BB0649">
            <w:pPr>
              <w:pStyle w:val="25"/>
              <w:bidi w:val="0"/>
              <w:rPr>
                <w:rFonts w:hint="default"/>
                <w:color w:val="auto"/>
                <w:u w:val="none" w:color="auto"/>
                <w:lang w:val="en-US" w:eastAsia="zh-CN"/>
              </w:rPr>
            </w:pPr>
          </w:p>
        </w:tc>
      </w:tr>
      <w:tr w14:paraId="2349D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542556AC">
            <w:pPr>
              <w:pStyle w:val="25"/>
              <w:bidi w:val="0"/>
              <w:rPr>
                <w:rFonts w:hint="default"/>
                <w:color w:val="auto"/>
                <w:u w:val="none" w:color="auto"/>
              </w:rPr>
            </w:pPr>
          </w:p>
        </w:tc>
        <w:tc>
          <w:tcPr>
            <w:tcW w:w="1770" w:type="dxa"/>
            <w:gridSpan w:val="2"/>
            <w:vMerge w:val="continue"/>
            <w:noWrap w:val="0"/>
            <w:vAlign w:val="center"/>
          </w:tcPr>
          <w:p w14:paraId="73FDC3D8">
            <w:pPr>
              <w:pStyle w:val="25"/>
              <w:bidi w:val="0"/>
              <w:rPr>
                <w:rFonts w:hint="default"/>
                <w:color w:val="auto"/>
                <w:u w:val="none" w:color="auto"/>
                <w:lang w:val="en-US" w:eastAsia="zh-CN"/>
              </w:rPr>
            </w:pPr>
          </w:p>
        </w:tc>
        <w:tc>
          <w:tcPr>
            <w:tcW w:w="3105" w:type="dxa"/>
            <w:gridSpan w:val="5"/>
            <w:noWrap w:val="0"/>
            <w:vAlign w:val="center"/>
          </w:tcPr>
          <w:p w14:paraId="5DDCFC0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废活性炭</w:t>
            </w:r>
          </w:p>
        </w:tc>
        <w:tc>
          <w:tcPr>
            <w:tcW w:w="1897" w:type="dxa"/>
            <w:gridSpan w:val="2"/>
            <w:noWrap w:val="0"/>
            <w:vAlign w:val="center"/>
          </w:tcPr>
          <w:p w14:paraId="2F24E66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8.735</w:t>
            </w:r>
          </w:p>
        </w:tc>
        <w:tc>
          <w:tcPr>
            <w:tcW w:w="2893" w:type="dxa"/>
            <w:gridSpan w:val="4"/>
            <w:noWrap w:val="0"/>
            <w:vAlign w:val="center"/>
          </w:tcPr>
          <w:p w14:paraId="7C82314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0</w:t>
            </w:r>
          </w:p>
        </w:tc>
        <w:tc>
          <w:tcPr>
            <w:tcW w:w="3291" w:type="dxa"/>
            <w:gridSpan w:val="5"/>
            <w:vMerge w:val="continue"/>
            <w:noWrap w:val="0"/>
            <w:vAlign w:val="center"/>
          </w:tcPr>
          <w:p w14:paraId="6453DC08">
            <w:pPr>
              <w:pStyle w:val="25"/>
              <w:bidi w:val="0"/>
              <w:rPr>
                <w:rFonts w:hint="default"/>
                <w:color w:val="auto"/>
                <w:u w:val="none" w:color="auto"/>
                <w:lang w:val="en-US" w:eastAsia="zh-CN"/>
              </w:rPr>
            </w:pPr>
          </w:p>
        </w:tc>
      </w:tr>
      <w:tr w14:paraId="18438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noWrap w:val="0"/>
            <w:vAlign w:val="center"/>
          </w:tcPr>
          <w:p w14:paraId="37E27357">
            <w:pPr>
              <w:pStyle w:val="25"/>
              <w:bidi w:val="0"/>
              <w:rPr>
                <w:rFonts w:hint="default"/>
                <w:color w:val="auto"/>
                <w:u w:val="none" w:color="auto"/>
              </w:rPr>
            </w:pPr>
            <w:r>
              <w:rPr>
                <w:rFonts w:hint="default"/>
                <w:color w:val="auto"/>
                <w:u w:val="none" w:color="auto"/>
              </w:rPr>
              <w:t>噪声</w:t>
            </w:r>
          </w:p>
        </w:tc>
        <w:tc>
          <w:tcPr>
            <w:tcW w:w="4875" w:type="dxa"/>
            <w:gridSpan w:val="7"/>
            <w:noWrap w:val="0"/>
            <w:vAlign w:val="center"/>
          </w:tcPr>
          <w:p w14:paraId="15D6741B">
            <w:pPr>
              <w:pStyle w:val="25"/>
              <w:bidi w:val="0"/>
              <w:rPr>
                <w:rFonts w:hint="default"/>
                <w:color w:val="auto"/>
                <w:u w:val="none" w:color="auto"/>
              </w:rPr>
            </w:pPr>
            <w:r>
              <w:rPr>
                <w:rFonts w:hint="default"/>
                <w:color w:val="auto"/>
                <w:u w:val="none" w:color="auto"/>
              </w:rPr>
              <w:t>设备噪声</w:t>
            </w:r>
          </w:p>
        </w:tc>
        <w:tc>
          <w:tcPr>
            <w:tcW w:w="8081" w:type="dxa"/>
            <w:gridSpan w:val="11"/>
            <w:noWrap w:val="0"/>
            <w:vAlign w:val="center"/>
          </w:tcPr>
          <w:p w14:paraId="39A7C522">
            <w:pPr>
              <w:pStyle w:val="25"/>
              <w:bidi w:val="0"/>
              <w:rPr>
                <w:rFonts w:hint="default"/>
                <w:color w:val="auto"/>
                <w:u w:val="none" w:color="auto"/>
              </w:rPr>
            </w:pPr>
            <w:r>
              <w:rPr>
                <w:rFonts w:hint="default"/>
                <w:color w:val="auto"/>
                <w:u w:val="none" w:color="auto"/>
              </w:rPr>
              <w:t>隔声、减振、消声</w:t>
            </w:r>
            <w:r>
              <w:rPr>
                <w:rFonts w:hint="default"/>
                <w:color w:val="auto"/>
                <w:u w:val="none" w:color="auto"/>
                <w:lang w:eastAsia="zh-CN"/>
              </w:rPr>
              <w:t>，</w:t>
            </w:r>
            <w:r>
              <w:rPr>
                <w:rFonts w:hint="default"/>
                <w:color w:val="auto"/>
                <w:u w:val="none" w:color="auto"/>
                <w:lang w:val="en-US" w:eastAsia="zh-CN"/>
              </w:rPr>
              <w:t>厂界</w:t>
            </w:r>
            <w:r>
              <w:rPr>
                <w:rFonts w:hint="default"/>
                <w:color w:val="auto"/>
                <w:u w:val="none" w:color="auto"/>
              </w:rPr>
              <w:t>达到</w:t>
            </w:r>
            <w:r>
              <w:rPr>
                <w:rFonts w:hint="default"/>
                <w:color w:val="auto"/>
                <w:u w:val="none" w:color="auto"/>
                <w:lang w:eastAsia="zh-CN"/>
              </w:rPr>
              <w:t>（</w:t>
            </w:r>
            <w:r>
              <w:rPr>
                <w:rFonts w:hint="default"/>
                <w:color w:val="auto"/>
                <w:u w:val="none" w:color="auto"/>
              </w:rPr>
              <w:t>GB12348-2008</w:t>
            </w:r>
            <w:r>
              <w:rPr>
                <w:rFonts w:hint="default"/>
                <w:color w:val="auto"/>
                <w:u w:val="none" w:color="auto"/>
                <w:lang w:eastAsia="zh-CN"/>
              </w:rPr>
              <w:t>）</w:t>
            </w:r>
            <w:r>
              <w:rPr>
                <w:rFonts w:hint="default"/>
                <w:color w:val="auto"/>
                <w:u w:val="none" w:color="auto"/>
                <w:lang w:val="en-US" w:eastAsia="zh-CN"/>
              </w:rPr>
              <w:t>3</w:t>
            </w:r>
            <w:r>
              <w:rPr>
                <w:rFonts w:hint="default"/>
                <w:color w:val="auto"/>
                <w:u w:val="none" w:color="auto"/>
              </w:rPr>
              <w:t>类标准</w:t>
            </w:r>
          </w:p>
        </w:tc>
      </w:tr>
      <w:bookmarkEnd w:id="628"/>
      <w:bookmarkEnd w:id="636"/>
      <w:bookmarkEnd w:id="637"/>
    </w:tbl>
    <w:p w14:paraId="67ED5DD9">
      <w:pPr>
        <w:pStyle w:val="7"/>
        <w:bidi w:val="0"/>
        <w:rPr>
          <w:rFonts w:hint="eastAsia"/>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E1AD2AD">
      <w:pPr>
        <w:pStyle w:val="6"/>
        <w:bidi w:val="0"/>
        <w:rPr>
          <w:rFonts w:hint="default"/>
          <w:color w:val="auto"/>
          <w:u w:val="none" w:color="auto"/>
        </w:rPr>
      </w:pPr>
      <w:bookmarkStart w:id="638" w:name="_Toc14080"/>
      <w:bookmarkStart w:id="639" w:name="_Toc26568"/>
      <w:bookmarkStart w:id="640" w:name="_Toc8489"/>
      <w:r>
        <w:rPr>
          <w:rFonts w:hint="eastAsia"/>
          <w:color w:val="auto"/>
          <w:u w:val="none" w:color="auto"/>
          <w:lang w:val="en-US" w:eastAsia="zh-CN"/>
        </w:rPr>
        <w:t>4</w:t>
      </w:r>
      <w:r>
        <w:rPr>
          <w:rFonts w:hint="default"/>
          <w:color w:val="auto"/>
          <w:u w:val="none" w:color="auto"/>
        </w:rPr>
        <w:t>、建设项目区域环境概况</w:t>
      </w:r>
      <w:bookmarkEnd w:id="629"/>
      <w:bookmarkEnd w:id="630"/>
      <w:bookmarkEnd w:id="631"/>
      <w:bookmarkEnd w:id="632"/>
      <w:bookmarkEnd w:id="638"/>
      <w:bookmarkEnd w:id="639"/>
      <w:bookmarkEnd w:id="640"/>
    </w:p>
    <w:p w14:paraId="47717D32">
      <w:pPr>
        <w:pStyle w:val="7"/>
        <w:bidi w:val="0"/>
        <w:rPr>
          <w:rFonts w:hint="default"/>
          <w:color w:val="auto"/>
          <w:u w:val="none" w:color="auto"/>
        </w:rPr>
      </w:pPr>
      <w:bookmarkStart w:id="641" w:name="_Toc2909"/>
      <w:bookmarkStart w:id="642" w:name="_Toc1351"/>
      <w:bookmarkStart w:id="643" w:name="_Toc30548"/>
      <w:bookmarkStart w:id="644" w:name="_Toc32243"/>
      <w:bookmarkStart w:id="645" w:name="_Toc10089"/>
      <w:bookmarkStart w:id="646" w:name="_Toc31651"/>
      <w:bookmarkStart w:id="647" w:name="_Toc13848"/>
      <w:bookmarkStart w:id="648" w:name="_Toc372124950"/>
      <w:bookmarkStart w:id="649" w:name="_Toc11092"/>
      <w:r>
        <w:rPr>
          <w:rFonts w:hint="eastAsia"/>
          <w:color w:val="auto"/>
          <w:u w:val="none" w:color="auto"/>
          <w:lang w:val="en-US" w:eastAsia="zh-CN"/>
        </w:rPr>
        <w:t>4</w:t>
      </w:r>
      <w:r>
        <w:rPr>
          <w:rFonts w:hint="default"/>
          <w:color w:val="auto"/>
          <w:u w:val="none" w:color="auto"/>
          <w:lang w:val="en-US" w:eastAsia="zh-CN"/>
        </w:rPr>
        <w:t>.1</w:t>
      </w:r>
      <w:r>
        <w:rPr>
          <w:rFonts w:hint="default"/>
          <w:color w:val="auto"/>
          <w:u w:val="none" w:color="auto"/>
        </w:rPr>
        <w:t>自然环境概况</w:t>
      </w:r>
      <w:bookmarkEnd w:id="641"/>
      <w:bookmarkEnd w:id="642"/>
      <w:bookmarkEnd w:id="643"/>
      <w:bookmarkEnd w:id="644"/>
      <w:bookmarkEnd w:id="645"/>
    </w:p>
    <w:p w14:paraId="2748A414">
      <w:pPr>
        <w:pStyle w:val="8"/>
        <w:bidi w:val="0"/>
        <w:rPr>
          <w:rFonts w:hint="default"/>
          <w:color w:val="auto"/>
          <w:u w:val="none" w:color="auto"/>
        </w:rPr>
      </w:pPr>
      <w:bookmarkStart w:id="650" w:name="_Toc26400"/>
      <w:bookmarkStart w:id="651" w:name="_Toc20361"/>
      <w:bookmarkStart w:id="652" w:name="_Toc4084"/>
      <w:bookmarkStart w:id="653" w:name="_Toc28014"/>
      <w:bookmarkStart w:id="654" w:name="_Toc10045"/>
      <w:bookmarkStart w:id="655" w:name="_Toc82"/>
      <w:bookmarkStart w:id="656" w:name="_Toc2943"/>
      <w:bookmarkStart w:id="657" w:name="_Toc5802"/>
      <w:bookmarkStart w:id="658" w:name="_Toc9273"/>
      <w:bookmarkStart w:id="659" w:name="_Toc24564"/>
      <w:bookmarkStart w:id="660" w:name="_Toc30649"/>
      <w:bookmarkStart w:id="661" w:name="_Toc25750"/>
      <w:bookmarkStart w:id="662" w:name="_Toc31946"/>
      <w:bookmarkStart w:id="663" w:name="_Toc311"/>
      <w:bookmarkStart w:id="664" w:name="_Toc6341"/>
      <w:bookmarkStart w:id="665" w:name="_Toc10427"/>
      <w:bookmarkStart w:id="666" w:name="_Toc25734"/>
      <w:bookmarkStart w:id="667" w:name="_Toc17355"/>
      <w:bookmarkStart w:id="668" w:name="_Toc8108"/>
      <w:r>
        <w:rPr>
          <w:rFonts w:hint="eastAsia"/>
          <w:color w:val="auto"/>
          <w:u w:val="none" w:color="auto"/>
          <w:lang w:val="en-US" w:eastAsia="zh-CN"/>
        </w:rPr>
        <w:t>4</w:t>
      </w:r>
      <w:r>
        <w:rPr>
          <w:rFonts w:hint="default"/>
          <w:color w:val="auto"/>
          <w:u w:val="none" w:color="auto"/>
          <w:lang w:val="en-US" w:eastAsia="zh-CN"/>
        </w:rPr>
        <w:t>.1</w:t>
      </w:r>
      <w:r>
        <w:rPr>
          <w:rFonts w:hint="default"/>
          <w:color w:val="auto"/>
          <w:u w:val="none" w:color="auto"/>
        </w:rPr>
        <w:t>.1地理位置</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BA12711">
      <w:pPr>
        <w:pStyle w:val="21"/>
        <w:ind w:firstLine="480"/>
        <w:rPr>
          <w:rFonts w:hint="default" w:ascii="Times New Roman" w:hAnsi="Times New Roman" w:eastAsia="宋体" w:cs="Times New Roman"/>
          <w:color w:val="auto"/>
          <w:highlight w:val="none"/>
          <w:u w:val="none" w:color="auto"/>
        </w:rPr>
      </w:pPr>
      <w:bookmarkStart w:id="669" w:name="_Toc344150133"/>
      <w:bookmarkStart w:id="670" w:name="_Toc343088623"/>
      <w:bookmarkStart w:id="671" w:name="_Toc343093420"/>
      <w:bookmarkStart w:id="672" w:name="_Toc343197198"/>
      <w:r>
        <w:rPr>
          <w:rFonts w:hint="default" w:ascii="Times New Roman" w:hAnsi="Times New Roman" w:eastAsia="宋体" w:cs="Times New Roman"/>
          <w:color w:val="auto"/>
          <w:u w:val="none" w:color="auto"/>
        </w:rPr>
        <w:t>汨罗市处湖南省东北部，紧靠南洞庭湖东畔、汨罗江下游，位于东经 112°51′～113°27′，北纬 28°28′～29°27′。</w:t>
      </w:r>
      <w:r>
        <w:rPr>
          <w:rFonts w:hint="default" w:ascii="Times New Roman" w:hAnsi="Times New Roman" w:eastAsia="宋体" w:cs="Times New Roman"/>
          <w:color w:val="auto"/>
          <w:highlight w:val="none"/>
          <w:u w:val="none" w:color="auto"/>
        </w:rPr>
        <w:t>市境东部和东南部与长沙县毗连，南与望城县接壤，西邻湘阴县和沅江县，北接岳阳县，东北与平江县交界。市境南北相距66.75km，东西相距62.5km，全境周长301.84km，总面积1561.95km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，占全省总面积的0.75%，占岳阳市面积的10.4%，汨罗市城区面积12.37km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。因境内有汨水、罗水会合，其下游名汨罗江，因此而得市名。</w:t>
      </w:r>
    </w:p>
    <w:p w14:paraId="0567E496">
      <w:pPr>
        <w:pStyle w:val="21"/>
        <w:ind w:firstLine="480"/>
        <w:rPr>
          <w:rFonts w:hint="eastAsia" w:eastAsia="宋体"/>
          <w:color w:val="auto"/>
          <w:u w:val="none" w:color="auto"/>
          <w:lang w:eastAsia="zh-CN"/>
        </w:rPr>
      </w:pPr>
      <w:r>
        <w:rPr>
          <w:rFonts w:hint="default" w:ascii="Times New Roman" w:hAnsi="Times New Roman" w:eastAsia="宋体" w:cs="Times New Roman"/>
          <w:color w:val="auto"/>
          <w:sz w:val="24"/>
          <w:szCs w:val="24"/>
          <w:u w:val="none" w:color="auto"/>
        </w:rPr>
        <w:t>长沙</w:t>
      </w:r>
      <w:r>
        <w:rPr>
          <w:rFonts w:hint="eastAsia" w:ascii="Times New Roman" w:hAnsi="Times New Roman" w:eastAsia="宋体" w:cs="Times New Roman"/>
          <w:color w:val="auto"/>
          <w:sz w:val="24"/>
          <w:szCs w:val="24"/>
          <w:u w:val="none" w:color="auto"/>
          <w:lang w:eastAsia="zh-CN"/>
        </w:rPr>
        <w:t>经开</w:t>
      </w:r>
      <w:r>
        <w:rPr>
          <w:rFonts w:hint="default" w:ascii="Times New Roman" w:hAnsi="Times New Roman" w:eastAsia="宋体" w:cs="Times New Roman"/>
          <w:color w:val="auto"/>
          <w:sz w:val="24"/>
          <w:szCs w:val="24"/>
          <w:u w:val="none" w:color="auto"/>
        </w:rPr>
        <w:t>区汨罗产业园位于汨罗市最南端，地处长沙、岳阳、汨罗的中间地带，距长沙市区35公里，距长沙经开区28公里，距汨罗市区40公里。107国道贯穿汨罗产业园南北，产业园距京港澳高速公路广福收费站3公里，距京广线越江货运站22公里，距中南物流园18公里，距京广高铁汨罗东站32公里，距长沙高铁南站50公里，距长沙黄花国际机场47公里</w:t>
      </w:r>
      <w:r>
        <w:rPr>
          <w:rFonts w:hint="eastAsia" w:ascii="Times New Roman" w:hAnsi="Times New Roman" w:eastAsia="宋体" w:cs="Times New Roman"/>
          <w:color w:val="auto"/>
          <w:sz w:val="24"/>
          <w:szCs w:val="24"/>
          <w:u w:val="none" w:color="auto"/>
          <w:lang w:eastAsia="zh-CN"/>
        </w:rPr>
        <w:t>。</w:t>
      </w:r>
    </w:p>
    <w:p w14:paraId="545A6E8B">
      <w:pPr>
        <w:pStyle w:val="21"/>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u w:val="none" w:color="auto"/>
        </w:rPr>
        <w:t>湖南工程机械配套产业园，即为汨罗高新技术产业开发区规范范围内的弼时片区，规划范围为北至莲花路，西至经开路，南至镇界，东至弼时大道，规划总用地面积为281.75公顷</w:t>
      </w:r>
      <w:r>
        <w:rPr>
          <w:rFonts w:hint="default" w:ascii="Times New Roman" w:hAnsi="Times New Roman" w:eastAsia="宋体" w:cs="Times New Roman"/>
          <w:color w:val="auto"/>
          <w:u w:val="none" w:color="auto"/>
        </w:rPr>
        <w:t>。</w:t>
      </w:r>
    </w:p>
    <w:p w14:paraId="45773710">
      <w:pPr>
        <w:pStyle w:val="21"/>
        <w:bidi w:val="0"/>
        <w:rPr>
          <w:rFonts w:hint="default" w:ascii="Times New Roman" w:hAnsi="Times New Roman" w:cs="Times New Roman"/>
          <w:color w:val="auto"/>
          <w:u w:val="none" w:color="auto"/>
          <w:shd w:val="clear" w:color="auto" w:fill="auto"/>
        </w:rPr>
      </w:pPr>
      <w:r>
        <w:rPr>
          <w:rFonts w:hint="default"/>
          <w:color w:val="auto"/>
          <w:u w:val="none" w:color="auto"/>
        </w:rPr>
        <w:t>本项目位于</w:t>
      </w:r>
      <w:r>
        <w:rPr>
          <w:rFonts w:hint="eastAsia"/>
          <w:color w:val="auto"/>
          <w:u w:val="none" w:color="auto"/>
          <w:lang w:val="en-US" w:eastAsia="zh-CN"/>
        </w:rPr>
        <w:t>湖南省岳阳市汨罗市湖南汨罗高新技术产业开发区弼时片区大里塘村立新南路（</w:t>
      </w:r>
      <w:r>
        <w:rPr>
          <w:rFonts w:hAnsi="宋体"/>
          <w:color w:val="auto"/>
          <w:sz w:val="24"/>
          <w:u w:val="none" w:color="auto"/>
        </w:rPr>
        <w:t>东经</w:t>
      </w:r>
      <w:r>
        <w:rPr>
          <w:rFonts w:hint="eastAsia"/>
          <w:color w:val="auto"/>
          <w:sz w:val="24"/>
          <w:u w:val="none" w:color="auto"/>
        </w:rPr>
        <w:t>113.150629</w:t>
      </w:r>
      <w:r>
        <w:rPr>
          <w:rFonts w:hAnsi="宋体"/>
          <w:color w:val="auto"/>
          <w:sz w:val="24"/>
          <w:u w:val="none" w:color="auto"/>
        </w:rPr>
        <w:t>、北纬</w:t>
      </w:r>
      <w:r>
        <w:rPr>
          <w:rFonts w:hint="eastAsia"/>
          <w:color w:val="auto"/>
          <w:sz w:val="24"/>
          <w:u w:val="none" w:color="auto"/>
        </w:rPr>
        <w:t>28.484262</w:t>
      </w:r>
      <w:r>
        <w:rPr>
          <w:rFonts w:hint="eastAsia"/>
          <w:color w:val="auto"/>
          <w:u w:val="none" w:color="auto"/>
          <w:lang w:val="en-US" w:eastAsia="zh-CN"/>
        </w:rPr>
        <w:t>）。</w:t>
      </w:r>
      <w:r>
        <w:rPr>
          <w:rFonts w:hint="default"/>
          <w:color w:val="auto"/>
          <w:u w:val="none" w:color="auto"/>
        </w:rPr>
        <w:t>其地理位置详见附图1。</w:t>
      </w:r>
    </w:p>
    <w:bookmarkEnd w:id="669"/>
    <w:bookmarkEnd w:id="670"/>
    <w:bookmarkEnd w:id="671"/>
    <w:bookmarkEnd w:id="672"/>
    <w:p w14:paraId="224E0ACC">
      <w:pPr>
        <w:pStyle w:val="8"/>
        <w:bidi w:val="0"/>
        <w:rPr>
          <w:rFonts w:hint="default"/>
          <w:color w:val="auto"/>
          <w:u w:val="none" w:color="auto"/>
        </w:rPr>
      </w:pPr>
      <w:bookmarkStart w:id="673" w:name="_Toc18244"/>
      <w:bookmarkStart w:id="674" w:name="_Toc24654"/>
      <w:bookmarkStart w:id="675" w:name="_Toc14683"/>
      <w:bookmarkStart w:id="676" w:name="_Toc32611"/>
      <w:bookmarkStart w:id="677" w:name="_Toc9037"/>
      <w:bookmarkStart w:id="678" w:name="_Toc14506"/>
      <w:bookmarkStart w:id="679" w:name="_Toc29709"/>
      <w:bookmarkStart w:id="680" w:name="_Toc1938"/>
      <w:bookmarkStart w:id="681" w:name="_Toc3336"/>
      <w:bookmarkStart w:id="682" w:name="_Toc1893"/>
      <w:bookmarkStart w:id="683" w:name="_Toc19713"/>
      <w:bookmarkStart w:id="684" w:name="_Toc13226"/>
      <w:bookmarkStart w:id="685" w:name="_Toc228"/>
      <w:bookmarkStart w:id="686" w:name="_Toc24206"/>
      <w:bookmarkStart w:id="687" w:name="_Toc21151"/>
      <w:bookmarkStart w:id="688" w:name="_Toc10617"/>
      <w:bookmarkStart w:id="689" w:name="_Toc1382"/>
      <w:bookmarkStart w:id="690" w:name="_Toc32343"/>
      <w:bookmarkStart w:id="691" w:name="_Toc25038"/>
      <w:r>
        <w:rPr>
          <w:rFonts w:hint="eastAsia"/>
          <w:color w:val="auto"/>
          <w:u w:val="none" w:color="auto"/>
          <w:lang w:val="en-US" w:eastAsia="zh-CN"/>
        </w:rPr>
        <w:t>4</w:t>
      </w:r>
      <w:r>
        <w:rPr>
          <w:rFonts w:hint="default"/>
          <w:color w:val="auto"/>
          <w:u w:val="none" w:color="auto"/>
          <w:lang w:val="en-US" w:eastAsia="zh-CN"/>
        </w:rPr>
        <w:t>.1</w:t>
      </w:r>
      <w:r>
        <w:rPr>
          <w:rFonts w:hint="default"/>
          <w:color w:val="auto"/>
          <w:u w:val="none" w:color="auto"/>
        </w:rPr>
        <w:t>.2地形、地质地貌</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48C17252">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属幕阜山脉与洞庭湖之间的过渡地带，西临南洞庭湖。地势由东南向西北倾斜。园区所在地地貌以丘岗平原为主，其中107国道沿线和沿江大道沿线为地形较平整的平原地带，其余部分分布大量小型丘陵。自然地形地势起伏不大，地坪坡度15%以下。</w:t>
      </w:r>
    </w:p>
    <w:p w14:paraId="7A6ACB4D">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位于杨子准地台雪峰地轴中段，东部为临湘穹的瓮江一幕阜山隆起，西部为洞庭下沉的过渡性地带。由于长期的雨水淋溶、侵蚀，地壳抬升与沉降作用的继续，使得山地切割加强，冲沟发育，水系密布，江湖沉积物深，在洞庭湖及汨罗江沿岸一带形成土质肥沃，土层深厚的河湖平原。</w:t>
      </w:r>
    </w:p>
    <w:p w14:paraId="7F840F9A">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境内地层简单，由老到新依次为元古界冷家溪、中生界白垩系和新生界下第三系中村组、第四系。第四系更新统白水江组分布于新市镇一带，厚度为6.9-10m，底部为黄褐色砾石层，中部为黄褐色砂砾层，上部为黄褐色含锰质结核砂质粘土。</w:t>
      </w:r>
    </w:p>
    <w:p w14:paraId="0DD98032">
      <w:pPr>
        <w:pStyle w:val="21"/>
        <w:ind w:firstLine="48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场区地基主要为人工填土、耕作土、江南红壤和冲击沉积物堆积层组成，地质物理力学性质较好，场地内无不良地质现象。</w:t>
      </w:r>
    </w:p>
    <w:p w14:paraId="7EEA1864">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eastAsia="宋体" w:cs="Times New Roman"/>
          <w:color w:val="auto"/>
          <w:u w:val="none" w:color="auto"/>
        </w:rPr>
        <w:t>根据《中国地震动参数区划图》（GB18306-2015），地震设防烈度为7 度。</w:t>
      </w:r>
    </w:p>
    <w:p w14:paraId="569DED21">
      <w:pPr>
        <w:pStyle w:val="8"/>
        <w:rPr>
          <w:rFonts w:hint="default" w:ascii="Times New Roman" w:hAnsi="Times New Roman" w:cs="Times New Roman"/>
          <w:color w:val="auto"/>
          <w:u w:val="none" w:color="auto"/>
          <w:shd w:val="clear" w:color="auto" w:fill="auto"/>
        </w:rPr>
      </w:pPr>
      <w:bookmarkStart w:id="692" w:name="_Toc29915"/>
      <w:bookmarkStart w:id="693" w:name="_Toc6658"/>
      <w:bookmarkStart w:id="694" w:name="_Toc8061"/>
      <w:bookmarkStart w:id="695" w:name="_Toc14042"/>
      <w:bookmarkStart w:id="696" w:name="_Toc19396"/>
      <w:bookmarkStart w:id="697" w:name="_Toc3651"/>
      <w:bookmarkStart w:id="698" w:name="_Toc26305"/>
      <w:bookmarkStart w:id="699" w:name="_Toc21869"/>
      <w:bookmarkStart w:id="700" w:name="_Toc31014"/>
      <w:bookmarkStart w:id="701" w:name="_Toc12761"/>
      <w:bookmarkStart w:id="702" w:name="_Toc21705"/>
      <w:bookmarkStart w:id="703" w:name="_Toc3786"/>
      <w:bookmarkStart w:id="704" w:name="_Toc18538"/>
      <w:bookmarkStart w:id="705" w:name="_Toc6316"/>
      <w:bookmarkStart w:id="706" w:name="_Toc133"/>
      <w:bookmarkStart w:id="707" w:name="_Toc15653"/>
      <w:bookmarkStart w:id="708" w:name="_Toc15144"/>
      <w:bookmarkStart w:id="709" w:name="_Toc24233"/>
      <w:bookmarkStart w:id="710" w:name="_Toc30426"/>
      <w:r>
        <w:rPr>
          <w:rFonts w:hint="eastAsia" w:ascii="Times New Roman" w:hAnsi="Times New Roman" w:cs="Times New Roman"/>
          <w:color w:val="auto"/>
          <w:u w:val="none" w:color="auto"/>
          <w:shd w:val="clear" w:color="auto" w:fill="auto"/>
          <w:lang w:val="en-US" w:eastAsia="zh-CN"/>
        </w:rPr>
        <w:t>4</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.3气候、气象</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2247D0EA">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汨罗市处于中亚热带向北亚热带过渡地区，属大陆性湿润季风气候。气候温暖，四季分明，热量充足，雨量集中，春温多变，夏秋多旱、严寒期短，暑热期长。具体参数如下：</w:t>
      </w:r>
    </w:p>
    <w:p w14:paraId="1015A479">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年均气温16.9°C，极端最高气温39.7°C</w:t>
      </w:r>
      <w:r>
        <w:rPr>
          <w:rFonts w:hint="eastAsia" w:ascii="Times New Roman" w:hAnsi="Times New Roman" w:cs="Times New Roman"/>
          <w:color w:val="auto"/>
          <w:u w:val="none" w:color="auto"/>
          <w:shd w:val="clear" w:color="auto" w:fill="auto"/>
          <w:lang w:eastAsia="zh-CN"/>
        </w:rPr>
        <w:t>，</w:t>
      </w:r>
      <w:r>
        <w:rPr>
          <w:rFonts w:hint="default" w:ascii="Times New Roman" w:hAnsi="Times New Roman" w:cs="Times New Roman"/>
          <w:color w:val="auto"/>
          <w:u w:val="none" w:color="auto"/>
          <w:shd w:val="clear" w:color="auto" w:fill="auto"/>
        </w:rPr>
        <w:t>极端最低气温-1</w:t>
      </w:r>
      <w:r>
        <w:rPr>
          <w:rFonts w:hint="eastAsia" w:ascii="Times New Roman" w:hAnsi="Times New Roman" w:cs="Times New Roman"/>
          <w:color w:val="auto"/>
          <w:u w:val="none" w:color="auto"/>
          <w:shd w:val="clear" w:color="auto" w:fill="auto"/>
          <w:lang w:val="en-US" w:eastAsia="zh-CN"/>
        </w:rPr>
        <w:t>4.3</w:t>
      </w:r>
      <w:r>
        <w:rPr>
          <w:rFonts w:hint="default" w:ascii="Times New Roman" w:hAnsi="Times New Roman" w:cs="Times New Roman"/>
          <w:color w:val="auto"/>
          <w:u w:val="none" w:color="auto"/>
          <w:shd w:val="clear" w:color="auto" w:fill="auto"/>
        </w:rPr>
        <w:t>°C。</w:t>
      </w:r>
    </w:p>
    <w:p w14:paraId="64F3CC40">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年均降水量1345.4mm,相对集中在4-8月，占全年总降水量61.5%。日最多降雨量159.9mm，最长连续降雨日数为18天，连续10天降雨量最多为432.2mm。</w:t>
      </w:r>
    </w:p>
    <w:p w14:paraId="3F331672">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年均降雪日数为10.5天，积雪厚度最大为10cm。</w:t>
      </w:r>
    </w:p>
    <w:p w14:paraId="2B98DA77">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风向，全年盛行风向为北风，以北风和西北风为最多，各占累计年风向的12%。其次是偏南风（6.7月）。静风多出现在夜间，占累计年风向的15%。</w:t>
      </w:r>
    </w:p>
    <w:p w14:paraId="16666D2C">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风速，年均风速为2.2m/s，历年最大风速12m/s以上多出现在偏北风。平时风速白天大于夜间，特别是5-7月的偏南风，白天常有4-5级，夜间只有1级左右。</w:t>
      </w:r>
    </w:p>
    <w:p w14:paraId="37E6CA17">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年平均地面温度19.3C</w:t>
      </w:r>
      <w:r>
        <w:rPr>
          <w:rFonts w:hint="eastAsia" w:ascii="Times New Roman" w:hAnsi="Times New Roman" w:cs="Times New Roman"/>
          <w:color w:val="auto"/>
          <w:u w:val="none" w:color="auto"/>
          <w:shd w:val="clear" w:color="auto" w:fill="auto"/>
          <w:lang w:eastAsia="zh-CN"/>
        </w:rPr>
        <w:t>，</w:t>
      </w:r>
      <w:r>
        <w:rPr>
          <w:rFonts w:hint="default" w:ascii="Times New Roman" w:hAnsi="Times New Roman" w:cs="Times New Roman"/>
          <w:color w:val="auto"/>
          <w:u w:val="none" w:color="auto"/>
          <w:shd w:val="clear" w:color="auto" w:fill="auto"/>
        </w:rPr>
        <w:t>年平均霜日数24.8天，年均湿度为81%，年均蒸发量为1345.4mm。</w:t>
      </w:r>
    </w:p>
    <w:p w14:paraId="3DB9BD77">
      <w:pPr>
        <w:pStyle w:val="8"/>
        <w:bidi w:val="0"/>
        <w:rPr>
          <w:rFonts w:hint="default"/>
          <w:color w:val="auto"/>
          <w:u w:val="none" w:color="auto"/>
        </w:rPr>
      </w:pPr>
      <w:bookmarkStart w:id="711" w:name="_Toc10813"/>
      <w:bookmarkStart w:id="712" w:name="_Toc6068"/>
      <w:bookmarkStart w:id="713" w:name="_Toc13355"/>
      <w:bookmarkStart w:id="714" w:name="_Toc24244"/>
      <w:bookmarkStart w:id="715" w:name="_Toc14335"/>
      <w:bookmarkStart w:id="716" w:name="_Toc12572"/>
      <w:bookmarkStart w:id="717" w:name="_Toc25084"/>
      <w:bookmarkStart w:id="718" w:name="_Toc16172"/>
      <w:bookmarkStart w:id="719" w:name="_Toc22302"/>
      <w:bookmarkStart w:id="720" w:name="_Toc5940"/>
      <w:bookmarkStart w:id="721" w:name="_Toc10956"/>
      <w:bookmarkStart w:id="722" w:name="_Toc26976"/>
      <w:bookmarkStart w:id="723" w:name="_Toc1032"/>
      <w:bookmarkStart w:id="724" w:name="_Toc23446"/>
      <w:bookmarkStart w:id="725" w:name="_Toc56"/>
      <w:bookmarkStart w:id="726" w:name="_Toc5554"/>
      <w:bookmarkStart w:id="727" w:name="_Toc20887"/>
      <w:bookmarkStart w:id="728" w:name="_Toc10934"/>
      <w:bookmarkStart w:id="729" w:name="_Toc20682"/>
      <w:r>
        <w:rPr>
          <w:rFonts w:hint="eastAsia"/>
          <w:color w:val="auto"/>
          <w:u w:val="none" w:color="auto"/>
          <w:lang w:val="en-US" w:eastAsia="zh-CN"/>
        </w:rPr>
        <w:t>4</w:t>
      </w:r>
      <w:r>
        <w:rPr>
          <w:rFonts w:hint="default"/>
          <w:color w:val="auto"/>
          <w:u w:val="none" w:color="auto"/>
          <w:lang w:val="en-US" w:eastAsia="zh-CN"/>
        </w:rPr>
        <w:t>.1</w:t>
      </w:r>
      <w:r>
        <w:rPr>
          <w:rFonts w:hint="default"/>
          <w:color w:val="auto"/>
          <w:u w:val="none" w:color="auto"/>
        </w:rPr>
        <w:t>.4水文条件</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0FCEC45">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本项目所涉及的河流主要为</w:t>
      </w:r>
      <w:r>
        <w:rPr>
          <w:rFonts w:hint="eastAsia" w:ascii="Times New Roman" w:hAnsi="Times New Roman" w:cs="Times New Roman"/>
          <w:color w:val="auto"/>
          <w:u w:val="none" w:color="auto"/>
          <w:shd w:val="clear" w:color="auto" w:fill="auto"/>
          <w:lang w:val="en-US" w:eastAsia="zh-CN"/>
        </w:rPr>
        <w:t>白沙河</w:t>
      </w:r>
      <w:r>
        <w:rPr>
          <w:rFonts w:hint="default" w:ascii="Times New Roman" w:hAnsi="Times New Roman" w:cs="Times New Roman"/>
          <w:color w:val="auto"/>
          <w:u w:val="none" w:color="auto"/>
          <w:shd w:val="clear" w:color="auto" w:fill="auto"/>
        </w:rPr>
        <w:t>。</w:t>
      </w:r>
    </w:p>
    <w:p w14:paraId="50C6FF48">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白沙河在松雅湖下游注入捞刀河，属于湘江水系，河流区域内没有设置水文站，根据汨罗市中小河流治理项目建设管理办公室提供的数据：白沙河总流域面积为320km2，其中汨罗市流域面积75km2。白沙河多年平均径流量为22413万m3，其中汨罗市境内平均径流量为5253万m3，平均流量为7.29m3/s，根据实测的资料和历史资料，白沙河枯水期流量为5.03m3/s，丰水期流量为9.24m3/s。</w:t>
      </w:r>
    </w:p>
    <w:p w14:paraId="7DC59474">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根据《湖南省主要水系地表水环境功能区划》（DB43/023-2005）和《湖南省县级以上地表水集中式饮用水水源保护区划定方案》（湘政函[2016]176号），白沙河（坳上屋至瑶湾入捞刀河口河段）长46.0km，属于农业用水区，执行《地表水环境质量标准》（GB3838-2002）中Ⅲ类标准。</w:t>
      </w:r>
    </w:p>
    <w:p w14:paraId="5DE64580">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本项目</w:t>
      </w:r>
      <w:r>
        <w:rPr>
          <w:rFonts w:hint="eastAsia" w:ascii="Times New Roman" w:hAnsi="Times New Roman" w:cs="Times New Roman"/>
          <w:color w:val="auto"/>
          <w:u w:val="none" w:color="auto"/>
          <w:shd w:val="clear" w:color="auto" w:fill="auto"/>
          <w:lang w:val="en-US" w:eastAsia="zh-CN"/>
        </w:rPr>
        <w:t>生活污水</w:t>
      </w:r>
      <w:r>
        <w:rPr>
          <w:rFonts w:hint="default" w:ascii="Times New Roman" w:hAnsi="Times New Roman" w:cs="Times New Roman"/>
          <w:color w:val="auto"/>
          <w:u w:val="none" w:color="auto"/>
          <w:shd w:val="clear" w:color="auto" w:fill="auto"/>
        </w:rPr>
        <w:t>经</w:t>
      </w:r>
      <w:r>
        <w:rPr>
          <w:rFonts w:hint="eastAsia" w:ascii="Times New Roman" w:hAnsi="Times New Roman" w:cs="Times New Roman"/>
          <w:color w:val="auto"/>
          <w:u w:val="none" w:color="auto"/>
          <w:shd w:val="clear" w:color="auto" w:fill="auto"/>
          <w:lang w:val="en-US" w:eastAsia="zh-CN"/>
        </w:rPr>
        <w:t>长沙经开区汨罗产业园</w:t>
      </w:r>
      <w:r>
        <w:rPr>
          <w:rFonts w:hint="default" w:ascii="Times New Roman" w:hAnsi="Times New Roman" w:cs="Times New Roman"/>
          <w:color w:val="auto"/>
          <w:u w:val="none" w:color="auto"/>
          <w:shd w:val="clear" w:color="auto" w:fill="auto"/>
        </w:rPr>
        <w:t>污水处理厂处理达标后的尾水经专管排入</w:t>
      </w:r>
      <w:r>
        <w:rPr>
          <w:rFonts w:hint="eastAsia" w:ascii="Times New Roman" w:hAnsi="Times New Roman" w:cs="Times New Roman"/>
          <w:color w:val="auto"/>
          <w:u w:val="none" w:color="auto"/>
          <w:shd w:val="clear" w:color="auto" w:fill="auto"/>
          <w:lang w:val="en-US" w:eastAsia="zh-CN"/>
        </w:rPr>
        <w:t>白沙河</w:t>
      </w:r>
      <w:r>
        <w:rPr>
          <w:rFonts w:hint="default" w:ascii="Times New Roman" w:hAnsi="Times New Roman" w:cs="Times New Roman"/>
          <w:color w:val="auto"/>
          <w:u w:val="none" w:color="auto"/>
          <w:shd w:val="clear" w:color="auto" w:fill="auto"/>
        </w:rPr>
        <w:t>，</w:t>
      </w:r>
      <w:r>
        <w:rPr>
          <w:rFonts w:hint="eastAsia" w:ascii="Times New Roman" w:hAnsi="Times New Roman" w:cs="Times New Roman"/>
          <w:color w:val="auto"/>
          <w:u w:val="none" w:color="auto"/>
          <w:shd w:val="clear" w:color="auto" w:fill="auto"/>
          <w:lang w:val="en-US" w:eastAsia="zh-CN"/>
        </w:rPr>
        <w:t>属农业</w:t>
      </w:r>
      <w:r>
        <w:rPr>
          <w:rFonts w:hint="default" w:ascii="Times New Roman" w:hAnsi="Times New Roman" w:cs="Times New Roman"/>
          <w:color w:val="auto"/>
          <w:u w:val="none" w:color="auto"/>
          <w:shd w:val="clear" w:color="auto" w:fill="auto"/>
        </w:rPr>
        <w:t>用水区。</w:t>
      </w:r>
    </w:p>
    <w:p w14:paraId="51931BD2">
      <w:pPr>
        <w:pStyle w:val="8"/>
        <w:rPr>
          <w:rFonts w:hint="default" w:ascii="Times New Roman" w:hAnsi="Times New Roman" w:cs="Times New Roman"/>
          <w:color w:val="auto"/>
          <w:u w:val="none" w:color="auto"/>
          <w:shd w:val="clear" w:color="auto" w:fill="auto"/>
        </w:rPr>
      </w:pPr>
      <w:bookmarkStart w:id="730" w:name="_Toc25252"/>
      <w:bookmarkStart w:id="731" w:name="_Toc13341"/>
      <w:bookmarkStart w:id="732" w:name="_Toc4797"/>
      <w:bookmarkStart w:id="733" w:name="_Toc13547"/>
      <w:bookmarkStart w:id="734" w:name="_Toc14553"/>
      <w:bookmarkStart w:id="735" w:name="_Toc6771"/>
      <w:bookmarkStart w:id="736" w:name="_Toc24586"/>
      <w:bookmarkStart w:id="737" w:name="_Toc17775"/>
      <w:bookmarkStart w:id="738" w:name="_Toc3882"/>
      <w:bookmarkStart w:id="739" w:name="_Toc30572"/>
      <w:bookmarkStart w:id="740" w:name="_Toc1186"/>
      <w:bookmarkStart w:id="741" w:name="_Toc16169"/>
      <w:bookmarkStart w:id="742" w:name="_Toc13895"/>
      <w:bookmarkStart w:id="743" w:name="_Toc32539"/>
      <w:bookmarkStart w:id="744" w:name="_Toc3214"/>
      <w:bookmarkStart w:id="745" w:name="_Toc4162"/>
      <w:bookmarkStart w:id="746" w:name="_Toc24876"/>
      <w:bookmarkStart w:id="747" w:name="_Toc15688"/>
      <w:bookmarkStart w:id="748" w:name="_Toc13680"/>
      <w:r>
        <w:rPr>
          <w:rFonts w:hint="eastAsia" w:ascii="Times New Roman" w:hAnsi="Times New Roman" w:cs="Times New Roman"/>
          <w:color w:val="auto"/>
          <w:u w:val="none" w:color="auto"/>
          <w:shd w:val="clear" w:color="auto" w:fill="auto"/>
          <w:lang w:val="en-US" w:eastAsia="zh-CN"/>
        </w:rPr>
        <w:t>4</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.5生物资源</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4EF84A82">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属亚热带常绿阔叶林区，植物资源十分丰富。境内共有蕨类植物15科，25种；裸子植物7科，13种；被子植物94科，383种。其中有培植的48科，253种，有实用推广价值的达180余种。属国家保护的有水杉、银杏、杜仲等，主要用材树种有松、杉、樟、檫、楠竹等。</w:t>
      </w:r>
    </w:p>
    <w:p w14:paraId="0550D65A">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已查明的野生动物有昆虫65科，168种；鱼类20科，90种；鸟类28科，50种；哺乳类16科，29种。还有大量的两栖类、爬行类动物。属国家保护动物的有鲮鲤（穿山甲）、大鲵（娃娃鱼）、草（猴面鹰）、麂子、猪獾、上树狸、大灵猫等。主要经济鱼类有草、青、鲢、鳙、鲤等；主要爬行动物有鳖、乌龟、蟹等；主要家畜有牛、猪、羊等；主要家禽有鸡、鸭、鹅等。</w:t>
      </w:r>
    </w:p>
    <w:p w14:paraId="2B05EF50">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根据现场调查走访，本项目规划区域内，植被以人工作物为主，主要草本植物以蔬菜水稻为主，主要树种有马尾松、杉木、湿地松、茶叶、油茶等，区内无天然林和原生自然植物群落，田间及田埂地带生长着与农业生态系统相互依托的少量次生自然物种，常见的有马齿苋、爬地草等。动物资源主要以人工养殖的家畜、家禽为主，主要家畜有牛、猪、羊、狗等，主要家禽有鸡、鸭、鹅等，主要经济鱼类有草、青、鲢、鲤等，由于该区属于城郊，人为活动频繁，开发活动较为强烈，野生动物尤其大型野生动物生存环境遭到破坏，因此野生动物的活动踪迹较少，主要野生动物都是一些常见的种类如：田鼠、竹鼠、蛇、蛙、黄鼠狼，以及一些鸟类有燕、喜鹊、八哥、画眉、布谷、猫头鹰等。</w:t>
      </w:r>
    </w:p>
    <w:p w14:paraId="40DAD642">
      <w:pPr>
        <w:pStyle w:val="8"/>
        <w:rPr>
          <w:rFonts w:hint="default" w:ascii="Times New Roman" w:hAnsi="Times New Roman" w:cs="Times New Roman"/>
          <w:color w:val="auto"/>
          <w:u w:val="none" w:color="auto"/>
          <w:shd w:val="clear" w:color="auto" w:fill="auto"/>
        </w:rPr>
      </w:pPr>
      <w:bookmarkStart w:id="749" w:name="_Toc12830"/>
      <w:bookmarkStart w:id="750" w:name="_Toc22883"/>
      <w:bookmarkStart w:id="751" w:name="_Toc27817"/>
      <w:bookmarkStart w:id="752" w:name="_Toc1143"/>
      <w:bookmarkStart w:id="753" w:name="_Toc12589"/>
      <w:bookmarkStart w:id="754" w:name="_Toc20910"/>
      <w:bookmarkStart w:id="755" w:name="_Toc29707"/>
      <w:bookmarkStart w:id="756" w:name="_Toc31288"/>
      <w:bookmarkStart w:id="757" w:name="_Toc21107"/>
      <w:bookmarkStart w:id="758" w:name="_Toc8294"/>
      <w:bookmarkStart w:id="759" w:name="_Toc9774"/>
      <w:bookmarkStart w:id="760" w:name="_Toc1389"/>
      <w:bookmarkStart w:id="761" w:name="_Toc3621"/>
      <w:bookmarkStart w:id="762" w:name="_Toc19793"/>
      <w:bookmarkStart w:id="763" w:name="_Toc293"/>
      <w:bookmarkStart w:id="764" w:name="_Toc22367"/>
      <w:bookmarkStart w:id="765" w:name="_Toc1249"/>
      <w:bookmarkStart w:id="766" w:name="_Toc30634"/>
      <w:bookmarkStart w:id="767" w:name="_Toc14096"/>
      <w:r>
        <w:rPr>
          <w:rFonts w:hint="eastAsia" w:ascii="Times New Roman" w:hAnsi="Times New Roman" w:cs="Times New Roman"/>
          <w:color w:val="auto"/>
          <w:u w:val="none" w:color="auto"/>
          <w:shd w:val="clear" w:color="auto" w:fill="auto"/>
          <w:lang w:val="en-US" w:eastAsia="zh-CN"/>
        </w:rPr>
        <w:t>4</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.6土地资源</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DC3B6AD">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项目区的土壤以半页岩为主，占47.8%。主要为赤红壤、红壤、黄壤、第四纪松散堆积物以及红砂壤五个类型。</w:t>
      </w:r>
    </w:p>
    <w:p w14:paraId="246D714F">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发育于花岗岩母质上的赤红壤、黄壤、红壤，由于在高强多雨条件下，物理风化和化学风化都极其强烈，风化产物分解彻底，形成深厚的风化壳。土壤结构输送，植被破坏后，容易冲刷流失。</w:t>
      </w:r>
    </w:p>
    <w:p w14:paraId="447033B4">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发育于红砂岩母质上的红砂壤，矿质养分有效性较高，砂性较重，土质疏松，土层薄，一般1~3m。</w:t>
      </w:r>
    </w:p>
    <w:p w14:paraId="11B2F15D">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发育于砂岩母质上的红砂壤，抗风化剥蚀能力较弱，地表水不易渗透，易形成散流，在一定地形条件下，而发生泥石流。</w:t>
      </w:r>
    </w:p>
    <w:p w14:paraId="0E31C5C8">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发育于石灰页岩母质上的红壤，此种岩主要矿物为碳酸钙，由于淋溶和富集作用，风化物粘性重，透水性差，有机质含量较高，常表面冲刷产生面蚀。</w:t>
      </w:r>
    </w:p>
    <w:p w14:paraId="14131C74">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第四世纪松散堆积物上层深厚，质地粘重，透水性差，易发生轻度面蚀。</w:t>
      </w:r>
    </w:p>
    <w:p w14:paraId="3D16CD50">
      <w:pPr>
        <w:pStyle w:val="8"/>
        <w:rPr>
          <w:rFonts w:hint="default" w:ascii="Times New Roman" w:hAnsi="Times New Roman" w:cs="Times New Roman"/>
          <w:color w:val="auto"/>
          <w:u w:val="none" w:color="auto"/>
          <w:shd w:val="clear" w:color="auto" w:fill="auto"/>
        </w:rPr>
      </w:pPr>
      <w:bookmarkStart w:id="768" w:name="_Toc26514"/>
      <w:bookmarkStart w:id="769" w:name="_Toc10467"/>
      <w:bookmarkStart w:id="770" w:name="_Toc11110"/>
      <w:bookmarkStart w:id="771" w:name="_Toc17686"/>
      <w:bookmarkStart w:id="772" w:name="_Toc16042"/>
      <w:bookmarkStart w:id="773" w:name="_Toc32553"/>
      <w:bookmarkStart w:id="774" w:name="_Toc25112"/>
      <w:bookmarkStart w:id="775" w:name="_Toc3742"/>
      <w:bookmarkStart w:id="776" w:name="_Toc905"/>
      <w:bookmarkStart w:id="777" w:name="_Toc8591"/>
      <w:bookmarkStart w:id="778" w:name="_Toc18193"/>
      <w:bookmarkStart w:id="779" w:name="_Toc15502"/>
      <w:bookmarkStart w:id="780" w:name="_Toc6465"/>
      <w:bookmarkStart w:id="781" w:name="_Toc8503"/>
      <w:bookmarkStart w:id="782" w:name="_Toc23362"/>
      <w:bookmarkStart w:id="783" w:name="_Toc4829"/>
      <w:bookmarkStart w:id="784" w:name="_Toc9083"/>
      <w:bookmarkStart w:id="785" w:name="_Toc13180"/>
      <w:bookmarkStart w:id="786" w:name="_Toc20141"/>
      <w:r>
        <w:rPr>
          <w:rFonts w:hint="eastAsia" w:ascii="Times New Roman" w:hAnsi="Times New Roman" w:cs="Times New Roman"/>
          <w:color w:val="auto"/>
          <w:u w:val="none" w:color="auto"/>
          <w:shd w:val="clear" w:color="auto" w:fill="auto"/>
          <w:lang w:val="en-US" w:eastAsia="zh-CN"/>
        </w:rPr>
        <w:t>4</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.7矿产资源</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52B784C5">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境蕴藏砂金和非金属矿产资源比较丰富。已开发利用的有黄金、花岗石、砂砾石、钾长石、石英和粘土等，尚待开发的是高岭土。其中汨罗江砂金矿是已探明的长江以南最大的河流矿床，地质储量20吨左右；高岭土总储量5000万吨以上，可淘洗精泥1250万吨以上；花岗石总储量在5000亿m³以上，产品已销往日本及国内的20多个省、市、自治区。粘土总储量在10亿吨以上；石英总储量10万吨以上。在境内花岗岩体的晚期伟晶岩脉中，已探明有铍（绿桂石）、锂、铷、铯、铌、钽等稀有金属矿分布。石油、天然气具有一定的找矿前景，全市发现矿床、矿点、矿化点40多处。矿产资源潜在总经济价值300亿元以上。</w:t>
      </w:r>
    </w:p>
    <w:p w14:paraId="6017D1BA">
      <w:pPr>
        <w:pStyle w:val="8"/>
        <w:rPr>
          <w:rFonts w:hint="default" w:ascii="Times New Roman" w:hAnsi="Times New Roman" w:cs="Times New Roman"/>
          <w:color w:val="auto"/>
          <w:u w:val="none" w:color="auto"/>
          <w:shd w:val="clear" w:color="auto" w:fill="auto"/>
        </w:rPr>
      </w:pPr>
      <w:bookmarkStart w:id="787" w:name="_Toc18614"/>
      <w:bookmarkStart w:id="788" w:name="_Toc15079"/>
      <w:bookmarkStart w:id="789" w:name="_Toc2872"/>
      <w:bookmarkStart w:id="790" w:name="_Toc29986"/>
      <w:bookmarkStart w:id="791" w:name="_Toc27906"/>
      <w:bookmarkStart w:id="792" w:name="_Toc2798"/>
      <w:bookmarkStart w:id="793" w:name="_Toc15979"/>
      <w:bookmarkStart w:id="794" w:name="_Toc1482"/>
      <w:bookmarkStart w:id="795" w:name="_Toc13966"/>
      <w:bookmarkStart w:id="796" w:name="_Toc8529"/>
      <w:bookmarkStart w:id="797" w:name="_Toc12241"/>
      <w:bookmarkStart w:id="798" w:name="_Toc8518"/>
      <w:bookmarkStart w:id="799" w:name="_Toc15168"/>
      <w:bookmarkStart w:id="800" w:name="_Toc14640"/>
      <w:bookmarkStart w:id="801" w:name="_Toc18604"/>
      <w:bookmarkStart w:id="802" w:name="_Toc25352"/>
      <w:bookmarkStart w:id="803" w:name="_Toc32727"/>
      <w:bookmarkStart w:id="804" w:name="_Toc16307"/>
      <w:bookmarkStart w:id="805" w:name="_Toc28879"/>
      <w:r>
        <w:rPr>
          <w:rFonts w:hint="eastAsia" w:ascii="Times New Roman" w:hAnsi="Times New Roman" w:cs="Times New Roman"/>
          <w:color w:val="auto"/>
          <w:u w:val="none" w:color="auto"/>
          <w:shd w:val="clear" w:color="auto" w:fill="auto"/>
          <w:lang w:val="en-US" w:eastAsia="zh-CN"/>
        </w:rPr>
        <w:t>4</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.8植被生态</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637D18D1">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（1）植物</w:t>
      </w:r>
    </w:p>
    <w:p w14:paraId="27B0922E">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按《湖南地理志》植被划分方案，汨罗属中亚热带北部常绿阔叶林亚地带的湘东山地丘陵栎拷林、台湾松林、毛竹林植被区和湘北滨湘平源栎拷林、农田及防护林、堤垸沼泽湘泊植被区。</w:t>
      </w:r>
    </w:p>
    <w:p w14:paraId="25AA2D5C">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汨罗市内野生植物种类繁多，蕨菜植物共15科25种，裸子植物共7科13种，被子植物有94科383种。</w:t>
      </w:r>
    </w:p>
    <w:p w14:paraId="4F67035B">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工业园区内无天然林和原生自然植物群落，常见的野生草灌植物有：马齿苋、艾蒿、爬地草、节节草及少量灌木等。主要树种有马尾松、灌林及人工防护林欧美杨。园区内未发现珍稀需要保护的野生植物品种。</w:t>
      </w:r>
    </w:p>
    <w:p w14:paraId="17A40133">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（2）动物</w:t>
      </w:r>
    </w:p>
    <w:p w14:paraId="01F49DD7">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属中亚热带地区，野生动物多为亚热带林灌动物类群，全市已查明的野生动物有昆虫65科，168种；鸟类28科，50种；哺乳类16科，29种。主要有两栖类的蟾蜍，青蛙、泽蛙、虎斑蛙、泥蛙、古巴牛蛙等，爬行类主要有乌龟、鳖、壁虎、蜥蜴和各种蛇类，鸟类常见的有灰胸竹鸡、雉、雀鹰、白鹭、喜鹊、八哥、杜鹃、白头翁、斑鸠等，哺乳类有野兔、田鼠、蝙蝠等。区内现存的野生动物资源受人类活动的长期影响，已大为减少。</w:t>
      </w:r>
    </w:p>
    <w:p w14:paraId="1E70A1A1">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据现场专访调查，项目区周围现存的动物主要是一些鸟类及其它小型动物如蛇、鼠、蛙等。未在项目区附近范围内发现珍稀保护动物及地方特有动物踪迹。</w:t>
      </w:r>
    </w:p>
    <w:p w14:paraId="0F468A9C">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（3）水生生物</w:t>
      </w:r>
    </w:p>
    <w:p w14:paraId="00F2E4AD">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汨罗江汨罗段水域，由于水域狭窄、干枯时间过长，在平枯水期河道水深较浅，不适合水生生物的生长与繁衍，水域中饵料生物及鱼类资源的生物量及生物种类较少。</w:t>
      </w:r>
    </w:p>
    <w:p w14:paraId="6EE208A6">
      <w:pPr>
        <w:pStyle w:val="21"/>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根据当地渔政部门介绍，汨罗市汨罗江河段渔业资源不太丰富，有鱼类20科，90种，水生生物物种比较单一；鱼类主要为四大家鱼，无鱼类的产卵场、索饵场、越冬场，近几年中没有发现过国家一、二级水生野生保护动物。区域无专业渔民，只有极少数副业渔民，年捕捞总量不超过2吨。</w:t>
      </w:r>
    </w:p>
    <w:p w14:paraId="38133D4D">
      <w:pPr>
        <w:pStyle w:val="7"/>
        <w:bidi w:val="0"/>
        <w:rPr>
          <w:rFonts w:hint="eastAsia"/>
          <w:color w:val="auto"/>
          <w:u w:val="none" w:color="auto"/>
          <w:lang w:val="en-US" w:eastAsia="zh-CN"/>
        </w:rPr>
      </w:pPr>
      <w:bookmarkStart w:id="806" w:name="_Toc23316"/>
      <w:bookmarkStart w:id="807" w:name="_Toc15040"/>
      <w:bookmarkStart w:id="808" w:name="_Toc21549"/>
      <w:r>
        <w:rPr>
          <w:rFonts w:hint="eastAsia"/>
          <w:color w:val="auto"/>
          <w:u w:val="none" w:color="auto"/>
          <w:lang w:val="en-US" w:eastAsia="zh-CN"/>
        </w:rPr>
        <w:t>4.2汨罗高新技术产业开发区概况</w:t>
      </w:r>
      <w:bookmarkEnd w:id="806"/>
      <w:bookmarkEnd w:id="807"/>
      <w:bookmarkEnd w:id="808"/>
    </w:p>
    <w:p w14:paraId="6B0510E3">
      <w:pPr>
        <w:pStyle w:val="8"/>
        <w:bidi w:val="0"/>
        <w:rPr>
          <w:rFonts w:hint="eastAsia"/>
          <w:color w:val="auto"/>
          <w:u w:val="none" w:color="auto"/>
          <w:lang w:val="en-US" w:eastAsia="zh-CN"/>
        </w:rPr>
      </w:pPr>
      <w:bookmarkStart w:id="809" w:name="_Toc13878"/>
      <w:bookmarkStart w:id="810" w:name="_Toc31925"/>
      <w:bookmarkStart w:id="811" w:name="_Toc32439"/>
      <w:r>
        <w:rPr>
          <w:rFonts w:hint="eastAsia"/>
          <w:color w:val="auto"/>
          <w:u w:val="none" w:color="auto"/>
          <w:lang w:val="en-US" w:eastAsia="zh-CN"/>
        </w:rPr>
        <w:t>4.2.1园区发展背景</w:t>
      </w:r>
      <w:bookmarkEnd w:id="809"/>
      <w:bookmarkEnd w:id="810"/>
      <w:bookmarkEnd w:id="811"/>
    </w:p>
    <w:p w14:paraId="46F34478">
      <w:pPr>
        <w:pStyle w:val="2"/>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pacing w:val="-4"/>
          <w:sz w:val="24"/>
          <w:szCs w:val="24"/>
          <w:u w:val="none" w:color="auto"/>
        </w:rPr>
      </w:pPr>
      <w:r>
        <w:rPr>
          <w:rFonts w:hint="default" w:ascii="Times New Roman" w:hAnsi="Times New Roman" w:eastAsia="宋体" w:cs="Times New Roman"/>
          <w:color w:val="auto"/>
          <w:spacing w:val="-4"/>
          <w:sz w:val="24"/>
          <w:szCs w:val="24"/>
          <w:u w:val="none" w:color="auto"/>
        </w:rPr>
        <w:t>汨罗高新技术产业开发区前身为1992年湖南省发改委批准成立的改革开放经济试点小区，1994年湖南省人民政府以〔1994〕5号文件正式批准为省级经济开发区，是2006年国家发改委第8号公告通过审核的第十批省级开发区，2006年第19号公告明确了湖南汨罗工业园区由城西片区（1.5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）和新市片区（4.185km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）两部分组成，总面积为5.685km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；2007 年，湖南汨罗工业园被确定为国家首批城市矿产示范基地；2011年3月湖南汨罗循环经济产业园确定为国家循环经济标准化试点单位；2012年经湖南省人民政府批准更名为湖南汨罗循环经济产业园区。</w:t>
      </w:r>
    </w:p>
    <w:p w14:paraId="587A56AC">
      <w:pPr>
        <w:pStyle w:val="2"/>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汨罗市委市政府于</w:t>
      </w:r>
      <w:r>
        <w:rPr>
          <w:rFonts w:hint="default" w:ascii="Times New Roman" w:hAnsi="Times New Roman" w:eastAsia="宋体" w:cs="Times New Roman"/>
          <w:color w:val="auto"/>
          <w:sz w:val="24"/>
          <w:szCs w:val="24"/>
          <w:u w:val="none" w:color="auto"/>
        </w:rPr>
        <w:t>2014年对湖南汨罗循环经济产业园区进行调扩区，调扩区后园</w:t>
      </w:r>
      <w:r>
        <w:rPr>
          <w:rFonts w:hint="default" w:ascii="Times New Roman" w:hAnsi="Times New Roman" w:eastAsia="宋体" w:cs="Times New Roman"/>
          <w:color w:val="auto"/>
          <w:spacing w:val="-3"/>
          <w:sz w:val="24"/>
          <w:szCs w:val="24"/>
          <w:u w:val="none" w:color="auto"/>
        </w:rPr>
        <w:t>区由新市片区和弼时片区组成，并于</w:t>
      </w:r>
      <w:r>
        <w:rPr>
          <w:rFonts w:hint="default" w:ascii="Times New Roman" w:hAnsi="Times New Roman" w:eastAsia="宋体" w:cs="Times New Roman"/>
          <w:color w:val="auto"/>
          <w:sz w:val="24"/>
          <w:szCs w:val="24"/>
          <w:u w:val="none" w:color="auto"/>
        </w:rPr>
        <w:t>2015</w:t>
      </w:r>
      <w:r>
        <w:rPr>
          <w:rFonts w:hint="default" w:ascii="Times New Roman" w:hAnsi="Times New Roman" w:eastAsia="宋体" w:cs="Times New Roman"/>
          <w:color w:val="auto"/>
          <w:spacing w:val="-25"/>
          <w:sz w:val="24"/>
          <w:szCs w:val="24"/>
          <w:u w:val="none" w:color="auto"/>
        </w:rPr>
        <w:t>年</w:t>
      </w:r>
      <w:r>
        <w:rPr>
          <w:rFonts w:hint="default" w:ascii="Times New Roman" w:hAnsi="Times New Roman" w:eastAsia="宋体" w:cs="Times New Roman"/>
          <w:color w:val="auto"/>
          <w:sz w:val="24"/>
          <w:szCs w:val="24"/>
          <w:u w:val="none" w:color="auto"/>
        </w:rPr>
        <w:t>2</w:t>
      </w:r>
      <w:r>
        <w:rPr>
          <w:rFonts w:hint="default" w:ascii="Times New Roman" w:hAnsi="Times New Roman" w:eastAsia="宋体" w:cs="Times New Roman"/>
          <w:color w:val="auto"/>
          <w:spacing w:val="-27"/>
          <w:sz w:val="24"/>
          <w:szCs w:val="24"/>
          <w:u w:val="none" w:color="auto"/>
        </w:rPr>
        <w:t>月</w:t>
      </w:r>
      <w:r>
        <w:rPr>
          <w:rFonts w:hint="default" w:ascii="Times New Roman" w:hAnsi="Times New Roman" w:eastAsia="宋体" w:cs="Times New Roman"/>
          <w:color w:val="auto"/>
          <w:sz w:val="24"/>
          <w:szCs w:val="24"/>
          <w:u w:val="none" w:color="auto"/>
        </w:rPr>
        <w:t>4日取得了湖南省发展和改革委员会</w:t>
      </w:r>
      <w:r>
        <w:rPr>
          <w:rFonts w:hint="default" w:ascii="Times New Roman" w:hAnsi="Times New Roman" w:eastAsia="宋体" w:cs="Times New Roman"/>
          <w:color w:val="auto"/>
          <w:spacing w:val="-2"/>
          <w:sz w:val="24"/>
          <w:szCs w:val="24"/>
          <w:u w:val="none" w:color="auto"/>
        </w:rPr>
        <w:t>《关于湖南汨罗循环经济产业园调区扩区的函》</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pacing w:val="-4"/>
          <w:sz w:val="24"/>
          <w:szCs w:val="24"/>
          <w:u w:val="none" w:color="auto"/>
        </w:rPr>
        <w:t>湘发改函〔</w:t>
      </w:r>
      <w:r>
        <w:rPr>
          <w:rFonts w:hint="default" w:ascii="Times New Roman" w:hAnsi="Times New Roman" w:eastAsia="宋体" w:cs="Times New Roman"/>
          <w:color w:val="auto"/>
          <w:sz w:val="24"/>
          <w:szCs w:val="24"/>
          <w:u w:val="none" w:color="auto"/>
        </w:rPr>
        <w:t>2015</w:t>
      </w:r>
      <w:r>
        <w:rPr>
          <w:rFonts w:hint="default" w:ascii="Times New Roman" w:hAnsi="Times New Roman" w:eastAsia="宋体" w:cs="Times New Roman"/>
          <w:color w:val="auto"/>
          <w:spacing w:val="-20"/>
          <w:sz w:val="24"/>
          <w:szCs w:val="24"/>
          <w:u w:val="none" w:color="auto"/>
        </w:rPr>
        <w:t>〕</w:t>
      </w:r>
      <w:r>
        <w:rPr>
          <w:rFonts w:hint="default" w:ascii="Times New Roman" w:hAnsi="Times New Roman" w:eastAsia="宋体" w:cs="Times New Roman"/>
          <w:color w:val="auto"/>
          <w:sz w:val="24"/>
          <w:szCs w:val="24"/>
          <w:u w:val="none" w:color="auto"/>
        </w:rPr>
        <w:t>45号</w:t>
      </w:r>
      <w:r>
        <w:rPr>
          <w:rFonts w:hint="default" w:ascii="Times New Roman" w:hAnsi="Times New Roman" w:eastAsia="宋体" w:cs="Times New Roman"/>
          <w:color w:val="auto"/>
          <w:spacing w:val="-20"/>
          <w:sz w:val="24"/>
          <w:szCs w:val="24"/>
          <w:u w:val="none" w:color="auto"/>
        </w:rPr>
        <w:t>）</w:t>
      </w:r>
      <w:r>
        <w:rPr>
          <w:rFonts w:hint="default" w:ascii="Times New Roman" w:hAnsi="Times New Roman" w:eastAsia="宋体" w:cs="Times New Roman"/>
          <w:color w:val="auto"/>
          <w:spacing w:val="-7"/>
          <w:sz w:val="24"/>
          <w:szCs w:val="24"/>
          <w:u w:val="none" w:color="auto"/>
        </w:rPr>
        <w:t>。根据湖南</w:t>
      </w:r>
      <w:r>
        <w:rPr>
          <w:rFonts w:hint="default" w:ascii="Times New Roman" w:hAnsi="Times New Roman" w:eastAsia="宋体" w:cs="Times New Roman"/>
          <w:color w:val="auto"/>
          <w:spacing w:val="-2"/>
          <w:sz w:val="24"/>
          <w:szCs w:val="24"/>
          <w:u w:val="none" w:color="auto"/>
        </w:rPr>
        <w:t>省发展和改革委员会关于湖南汨罗循环经济产业园调区扩区的函：到</w:t>
      </w:r>
      <w:r>
        <w:rPr>
          <w:rFonts w:hint="default" w:ascii="Times New Roman" w:hAnsi="Times New Roman" w:eastAsia="宋体" w:cs="Times New Roman"/>
          <w:color w:val="auto"/>
          <w:sz w:val="24"/>
          <w:szCs w:val="24"/>
          <w:u w:val="none" w:color="auto"/>
        </w:rPr>
        <w:t>2020年，园区规</w:t>
      </w:r>
      <w:r>
        <w:rPr>
          <w:rFonts w:hint="default" w:ascii="Times New Roman" w:hAnsi="Times New Roman" w:eastAsia="宋体" w:cs="Times New Roman"/>
          <w:color w:val="auto"/>
          <w:spacing w:val="-10"/>
          <w:sz w:val="24"/>
          <w:szCs w:val="24"/>
          <w:u w:val="none" w:color="auto"/>
        </w:rPr>
        <w:t>划面积由原</w:t>
      </w:r>
      <w:r>
        <w:rPr>
          <w:rFonts w:hint="default" w:ascii="Times New Roman" w:hAnsi="Times New Roman" w:eastAsia="宋体" w:cs="Times New Roman"/>
          <w:color w:val="auto"/>
          <w:sz w:val="24"/>
          <w:szCs w:val="24"/>
          <w:u w:val="none" w:color="auto"/>
        </w:rPr>
        <w:t>5.685km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15"/>
          <w:sz w:val="24"/>
          <w:szCs w:val="24"/>
          <w:u w:val="none" w:color="auto"/>
        </w:rPr>
        <w:t>调整至</w:t>
      </w:r>
      <w:r>
        <w:rPr>
          <w:rFonts w:hint="default" w:ascii="Times New Roman" w:hAnsi="Times New Roman" w:eastAsia="宋体" w:cs="Times New Roman"/>
          <w:color w:val="auto"/>
          <w:sz w:val="24"/>
          <w:szCs w:val="24"/>
          <w:u w:val="none" w:color="auto"/>
        </w:rPr>
        <w:t>9.6291km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8"/>
          <w:sz w:val="24"/>
          <w:szCs w:val="24"/>
          <w:u w:val="none" w:color="auto"/>
        </w:rPr>
        <w:t>。根据《中国开发区审核公告目录》</w:t>
      </w:r>
      <w:r>
        <w:rPr>
          <w:rFonts w:hint="default" w:ascii="Times New Roman" w:hAnsi="Times New Roman" w:eastAsia="宋体" w:cs="Times New Roman"/>
          <w:color w:val="auto"/>
          <w:sz w:val="24"/>
          <w:szCs w:val="24"/>
          <w:u w:val="none" w:color="auto"/>
        </w:rPr>
        <w:t>（2018</w:t>
      </w:r>
      <w:r>
        <w:rPr>
          <w:rFonts w:hint="default" w:ascii="Times New Roman" w:hAnsi="Times New Roman" w:eastAsia="宋体" w:cs="Times New Roman"/>
          <w:color w:val="auto"/>
          <w:spacing w:val="-7"/>
          <w:sz w:val="24"/>
          <w:szCs w:val="24"/>
          <w:u w:val="none" w:color="auto"/>
        </w:rPr>
        <w:t>年第</w:t>
      </w:r>
      <w:r>
        <w:rPr>
          <w:rFonts w:hint="default" w:ascii="Times New Roman" w:hAnsi="Times New Roman" w:eastAsia="宋体" w:cs="Times New Roman"/>
          <w:color w:val="auto"/>
          <w:sz w:val="24"/>
          <w:szCs w:val="24"/>
          <w:u w:val="none" w:color="auto"/>
        </w:rPr>
        <w:t>4</w:t>
      </w:r>
      <w:r>
        <w:rPr>
          <w:rFonts w:hint="default" w:ascii="Times New Roman" w:hAnsi="Times New Roman" w:eastAsia="宋体" w:cs="Times New Roman"/>
          <w:color w:val="auto"/>
          <w:spacing w:val="15"/>
          <w:sz w:val="24"/>
          <w:szCs w:val="24"/>
          <w:u w:val="none" w:color="auto"/>
        </w:rPr>
        <w:t>号公告）</w:t>
      </w:r>
      <w:r>
        <w:rPr>
          <w:rFonts w:hint="default" w:ascii="Times New Roman" w:hAnsi="Times New Roman" w:eastAsia="宋体" w:cs="Times New Roman"/>
          <w:color w:val="auto"/>
          <w:spacing w:val="5"/>
          <w:sz w:val="24"/>
          <w:szCs w:val="24"/>
          <w:u w:val="none" w:color="auto"/>
        </w:rPr>
        <w:t>，园区核准面积为</w:t>
      </w:r>
      <w:r>
        <w:rPr>
          <w:rFonts w:hint="default" w:ascii="Times New Roman" w:hAnsi="Times New Roman" w:eastAsia="宋体" w:cs="Times New Roman"/>
          <w:color w:val="auto"/>
          <w:sz w:val="24"/>
          <w:szCs w:val="24"/>
          <w:u w:val="none" w:color="auto"/>
        </w:rPr>
        <w:t>9.1913km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16"/>
          <w:sz w:val="24"/>
          <w:szCs w:val="24"/>
          <w:u w:val="none" w:color="auto"/>
        </w:rPr>
        <w:t>（</w:t>
      </w:r>
      <w:r>
        <w:rPr>
          <w:rFonts w:hint="default" w:ascii="Times New Roman" w:hAnsi="Times New Roman" w:eastAsia="宋体" w:cs="Times New Roman"/>
          <w:color w:val="auto"/>
          <w:spacing w:val="5"/>
          <w:sz w:val="24"/>
          <w:szCs w:val="24"/>
          <w:u w:val="none" w:color="auto"/>
        </w:rPr>
        <w:t>其中新市片区为</w:t>
      </w:r>
      <w:r>
        <w:rPr>
          <w:rFonts w:hint="default" w:ascii="Times New Roman" w:hAnsi="Times New Roman" w:eastAsia="宋体" w:cs="Times New Roman"/>
          <w:color w:val="auto"/>
          <w:sz w:val="24"/>
          <w:szCs w:val="24"/>
          <w:u w:val="none" w:color="auto"/>
        </w:rPr>
        <w:t>6.3738km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21"/>
          <w:position w:val="8"/>
          <w:sz w:val="24"/>
          <w:szCs w:val="24"/>
          <w:u w:val="none" w:color="auto"/>
        </w:rPr>
        <w:t xml:space="preserve"> </w:t>
      </w:r>
      <w:r>
        <w:rPr>
          <w:rFonts w:hint="default" w:ascii="Times New Roman" w:hAnsi="Times New Roman" w:eastAsia="宋体" w:cs="Times New Roman"/>
          <w:color w:val="auto"/>
          <w:spacing w:val="11"/>
          <w:sz w:val="24"/>
          <w:szCs w:val="24"/>
          <w:u w:val="none" w:color="auto"/>
        </w:rPr>
        <w:t>，弼时片区为</w:t>
      </w:r>
      <w:r>
        <w:rPr>
          <w:rFonts w:hint="default" w:ascii="Times New Roman" w:hAnsi="Times New Roman" w:eastAsia="宋体" w:cs="Times New Roman"/>
          <w:color w:val="auto"/>
          <w:sz w:val="24"/>
          <w:szCs w:val="24"/>
          <w:u w:val="none" w:color="auto"/>
        </w:rPr>
        <w:t>2.8175km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pacing w:val="-5"/>
          <w:sz w:val="24"/>
          <w:szCs w:val="24"/>
          <w:u w:val="none" w:color="auto"/>
        </w:rPr>
        <w:t>。根据湖南省人民政府于</w:t>
      </w:r>
      <w:r>
        <w:rPr>
          <w:rFonts w:hint="default" w:ascii="Times New Roman" w:hAnsi="Times New Roman" w:eastAsia="宋体" w:cs="Times New Roman"/>
          <w:color w:val="auto"/>
          <w:sz w:val="24"/>
          <w:szCs w:val="24"/>
          <w:u w:val="none" w:color="auto"/>
        </w:rPr>
        <w:t>2018</w:t>
      </w:r>
      <w:r>
        <w:rPr>
          <w:rFonts w:hint="default" w:ascii="Times New Roman" w:hAnsi="Times New Roman" w:eastAsia="宋体" w:cs="Times New Roman"/>
          <w:color w:val="auto"/>
          <w:spacing w:val="-27"/>
          <w:sz w:val="24"/>
          <w:szCs w:val="24"/>
          <w:u w:val="none" w:color="auto"/>
        </w:rPr>
        <w:t>年</w:t>
      </w:r>
      <w:r>
        <w:rPr>
          <w:rFonts w:hint="default" w:ascii="Times New Roman" w:hAnsi="Times New Roman" w:eastAsia="宋体" w:cs="Times New Roman"/>
          <w:color w:val="auto"/>
          <w:sz w:val="24"/>
          <w:szCs w:val="24"/>
          <w:u w:val="none" w:color="auto"/>
        </w:rPr>
        <w:t>1</w:t>
      </w:r>
      <w:r>
        <w:rPr>
          <w:rFonts w:hint="default" w:ascii="Times New Roman" w:hAnsi="Times New Roman" w:eastAsia="宋体" w:cs="Times New Roman"/>
          <w:color w:val="auto"/>
          <w:spacing w:val="-28"/>
          <w:sz w:val="24"/>
          <w:szCs w:val="24"/>
          <w:u w:val="none" w:color="auto"/>
        </w:rPr>
        <w:t>月</w:t>
      </w:r>
      <w:r>
        <w:rPr>
          <w:rFonts w:hint="default" w:ascii="Times New Roman" w:hAnsi="Times New Roman" w:eastAsia="宋体" w:cs="Times New Roman"/>
          <w:color w:val="auto"/>
          <w:sz w:val="24"/>
          <w:szCs w:val="24"/>
          <w:u w:val="none" w:color="auto"/>
        </w:rPr>
        <w:t>23</w:t>
      </w:r>
      <w:r>
        <w:rPr>
          <w:rFonts w:hint="default" w:ascii="Times New Roman" w:hAnsi="Times New Roman" w:eastAsia="宋体" w:cs="Times New Roman"/>
          <w:color w:val="auto"/>
          <w:spacing w:val="-10"/>
          <w:sz w:val="24"/>
          <w:szCs w:val="24"/>
          <w:u w:val="none" w:color="auto"/>
        </w:rPr>
        <w:t>日关于设立</w:t>
      </w:r>
      <w:r>
        <w:rPr>
          <w:rFonts w:hint="default" w:ascii="Times New Roman" w:hAnsi="Times New Roman" w:eastAsia="宋体" w:cs="Times New Roman"/>
          <w:color w:val="auto"/>
          <w:sz w:val="24"/>
          <w:szCs w:val="24"/>
          <w:u w:val="none" w:color="auto"/>
        </w:rPr>
        <w:t>9个高新技术产业开</w:t>
      </w:r>
      <w:r>
        <w:rPr>
          <w:rFonts w:hint="default" w:ascii="Times New Roman" w:hAnsi="Times New Roman" w:eastAsia="宋体" w:cs="Times New Roman"/>
          <w:color w:val="auto"/>
          <w:spacing w:val="-7"/>
          <w:sz w:val="24"/>
          <w:szCs w:val="24"/>
          <w:u w:val="none" w:color="auto"/>
        </w:rPr>
        <w:t>发区的批复，湖南汨罗循环经济产业园区已更名为汨罗高新技术产业开发区，更名后园</w:t>
      </w:r>
      <w:r>
        <w:rPr>
          <w:rFonts w:hint="default" w:ascii="Times New Roman" w:hAnsi="Times New Roman" w:eastAsia="宋体" w:cs="Times New Roman"/>
          <w:color w:val="auto"/>
          <w:sz w:val="24"/>
          <w:szCs w:val="24"/>
          <w:u w:val="none" w:color="auto"/>
        </w:rPr>
        <w:t>区的核准面积不变。</w:t>
      </w:r>
    </w:p>
    <w:p w14:paraId="6A226D6C">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汨罗市委市政府于2019年对汨罗高新技术产业开发区进行调扩区，调扩区后园区总规划面积为9.3913km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（新市片区西片区调出0.42km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position w:val="8"/>
          <w:sz w:val="24"/>
          <w:szCs w:val="24"/>
          <w:u w:val="none" w:color="auto"/>
        </w:rPr>
        <w:t xml:space="preserve"> </w:t>
      </w:r>
      <w:r>
        <w:rPr>
          <w:rFonts w:hint="default" w:ascii="Times New Roman" w:hAnsi="Times New Roman" w:eastAsia="宋体" w:cs="Times New Roman"/>
          <w:color w:val="auto"/>
          <w:sz w:val="24"/>
          <w:szCs w:val="24"/>
          <w:u w:val="none" w:color="auto"/>
        </w:rPr>
        <w:t>至新市片区东片区并新增0.2km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，弼时片区与2018 年核准的范围保持一致）。</w:t>
      </w:r>
    </w:p>
    <w:p w14:paraId="767F0ABE">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2022 年8月2日，《湖南省发展和改革委员会、湖南省自然资源厅关于发布湖南省省级及以上产业园区边界面积及四至范围目录的通知》（湘发改园区[2022]601号）核准了汨罗高新技术产业开发区边界面积及四至范围：总面积951.43公顷，由3个区块组成，区块一（新市片西片区）453.58公顷，四至范围为东至新市街，南至金塘路，西至武广东路，北至汩江大道；区块二（新市片东片区）216.09公顷，四至范围为东至湄江路，南至金塘路，西至G107国道，北至汩新大道；区块三（弼时片）281.76公顷，四至范围为东至富强路，南至坪上南路，西至坪上路，北至王家园路。</w:t>
      </w:r>
    </w:p>
    <w:p w14:paraId="77BCE526">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2023年10月19日，湖南省发展和改革委员会《关于同意汨罗高新技术产业开发区开展扩区前期工作的函》（湘发改函[2023]71号）。2023年11月21日湖南省自然资源厅《湖南省自然资源厅关于汨罗高新技术产业开发区扩区用地审核意见的函》，原则同意汨罗高新技术产业开发区在2022年经省人民政府同意核实其边界范围总面积951.43公顷的基础上，将592.24公顷依扩区程序调入四至边界范围。</w:t>
      </w:r>
    </w:p>
    <w:p w14:paraId="0E317498">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2024年5月14日，湖南省生态环境厅在长沙市主持召开了《汨罗高新技术产业开发区扩区规划环境影响报告书环境影响报告书》审查会，并顺利通过，目前已下达审查意见的函。根据《汨罗高新技术产业开发区扩区规划环境影响报告书》、《关于&lt;汨罗高新技术产业开发区扩区规划环境影响报告书&gt;审查意见的函》（湘环评函【2024】41号），扩区后，汨罗高新区规划总面积1543.67公顷，为一区两园，规划总范围包括：湖南汨罗循环经济产业园（新市片）西片区东至莲花路（规划路），南至车站大道（规划路），西至武广高铁，北至汨罗江大道路，规划面积为573.52公顷；湖南汨罗循环经济产业园（新市片）东片区东至湄江河，南至车站大道（规划路）以南600米，西至G107国道，北至汩新大道，规划面积为459.39公顷；湖南工程机械配套产业园（弼时片）东至原G107国道，南至三角塘路以南300米，西至万家丽北路（规划路），北至新G107路，规划面积为510.76公顷。</w:t>
      </w:r>
    </w:p>
    <w:p w14:paraId="6B511046">
      <w:pPr>
        <w:pStyle w:val="8"/>
        <w:bidi w:val="0"/>
        <w:rPr>
          <w:rFonts w:hint="default"/>
          <w:color w:val="auto"/>
          <w:u w:val="none" w:color="auto"/>
          <w:lang w:val="en-US" w:eastAsia="zh-CN"/>
        </w:rPr>
      </w:pPr>
      <w:bookmarkStart w:id="812" w:name="_Toc32145"/>
      <w:bookmarkStart w:id="813" w:name="_Toc30434"/>
      <w:bookmarkStart w:id="814" w:name="_Toc11099"/>
      <w:r>
        <w:rPr>
          <w:rFonts w:hint="eastAsia"/>
          <w:color w:val="auto"/>
          <w:u w:val="none" w:color="auto"/>
          <w:lang w:val="en-US" w:eastAsia="zh-CN"/>
        </w:rPr>
        <w:t>4.2.2园区规划概况</w:t>
      </w:r>
      <w:bookmarkEnd w:id="812"/>
      <w:bookmarkEnd w:id="813"/>
      <w:bookmarkEnd w:id="814"/>
    </w:p>
    <w:p w14:paraId="6DB9E1DD">
      <w:pPr>
        <w:pStyle w:val="2"/>
        <w:spacing w:line="360" w:lineRule="auto"/>
        <w:ind w:left="0" w:firstLine="482"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rPr>
        <w:t xml:space="preserve"> 规划范围</w:t>
      </w:r>
    </w:p>
    <w:p w14:paraId="6E794800">
      <w:pPr>
        <w:pStyle w:val="21"/>
        <w:bidi w:val="0"/>
        <w:rPr>
          <w:rFonts w:hint="default"/>
          <w:color w:val="auto"/>
          <w:u w:val="none" w:color="auto"/>
        </w:rPr>
      </w:pPr>
      <w:r>
        <w:rPr>
          <w:rFonts w:hint="default"/>
          <w:color w:val="auto"/>
          <w:u w:val="none" w:color="auto"/>
        </w:rPr>
        <w:t>最新规划年限为2022-2035年。汨罗高新技术产业开发区由新市片区和弼时片区组成，总规划总面积为1543.67公顷，其中新市片区规划总面积为1032.91公顷，弼时片区为510.76公顷，规划四至范围见表</w:t>
      </w:r>
      <w:r>
        <w:rPr>
          <w:rFonts w:hint="eastAsia"/>
          <w:color w:val="auto"/>
          <w:u w:val="none" w:color="auto"/>
          <w:lang w:val="en-US" w:eastAsia="zh-CN"/>
        </w:rPr>
        <w:t>4</w:t>
      </w:r>
      <w:r>
        <w:rPr>
          <w:rFonts w:hint="default"/>
          <w:color w:val="auto"/>
          <w:u w:val="none" w:color="auto"/>
        </w:rPr>
        <w:t>.2-1。</w:t>
      </w:r>
    </w:p>
    <w:p w14:paraId="43374F64">
      <w:pPr>
        <w:pStyle w:val="23"/>
        <w:bidi w:val="0"/>
        <w:rPr>
          <w:rFonts w:hint="default"/>
          <w:color w:val="auto"/>
          <w:u w:val="none" w:color="auto"/>
        </w:rPr>
      </w:pPr>
      <w:r>
        <w:rPr>
          <w:rFonts w:hint="default"/>
          <w:color w:val="auto"/>
          <w:u w:val="none" w:color="auto"/>
        </w:rPr>
        <w:t xml:space="preserve">表 </w:t>
      </w:r>
      <w:r>
        <w:rPr>
          <w:rFonts w:hint="eastAsia"/>
          <w:color w:val="auto"/>
          <w:u w:val="none" w:color="auto"/>
          <w:lang w:val="en-US" w:eastAsia="zh-CN"/>
        </w:rPr>
        <w:t>4</w:t>
      </w:r>
      <w:r>
        <w:rPr>
          <w:rFonts w:hint="default"/>
          <w:color w:val="auto"/>
          <w:u w:val="none" w:color="auto"/>
        </w:rPr>
        <w:t xml:space="preserve">.2-1  </w:t>
      </w:r>
      <w:r>
        <w:rPr>
          <w:rFonts w:hint="default"/>
          <w:color w:val="auto"/>
          <w:u w:val="none" w:color="auto"/>
          <w:lang w:eastAsia="zh-CN"/>
        </w:rPr>
        <w:t>园区</w:t>
      </w:r>
      <w:r>
        <w:rPr>
          <w:rFonts w:hint="default"/>
          <w:color w:val="auto"/>
          <w:u w:val="none" w:color="auto"/>
        </w:rPr>
        <w:t>规划四至范围一览表</w:t>
      </w:r>
    </w:p>
    <w:tbl>
      <w:tblPr>
        <w:tblStyle w:val="43"/>
        <w:tblW w:w="850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1397"/>
        <w:gridCol w:w="648"/>
        <w:gridCol w:w="4332"/>
        <w:gridCol w:w="2127"/>
      </w:tblGrid>
      <w:tr w14:paraId="25DF1B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21" w:type="pct"/>
            <w:tcBorders>
              <w:tl2br w:val="nil"/>
              <w:tr2bl w:val="nil"/>
            </w:tcBorders>
            <w:noWrap w:val="0"/>
            <w:vAlign w:val="center"/>
          </w:tcPr>
          <w:p w14:paraId="08C26B18">
            <w:pPr>
              <w:pStyle w:val="42"/>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产业开发区</w:t>
            </w:r>
          </w:p>
        </w:tc>
        <w:tc>
          <w:tcPr>
            <w:tcW w:w="381" w:type="pct"/>
            <w:tcBorders>
              <w:tl2br w:val="nil"/>
              <w:tr2bl w:val="nil"/>
            </w:tcBorders>
            <w:noWrap w:val="0"/>
            <w:vAlign w:val="center"/>
          </w:tcPr>
          <w:p w14:paraId="62204B55">
            <w:pPr>
              <w:pStyle w:val="42"/>
              <w:rPr>
                <w:rFonts w:hint="default" w:ascii="Times New Roman" w:hAnsi="Times New Roman" w:eastAsia="宋体" w:cs="Times New Roman"/>
                <w:b/>
                <w:bCs/>
                <w:color w:val="auto"/>
                <w:spacing w:val="-7"/>
                <w:szCs w:val="21"/>
                <w:u w:val="none" w:color="auto"/>
              </w:rPr>
            </w:pPr>
            <w:r>
              <w:rPr>
                <w:rFonts w:hint="default" w:ascii="Times New Roman" w:hAnsi="Times New Roman" w:eastAsia="宋体" w:cs="Times New Roman"/>
                <w:b/>
                <w:bCs/>
                <w:color w:val="auto"/>
                <w:spacing w:val="-7"/>
                <w:szCs w:val="21"/>
                <w:u w:val="none" w:color="auto"/>
              </w:rPr>
              <w:t>片区</w:t>
            </w:r>
          </w:p>
        </w:tc>
        <w:tc>
          <w:tcPr>
            <w:tcW w:w="2546" w:type="pct"/>
            <w:tcBorders>
              <w:tl2br w:val="nil"/>
              <w:tr2bl w:val="nil"/>
            </w:tcBorders>
            <w:noWrap w:val="0"/>
            <w:vAlign w:val="center"/>
          </w:tcPr>
          <w:p w14:paraId="39B1B1D3">
            <w:pPr>
              <w:pStyle w:val="42"/>
              <w:rPr>
                <w:rFonts w:hint="default" w:ascii="Times New Roman" w:hAnsi="Times New Roman" w:eastAsia="宋体" w:cs="Times New Roman"/>
                <w:b/>
                <w:bCs/>
                <w:color w:val="auto"/>
                <w:spacing w:val="-7"/>
                <w:szCs w:val="21"/>
                <w:u w:val="none" w:color="auto"/>
              </w:rPr>
            </w:pPr>
            <w:r>
              <w:rPr>
                <w:rFonts w:hint="default" w:ascii="Times New Roman" w:hAnsi="Times New Roman" w:eastAsia="宋体" w:cs="Times New Roman"/>
                <w:b/>
                <w:bCs/>
                <w:color w:val="auto"/>
                <w:spacing w:val="-7"/>
                <w:szCs w:val="21"/>
                <w:u w:val="none" w:color="auto"/>
              </w:rPr>
              <w:t>四至范围</w:t>
            </w:r>
          </w:p>
        </w:tc>
        <w:tc>
          <w:tcPr>
            <w:tcW w:w="1250" w:type="pct"/>
            <w:tcBorders>
              <w:tl2br w:val="nil"/>
              <w:tr2bl w:val="nil"/>
            </w:tcBorders>
            <w:noWrap w:val="0"/>
            <w:vAlign w:val="center"/>
          </w:tcPr>
          <w:p w14:paraId="233E3FAF">
            <w:pPr>
              <w:pStyle w:val="42"/>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规划范围</w:t>
            </w:r>
          </w:p>
        </w:tc>
      </w:tr>
      <w:tr w14:paraId="577FAC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217" w:hRule="atLeast"/>
        </w:trPr>
        <w:tc>
          <w:tcPr>
            <w:tcW w:w="821" w:type="pct"/>
            <w:vMerge w:val="restart"/>
            <w:tcBorders>
              <w:tl2br w:val="nil"/>
              <w:tr2bl w:val="nil"/>
            </w:tcBorders>
            <w:noWrap w:val="0"/>
            <w:vAlign w:val="center"/>
          </w:tcPr>
          <w:p w14:paraId="17B108AA">
            <w:pPr>
              <w:pStyle w:val="25"/>
              <w:bidi w:val="0"/>
              <w:rPr>
                <w:rFonts w:hint="default"/>
                <w:color w:val="auto"/>
                <w:u w:val="none" w:color="auto"/>
              </w:rPr>
            </w:pPr>
            <w:r>
              <w:rPr>
                <w:rFonts w:hint="default"/>
                <w:color w:val="auto"/>
                <w:u w:val="none" w:color="auto"/>
              </w:rPr>
              <w:t>汨罗高新技术产业开发区</w:t>
            </w:r>
          </w:p>
        </w:tc>
        <w:tc>
          <w:tcPr>
            <w:tcW w:w="381" w:type="pct"/>
            <w:tcBorders>
              <w:tl2br w:val="nil"/>
              <w:tr2bl w:val="nil"/>
            </w:tcBorders>
            <w:noWrap w:val="0"/>
            <w:vAlign w:val="center"/>
          </w:tcPr>
          <w:p w14:paraId="0A2A3267">
            <w:pPr>
              <w:pStyle w:val="25"/>
              <w:bidi w:val="0"/>
              <w:rPr>
                <w:rFonts w:hint="default"/>
                <w:color w:val="auto"/>
                <w:u w:val="none" w:color="auto"/>
              </w:rPr>
            </w:pPr>
            <w:r>
              <w:rPr>
                <w:rFonts w:hint="default"/>
                <w:color w:val="auto"/>
                <w:u w:val="none" w:color="auto"/>
              </w:rPr>
              <w:t>新市片区</w:t>
            </w:r>
          </w:p>
        </w:tc>
        <w:tc>
          <w:tcPr>
            <w:tcW w:w="2546" w:type="pct"/>
            <w:tcBorders>
              <w:tl2br w:val="nil"/>
              <w:tr2bl w:val="nil"/>
            </w:tcBorders>
            <w:noWrap w:val="0"/>
            <w:vAlign w:val="center"/>
          </w:tcPr>
          <w:p w14:paraId="53A111B7">
            <w:pPr>
              <w:pStyle w:val="25"/>
              <w:bidi w:val="0"/>
              <w:rPr>
                <w:rFonts w:hint="default"/>
                <w:color w:val="auto"/>
                <w:u w:val="none" w:color="auto"/>
              </w:rPr>
            </w:pPr>
            <w:r>
              <w:rPr>
                <w:rFonts w:hint="default"/>
                <w:color w:val="auto"/>
                <w:u w:val="none" w:color="auto"/>
              </w:rPr>
              <w:t>新市西片区：东至莲花路（规划路），南至车站大道（规划路），西至武广高铁，北至汨罗江大道路。</w:t>
            </w:r>
          </w:p>
          <w:p w14:paraId="2A7572DC">
            <w:pPr>
              <w:pStyle w:val="25"/>
              <w:bidi w:val="0"/>
              <w:rPr>
                <w:rFonts w:hint="default"/>
                <w:color w:val="auto"/>
                <w:u w:val="none" w:color="auto"/>
              </w:rPr>
            </w:pPr>
            <w:r>
              <w:rPr>
                <w:rFonts w:hint="default"/>
                <w:color w:val="auto"/>
                <w:u w:val="none" w:color="auto"/>
              </w:rPr>
              <w:t>新市东片区：东至湄江河，南至车站大道（规划路）以南600米，西至G107国道，北至汨新大道</w:t>
            </w:r>
          </w:p>
        </w:tc>
        <w:tc>
          <w:tcPr>
            <w:tcW w:w="1250" w:type="pct"/>
            <w:tcBorders>
              <w:tl2br w:val="nil"/>
              <w:tr2bl w:val="nil"/>
            </w:tcBorders>
            <w:noWrap w:val="0"/>
            <w:vAlign w:val="center"/>
          </w:tcPr>
          <w:p w14:paraId="1B3BBC53">
            <w:pPr>
              <w:pStyle w:val="25"/>
              <w:bidi w:val="0"/>
              <w:rPr>
                <w:rFonts w:hint="default"/>
                <w:color w:val="auto"/>
                <w:u w:val="none" w:color="auto"/>
              </w:rPr>
            </w:pPr>
            <w:r>
              <w:rPr>
                <w:rFonts w:hint="default"/>
                <w:color w:val="auto"/>
                <w:u w:val="none" w:color="auto"/>
              </w:rPr>
              <w:t>规划总用地面积1032.91公顷，其中新市西片区为573.52公顷，新市东片区为459.39公顷</w:t>
            </w:r>
          </w:p>
        </w:tc>
      </w:tr>
      <w:tr w14:paraId="0030F7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821" w:type="pct"/>
            <w:vMerge w:val="continue"/>
            <w:tcBorders>
              <w:tl2br w:val="nil"/>
              <w:tr2bl w:val="nil"/>
            </w:tcBorders>
            <w:noWrap w:val="0"/>
            <w:vAlign w:val="center"/>
          </w:tcPr>
          <w:p w14:paraId="38621345">
            <w:pPr>
              <w:pStyle w:val="25"/>
              <w:bidi w:val="0"/>
              <w:rPr>
                <w:rFonts w:hint="default"/>
                <w:color w:val="auto"/>
                <w:u w:val="none" w:color="auto"/>
              </w:rPr>
            </w:pPr>
          </w:p>
        </w:tc>
        <w:tc>
          <w:tcPr>
            <w:tcW w:w="381" w:type="pct"/>
            <w:tcBorders>
              <w:tl2br w:val="nil"/>
              <w:tr2bl w:val="nil"/>
            </w:tcBorders>
            <w:noWrap w:val="0"/>
            <w:vAlign w:val="center"/>
          </w:tcPr>
          <w:p w14:paraId="4D9D54B2">
            <w:pPr>
              <w:pStyle w:val="25"/>
              <w:bidi w:val="0"/>
              <w:rPr>
                <w:rFonts w:hint="default"/>
                <w:color w:val="auto"/>
                <w:u w:val="none" w:color="auto"/>
              </w:rPr>
            </w:pPr>
            <w:r>
              <w:rPr>
                <w:rFonts w:hint="default"/>
                <w:color w:val="auto"/>
                <w:u w:val="none" w:color="auto"/>
              </w:rPr>
              <w:t>弼时</w:t>
            </w:r>
          </w:p>
          <w:p w14:paraId="5190D0EA">
            <w:pPr>
              <w:pStyle w:val="25"/>
              <w:bidi w:val="0"/>
              <w:rPr>
                <w:rFonts w:hint="default"/>
                <w:color w:val="auto"/>
                <w:u w:val="none" w:color="auto"/>
              </w:rPr>
            </w:pPr>
            <w:r>
              <w:rPr>
                <w:rFonts w:hint="default"/>
                <w:color w:val="auto"/>
                <w:u w:val="none" w:color="auto"/>
              </w:rPr>
              <w:t>片区</w:t>
            </w:r>
          </w:p>
        </w:tc>
        <w:tc>
          <w:tcPr>
            <w:tcW w:w="2546" w:type="pct"/>
            <w:tcBorders>
              <w:tl2br w:val="nil"/>
              <w:tr2bl w:val="nil"/>
            </w:tcBorders>
            <w:noWrap w:val="0"/>
            <w:vAlign w:val="center"/>
          </w:tcPr>
          <w:p w14:paraId="23568717">
            <w:pPr>
              <w:pStyle w:val="25"/>
              <w:bidi w:val="0"/>
              <w:rPr>
                <w:rFonts w:hint="default"/>
                <w:color w:val="auto"/>
                <w:u w:val="none" w:color="auto"/>
              </w:rPr>
            </w:pPr>
            <w:r>
              <w:rPr>
                <w:rFonts w:hint="default"/>
                <w:color w:val="auto"/>
                <w:u w:val="none" w:color="auto"/>
              </w:rPr>
              <w:t>东至原G107国道，南至三角塘路以南300米，西至万家丽北路（规划路），北至新G107路</w:t>
            </w:r>
          </w:p>
        </w:tc>
        <w:tc>
          <w:tcPr>
            <w:tcW w:w="1250" w:type="pct"/>
            <w:tcBorders>
              <w:tl2br w:val="nil"/>
              <w:tr2bl w:val="nil"/>
            </w:tcBorders>
            <w:noWrap w:val="0"/>
            <w:vAlign w:val="center"/>
          </w:tcPr>
          <w:p w14:paraId="2FFFBF24">
            <w:pPr>
              <w:pStyle w:val="25"/>
              <w:bidi w:val="0"/>
              <w:rPr>
                <w:rFonts w:hint="default"/>
                <w:color w:val="auto"/>
                <w:u w:val="none" w:color="auto"/>
              </w:rPr>
            </w:pPr>
            <w:r>
              <w:rPr>
                <w:rFonts w:hint="default"/>
                <w:color w:val="auto"/>
                <w:u w:val="none" w:color="auto"/>
              </w:rPr>
              <w:t>规划总用地面积为</w:t>
            </w:r>
            <w:r>
              <w:rPr>
                <w:rFonts w:hint="eastAsia"/>
                <w:color w:val="auto"/>
                <w:u w:val="none" w:color="auto"/>
                <w:lang w:val="en-US" w:eastAsia="zh-CN"/>
              </w:rPr>
              <w:t>510.76</w:t>
            </w:r>
            <w:r>
              <w:rPr>
                <w:rFonts w:hint="default"/>
                <w:color w:val="auto"/>
                <w:u w:val="none" w:color="auto"/>
              </w:rPr>
              <w:t>公顷</w:t>
            </w:r>
          </w:p>
        </w:tc>
      </w:tr>
    </w:tbl>
    <w:p w14:paraId="6FAB13D9">
      <w:pPr>
        <w:pStyle w:val="2"/>
        <w:spacing w:line="360" w:lineRule="auto"/>
        <w:ind w:left="0" w:firstLine="482" w:firstLineChars="200"/>
        <w:rPr>
          <w:rFonts w:hint="default" w:ascii="Times New Roman" w:hAnsi="Times New Roman" w:eastAsia="宋体" w:cs="Times New Roman"/>
          <w:b/>
          <w:bCs/>
          <w:color w:val="auto"/>
          <w:sz w:val="24"/>
          <w:szCs w:val="24"/>
          <w:u w:val="none" w:color="auto"/>
          <w:lang w:eastAsia="zh-CN"/>
        </w:rPr>
      </w:pPr>
      <w:bookmarkStart w:id="815" w:name="5.2.2.2产业定位"/>
      <w:bookmarkEnd w:id="815"/>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eastAsia="zh-CN"/>
        </w:rPr>
        <w:t>）产业定位</w:t>
      </w:r>
    </w:p>
    <w:p w14:paraId="5CCF6C04">
      <w:pPr>
        <w:pStyle w:val="21"/>
        <w:bidi w:val="0"/>
        <w:rPr>
          <w:rFonts w:hint="default"/>
          <w:color w:val="auto"/>
          <w:u w:val="none" w:color="auto"/>
        </w:rPr>
      </w:pPr>
      <w:r>
        <w:rPr>
          <w:rFonts w:hint="default"/>
          <w:color w:val="auto"/>
          <w:u w:val="none" w:color="auto"/>
        </w:rPr>
        <w:t>《中国开发区审核公告目录（2018 年版）》核准汨罗高新技术产业开发区的主导产业为：再生资源、电子信息、机械。</w:t>
      </w:r>
    </w:p>
    <w:p w14:paraId="209A3F40">
      <w:pPr>
        <w:pStyle w:val="21"/>
        <w:bidi w:val="0"/>
        <w:rPr>
          <w:rFonts w:hint="default"/>
          <w:color w:val="auto"/>
          <w:u w:val="none" w:color="auto"/>
        </w:rPr>
      </w:pPr>
      <w:r>
        <w:rPr>
          <w:rFonts w:hint="default"/>
          <w:color w:val="auto"/>
          <w:u w:val="none" w:color="auto"/>
        </w:rPr>
        <w:t>《湖南省生态环境厅关于&lt;汨罗高新技术产业开发区调区扩区总体规划环境影响报告书&gt;审查意见的函》（湘环评函[2019]8号）中汨罗高新技术产业开发区的主导产业：以再生资源加工回收利用、有色金属精深加工、先进制造产业为主导，辅以发展安防建材、新材料、电子信息三大特色产业。</w:t>
      </w:r>
    </w:p>
    <w:p w14:paraId="23880023">
      <w:pPr>
        <w:pStyle w:val="21"/>
        <w:bidi w:val="0"/>
        <w:rPr>
          <w:rFonts w:hint="default"/>
          <w:color w:val="auto"/>
          <w:u w:val="none" w:color="auto"/>
        </w:rPr>
      </w:pPr>
      <w:r>
        <w:rPr>
          <w:rFonts w:hint="default"/>
          <w:color w:val="auto"/>
          <w:u w:val="none" w:color="auto"/>
        </w:rPr>
        <w:t>根据《湖南汨罗高新技术产业开发区产业发展规划（2022-2027）》及其批复（汨政函[2023]90号），汨罗高新技术产业开发区将通过打</w:t>
      </w:r>
      <w:r>
        <w:rPr>
          <w:rFonts w:hint="eastAsia" w:ascii="宋体" w:hAnsi="宋体" w:eastAsia="宋体" w:cs="宋体"/>
          <w:color w:val="auto"/>
          <w:u w:val="none" w:color="auto"/>
        </w:rPr>
        <w:t>造“一园一主一特” 和新兴产业，即新市片（湖南汨罗循环经济产业园）以“废弃资源综合利用产业” 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层次分明、科</w:t>
      </w:r>
      <w:r>
        <w:rPr>
          <w:rFonts w:hint="default"/>
          <w:color w:val="auto"/>
          <w:u w:val="none" w:color="auto"/>
        </w:rPr>
        <w:t>学合理的产业定位组合，以绿色循环经济推动该地区的可持续高质量增长。</w:t>
      </w:r>
    </w:p>
    <w:p w14:paraId="3C24D2DC">
      <w:pPr>
        <w:pStyle w:val="8"/>
        <w:bidi w:val="0"/>
        <w:rPr>
          <w:rFonts w:hint="eastAsia"/>
          <w:color w:val="auto"/>
          <w:u w:val="none" w:color="auto"/>
          <w:lang w:val="en-US" w:eastAsia="zh-CN"/>
        </w:rPr>
      </w:pPr>
      <w:bookmarkStart w:id="816" w:name="_Toc20071"/>
      <w:bookmarkStart w:id="817" w:name="_Toc14835"/>
      <w:bookmarkStart w:id="818" w:name="_Toc913"/>
      <w:r>
        <w:rPr>
          <w:rFonts w:hint="eastAsia"/>
          <w:color w:val="auto"/>
          <w:u w:val="none" w:color="auto"/>
          <w:lang w:val="en-US" w:eastAsia="zh-CN"/>
        </w:rPr>
        <w:t>4.2.3园区总体规划</w:t>
      </w:r>
      <w:bookmarkEnd w:id="816"/>
      <w:bookmarkEnd w:id="817"/>
      <w:bookmarkEnd w:id="818"/>
    </w:p>
    <w:p w14:paraId="40EB8D8D">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（1）新市片（湖南汨罗循环经济产业园）</w:t>
      </w:r>
    </w:p>
    <w:p w14:paraId="17D5BDE7">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规划新市片区分为先进装备制造业区、电子信息产业区、废弃资源综合利用产业区、高铁新城产城融合发展区、先进储能材料产业区。</w:t>
      </w:r>
    </w:p>
    <w:p w14:paraId="194B20AF">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先进装备制造业区：分布在新市片西片区北部，重点发展农业机械专用设备制造产业。</w:t>
      </w:r>
    </w:p>
    <w:p w14:paraId="30964BD0">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电子信息产业区：分布在新市片西片区北部，汨新大道以北，重点发展手机配件、智能安防及电子电路基材PCB产业园、麻将机、智能安防领域。</w:t>
      </w:r>
    </w:p>
    <w:p w14:paraId="6A87F6CA">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废弃资源综合利用产业区：分布在新市片西片区中部、东片区北部和中部，重点发展再生金属及稀贵金属冶炼和压延产业、再生塑料、碳基材料、先进储能材料回收及综合利用产业，包括位于东片区南部在建的中南表面处理中心等企业。鉴于新市片西片区位于新市镇区常年主导风向上风向且已建有多处居民区、安置区及医院学校等环境敏感目标，环评建议新市片西片区的废弃资源综合利用产业区调整为电子信息及相关产业区，可同步发展先进装备制造业，同时提出了该片区的行业准入清单。</w:t>
      </w:r>
    </w:p>
    <w:p w14:paraId="7CA53F7F">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高铁新城产城融合发展区：分布在新市片西片区南部，青春大道以南，重点发展电子信息、仓储物流、商贸居住、教育卫生、康养休闲等。汨罗高新区以发展工业为主，环评建议删除“居住、教育、康养休闲”等居民服务性产业。</w:t>
      </w:r>
    </w:p>
    <w:p w14:paraId="59B9AC7D">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先进储能材料产业区：分布在新市片东片区南部，重点发展废旧电池等储能材料回收及综合利用产业，包括顺华锂业等企业。</w:t>
      </w:r>
    </w:p>
    <w:p w14:paraId="4EB624B2">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（2）弼时片（湖南工程机械配套产业园）</w:t>
      </w:r>
    </w:p>
    <w:p w14:paraId="347C7150">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规划弼时片区分为先进装备制造业区、汽车零部件及配件制造区。</w:t>
      </w:r>
    </w:p>
    <w:p w14:paraId="57C04596">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先进装备制造业区：分布在弼时片北部和中部。以发展专用车辆、道路机械、起重机械、管网装备、垃圾焚烧装备、隧道温喷台车、混凝土干粉砂浆设备、高空作业平台和塔机等工程机械配套产业为核心。</w:t>
      </w:r>
    </w:p>
    <w:p w14:paraId="4BB04850">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汽车零部件及配件制造业区：分布在弼时片南部，重点发展汽车注塑、汽车铝合金配件、铜金配件、橡胶配件、配件表面处理等产品。</w:t>
      </w:r>
    </w:p>
    <w:p w14:paraId="5005CDEA">
      <w:pPr>
        <w:pStyle w:val="8"/>
        <w:bidi w:val="0"/>
        <w:rPr>
          <w:rFonts w:hint="eastAsia"/>
          <w:color w:val="auto"/>
          <w:u w:val="none" w:color="auto"/>
          <w:lang w:val="en-US" w:eastAsia="zh-CN"/>
        </w:rPr>
      </w:pPr>
      <w:bookmarkStart w:id="819" w:name="_Toc9004"/>
      <w:bookmarkStart w:id="820" w:name="_Toc14173"/>
      <w:bookmarkStart w:id="821" w:name="_Toc6921"/>
      <w:r>
        <w:rPr>
          <w:rFonts w:hint="eastAsia"/>
          <w:color w:val="auto"/>
          <w:u w:val="none" w:color="auto"/>
          <w:lang w:val="en-US" w:eastAsia="zh-CN"/>
        </w:rPr>
        <w:t>4.2.4基础设施规划</w:t>
      </w:r>
      <w:bookmarkEnd w:id="819"/>
      <w:bookmarkEnd w:id="820"/>
      <w:bookmarkEnd w:id="821"/>
    </w:p>
    <w:p w14:paraId="1FF8A2FF">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（1）给水</w:t>
      </w:r>
    </w:p>
    <w:p w14:paraId="4308487F">
      <w:pPr>
        <w:pStyle w:val="2"/>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根据汨罗高新区详细控制性规划、专项给排水规划文本，采用建设用地指标法进行用水量预测，预测结果确定汨罗高新区总用水量为4.42万m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/d，其中新市片用水量2.59万m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/d，弼时片用水量1.83万m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w:t>
      </w:r>
    </w:p>
    <w:p w14:paraId="11817EEC">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（2）排水</w:t>
      </w:r>
    </w:p>
    <w:p w14:paraId="18EC7D58">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规划园区排水严格采用雨污分流制，园区生产废水、生活污水经企业厂内预处理后达接管标准后纳入长沙经开区汨罗产业园污水处理厂集中处理，其中0.4万m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/d污水处理达到《城镇污水处理厂污染物排放标准》（GB18918-2002）一级A标准后排入白沙河。</w:t>
      </w:r>
    </w:p>
    <w:p w14:paraId="725D2D5E">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（3）供电</w:t>
      </w:r>
    </w:p>
    <w:p w14:paraId="1090C609">
      <w:pPr>
        <w:pStyle w:val="2"/>
        <w:keepNext w:val="0"/>
        <w:keepLines w:val="0"/>
        <w:pageBreakBefore w:val="0"/>
        <w:widowControl w:val="0"/>
        <w:kinsoku/>
        <w:wordWrap/>
        <w:overflowPunct/>
        <w:topLinePunct w:val="0"/>
        <w:autoSpaceDE/>
        <w:autoSpaceDN/>
        <w:bidi w:val="0"/>
        <w:adjustRightInd/>
        <w:snapToGrid/>
        <w:spacing w:line="360" w:lineRule="auto"/>
        <w:ind w:left="0" w:firstLine="456"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现有南北向500KV架空线路1回，即沙坪变电站至昆山变电站；南北向沙坪至岳阳500kV架空线目前处于建设当中，预计今年内通电使用；南北向220KV架空线路2回，即沙坪变电站至汉昌变电站1回，沙坪变电站至文理变电站1回。在管委会附近已建一座110kV弼时变电站，设计规模3×50MVA，现有装机容量50MVA，新出110kV线路1条，接入110kV安沙变，形成单辐射结构，以满足园区及周边地区新增负荷需求</w:t>
      </w:r>
      <w:r>
        <w:rPr>
          <w:rFonts w:hint="default" w:ascii="Times New Roman" w:hAnsi="Times New Roman" w:eastAsia="宋体" w:cs="Times New Roman"/>
          <w:color w:val="auto"/>
          <w:sz w:val="24"/>
          <w:szCs w:val="24"/>
          <w:u w:val="none" w:color="auto"/>
        </w:rPr>
        <w:t>。</w:t>
      </w:r>
    </w:p>
    <w:p w14:paraId="70BB4AA9">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（4）道路交通</w:t>
      </w:r>
    </w:p>
    <w:p w14:paraId="30532C8D">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①新市片</w:t>
      </w:r>
    </w:p>
    <w:p w14:paraId="61B5916B">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规划在尊重现状道路和路网结构的基础上，依据国土空间总体规划路网，结合循环经济产业园发展需求，优化路网结构，形成“三横四纵”的主干道路网骨架。</w:t>
      </w:r>
    </w:p>
    <w:p w14:paraId="36AE9801">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“三横”：是指汨罗江大道、汨新大道、青春大道、车站大道。</w:t>
      </w:r>
    </w:p>
    <w:p w14:paraId="5C3588F6">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eastAsia" w:ascii="宋体" w:hAnsi="宋体" w:eastAsia="宋体" w:cs="宋体"/>
          <w:color w:val="auto"/>
          <w:sz w:val="24"/>
          <w:szCs w:val="24"/>
          <w:u w:val="none" w:color="auto"/>
        </w:rPr>
        <w:t>“四纵”：</w:t>
      </w:r>
      <w:r>
        <w:rPr>
          <w:rFonts w:hint="default" w:ascii="Times New Roman" w:hAnsi="Times New Roman" w:eastAsia="宋体" w:cs="Times New Roman"/>
          <w:color w:val="auto"/>
          <w:sz w:val="24"/>
          <w:szCs w:val="24"/>
          <w:u w:val="none" w:color="auto"/>
        </w:rPr>
        <w:t>是指龙舟大道、新市大道、G107、创新大道。</w:t>
      </w:r>
    </w:p>
    <w:p w14:paraId="3C705FD7">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②弼时片</w:t>
      </w:r>
    </w:p>
    <w:p w14:paraId="09901B26">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规划区内主干路形成</w:t>
      </w:r>
      <w:r>
        <w:rPr>
          <w:rFonts w:hint="eastAsia" w:ascii="宋体" w:hAnsi="宋体" w:eastAsia="宋体" w:cs="宋体"/>
          <w:color w:val="auto"/>
          <w:sz w:val="24"/>
          <w:szCs w:val="24"/>
          <w:u w:val="none" w:color="auto"/>
        </w:rPr>
        <w:t>“两横三纵”的</w:t>
      </w:r>
      <w:r>
        <w:rPr>
          <w:rFonts w:hint="default" w:ascii="Times New Roman" w:hAnsi="Times New Roman" w:eastAsia="宋体" w:cs="Times New Roman"/>
          <w:color w:val="auto"/>
          <w:sz w:val="24"/>
          <w:szCs w:val="24"/>
          <w:u w:val="none" w:color="auto"/>
        </w:rPr>
        <w:t>结构，</w:t>
      </w:r>
      <w:r>
        <w:rPr>
          <w:rFonts w:hint="eastAsia" w:ascii="宋体" w:hAnsi="宋体" w:eastAsia="宋体" w:cs="宋体"/>
          <w:color w:val="auto"/>
          <w:sz w:val="24"/>
          <w:szCs w:val="24"/>
          <w:u w:val="none" w:color="auto"/>
        </w:rPr>
        <w:t>“两横”为</w:t>
      </w:r>
      <w:r>
        <w:rPr>
          <w:rFonts w:hint="default" w:ascii="Times New Roman" w:hAnsi="Times New Roman" w:eastAsia="宋体" w:cs="Times New Roman"/>
          <w:color w:val="auto"/>
          <w:sz w:val="24"/>
          <w:szCs w:val="24"/>
          <w:u w:val="none" w:color="auto"/>
        </w:rPr>
        <w:t>汉山西路-大里塘路、新107 国道，</w:t>
      </w:r>
      <w:r>
        <w:rPr>
          <w:rFonts w:hint="eastAsia" w:ascii="宋体" w:hAnsi="宋体" w:eastAsia="宋体" w:cs="宋体"/>
          <w:color w:val="auto"/>
          <w:sz w:val="24"/>
          <w:szCs w:val="24"/>
          <w:u w:val="none" w:color="auto"/>
        </w:rPr>
        <w:t>“三纵”为</w:t>
      </w:r>
      <w:r>
        <w:rPr>
          <w:rFonts w:hint="default" w:ascii="Times New Roman" w:hAnsi="Times New Roman" w:eastAsia="宋体" w:cs="Times New Roman"/>
          <w:color w:val="auto"/>
          <w:sz w:val="24"/>
          <w:szCs w:val="24"/>
          <w:u w:val="none" w:color="auto"/>
        </w:rPr>
        <w:t>万家丽北路、唐家桥路、老107国道。</w:t>
      </w:r>
    </w:p>
    <w:p w14:paraId="782F7DC0">
      <w:pPr>
        <w:pStyle w:val="44"/>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（5）能源</w:t>
      </w:r>
    </w:p>
    <w:p w14:paraId="6762A690">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汨罗高新技术产业开发区能源规划以电能和天然气为主。</w:t>
      </w:r>
    </w:p>
    <w:p w14:paraId="3DF52CAE">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①新市片</w:t>
      </w:r>
    </w:p>
    <w:p w14:paraId="2AB78E00">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规划预测新市片区用气量为3517.65万标准立方米/年。</w:t>
      </w:r>
    </w:p>
    <w:p w14:paraId="6340C6E6">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规划保留现状供气格局，以管输天然气为气源。</w:t>
      </w:r>
    </w:p>
    <w:p w14:paraId="44A1AB2A">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规划保留现状天然气门站，并从城北作为第二气源供应循环园及中心城区用气。</w:t>
      </w:r>
    </w:p>
    <w:p w14:paraId="3767728A">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规划保留现状中压燃气管道，并继续完善规划区中压燃气管网的建设。规划中压燃气管道从现状天然气门站引出，沿规划道路敷设DN160-DN315燃气管道，并与现状中压燃气管道连接，以保障规划区用户用气。</w:t>
      </w:r>
    </w:p>
    <w:p w14:paraId="44B94E65">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②弼时片</w:t>
      </w:r>
    </w:p>
    <w:p w14:paraId="5058416D">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规划预测工程机械配套产业园用气量约1902.71万标准立方米/年。</w:t>
      </w:r>
    </w:p>
    <w:p w14:paraId="21315CF7">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规划区气源考虑从中石油安沙站分输阀室接入。</w:t>
      </w:r>
    </w:p>
    <w:p w14:paraId="1F5B0887">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规划在规划区范围西南角设置LNG燃气储配站/天然气门站/调压站，并从坪上路、唐家桥路等道路引入规划区内供气。</w:t>
      </w:r>
    </w:p>
    <w:p w14:paraId="6D6C744D">
      <w:pPr>
        <w:pStyle w:val="21"/>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从中石油安沙站沿老107国道敷设管径DN300次高燃气管道（设计压力为1.6兆帕，属于次高压A级）至天然气门站。规划中压燃气管道从天然门站引出，沿新107国道、唐家桥路等主要道路敷设DN100～DN400中压燃气管道，并与现状中压燃气管道连接，以保障规划区用户用气。</w:t>
      </w:r>
    </w:p>
    <w:p w14:paraId="079CE8A0">
      <w:pPr>
        <w:pStyle w:val="8"/>
        <w:bidi w:val="0"/>
        <w:rPr>
          <w:rFonts w:hint="eastAsia"/>
          <w:color w:val="auto"/>
          <w:u w:val="none" w:color="auto"/>
          <w:lang w:val="en-US" w:eastAsia="zh-CN"/>
        </w:rPr>
      </w:pPr>
      <w:bookmarkStart w:id="822" w:name="_Toc24761"/>
      <w:r>
        <w:rPr>
          <w:rFonts w:hint="eastAsia"/>
          <w:color w:val="auto"/>
          <w:u w:val="none" w:color="auto"/>
          <w:lang w:val="en-US" w:eastAsia="zh-CN"/>
        </w:rPr>
        <w:t>4.2.5 园区环境影响评价情况及批复</w:t>
      </w:r>
      <w:bookmarkEnd w:id="822"/>
    </w:p>
    <w:p w14:paraId="68D30808">
      <w:pPr>
        <w:pStyle w:val="21"/>
        <w:bidi w:val="0"/>
        <w:rPr>
          <w:rFonts w:hint="default"/>
          <w:color w:val="auto"/>
          <w:u w:val="none" w:color="auto"/>
          <w:lang w:val="en-US" w:eastAsia="zh-CN"/>
        </w:rPr>
      </w:pPr>
      <w:r>
        <w:rPr>
          <w:rFonts w:hint="default"/>
          <w:color w:val="auto"/>
          <w:u w:val="none" w:color="auto"/>
          <w:lang w:val="en-US" w:eastAsia="zh-CN"/>
        </w:rPr>
        <w:t>根据湖南省生态环境厅关于《汨罗高新技术产业开发区扩区规划环境影响报告书》审查意见的函（湘环评函[2024]41号）：</w:t>
      </w:r>
    </w:p>
    <w:p w14:paraId="6FDE9541">
      <w:pPr>
        <w:pStyle w:val="21"/>
        <w:bidi w:val="0"/>
        <w:rPr>
          <w:rFonts w:hint="default"/>
          <w:color w:val="auto"/>
          <w:u w:val="none" w:color="auto"/>
          <w:lang w:val="en-US" w:eastAsia="zh-CN"/>
        </w:rPr>
      </w:pPr>
      <w:r>
        <w:rPr>
          <w:rFonts w:hint="default"/>
          <w:color w:val="auto"/>
          <w:u w:val="none" w:color="auto"/>
          <w:lang w:val="en-US" w:eastAsia="zh-CN"/>
        </w:rPr>
        <w:t>明确园区准入条件。入驻项目选址必须满足总体规划、用地规划、产业布局、环保规划要求。新市片西片区部分区域现状已与集中居住区交错布局，该区域不再新引入以气型污染为主的、涉及重大风险源的工业项目，紧邻集中居住区的工业用地，后续应优化产业调整，逐步转为一类工业用地规划布局，其现状已存在的二类工业企业不得新增污染物排放；新市片东片区沿G107国道、老街路侧存在连片居住用地，建议毗邻居住用地的区域不作为三类工业用地规划，该区域已存在的工业企业不得新增污染物排放。</w:t>
      </w:r>
      <w:r>
        <w:rPr>
          <w:rFonts w:hint="eastAsia"/>
          <w:color w:val="auto"/>
          <w:u w:val="none" w:color="auto"/>
          <w:lang w:val="en-US" w:eastAsia="zh-CN"/>
        </w:rPr>
        <w:t>弼时片区中北部保障性住房仅限于园区企业员工倒班宿舍使用；建议该片区东北部和西南部规划的居住用地调整为一类工业用地。</w:t>
      </w:r>
    </w:p>
    <w:p w14:paraId="11B6C4CA">
      <w:pPr>
        <w:pStyle w:val="21"/>
        <w:bidi w:val="0"/>
        <w:rPr>
          <w:rFonts w:hint="default"/>
          <w:color w:val="auto"/>
          <w:u w:val="none" w:color="auto"/>
          <w:lang w:val="en-US" w:eastAsia="zh-CN"/>
        </w:rPr>
      </w:pPr>
      <w:r>
        <w:rPr>
          <w:rFonts w:hint="default"/>
          <w:color w:val="auto"/>
          <w:u w:val="none" w:color="auto"/>
          <w:lang w:val="en-US" w:eastAsia="zh-CN"/>
        </w:rPr>
        <w:t>结合园区规划的功能分区、产业布局、重点企业分布、特征污染物的排放种类和状况、环境敏感目标分布等，建立健全各环境要素的监控体系。</w:t>
      </w:r>
    </w:p>
    <w:p w14:paraId="199253C2">
      <w:pPr>
        <w:pStyle w:val="21"/>
        <w:bidi w:val="0"/>
        <w:rPr>
          <w:rFonts w:hint="default"/>
          <w:color w:val="auto"/>
          <w:u w:val="none" w:color="auto"/>
          <w:lang w:val="en-US" w:eastAsia="zh-CN"/>
        </w:rPr>
      </w:pPr>
      <w:r>
        <w:rPr>
          <w:rFonts w:hint="default"/>
          <w:color w:val="auto"/>
          <w:u w:val="none" w:color="auto"/>
          <w:lang w:val="en-US" w:eastAsia="zh-CN"/>
        </w:rPr>
        <w:t>园区管委会与地方政府共同做好控规，杜绝在规划的工业用地上新增环境敏感目标，确保园区开发过程中的局面搬迁到位，园区不再新设拆迁安置区。</w:t>
      </w:r>
    </w:p>
    <w:p w14:paraId="6786B9D7">
      <w:pPr>
        <w:pStyle w:val="21"/>
        <w:bidi w:val="0"/>
        <w:rPr>
          <w:rFonts w:hint="default"/>
          <w:color w:val="auto"/>
          <w:u w:val="none" w:color="auto"/>
          <w:lang w:val="en-US" w:eastAsia="zh-CN"/>
        </w:rPr>
      </w:pPr>
      <w:r>
        <w:rPr>
          <w:rFonts w:hint="default"/>
          <w:color w:val="auto"/>
          <w:u w:val="none" w:color="auto"/>
          <w:lang w:val="en-US" w:eastAsia="zh-CN"/>
        </w:rPr>
        <w:t>本项目位于</w:t>
      </w:r>
      <w:r>
        <w:rPr>
          <w:rFonts w:hint="eastAsia"/>
          <w:color w:val="auto"/>
          <w:u w:val="none" w:color="auto"/>
          <w:lang w:val="en-US" w:eastAsia="zh-CN"/>
        </w:rPr>
        <w:t>湖南省岳阳市汨罗市湖南汨罗高新技术产业开发区弼时片区大里塘村立新南路</w:t>
      </w:r>
      <w:r>
        <w:rPr>
          <w:rFonts w:hint="default"/>
          <w:color w:val="auto"/>
          <w:u w:val="none" w:color="auto"/>
          <w:lang w:val="en-US" w:eastAsia="zh-CN"/>
        </w:rPr>
        <w:t>，不属于国家明令淘汰和禁止发展</w:t>
      </w:r>
      <w:r>
        <w:rPr>
          <w:rFonts w:hint="eastAsia" w:ascii="宋体" w:hAnsi="宋体" w:eastAsia="宋体" w:cs="宋体"/>
          <w:color w:val="auto"/>
          <w:u w:val="none" w:color="auto"/>
          <w:lang w:val="en-US" w:eastAsia="zh-CN"/>
        </w:rPr>
        <w:t>的“两高”行</w:t>
      </w:r>
      <w:r>
        <w:rPr>
          <w:rFonts w:hint="default"/>
          <w:color w:val="auto"/>
          <w:u w:val="none" w:color="auto"/>
          <w:lang w:val="en-US" w:eastAsia="zh-CN"/>
        </w:rPr>
        <w:t>业，符合国家产业政策，不属于汨罗高新技术产业开发区的限制类或禁止类产业，满足产业园区入园要求。</w:t>
      </w:r>
    </w:p>
    <w:p w14:paraId="33A6EA9D">
      <w:pPr>
        <w:pStyle w:val="8"/>
        <w:bidi w:val="0"/>
        <w:rPr>
          <w:rFonts w:hint="eastAsia"/>
          <w:color w:val="auto"/>
          <w:u w:val="none" w:color="auto"/>
          <w:lang w:val="en-US" w:eastAsia="zh-CN"/>
        </w:rPr>
      </w:pPr>
      <w:bookmarkStart w:id="823" w:name="_Toc1009"/>
      <w:r>
        <w:rPr>
          <w:rFonts w:hint="eastAsia"/>
          <w:color w:val="auto"/>
          <w:u w:val="none" w:color="auto"/>
          <w:lang w:val="en-US" w:eastAsia="zh-CN"/>
        </w:rPr>
        <w:t>4.2.6 项目与园区的依托关系</w:t>
      </w:r>
      <w:bookmarkEnd w:id="823"/>
    </w:p>
    <w:p w14:paraId="2F8E6291">
      <w:pPr>
        <w:pStyle w:val="21"/>
        <w:bidi w:val="0"/>
        <w:rPr>
          <w:rFonts w:hint="default"/>
          <w:color w:val="auto"/>
          <w:u w:val="none" w:color="auto"/>
          <w:lang w:val="en-US" w:eastAsia="zh-CN"/>
        </w:rPr>
      </w:pPr>
      <w:r>
        <w:rPr>
          <w:rFonts w:hint="default"/>
          <w:color w:val="auto"/>
          <w:u w:val="none" w:color="auto"/>
          <w:lang w:val="en-US" w:eastAsia="zh-CN"/>
        </w:rPr>
        <w:t>给水：项目用水由园区</w:t>
      </w:r>
      <w:r>
        <w:rPr>
          <w:rFonts w:hint="eastAsia"/>
          <w:color w:val="auto"/>
          <w:u w:val="none" w:color="auto"/>
          <w:lang w:val="en-US" w:eastAsia="zh-CN"/>
        </w:rPr>
        <w:t>自来水</w:t>
      </w:r>
      <w:r>
        <w:rPr>
          <w:rFonts w:hint="default"/>
          <w:color w:val="auto"/>
          <w:u w:val="none" w:color="auto"/>
          <w:lang w:val="en-US" w:eastAsia="zh-CN"/>
        </w:rPr>
        <w:t>管网供给，可满足项目用水要求。</w:t>
      </w:r>
    </w:p>
    <w:p w14:paraId="77BB64E8">
      <w:pPr>
        <w:pStyle w:val="21"/>
        <w:bidi w:val="0"/>
        <w:rPr>
          <w:rFonts w:hint="default"/>
          <w:color w:val="auto"/>
          <w:u w:val="none" w:color="auto"/>
          <w:lang w:val="en-US" w:eastAsia="zh-CN"/>
        </w:rPr>
      </w:pPr>
      <w:r>
        <w:rPr>
          <w:rFonts w:hint="default"/>
          <w:color w:val="auto"/>
          <w:u w:val="none" w:color="auto"/>
          <w:lang w:val="en-US" w:eastAsia="zh-CN"/>
        </w:rPr>
        <w:t>排水：项目可充分利用园区雨水管网和污水管网。</w:t>
      </w:r>
    </w:p>
    <w:p w14:paraId="1454538A">
      <w:pPr>
        <w:pStyle w:val="21"/>
        <w:bidi w:val="0"/>
        <w:rPr>
          <w:rFonts w:hint="default"/>
          <w:color w:val="auto"/>
          <w:u w:val="none" w:color="auto"/>
          <w:lang w:val="en-US" w:eastAsia="zh-CN"/>
        </w:rPr>
      </w:pPr>
      <w:r>
        <w:rPr>
          <w:rFonts w:hint="default"/>
          <w:color w:val="auto"/>
          <w:u w:val="none" w:color="auto"/>
          <w:lang w:val="en-US" w:eastAsia="zh-CN"/>
        </w:rPr>
        <w:t>供电：项目可充分利用园区已有电网。</w:t>
      </w:r>
    </w:p>
    <w:p w14:paraId="5615F709">
      <w:pPr>
        <w:pStyle w:val="21"/>
        <w:bidi w:val="0"/>
        <w:rPr>
          <w:rFonts w:hint="default"/>
          <w:color w:val="auto"/>
          <w:u w:val="none" w:color="auto"/>
          <w:lang w:val="en-US" w:eastAsia="zh-CN"/>
        </w:rPr>
      </w:pPr>
      <w:r>
        <w:rPr>
          <w:rFonts w:hint="default"/>
          <w:color w:val="auto"/>
          <w:u w:val="none" w:color="auto"/>
          <w:lang w:val="en-US" w:eastAsia="zh-CN"/>
        </w:rPr>
        <w:t>园区配套设施可满足本项目施工建设和生产运营。</w:t>
      </w:r>
    </w:p>
    <w:bookmarkEnd w:id="633"/>
    <w:bookmarkEnd w:id="646"/>
    <w:bookmarkEnd w:id="647"/>
    <w:bookmarkEnd w:id="648"/>
    <w:bookmarkEnd w:id="649"/>
    <w:p w14:paraId="1F7EA574">
      <w:pPr>
        <w:pStyle w:val="7"/>
        <w:bidi w:val="0"/>
        <w:rPr>
          <w:rFonts w:hint="default"/>
          <w:color w:val="auto"/>
          <w:u w:val="none" w:color="auto"/>
        </w:rPr>
      </w:pPr>
      <w:bookmarkStart w:id="824" w:name="_Toc30774"/>
      <w:bookmarkStart w:id="825" w:name="_Toc16865"/>
      <w:bookmarkStart w:id="826" w:name="_Toc20692"/>
      <w:bookmarkStart w:id="827" w:name="_Toc11610"/>
      <w:bookmarkStart w:id="828" w:name="_Toc21118"/>
      <w:bookmarkStart w:id="829" w:name="_Toc20364"/>
      <w:bookmarkStart w:id="830" w:name="_Toc16150"/>
      <w:bookmarkStart w:id="831" w:name="_Toc1858"/>
      <w:bookmarkStart w:id="832" w:name="_Toc24050"/>
      <w:bookmarkStart w:id="833" w:name="_Toc10397"/>
      <w:bookmarkStart w:id="834" w:name="_Toc11352"/>
      <w:r>
        <w:rPr>
          <w:rFonts w:hint="eastAsia"/>
          <w:color w:val="auto"/>
          <w:u w:val="none" w:color="auto"/>
          <w:lang w:val="en-US" w:eastAsia="zh-CN"/>
        </w:rPr>
        <w:t>4</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区域环境质量现状评价</w:t>
      </w:r>
      <w:bookmarkEnd w:id="824"/>
      <w:bookmarkEnd w:id="825"/>
      <w:bookmarkEnd w:id="826"/>
      <w:bookmarkEnd w:id="827"/>
    </w:p>
    <w:p w14:paraId="3B88B318">
      <w:pPr>
        <w:pStyle w:val="8"/>
        <w:rPr>
          <w:rFonts w:hint="default" w:ascii="Times New Roman" w:hAnsi="Times New Roman" w:cs="Times New Roman"/>
          <w:color w:val="auto"/>
          <w:u w:val="none" w:color="auto"/>
        </w:rPr>
      </w:pPr>
      <w:bookmarkStart w:id="835" w:name="_Toc26787"/>
      <w:bookmarkStart w:id="836" w:name="_Toc169"/>
      <w:bookmarkStart w:id="837" w:name="_Toc17966"/>
      <w:bookmarkStart w:id="838" w:name="_Toc27795"/>
      <w:bookmarkStart w:id="839" w:name="_Toc20256"/>
      <w:bookmarkStart w:id="840" w:name="_Toc13858"/>
      <w:bookmarkStart w:id="841" w:name="_Toc947"/>
      <w:bookmarkStart w:id="842" w:name="_Toc13281"/>
      <w:bookmarkStart w:id="843" w:name="_Toc17863"/>
      <w:bookmarkStart w:id="844" w:name="_Toc4606"/>
      <w:bookmarkStart w:id="845" w:name="_Toc3320"/>
      <w:bookmarkStart w:id="846" w:name="_Toc3315"/>
      <w:bookmarkStart w:id="847" w:name="_Toc28207"/>
      <w:bookmarkStart w:id="848" w:name="_Toc20869"/>
      <w:bookmarkStart w:id="849" w:name="_Toc10675"/>
      <w:bookmarkStart w:id="850" w:name="_Toc16088"/>
      <w:bookmarkStart w:id="851" w:name="_Toc8416"/>
      <w:bookmarkStart w:id="852" w:name="_Toc1398"/>
      <w:bookmarkStart w:id="853" w:name="_Toc3148"/>
      <w:bookmarkStart w:id="854" w:name="_Toc9084"/>
      <w:bookmarkStart w:id="855" w:name="_Toc23541"/>
      <w:bookmarkStart w:id="856" w:name="_Toc8057"/>
      <w:bookmarkStart w:id="857" w:name="_Toc10810"/>
      <w:bookmarkStart w:id="858" w:name="_Toc12320"/>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.1</w:t>
      </w:r>
      <w:bookmarkEnd w:id="835"/>
      <w:bookmarkEnd w:id="836"/>
      <w:r>
        <w:rPr>
          <w:rFonts w:hint="default" w:ascii="Times New Roman" w:hAnsi="Times New Roman" w:cs="Times New Roman"/>
          <w:color w:val="auto"/>
          <w:u w:val="none" w:color="auto"/>
        </w:rPr>
        <w:t>环境空气现状调查与评价</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1160D462">
      <w:pPr>
        <w:pStyle w:val="21"/>
        <w:ind w:firstLine="480"/>
        <w:rPr>
          <w:rFonts w:hint="default" w:ascii="Times New Roman" w:hAnsi="Times New Roman" w:eastAsia="宋体" w:cs="Times New Roman"/>
          <w:color w:val="auto"/>
          <w:u w:val="none" w:color="auto"/>
          <w:lang w:eastAsia="zh-CN"/>
        </w:rPr>
      </w:pPr>
      <w:bookmarkStart w:id="859" w:name="_Toc21435"/>
      <w:bookmarkStart w:id="860" w:name="_Toc20324"/>
      <w:bookmarkStart w:id="861" w:name="_Toc14180"/>
      <w:bookmarkStart w:id="862" w:name="_Toc4140"/>
      <w:bookmarkStart w:id="863" w:name="_Toc3780"/>
      <w:bookmarkStart w:id="864" w:name="_Toc29742"/>
      <w:bookmarkStart w:id="865" w:name="_Toc19219"/>
      <w:bookmarkStart w:id="866" w:name="_Toc2165"/>
      <w:bookmarkStart w:id="867" w:name="_Toc11931"/>
      <w:bookmarkStart w:id="868" w:name="_Toc12563"/>
      <w:bookmarkStart w:id="869" w:name="_Toc9201"/>
      <w:bookmarkStart w:id="870" w:name="_Toc18808"/>
      <w:bookmarkStart w:id="871" w:name="_Toc20090"/>
      <w:bookmarkStart w:id="872" w:name="_Toc7121"/>
      <w:bookmarkStart w:id="873" w:name="_Toc14817"/>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区域环境</w:t>
      </w:r>
      <w:r>
        <w:rPr>
          <w:rFonts w:hint="default" w:ascii="Times New Roman" w:hAnsi="Times New Roman" w:cs="Times New Roman"/>
          <w:color w:val="auto"/>
          <w:u w:val="none" w:color="auto"/>
          <w:lang w:eastAsia="zh-CN"/>
        </w:rPr>
        <w:t>质量达标区判定</w:t>
      </w:r>
    </w:p>
    <w:p w14:paraId="79B14DD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项目所在区域执行《环境空气质量标准》（GB3095-2012）及其修改单中的二级标准。根据《环境影响评价技术导则-大气环境》（HJ2.2-2018）</w:t>
      </w:r>
      <w:r>
        <w:rPr>
          <w:rFonts w:hint="eastAsia" w:ascii="宋体" w:hAnsi="宋体" w:eastAsia="宋体" w:cs="宋体"/>
          <w:color w:val="auto"/>
          <w:u w:val="none" w:color="auto"/>
        </w:rPr>
        <w:t>中“</w:t>
      </w:r>
      <w:r>
        <w:rPr>
          <w:rFonts w:hint="default" w:ascii="Times New Roman" w:hAnsi="Times New Roman" w:cs="Times New Roman"/>
          <w:color w:val="auto"/>
          <w:u w:val="none" w:color="auto"/>
        </w:rPr>
        <w:t>6.2.1.1 项目所在区域达标判定，优先采用国家或生态环境主管部门发布的平均基准年环境质量公告或环境质量报告中的数据或</w:t>
      </w:r>
      <w:r>
        <w:rPr>
          <w:rFonts w:hint="eastAsia" w:ascii="宋体" w:hAnsi="宋体" w:eastAsia="宋体" w:cs="宋体"/>
          <w:color w:val="auto"/>
          <w:u w:val="none" w:color="auto"/>
        </w:rPr>
        <w:t>结论”</w:t>
      </w:r>
      <w:r>
        <w:rPr>
          <w:rFonts w:hint="default" w:ascii="Times New Roman" w:hAnsi="Times New Roman" w:cs="Times New Roman"/>
          <w:color w:val="auto"/>
          <w:u w:val="none" w:color="auto"/>
        </w:rPr>
        <w:t>，基本因子采用岳阳市汨罗生态环境监测站提供的</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年的环境空气质量监测数据进行评价。</w:t>
      </w:r>
    </w:p>
    <w:p w14:paraId="16260F7B">
      <w:pPr>
        <w:pStyle w:val="21"/>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根据收集到的岳阳市生态环境局汨罗分局空气自动监测站202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年的环境空气质量监测数据（如下表所示）。</w:t>
      </w:r>
    </w:p>
    <w:p w14:paraId="035A6D0F">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4</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lang w:val="en-US" w:eastAsia="zh-CN"/>
        </w:rPr>
        <w:t>-1</w:t>
      </w:r>
      <w:r>
        <w:rPr>
          <w:rFonts w:hint="default"/>
          <w:color w:val="auto"/>
          <w:u w:val="none" w:color="auto"/>
        </w:rPr>
        <w:t xml:space="preserve">  20</w:t>
      </w:r>
      <w:r>
        <w:rPr>
          <w:rFonts w:hint="eastAsia"/>
          <w:color w:val="auto"/>
          <w:u w:val="none" w:color="auto"/>
          <w:lang w:val="en-US" w:eastAsia="zh-CN"/>
        </w:rPr>
        <w:t>24</w:t>
      </w:r>
      <w:r>
        <w:rPr>
          <w:rFonts w:hint="default"/>
          <w:color w:val="auto"/>
          <w:u w:val="none" w:color="auto"/>
        </w:rPr>
        <w:t>年区域空气质量现状评价表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764"/>
        <w:gridCol w:w="852"/>
        <w:gridCol w:w="1760"/>
        <w:gridCol w:w="898"/>
        <w:gridCol w:w="1008"/>
        <w:gridCol w:w="927"/>
        <w:gridCol w:w="792"/>
        <w:gridCol w:w="859"/>
        <w:gridCol w:w="644"/>
      </w:tblGrid>
      <w:tr w14:paraId="5F15C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noWrap w:val="0"/>
            <w:vAlign w:val="center"/>
          </w:tcPr>
          <w:p w14:paraId="4B22A35F">
            <w:pPr>
              <w:pStyle w:val="25"/>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年份</w:t>
            </w:r>
          </w:p>
        </w:tc>
        <w:tc>
          <w:tcPr>
            <w:tcW w:w="852" w:type="dxa"/>
            <w:noWrap w:val="0"/>
            <w:vAlign w:val="center"/>
          </w:tcPr>
          <w:p w14:paraId="77482C25">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评价因子</w:t>
            </w:r>
          </w:p>
        </w:tc>
        <w:tc>
          <w:tcPr>
            <w:tcW w:w="1760" w:type="dxa"/>
            <w:noWrap w:val="0"/>
            <w:vAlign w:val="center"/>
          </w:tcPr>
          <w:p w14:paraId="792675B4">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评价时段</w:t>
            </w:r>
          </w:p>
        </w:tc>
        <w:tc>
          <w:tcPr>
            <w:tcW w:w="898" w:type="dxa"/>
            <w:noWrap w:val="0"/>
            <w:vAlign w:val="center"/>
          </w:tcPr>
          <w:p w14:paraId="50AAD892">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百分位</w:t>
            </w:r>
          </w:p>
        </w:tc>
        <w:tc>
          <w:tcPr>
            <w:tcW w:w="1008" w:type="dxa"/>
            <w:noWrap w:val="0"/>
            <w:vAlign w:val="center"/>
          </w:tcPr>
          <w:p w14:paraId="2887F256">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现状浓度（μg/m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c>
          <w:tcPr>
            <w:tcW w:w="927" w:type="dxa"/>
            <w:noWrap w:val="0"/>
            <w:vAlign w:val="center"/>
          </w:tcPr>
          <w:p w14:paraId="498B96A2">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标准值（μg/m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c>
          <w:tcPr>
            <w:tcW w:w="792" w:type="dxa"/>
            <w:noWrap w:val="0"/>
            <w:vAlign w:val="center"/>
          </w:tcPr>
          <w:p w14:paraId="1BC23A81">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占标率（%）</w:t>
            </w:r>
          </w:p>
        </w:tc>
        <w:tc>
          <w:tcPr>
            <w:tcW w:w="859" w:type="dxa"/>
            <w:noWrap w:val="0"/>
            <w:vAlign w:val="center"/>
          </w:tcPr>
          <w:p w14:paraId="79E39630">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达标情况</w:t>
            </w:r>
          </w:p>
        </w:tc>
        <w:tc>
          <w:tcPr>
            <w:tcW w:w="644" w:type="dxa"/>
            <w:noWrap w:val="0"/>
            <w:vAlign w:val="center"/>
          </w:tcPr>
          <w:p w14:paraId="2931EDE7">
            <w:pPr>
              <w:pStyle w:val="25"/>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超标倍数</w:t>
            </w:r>
          </w:p>
        </w:tc>
      </w:tr>
      <w:tr w14:paraId="1C8E8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restart"/>
            <w:noWrap w:val="0"/>
            <w:vAlign w:val="center"/>
          </w:tcPr>
          <w:p w14:paraId="0A8948B7">
            <w:pPr>
              <w:pStyle w:val="25"/>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2024年</w:t>
            </w:r>
          </w:p>
        </w:tc>
        <w:tc>
          <w:tcPr>
            <w:tcW w:w="852" w:type="dxa"/>
            <w:noWrap w:val="0"/>
            <w:vAlign w:val="center"/>
          </w:tcPr>
          <w:p w14:paraId="07F80123">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SO</w:t>
            </w:r>
            <w:r>
              <w:rPr>
                <w:rFonts w:hint="default" w:ascii="Times New Roman" w:hAnsi="Times New Roman" w:cs="Times New Roman"/>
                <w:color w:val="auto"/>
                <w:sz w:val="21"/>
                <w:szCs w:val="21"/>
                <w:u w:val="none" w:color="auto"/>
                <w:vertAlign w:val="subscript"/>
              </w:rPr>
              <w:t>2</w:t>
            </w:r>
          </w:p>
        </w:tc>
        <w:tc>
          <w:tcPr>
            <w:tcW w:w="1760" w:type="dxa"/>
            <w:noWrap w:val="0"/>
            <w:vAlign w:val="center"/>
          </w:tcPr>
          <w:p w14:paraId="1DEF852E">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71682585">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0E3002AD">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w:t>
            </w:r>
          </w:p>
        </w:tc>
        <w:tc>
          <w:tcPr>
            <w:tcW w:w="927" w:type="dxa"/>
            <w:noWrap w:val="0"/>
            <w:vAlign w:val="center"/>
          </w:tcPr>
          <w:p w14:paraId="5B40BF3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60</w:t>
            </w:r>
          </w:p>
        </w:tc>
        <w:tc>
          <w:tcPr>
            <w:tcW w:w="792" w:type="dxa"/>
            <w:noWrap w:val="0"/>
            <w:vAlign w:val="center"/>
          </w:tcPr>
          <w:p w14:paraId="34C76FA2">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8.33</w:t>
            </w:r>
          </w:p>
        </w:tc>
        <w:tc>
          <w:tcPr>
            <w:tcW w:w="859" w:type="dxa"/>
            <w:noWrap w:val="0"/>
            <w:vAlign w:val="center"/>
          </w:tcPr>
          <w:p w14:paraId="2640A974">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3D3DAAF3">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50C13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2ADD95E6">
            <w:pPr>
              <w:pStyle w:val="25"/>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4F54AB61">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NO</w:t>
            </w:r>
            <w:r>
              <w:rPr>
                <w:rFonts w:hint="default" w:ascii="Times New Roman" w:hAnsi="Times New Roman" w:cs="Times New Roman"/>
                <w:color w:val="auto"/>
                <w:sz w:val="21"/>
                <w:szCs w:val="21"/>
                <w:u w:val="none" w:color="auto"/>
                <w:vertAlign w:val="subscript"/>
              </w:rPr>
              <w:t>2</w:t>
            </w:r>
          </w:p>
        </w:tc>
        <w:tc>
          <w:tcPr>
            <w:tcW w:w="1760" w:type="dxa"/>
            <w:noWrap w:val="0"/>
            <w:vAlign w:val="center"/>
          </w:tcPr>
          <w:p w14:paraId="1E7CCF0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5306CF99">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5333EB32">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14</w:t>
            </w:r>
          </w:p>
        </w:tc>
        <w:tc>
          <w:tcPr>
            <w:tcW w:w="927" w:type="dxa"/>
            <w:noWrap w:val="0"/>
            <w:vAlign w:val="center"/>
          </w:tcPr>
          <w:p w14:paraId="4582FB3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40</w:t>
            </w:r>
          </w:p>
        </w:tc>
        <w:tc>
          <w:tcPr>
            <w:tcW w:w="792" w:type="dxa"/>
            <w:noWrap w:val="0"/>
            <w:vAlign w:val="center"/>
          </w:tcPr>
          <w:p w14:paraId="4C304DCB">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35</w:t>
            </w:r>
          </w:p>
        </w:tc>
        <w:tc>
          <w:tcPr>
            <w:tcW w:w="859" w:type="dxa"/>
            <w:noWrap w:val="0"/>
            <w:vAlign w:val="center"/>
          </w:tcPr>
          <w:p w14:paraId="6F21927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5B6CE2FD">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06062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0D7BEBA2">
            <w:pPr>
              <w:pStyle w:val="25"/>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56842FC4">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10</w:t>
            </w:r>
          </w:p>
        </w:tc>
        <w:tc>
          <w:tcPr>
            <w:tcW w:w="1760" w:type="dxa"/>
            <w:noWrap w:val="0"/>
            <w:vAlign w:val="center"/>
          </w:tcPr>
          <w:p w14:paraId="7CD651B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7A0498D4">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269966A6">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47</w:t>
            </w:r>
          </w:p>
        </w:tc>
        <w:tc>
          <w:tcPr>
            <w:tcW w:w="927" w:type="dxa"/>
            <w:noWrap w:val="0"/>
            <w:vAlign w:val="center"/>
          </w:tcPr>
          <w:p w14:paraId="1F2F9A2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70</w:t>
            </w:r>
          </w:p>
        </w:tc>
        <w:tc>
          <w:tcPr>
            <w:tcW w:w="792" w:type="dxa"/>
            <w:noWrap w:val="0"/>
            <w:vAlign w:val="center"/>
          </w:tcPr>
          <w:p w14:paraId="1C89DBB0">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67.14</w:t>
            </w:r>
          </w:p>
        </w:tc>
        <w:tc>
          <w:tcPr>
            <w:tcW w:w="859" w:type="dxa"/>
            <w:noWrap w:val="0"/>
            <w:vAlign w:val="center"/>
          </w:tcPr>
          <w:p w14:paraId="0922DB6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212F00E4">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0B667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183A28AB">
            <w:pPr>
              <w:pStyle w:val="25"/>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1A1D8F31">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2.5</w:t>
            </w:r>
          </w:p>
        </w:tc>
        <w:tc>
          <w:tcPr>
            <w:tcW w:w="1760" w:type="dxa"/>
            <w:noWrap w:val="0"/>
            <w:vAlign w:val="center"/>
          </w:tcPr>
          <w:p w14:paraId="226EB4BE">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69B1A958">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19341EBB">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34</w:t>
            </w:r>
          </w:p>
        </w:tc>
        <w:tc>
          <w:tcPr>
            <w:tcW w:w="927" w:type="dxa"/>
            <w:noWrap w:val="0"/>
            <w:vAlign w:val="center"/>
          </w:tcPr>
          <w:p w14:paraId="5E00FE7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35</w:t>
            </w:r>
          </w:p>
        </w:tc>
        <w:tc>
          <w:tcPr>
            <w:tcW w:w="792" w:type="dxa"/>
            <w:noWrap w:val="0"/>
            <w:vAlign w:val="center"/>
          </w:tcPr>
          <w:p w14:paraId="5AC401AF">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97.14</w:t>
            </w:r>
          </w:p>
        </w:tc>
        <w:tc>
          <w:tcPr>
            <w:tcW w:w="859" w:type="dxa"/>
            <w:noWrap w:val="0"/>
            <w:vAlign w:val="center"/>
          </w:tcPr>
          <w:p w14:paraId="2B2CDD7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b w:val="0"/>
                <w:bCs w:val="0"/>
                <w:color w:val="auto"/>
                <w:sz w:val="21"/>
                <w:szCs w:val="21"/>
                <w:u w:val="none" w:color="auto"/>
              </w:rPr>
              <w:t>达标</w:t>
            </w:r>
          </w:p>
        </w:tc>
        <w:tc>
          <w:tcPr>
            <w:tcW w:w="644" w:type="dxa"/>
            <w:noWrap w:val="0"/>
            <w:vAlign w:val="center"/>
          </w:tcPr>
          <w:p w14:paraId="02C8C464">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68F3E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2372C5D2">
            <w:pPr>
              <w:pStyle w:val="25"/>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39297BF0">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CO</w:t>
            </w:r>
          </w:p>
        </w:tc>
        <w:tc>
          <w:tcPr>
            <w:tcW w:w="1760" w:type="dxa"/>
            <w:noWrap w:val="0"/>
            <w:vAlign w:val="center"/>
          </w:tcPr>
          <w:p w14:paraId="50FC7AE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0654E2B0">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95</w:t>
            </w:r>
          </w:p>
        </w:tc>
        <w:tc>
          <w:tcPr>
            <w:tcW w:w="1008" w:type="dxa"/>
            <w:noWrap w:val="0"/>
            <w:vAlign w:val="center"/>
          </w:tcPr>
          <w:p w14:paraId="1C6C52D2">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1000</w:t>
            </w:r>
          </w:p>
        </w:tc>
        <w:tc>
          <w:tcPr>
            <w:tcW w:w="927" w:type="dxa"/>
            <w:noWrap w:val="0"/>
            <w:vAlign w:val="center"/>
          </w:tcPr>
          <w:p w14:paraId="5F36637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4000</w:t>
            </w:r>
          </w:p>
        </w:tc>
        <w:tc>
          <w:tcPr>
            <w:tcW w:w="792" w:type="dxa"/>
            <w:noWrap w:val="0"/>
            <w:vAlign w:val="center"/>
          </w:tcPr>
          <w:p w14:paraId="458B170E">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25</w:t>
            </w:r>
          </w:p>
        </w:tc>
        <w:tc>
          <w:tcPr>
            <w:tcW w:w="859" w:type="dxa"/>
            <w:noWrap w:val="0"/>
            <w:vAlign w:val="center"/>
          </w:tcPr>
          <w:p w14:paraId="494F377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09AEFD0E">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3174A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4ECC1FDB">
            <w:pPr>
              <w:pStyle w:val="25"/>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6940A7AA">
            <w:pPr>
              <w:pStyle w:val="25"/>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O</w:t>
            </w:r>
            <w:r>
              <w:rPr>
                <w:rFonts w:hint="default" w:ascii="Times New Roman" w:hAnsi="Times New Roman" w:cs="Times New Roman"/>
                <w:color w:val="auto"/>
                <w:sz w:val="21"/>
                <w:szCs w:val="21"/>
                <w:u w:val="none" w:color="auto"/>
                <w:vertAlign w:val="subscript"/>
              </w:rPr>
              <w:t>3</w:t>
            </w:r>
          </w:p>
        </w:tc>
        <w:tc>
          <w:tcPr>
            <w:tcW w:w="1760" w:type="dxa"/>
            <w:noWrap w:val="0"/>
            <w:vAlign w:val="center"/>
          </w:tcPr>
          <w:p w14:paraId="7B8E215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百分位上8h平均质量浓度</w:t>
            </w:r>
          </w:p>
        </w:tc>
        <w:tc>
          <w:tcPr>
            <w:tcW w:w="898" w:type="dxa"/>
            <w:noWrap w:val="0"/>
            <w:vAlign w:val="center"/>
          </w:tcPr>
          <w:p w14:paraId="6C4FA80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90</w:t>
            </w:r>
          </w:p>
        </w:tc>
        <w:tc>
          <w:tcPr>
            <w:tcW w:w="1008" w:type="dxa"/>
            <w:noWrap w:val="0"/>
            <w:vAlign w:val="center"/>
          </w:tcPr>
          <w:p w14:paraId="365A843B">
            <w:pPr>
              <w:pStyle w:val="25"/>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139</w:t>
            </w:r>
          </w:p>
        </w:tc>
        <w:tc>
          <w:tcPr>
            <w:tcW w:w="927" w:type="dxa"/>
            <w:noWrap w:val="0"/>
            <w:vAlign w:val="center"/>
          </w:tcPr>
          <w:p w14:paraId="74FAA50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160</w:t>
            </w:r>
          </w:p>
        </w:tc>
        <w:tc>
          <w:tcPr>
            <w:tcW w:w="792" w:type="dxa"/>
            <w:noWrap w:val="0"/>
            <w:vAlign w:val="center"/>
          </w:tcPr>
          <w:p w14:paraId="2743138B">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86.88</w:t>
            </w:r>
          </w:p>
        </w:tc>
        <w:tc>
          <w:tcPr>
            <w:tcW w:w="859" w:type="dxa"/>
            <w:noWrap w:val="0"/>
            <w:vAlign w:val="center"/>
          </w:tcPr>
          <w:p w14:paraId="719B6F8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4F5BA9BC">
            <w:pPr>
              <w:pStyle w:val="25"/>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bl>
    <w:p w14:paraId="645BD686">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kern w:val="0"/>
          <w:sz w:val="24"/>
          <w:szCs w:val="24"/>
          <w:u w:val="none" w:color="auto"/>
          <w:lang w:val="en-US" w:eastAsia="zh-CN" w:bidi="ar"/>
        </w:rPr>
        <w:t>根据上表可知，</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汨罗市环境空气质量六项基本污染物PM</w:t>
      </w:r>
      <w:r>
        <w:rPr>
          <w:rFonts w:hint="default" w:ascii="Times New Roman" w:hAnsi="Times New Roman" w:eastAsia="宋体" w:cs="Times New Roman"/>
          <w:color w:val="auto"/>
          <w:kern w:val="0"/>
          <w:sz w:val="15"/>
          <w:szCs w:val="15"/>
          <w:u w:val="none" w:color="auto"/>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15"/>
          <w:szCs w:val="15"/>
          <w:u w:val="none" w:color="auto"/>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、SO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、NO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、CO、O</w:t>
      </w:r>
      <w:r>
        <w:rPr>
          <w:rFonts w:hint="default" w:ascii="Times New Roman" w:hAnsi="Times New Roman" w:eastAsia="宋体" w:cs="Times New Roman"/>
          <w:color w:val="auto"/>
          <w:kern w:val="0"/>
          <w:sz w:val="15"/>
          <w:szCs w:val="15"/>
          <w:u w:val="none" w:color="auto"/>
          <w:lang w:val="en-US" w:eastAsia="zh-CN" w:bidi="ar"/>
        </w:rPr>
        <w:t>3</w:t>
      </w:r>
      <w:r>
        <w:rPr>
          <w:rFonts w:hint="eastAsia" w:eastAsia="宋体" w:cs="Times New Roman"/>
          <w:color w:val="auto"/>
          <w:kern w:val="0"/>
          <w:sz w:val="24"/>
          <w:szCs w:val="24"/>
          <w:u w:val="none" w:color="auto"/>
          <w:vertAlign w:val="baseline"/>
          <w:lang w:val="en-US" w:eastAsia="zh-CN" w:bidi="ar"/>
        </w:rPr>
        <w:t>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项目区域大气环境质量为达标区。</w:t>
      </w:r>
    </w:p>
    <w:p w14:paraId="38B7DD38">
      <w:pPr>
        <w:pStyle w:val="21"/>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eastAsia="zh-CN"/>
        </w:rPr>
        <w:t>）特征污染物环质量现状评价</w:t>
      </w:r>
    </w:p>
    <w:p w14:paraId="2857CF71">
      <w:pPr>
        <w:pStyle w:val="21"/>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根据《环境影响评价技术导则大气环境》（HJ2.2-2018）相关规定；若评价范围内己有例行监测点位，或评价范围内有近3年的监测资料，且其监测数据有效性符合本导则有关规定，并能满足项目评价要求的，可不再进行现状</w:t>
      </w:r>
      <w:r>
        <w:rPr>
          <w:rFonts w:hint="eastAsia" w:ascii="Times New Roman" w:hAnsi="Times New Roman" w:cs="Times New Roman"/>
          <w:color w:val="auto"/>
          <w:u w:val="none" w:color="auto"/>
          <w:lang w:val="en-US" w:eastAsia="zh-CN"/>
        </w:rPr>
        <w:t>监测</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对</w:t>
      </w:r>
      <w:r>
        <w:rPr>
          <w:rFonts w:hint="default" w:ascii="Times New Roman" w:hAnsi="Times New Roman" w:eastAsia="宋体" w:cs="Times New Roman"/>
          <w:color w:val="auto"/>
          <w:sz w:val="24"/>
          <w:szCs w:val="24"/>
          <w:u w:val="none" w:color="auto"/>
          <w:lang w:val="en-US" w:eastAsia="zh-CN"/>
        </w:rPr>
        <w:t>TSP、NMHC、TVOC</w:t>
      </w:r>
      <w:r>
        <w:rPr>
          <w:rFonts w:hint="eastAsia" w:ascii="Times New Roman" w:hAnsi="Times New Roman" w:eastAsia="宋体" w:cs="Times New Roman"/>
          <w:color w:val="auto"/>
          <w:sz w:val="24"/>
          <w:szCs w:val="24"/>
          <w:u w:val="none" w:color="auto"/>
          <w:lang w:val="en-US" w:eastAsia="zh-CN"/>
        </w:rPr>
        <w:t>、甲醛，</w:t>
      </w:r>
      <w:r>
        <w:rPr>
          <w:color w:val="auto"/>
          <w:u w:val="none" w:color="auto"/>
        </w:rPr>
        <w:t>本项目引用</w:t>
      </w:r>
      <w:r>
        <w:rPr>
          <w:rFonts w:hint="eastAsia"/>
          <w:color w:val="auto"/>
          <w:u w:val="none" w:color="auto"/>
        </w:rPr>
        <w:t>《汨罗高新技术产业开发区扩区规划环境影响报告书》中委托湖南桓泓检测技术有限公司202</w:t>
      </w:r>
      <w:r>
        <w:rPr>
          <w:rFonts w:hint="eastAsia"/>
          <w:color w:val="auto"/>
          <w:u w:val="none" w:color="auto"/>
          <w:lang w:val="en-US" w:eastAsia="zh-CN"/>
        </w:rPr>
        <w:t>3</w:t>
      </w:r>
      <w:r>
        <w:rPr>
          <w:rFonts w:hint="eastAsia"/>
          <w:color w:val="auto"/>
          <w:u w:val="none" w:color="auto"/>
        </w:rPr>
        <w:t>年</w:t>
      </w:r>
      <w:r>
        <w:rPr>
          <w:rFonts w:hint="eastAsia"/>
          <w:color w:val="auto"/>
          <w:u w:val="none" w:color="auto"/>
          <w:lang w:val="en-US" w:eastAsia="zh-CN"/>
        </w:rPr>
        <w:t>5</w:t>
      </w:r>
      <w:r>
        <w:rPr>
          <w:rFonts w:hint="eastAsia"/>
          <w:color w:val="auto"/>
          <w:u w:val="none" w:color="auto"/>
        </w:rPr>
        <w:t>月</w:t>
      </w:r>
      <w:r>
        <w:rPr>
          <w:rFonts w:hint="eastAsia"/>
          <w:color w:val="auto"/>
          <w:u w:val="none" w:color="auto"/>
          <w:lang w:val="en-US" w:eastAsia="zh-CN"/>
        </w:rPr>
        <w:t>24</w:t>
      </w:r>
      <w:r>
        <w:rPr>
          <w:rFonts w:hint="eastAsia"/>
          <w:color w:val="auto"/>
          <w:u w:val="none" w:color="auto"/>
        </w:rPr>
        <w:t>日~</w:t>
      </w:r>
      <w:r>
        <w:rPr>
          <w:rFonts w:hint="eastAsia"/>
          <w:color w:val="auto"/>
          <w:u w:val="none" w:color="auto"/>
          <w:lang w:val="en-US" w:eastAsia="zh-CN"/>
        </w:rPr>
        <w:t>5</w:t>
      </w:r>
      <w:r>
        <w:rPr>
          <w:rFonts w:hint="eastAsia"/>
          <w:color w:val="auto"/>
          <w:u w:val="none" w:color="auto"/>
        </w:rPr>
        <w:t>月</w:t>
      </w:r>
      <w:r>
        <w:rPr>
          <w:rFonts w:hint="eastAsia"/>
          <w:color w:val="auto"/>
          <w:u w:val="none" w:color="auto"/>
          <w:lang w:val="en-US" w:eastAsia="zh-CN"/>
        </w:rPr>
        <w:t>30</w:t>
      </w:r>
      <w:r>
        <w:rPr>
          <w:rFonts w:hint="eastAsia"/>
          <w:color w:val="auto"/>
          <w:u w:val="none" w:color="auto"/>
        </w:rPr>
        <w:t>日对环境空气质量进行的质量监测数据</w:t>
      </w:r>
      <w:r>
        <w:rPr>
          <w:rFonts w:hint="eastAsia"/>
          <w:color w:val="auto"/>
          <w:u w:val="none" w:color="auto"/>
          <w:lang w:val="en-US" w:eastAsia="zh-CN"/>
        </w:rPr>
        <w:t>作为依据</w:t>
      </w:r>
      <w:r>
        <w:rPr>
          <w:color w:val="auto"/>
          <w:u w:val="none" w:color="auto"/>
        </w:rPr>
        <w:t>。</w:t>
      </w:r>
    </w:p>
    <w:p w14:paraId="4DC19E47">
      <w:pPr>
        <w:pStyle w:val="21"/>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引用</w:t>
      </w:r>
      <w:r>
        <w:rPr>
          <w:rFonts w:hint="default" w:ascii="Times New Roman" w:hAnsi="Times New Roman" w:eastAsia="宋体" w:cs="Times New Roman"/>
          <w:color w:val="auto"/>
          <w:u w:val="none" w:color="auto"/>
          <w:lang w:eastAsia="zh-CN"/>
        </w:rPr>
        <w:t>监测点位：</w:t>
      </w:r>
      <w:r>
        <w:rPr>
          <w:rFonts w:hint="eastAsia" w:ascii="Times New Roman" w:hAnsi="Times New Roman" w:cs="Times New Roman"/>
          <w:color w:val="auto"/>
          <w:u w:val="none" w:color="auto"/>
          <w:lang w:val="en-US" w:eastAsia="zh-CN"/>
        </w:rPr>
        <w:t>G7：本项目厂址东南侧下风向2.2km汪家垄居民点</w:t>
      </w:r>
      <w:r>
        <w:rPr>
          <w:rFonts w:hint="default" w:ascii="Times New Roman" w:hAnsi="Times New Roman" w:cs="Times New Roman"/>
          <w:color w:val="auto"/>
          <w:u w:val="none" w:color="auto"/>
          <w:lang w:eastAsia="zh-CN"/>
        </w:rPr>
        <w:t>。</w:t>
      </w:r>
    </w:p>
    <w:p w14:paraId="3994FE72">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监测因子：</w:t>
      </w:r>
      <w:r>
        <w:rPr>
          <w:rFonts w:hint="default" w:ascii="Times New Roman" w:hAnsi="Times New Roman" w:eastAsia="宋体" w:cs="Times New Roman"/>
          <w:color w:val="auto"/>
          <w:sz w:val="24"/>
          <w:szCs w:val="24"/>
          <w:u w:val="none" w:color="auto"/>
          <w:lang w:val="en-US" w:eastAsia="zh-CN"/>
        </w:rPr>
        <w:t>TSP、NMHC、TVOC</w:t>
      </w:r>
      <w:r>
        <w:rPr>
          <w:rFonts w:hint="eastAsia" w:ascii="Times New Roman" w:hAnsi="Times New Roman" w:eastAsia="宋体" w:cs="Times New Roman"/>
          <w:color w:val="auto"/>
          <w:sz w:val="24"/>
          <w:szCs w:val="24"/>
          <w:u w:val="none" w:color="auto"/>
          <w:lang w:val="en-US" w:eastAsia="zh-CN"/>
        </w:rPr>
        <w:t>、甲醛</w:t>
      </w:r>
      <w:r>
        <w:rPr>
          <w:rFonts w:hint="default" w:ascii="Times New Roman" w:hAnsi="Times New Roman" w:eastAsia="宋体" w:cs="Times New Roman"/>
          <w:color w:val="auto"/>
          <w:u w:val="none" w:color="auto"/>
          <w:lang w:val="en-US" w:eastAsia="zh-CN"/>
        </w:rPr>
        <w:t>。</w:t>
      </w:r>
    </w:p>
    <w:p w14:paraId="6992A16E">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监测时间与频次：进行了连续7天的采样监测</w:t>
      </w:r>
      <w:r>
        <w:rPr>
          <w:rFonts w:hint="eastAsia" w:cs="Times New Roman"/>
          <w:color w:val="auto"/>
          <w:u w:val="none" w:color="auto"/>
          <w:lang w:val="en-US" w:eastAsia="zh-CN"/>
        </w:rPr>
        <w:t>。</w:t>
      </w:r>
    </w:p>
    <w:p w14:paraId="775D484C">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采样方法及分析方法：采样方法按《环境空气质量自动监测技术规范》（HIJ/T193-2005）规定执行。项目分析方法按《环境空气质量标准》（GB3095-2012）表2规定以及《空气和废气监测分析方法（第四版）》中的相关规定执行。</w:t>
      </w:r>
    </w:p>
    <w:p w14:paraId="192458C3">
      <w:pPr>
        <w:pStyle w:val="29"/>
        <w:bidi w:val="0"/>
        <w:rPr>
          <w:rFonts w:hint="default" w:ascii="Times New Roman" w:hAnsi="Times New Roman" w:eastAsia="宋体" w:cs="Times New Roman"/>
          <w:b/>
          <w:color w:val="auto"/>
          <w:kern w:val="2"/>
          <w:sz w:val="21"/>
          <w:szCs w:val="24"/>
          <w:u w:val="none" w:color="auto"/>
          <w:vertAlign w:val="superscript"/>
          <w:lang w:val="en-US" w:eastAsia="zh-CN" w:bidi="ar-SA"/>
        </w:rPr>
      </w:pPr>
      <w:r>
        <w:rPr>
          <w:rFonts w:hint="default" w:ascii="Times New Roman" w:hAnsi="Times New Roman" w:eastAsia="宋体" w:cs="Times New Roman"/>
          <w:b/>
          <w:color w:val="auto"/>
          <w:kern w:val="2"/>
          <w:sz w:val="21"/>
          <w:szCs w:val="24"/>
          <w:u w:val="none" w:color="auto"/>
          <w:lang w:val="en-US" w:eastAsia="zh-CN" w:bidi="ar-SA"/>
        </w:rPr>
        <w:t>表</w:t>
      </w:r>
      <w:r>
        <w:rPr>
          <w:rFonts w:hint="eastAsia" w:cs="Times New Roman"/>
          <w:b/>
          <w:color w:val="auto"/>
          <w:kern w:val="2"/>
          <w:sz w:val="21"/>
          <w:szCs w:val="24"/>
          <w:u w:val="none" w:color="auto"/>
          <w:lang w:val="en-US" w:eastAsia="zh-CN" w:bidi="ar-SA"/>
        </w:rPr>
        <w:t>4</w:t>
      </w:r>
      <w:r>
        <w:rPr>
          <w:rFonts w:hint="default" w:ascii="Times New Roman" w:hAnsi="Times New Roman" w:cs="Times New Roman"/>
          <w:b/>
          <w:color w:val="auto"/>
          <w:kern w:val="2"/>
          <w:sz w:val="21"/>
          <w:szCs w:val="24"/>
          <w:u w:val="none" w:color="auto"/>
          <w:lang w:val="en-US" w:eastAsia="zh-CN" w:bidi="ar-SA"/>
        </w:rPr>
        <w:t>.</w:t>
      </w:r>
      <w:r>
        <w:rPr>
          <w:rFonts w:hint="eastAsia" w:cs="Times New Roman"/>
          <w:b/>
          <w:color w:val="auto"/>
          <w:kern w:val="2"/>
          <w:sz w:val="21"/>
          <w:szCs w:val="24"/>
          <w:u w:val="none" w:color="auto"/>
          <w:lang w:val="en-US" w:eastAsia="zh-CN" w:bidi="ar-SA"/>
        </w:rPr>
        <w:t>3</w:t>
      </w:r>
      <w:r>
        <w:rPr>
          <w:rFonts w:hint="default" w:ascii="Times New Roman" w:hAnsi="Times New Roman" w:eastAsia="宋体" w:cs="Times New Roman"/>
          <w:b/>
          <w:color w:val="auto"/>
          <w:kern w:val="2"/>
          <w:sz w:val="21"/>
          <w:szCs w:val="24"/>
          <w:u w:val="none" w:color="auto"/>
          <w:lang w:val="en-US" w:eastAsia="zh-CN" w:bidi="ar-SA"/>
        </w:rPr>
        <w:t>-</w:t>
      </w:r>
      <w:r>
        <w:rPr>
          <w:rFonts w:hint="default" w:ascii="Times New Roman" w:hAnsi="Times New Roman" w:cs="Times New Roman"/>
          <w:b/>
          <w:color w:val="auto"/>
          <w:kern w:val="2"/>
          <w:sz w:val="21"/>
          <w:szCs w:val="24"/>
          <w:u w:val="none" w:color="auto"/>
          <w:lang w:val="en-US" w:eastAsia="zh-CN" w:bidi="ar-SA"/>
        </w:rPr>
        <w:t xml:space="preserve">2  </w:t>
      </w:r>
      <w:r>
        <w:rPr>
          <w:rFonts w:hint="default" w:ascii="Times New Roman" w:hAnsi="Times New Roman" w:eastAsia="宋体" w:cs="Times New Roman"/>
          <w:b/>
          <w:color w:val="auto"/>
          <w:kern w:val="2"/>
          <w:sz w:val="21"/>
          <w:szCs w:val="24"/>
          <w:u w:val="none" w:color="auto"/>
          <w:lang w:val="en-US" w:eastAsia="zh-CN" w:bidi="ar-SA"/>
        </w:rPr>
        <w:t xml:space="preserve">环境空气质量现状监测结果一览表  单位: </w:t>
      </w:r>
      <w:r>
        <w:rPr>
          <w:rFonts w:hint="default" w:ascii="Times New Roman" w:hAnsi="Times New Roman" w:cs="Times New Roman"/>
          <w:b/>
          <w:color w:val="auto"/>
          <w:kern w:val="2"/>
          <w:sz w:val="21"/>
          <w:szCs w:val="24"/>
          <w:u w:val="none" w:color="auto"/>
          <w:lang w:val="en-US" w:eastAsia="zh-CN" w:bidi="ar-SA"/>
        </w:rPr>
        <w:t>m</w:t>
      </w:r>
      <w:r>
        <w:rPr>
          <w:rFonts w:hint="default" w:ascii="Times New Roman" w:hAnsi="Times New Roman" w:eastAsia="宋体" w:cs="Times New Roman"/>
          <w:b/>
          <w:color w:val="auto"/>
          <w:kern w:val="2"/>
          <w:sz w:val="21"/>
          <w:szCs w:val="24"/>
          <w:u w:val="none" w:color="auto"/>
          <w:lang w:val="en-US" w:eastAsia="zh-CN" w:bidi="ar-SA"/>
        </w:rPr>
        <w:t>g/m</w:t>
      </w:r>
      <w:r>
        <w:rPr>
          <w:rFonts w:hint="default" w:ascii="Times New Roman" w:hAnsi="Times New Roman" w:eastAsia="宋体" w:cs="Times New Roman"/>
          <w:b/>
          <w:color w:val="auto"/>
          <w:kern w:val="2"/>
          <w:sz w:val="21"/>
          <w:szCs w:val="24"/>
          <w:u w:val="none" w:color="auto"/>
          <w:vertAlign w:val="superscript"/>
          <w:lang w:val="en-US" w:eastAsia="zh-CN" w:bidi="ar-SA"/>
        </w:rPr>
        <w:t>3</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26"/>
        <w:gridCol w:w="3018"/>
        <w:gridCol w:w="3892"/>
      </w:tblGrid>
      <w:tr w14:paraId="20173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65" w:type="pct"/>
            <w:gridSpan w:val="2"/>
            <w:vMerge w:val="restart"/>
            <w:tcBorders>
              <w:tl2br w:val="nil"/>
              <w:tr2bl w:val="nil"/>
            </w:tcBorders>
            <w:noWrap/>
            <w:tcMar>
              <w:top w:w="15" w:type="dxa"/>
              <w:left w:w="15" w:type="dxa"/>
              <w:right w:w="15" w:type="dxa"/>
            </w:tcMar>
            <w:vAlign w:val="center"/>
          </w:tcPr>
          <w:p w14:paraId="10F990CC">
            <w:pPr>
              <w:pStyle w:val="25"/>
              <w:bidi w:val="0"/>
              <w:rPr>
                <w:rFonts w:hint="default"/>
                <w:color w:val="auto"/>
                <w:u w:val="none" w:color="auto"/>
              </w:rPr>
            </w:pPr>
            <w:r>
              <w:rPr>
                <w:rFonts w:hint="default"/>
                <w:color w:val="auto"/>
                <w:u w:val="none" w:color="auto"/>
                <w:lang w:val="en-US" w:eastAsia="zh-CN"/>
              </w:rPr>
              <w:t>监测项目</w:t>
            </w:r>
          </w:p>
        </w:tc>
        <w:tc>
          <w:tcPr>
            <w:tcW w:w="2334" w:type="pct"/>
            <w:tcBorders>
              <w:tl2br w:val="nil"/>
              <w:tr2bl w:val="nil"/>
            </w:tcBorders>
            <w:noWrap w:val="0"/>
            <w:tcMar>
              <w:top w:w="15" w:type="dxa"/>
              <w:left w:w="15" w:type="dxa"/>
              <w:right w:w="15" w:type="dxa"/>
            </w:tcMar>
            <w:vAlign w:val="center"/>
          </w:tcPr>
          <w:p w14:paraId="5F762AB4">
            <w:pPr>
              <w:pStyle w:val="25"/>
              <w:bidi w:val="0"/>
              <w:rPr>
                <w:rFonts w:hint="default"/>
                <w:color w:val="auto"/>
                <w:u w:val="none" w:color="auto"/>
                <w:lang w:val="en-US" w:eastAsia="zh-CN"/>
              </w:rPr>
            </w:pPr>
            <w:r>
              <w:rPr>
                <w:rFonts w:hint="default"/>
                <w:color w:val="auto"/>
                <w:u w:val="none" w:color="auto"/>
                <w:lang w:val="en-US" w:eastAsia="zh-CN"/>
              </w:rPr>
              <w:t>监测评价结果</w:t>
            </w:r>
          </w:p>
        </w:tc>
      </w:tr>
      <w:tr w14:paraId="086B9F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65" w:type="pct"/>
            <w:gridSpan w:val="2"/>
            <w:vMerge w:val="continue"/>
            <w:tcBorders>
              <w:tl2br w:val="nil"/>
              <w:tr2bl w:val="nil"/>
            </w:tcBorders>
            <w:noWrap/>
            <w:tcMar>
              <w:top w:w="15" w:type="dxa"/>
              <w:left w:w="15" w:type="dxa"/>
              <w:right w:w="15" w:type="dxa"/>
            </w:tcMar>
            <w:vAlign w:val="bottom"/>
          </w:tcPr>
          <w:p w14:paraId="1A2E42DA">
            <w:pPr>
              <w:pStyle w:val="25"/>
              <w:bidi w:val="0"/>
              <w:rPr>
                <w:rFonts w:hint="default"/>
                <w:color w:val="auto"/>
                <w:u w:val="none" w:color="auto"/>
              </w:rPr>
            </w:pPr>
          </w:p>
        </w:tc>
        <w:tc>
          <w:tcPr>
            <w:tcW w:w="2334" w:type="pct"/>
            <w:tcBorders>
              <w:tl2br w:val="nil"/>
              <w:tr2bl w:val="nil"/>
            </w:tcBorders>
            <w:noWrap w:val="0"/>
            <w:tcMar>
              <w:top w:w="15" w:type="dxa"/>
              <w:left w:w="15" w:type="dxa"/>
              <w:right w:w="15" w:type="dxa"/>
            </w:tcMar>
            <w:vAlign w:val="center"/>
          </w:tcPr>
          <w:p w14:paraId="46672C2A">
            <w:pPr>
              <w:pStyle w:val="25"/>
              <w:bidi w:val="0"/>
              <w:rPr>
                <w:rFonts w:hint="default"/>
                <w:color w:val="auto"/>
                <w:u w:val="none" w:color="auto"/>
                <w:lang w:val="en-US" w:eastAsia="zh-CN"/>
              </w:rPr>
            </w:pPr>
            <w:r>
              <w:rPr>
                <w:rFonts w:hint="default"/>
                <w:color w:val="auto"/>
                <w:u w:val="none" w:color="auto"/>
                <w:lang w:val="en-US" w:eastAsia="zh-CN"/>
              </w:rPr>
              <w:t>G</w:t>
            </w:r>
            <w:r>
              <w:rPr>
                <w:rFonts w:hint="eastAsia"/>
                <w:color w:val="auto"/>
                <w:u w:val="none" w:color="auto"/>
                <w:lang w:val="en-US" w:eastAsia="zh-CN"/>
              </w:rPr>
              <w:t>7</w:t>
            </w:r>
          </w:p>
        </w:tc>
      </w:tr>
      <w:tr w14:paraId="4A513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tcMar>
              <w:top w:w="15" w:type="dxa"/>
              <w:left w:w="15" w:type="dxa"/>
              <w:right w:w="15" w:type="dxa"/>
            </w:tcMar>
            <w:vAlign w:val="center"/>
          </w:tcPr>
          <w:p w14:paraId="4DB61586">
            <w:pPr>
              <w:pStyle w:val="25"/>
              <w:bidi w:val="0"/>
              <w:rPr>
                <w:rFonts w:hint="default"/>
                <w:color w:val="auto"/>
                <w:u w:val="none" w:color="auto"/>
                <w:lang w:val="en-US" w:eastAsia="zh-CN"/>
              </w:rPr>
            </w:pPr>
            <w:r>
              <w:rPr>
                <w:rFonts w:hint="default"/>
                <w:color w:val="auto"/>
                <w:u w:val="none" w:color="auto"/>
                <w:lang w:val="en-US" w:eastAsia="zh-CN"/>
              </w:rPr>
              <w:t>TSP</w:t>
            </w:r>
          </w:p>
        </w:tc>
        <w:tc>
          <w:tcPr>
            <w:tcW w:w="1810" w:type="pct"/>
            <w:tcBorders>
              <w:tl2br w:val="nil"/>
              <w:tr2bl w:val="nil"/>
            </w:tcBorders>
            <w:noWrap/>
            <w:tcMar>
              <w:top w:w="15" w:type="dxa"/>
              <w:left w:w="15" w:type="dxa"/>
              <w:right w:w="15" w:type="dxa"/>
            </w:tcMar>
            <w:vAlign w:val="center"/>
          </w:tcPr>
          <w:p w14:paraId="589B09E9">
            <w:pPr>
              <w:pStyle w:val="25"/>
              <w:bidi w:val="0"/>
              <w:rPr>
                <w:rFonts w:hint="default"/>
                <w:color w:val="auto"/>
                <w:u w:val="none" w:color="auto"/>
                <w:lang w:val="en-US" w:eastAsia="zh-CN"/>
              </w:rPr>
            </w:pPr>
            <w:r>
              <w:rPr>
                <w:rFonts w:hint="eastAsia"/>
                <w:color w:val="auto"/>
                <w:u w:val="none" w:color="auto"/>
                <w:lang w:val="en-US" w:eastAsia="zh-CN"/>
              </w:rPr>
              <w:t>日均值浓度范围</w:t>
            </w:r>
          </w:p>
        </w:tc>
        <w:tc>
          <w:tcPr>
            <w:tcW w:w="2334" w:type="pct"/>
            <w:tcBorders>
              <w:tl2br w:val="nil"/>
              <w:tr2bl w:val="nil"/>
            </w:tcBorders>
            <w:noWrap w:val="0"/>
            <w:tcMar>
              <w:top w:w="15" w:type="dxa"/>
              <w:left w:w="15" w:type="dxa"/>
              <w:right w:w="15" w:type="dxa"/>
            </w:tcMar>
            <w:vAlign w:val="center"/>
          </w:tcPr>
          <w:p w14:paraId="74C68987">
            <w:pPr>
              <w:pStyle w:val="25"/>
              <w:bidi w:val="0"/>
              <w:rPr>
                <w:rFonts w:hint="default" w:eastAsia="宋体"/>
                <w:color w:val="auto"/>
                <w:u w:val="none" w:color="auto"/>
                <w:lang w:val="en-US" w:eastAsia="zh-CN"/>
              </w:rPr>
            </w:pPr>
            <w:r>
              <w:rPr>
                <w:rFonts w:cs="Times New Roman"/>
                <w:color w:val="auto"/>
              </w:rPr>
              <w:t>0.112~0.124</w:t>
            </w:r>
          </w:p>
        </w:tc>
      </w:tr>
      <w:tr w14:paraId="67F1C2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26C59995">
            <w:pPr>
              <w:pStyle w:val="25"/>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158260DD">
            <w:pPr>
              <w:pStyle w:val="25"/>
              <w:bidi w:val="0"/>
              <w:rPr>
                <w:rFonts w:hint="default"/>
                <w:color w:val="auto"/>
                <w:u w:val="none" w:color="auto"/>
                <w:lang w:val="en-US" w:eastAsia="zh-CN"/>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20BB34BA">
            <w:pPr>
              <w:pStyle w:val="25"/>
              <w:bidi w:val="0"/>
              <w:rPr>
                <w:rFonts w:hint="default" w:eastAsia="宋体"/>
                <w:color w:val="auto"/>
                <w:u w:val="none" w:color="auto"/>
                <w:lang w:val="en-US" w:eastAsia="zh-CN"/>
              </w:rPr>
            </w:pPr>
            <w:r>
              <w:rPr>
                <w:rFonts w:hint="eastAsia"/>
                <w:color w:val="auto"/>
                <w:u w:val="none" w:color="auto"/>
                <w:lang w:val="en-US" w:eastAsia="zh-CN"/>
              </w:rPr>
              <w:t>0.3</w:t>
            </w:r>
          </w:p>
        </w:tc>
      </w:tr>
      <w:tr w14:paraId="182D8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6A0BFB3B">
            <w:pPr>
              <w:pStyle w:val="25"/>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28B3AEE7">
            <w:pPr>
              <w:pStyle w:val="25"/>
              <w:rPr>
                <w:rFonts w:hint="default"/>
                <w:color w:val="auto"/>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79369275">
            <w:pPr>
              <w:pStyle w:val="25"/>
              <w:bidi w:val="0"/>
              <w:rPr>
                <w:rFonts w:hint="default"/>
                <w:color w:val="auto"/>
                <w:u w:val="none" w:color="auto"/>
                <w:lang w:val="en-US" w:eastAsia="zh-CN"/>
              </w:rPr>
            </w:pPr>
            <w:r>
              <w:rPr>
                <w:rFonts w:cs="Times New Roman"/>
                <w:color w:val="auto"/>
              </w:rPr>
              <w:t>41.33</w:t>
            </w:r>
          </w:p>
        </w:tc>
      </w:tr>
      <w:tr w14:paraId="769AA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22AAC915">
            <w:pPr>
              <w:pStyle w:val="25"/>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4044741E">
            <w:pPr>
              <w:pStyle w:val="25"/>
              <w:bidi w:val="0"/>
              <w:rPr>
                <w:rFonts w:hint="default"/>
                <w:color w:val="auto"/>
                <w:u w:val="none" w:color="auto"/>
                <w:lang w:val="en-US" w:eastAsia="zh-CN"/>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29457A3F">
            <w:pPr>
              <w:pStyle w:val="25"/>
              <w:bidi w:val="0"/>
              <w:rPr>
                <w:rFonts w:hint="eastAsia" w:eastAsia="宋体"/>
                <w:color w:val="auto"/>
                <w:u w:val="none" w:color="auto"/>
                <w:lang w:val="en-US" w:eastAsia="zh-CN"/>
              </w:rPr>
            </w:pPr>
            <w:r>
              <w:rPr>
                <w:rFonts w:hint="eastAsia"/>
                <w:color w:val="auto"/>
                <w:u w:val="none" w:color="auto"/>
                <w:lang w:val="en-US" w:eastAsia="zh-CN"/>
              </w:rPr>
              <w:t>0</w:t>
            </w:r>
          </w:p>
        </w:tc>
      </w:tr>
      <w:tr w14:paraId="083BB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3F172B11">
            <w:pPr>
              <w:pStyle w:val="25"/>
              <w:bidi w:val="0"/>
              <w:rPr>
                <w:rFonts w:hint="default"/>
                <w:color w:val="auto"/>
                <w:u w:val="none" w:color="auto"/>
                <w:lang w:val="en-US" w:eastAsia="zh-CN"/>
              </w:rPr>
            </w:pPr>
            <w:r>
              <w:rPr>
                <w:rFonts w:hint="default"/>
                <w:color w:val="auto"/>
                <w:u w:val="none" w:color="auto"/>
                <w:lang w:val="en-US" w:eastAsia="zh-CN"/>
              </w:rPr>
              <w:t>TVOC</w:t>
            </w:r>
          </w:p>
        </w:tc>
        <w:tc>
          <w:tcPr>
            <w:tcW w:w="1810" w:type="pct"/>
            <w:tcBorders>
              <w:tl2br w:val="nil"/>
              <w:tr2bl w:val="nil"/>
            </w:tcBorders>
            <w:noWrap w:val="0"/>
            <w:tcMar>
              <w:top w:w="15" w:type="dxa"/>
              <w:left w:w="15" w:type="dxa"/>
              <w:right w:w="15" w:type="dxa"/>
            </w:tcMar>
            <w:vAlign w:val="center"/>
          </w:tcPr>
          <w:p w14:paraId="7EEB952D">
            <w:pPr>
              <w:pStyle w:val="25"/>
              <w:rPr>
                <w:rFonts w:hint="default"/>
                <w:color w:val="auto"/>
                <w:u w:val="none" w:color="auto"/>
                <w:lang w:val="en-US" w:eastAsia="zh-CN"/>
              </w:rPr>
            </w:pPr>
            <w:r>
              <w:rPr>
                <w:rFonts w:hint="default" w:ascii="Times New Roman" w:hAnsi="Times New Roman" w:eastAsia="宋体" w:cs="Times New Roman"/>
                <w:color w:val="auto"/>
                <w:kern w:val="2"/>
                <w:sz w:val="21"/>
                <w:szCs w:val="21"/>
                <w:u w:val="none" w:color="auto"/>
                <w:lang w:val="en-US" w:eastAsia="zh-CN"/>
              </w:rPr>
              <w:t>8小时平均浓度值范围</w:t>
            </w:r>
          </w:p>
        </w:tc>
        <w:tc>
          <w:tcPr>
            <w:tcW w:w="2334" w:type="pct"/>
            <w:tcBorders>
              <w:tl2br w:val="nil"/>
              <w:tr2bl w:val="nil"/>
            </w:tcBorders>
            <w:noWrap w:val="0"/>
            <w:tcMar>
              <w:top w:w="15" w:type="dxa"/>
              <w:left w:w="15" w:type="dxa"/>
              <w:right w:w="15" w:type="dxa"/>
            </w:tcMar>
            <w:vAlign w:val="center"/>
          </w:tcPr>
          <w:p w14:paraId="78D4764B">
            <w:pPr>
              <w:pStyle w:val="25"/>
              <w:bidi w:val="0"/>
              <w:rPr>
                <w:rFonts w:hint="default" w:eastAsia="宋体"/>
                <w:color w:val="auto"/>
                <w:u w:val="none" w:color="auto"/>
                <w:lang w:val="en-US" w:eastAsia="zh-CN"/>
              </w:rPr>
            </w:pPr>
            <w:r>
              <w:rPr>
                <w:rFonts w:cs="Times New Roman"/>
                <w:color w:val="auto"/>
              </w:rPr>
              <w:t>0.0166~0.0224</w:t>
            </w:r>
          </w:p>
        </w:tc>
      </w:tr>
      <w:tr w14:paraId="4CAFB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2B0B2272">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0E7DE60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6DF027A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0.6</w:t>
            </w:r>
          </w:p>
        </w:tc>
      </w:tr>
      <w:tr w14:paraId="3D2B1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554E77EF">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29317BB4">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165CDCE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cs="Times New Roman"/>
                <w:color w:val="auto"/>
              </w:rPr>
              <w:t>3.73</w:t>
            </w:r>
          </w:p>
        </w:tc>
      </w:tr>
      <w:tr w14:paraId="48AF0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6755F0C9">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181F003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42B9E89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w:t>
            </w:r>
          </w:p>
        </w:tc>
      </w:tr>
      <w:tr w14:paraId="6DBF0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241E310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非甲烷总烃</w:t>
            </w:r>
          </w:p>
          <w:p w14:paraId="6A954A30">
            <w:pPr>
              <w:pStyle w:val="25"/>
              <w:bidi w:val="0"/>
              <w:rPr>
                <w:rFonts w:hint="eastAsia"/>
                <w:color w:val="auto"/>
                <w:u w:val="none" w:color="auto"/>
                <w:lang w:val="en-US" w:eastAsia="zh-CN"/>
              </w:rPr>
            </w:pPr>
          </w:p>
        </w:tc>
        <w:tc>
          <w:tcPr>
            <w:tcW w:w="1810" w:type="pct"/>
            <w:tcBorders>
              <w:tl2br w:val="nil"/>
              <w:tr2bl w:val="nil"/>
            </w:tcBorders>
            <w:noWrap w:val="0"/>
            <w:tcMar>
              <w:top w:w="15" w:type="dxa"/>
              <w:left w:w="15" w:type="dxa"/>
              <w:right w:w="15" w:type="dxa"/>
            </w:tcMar>
            <w:vAlign w:val="center"/>
          </w:tcPr>
          <w:p w14:paraId="4B9698B7">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小时均值浓度范围</w:t>
            </w:r>
          </w:p>
        </w:tc>
        <w:tc>
          <w:tcPr>
            <w:tcW w:w="2334" w:type="pct"/>
            <w:tcBorders>
              <w:tl2br w:val="nil"/>
              <w:tr2bl w:val="nil"/>
            </w:tcBorders>
            <w:noWrap w:val="0"/>
            <w:tcMar>
              <w:top w:w="15" w:type="dxa"/>
              <w:left w:w="15" w:type="dxa"/>
              <w:right w:w="15" w:type="dxa"/>
            </w:tcMar>
            <w:vAlign w:val="center"/>
          </w:tcPr>
          <w:p w14:paraId="187345D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cs="Times New Roman"/>
                <w:color w:val="auto"/>
              </w:rPr>
              <w:t>0.35~0.53</w:t>
            </w:r>
          </w:p>
        </w:tc>
      </w:tr>
      <w:tr w14:paraId="71005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5A42DE94">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5ABFF34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08306D4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w:t>
            </w:r>
          </w:p>
        </w:tc>
      </w:tr>
      <w:tr w14:paraId="6B615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063238F1">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191BE5E5">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1E20A0A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cs="Times New Roman"/>
                <w:color w:val="auto"/>
              </w:rPr>
              <w:t>26.50</w:t>
            </w:r>
          </w:p>
        </w:tc>
      </w:tr>
      <w:tr w14:paraId="0423F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6FA076DA">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32AD0F6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549C5A0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w:t>
            </w:r>
          </w:p>
        </w:tc>
      </w:tr>
      <w:tr w14:paraId="26FB9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0C1837BD">
            <w:pPr>
              <w:pStyle w:val="25"/>
              <w:bidi w:val="0"/>
              <w:rPr>
                <w:rFonts w:hint="default"/>
                <w:color w:val="auto"/>
                <w:u w:val="none" w:color="auto"/>
                <w:lang w:val="en-US" w:eastAsia="zh-CN"/>
              </w:rPr>
            </w:pPr>
            <w:r>
              <w:rPr>
                <w:rFonts w:hint="eastAsia"/>
                <w:color w:val="auto"/>
                <w:u w:val="none" w:color="auto"/>
                <w:lang w:val="en-US" w:eastAsia="zh-CN"/>
              </w:rPr>
              <w:t>甲醛</w:t>
            </w:r>
          </w:p>
        </w:tc>
        <w:tc>
          <w:tcPr>
            <w:tcW w:w="1810" w:type="pct"/>
            <w:tcBorders>
              <w:tl2br w:val="nil"/>
              <w:tr2bl w:val="nil"/>
            </w:tcBorders>
            <w:noWrap w:val="0"/>
            <w:tcMar>
              <w:top w:w="15" w:type="dxa"/>
              <w:left w:w="15" w:type="dxa"/>
              <w:right w:w="15" w:type="dxa"/>
            </w:tcMar>
            <w:vAlign w:val="center"/>
          </w:tcPr>
          <w:p w14:paraId="3DDEA3A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小时均值浓度</w:t>
            </w:r>
          </w:p>
        </w:tc>
        <w:tc>
          <w:tcPr>
            <w:tcW w:w="2334" w:type="pct"/>
            <w:tcBorders>
              <w:tl2br w:val="nil"/>
              <w:tr2bl w:val="nil"/>
            </w:tcBorders>
            <w:noWrap w:val="0"/>
            <w:tcMar>
              <w:top w:w="15" w:type="dxa"/>
              <w:left w:w="15" w:type="dxa"/>
              <w:right w:w="15" w:type="dxa"/>
            </w:tcMar>
            <w:vAlign w:val="center"/>
          </w:tcPr>
          <w:p w14:paraId="4FD4FC55">
            <w:pPr>
              <w:pStyle w:val="25"/>
              <w:bidi w:val="0"/>
              <w:rPr>
                <w:rFonts w:hint="default"/>
                <w:color w:val="auto"/>
                <w:u w:val="none" w:color="auto"/>
                <w:lang w:val="en-US" w:eastAsia="zh-CN"/>
              </w:rPr>
            </w:pPr>
            <w:r>
              <w:rPr>
                <w:rFonts w:cs="Times New Roman"/>
                <w:color w:val="auto"/>
              </w:rPr>
              <w:t>0.</w:t>
            </w:r>
            <w:r>
              <w:rPr>
                <w:rFonts w:hint="eastAsia" w:cs="Times New Roman"/>
                <w:color w:val="auto"/>
              </w:rPr>
              <w:t>0</w:t>
            </w:r>
            <w:r>
              <w:rPr>
                <w:rFonts w:cs="Times New Roman"/>
                <w:color w:val="auto"/>
              </w:rPr>
              <w:t>1L</w:t>
            </w:r>
          </w:p>
        </w:tc>
      </w:tr>
      <w:tr w14:paraId="67BEF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7B1C8505">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410446F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7E9AFF4C">
            <w:pPr>
              <w:pStyle w:val="25"/>
              <w:bidi w:val="0"/>
              <w:rPr>
                <w:rFonts w:hint="default"/>
                <w:color w:val="auto"/>
                <w:u w:val="none" w:color="auto"/>
                <w:lang w:val="en-US" w:eastAsia="zh-CN"/>
              </w:rPr>
            </w:pPr>
            <w:r>
              <w:rPr>
                <w:rFonts w:hint="eastAsia"/>
                <w:color w:val="auto"/>
                <w:u w:val="none" w:color="auto"/>
                <w:lang w:val="en-US" w:eastAsia="zh-CN"/>
              </w:rPr>
              <w:t>0.05</w:t>
            </w:r>
          </w:p>
        </w:tc>
      </w:tr>
      <w:tr w14:paraId="743C3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31CEA0C9">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6A652753">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2E41EDAA">
            <w:pPr>
              <w:pStyle w:val="25"/>
              <w:bidi w:val="0"/>
              <w:rPr>
                <w:rFonts w:hint="default"/>
                <w:color w:val="auto"/>
                <w:u w:val="none" w:color="auto"/>
                <w:lang w:val="en-US" w:eastAsia="zh-CN"/>
              </w:rPr>
            </w:pPr>
            <w:r>
              <w:rPr>
                <w:rFonts w:hint="eastAsia"/>
                <w:color w:val="auto"/>
                <w:u w:val="none" w:color="auto"/>
                <w:lang w:val="en-US" w:eastAsia="zh-CN"/>
              </w:rPr>
              <w:t>/</w:t>
            </w:r>
          </w:p>
        </w:tc>
      </w:tr>
      <w:tr w14:paraId="3AC30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1C1FD964">
            <w:pPr>
              <w:pStyle w:val="25"/>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0B50D98A">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5E8974DF">
            <w:pPr>
              <w:pStyle w:val="25"/>
              <w:bidi w:val="0"/>
              <w:rPr>
                <w:rFonts w:hint="default"/>
                <w:color w:val="auto"/>
                <w:u w:val="none" w:color="auto"/>
                <w:lang w:val="en-US" w:eastAsia="zh-CN"/>
              </w:rPr>
            </w:pPr>
            <w:r>
              <w:rPr>
                <w:rFonts w:hint="eastAsia"/>
                <w:color w:val="auto"/>
                <w:u w:val="none" w:color="auto"/>
                <w:lang w:val="en-US" w:eastAsia="zh-CN"/>
              </w:rPr>
              <w:t>0</w:t>
            </w:r>
          </w:p>
        </w:tc>
      </w:tr>
    </w:tbl>
    <w:p w14:paraId="2BDFB732">
      <w:pPr>
        <w:pStyle w:val="21"/>
        <w:bidi w:val="0"/>
        <w:rPr>
          <w:rFonts w:hint="default"/>
          <w:color w:val="auto"/>
          <w:u w:val="none" w:color="auto"/>
          <w:lang w:eastAsia="zh-CN"/>
        </w:rPr>
      </w:pPr>
      <w:r>
        <w:rPr>
          <w:color w:val="auto"/>
          <w:u w:val="none" w:color="auto"/>
        </w:rPr>
        <w:t>根据表</w:t>
      </w:r>
      <w:r>
        <w:rPr>
          <w:rFonts w:hint="eastAsia"/>
          <w:color w:val="auto"/>
          <w:u w:val="none" w:color="auto"/>
          <w:lang w:val="en-US" w:eastAsia="zh-CN"/>
        </w:rPr>
        <w:t>5</w:t>
      </w:r>
      <w:r>
        <w:rPr>
          <w:color w:val="auto"/>
          <w:u w:val="none" w:color="auto"/>
        </w:rPr>
        <w:t>.3-2的监测结果表明，TSP满足《环境空气质量标准》（GB3095-2012）二级标准；TVOC</w:t>
      </w:r>
      <w:r>
        <w:rPr>
          <w:rFonts w:hint="eastAsia"/>
          <w:color w:val="auto"/>
          <w:u w:val="none" w:color="auto"/>
          <w:lang w:eastAsia="zh-CN"/>
        </w:rPr>
        <w:t>、</w:t>
      </w:r>
      <w:r>
        <w:rPr>
          <w:rFonts w:hint="eastAsia"/>
          <w:color w:val="auto"/>
          <w:u w:val="none" w:color="auto"/>
          <w:lang w:val="en-US" w:eastAsia="zh-CN"/>
        </w:rPr>
        <w:t>甲醛</w:t>
      </w:r>
      <w:r>
        <w:rPr>
          <w:color w:val="auto"/>
          <w:u w:val="none" w:color="auto"/>
        </w:rPr>
        <w:t>能满足《环境影响评价技术导则 大气环境》(HJ2.2-2018)中的附录D标准中的相应的标准</w:t>
      </w:r>
      <w:r>
        <w:rPr>
          <w:rFonts w:hint="eastAsia"/>
          <w:color w:val="auto"/>
          <w:u w:val="none" w:color="auto"/>
          <w:lang w:eastAsia="zh-CN"/>
        </w:rPr>
        <w:t>；</w:t>
      </w:r>
      <w:r>
        <w:rPr>
          <w:rFonts w:hint="default" w:ascii="Times New Roman" w:hAnsi="Times New Roman" w:eastAsia="宋体" w:cs="Times New Roman"/>
          <w:color w:val="auto"/>
          <w:u w:val="none" w:color="auto"/>
        </w:rPr>
        <w:t>非甲烷总烃满足《大气污染物综合排放标准详解》中的环境质量标准一次浓度2mg/m</w:t>
      </w:r>
      <w:r>
        <w:rPr>
          <w:rFonts w:hint="default" w:ascii="Times New Roman" w:hAnsi="Times New Roman" w:eastAsia="宋体" w:cs="Times New Roman"/>
          <w:color w:val="auto"/>
          <w:u w:val="none" w:color="auto"/>
          <w:vertAlign w:val="superscript"/>
        </w:rPr>
        <w:t>3</w:t>
      </w:r>
      <w:r>
        <w:rPr>
          <w:color w:val="auto"/>
          <w:u w:val="none" w:color="auto"/>
        </w:rPr>
        <w:t>。</w:t>
      </w:r>
    </w:p>
    <w:p w14:paraId="151BF132">
      <w:pPr>
        <w:pStyle w:val="8"/>
        <w:rPr>
          <w:rFonts w:hint="default" w:ascii="Times New Roman" w:hAnsi="Times New Roman" w:cs="Times New Roman"/>
          <w:color w:val="auto"/>
          <w:u w:val="none" w:color="auto"/>
        </w:rPr>
      </w:pPr>
      <w:bookmarkStart w:id="874" w:name="_Toc32501"/>
      <w:bookmarkStart w:id="875" w:name="_Toc8413"/>
      <w:bookmarkStart w:id="876" w:name="_Toc8741"/>
      <w:bookmarkStart w:id="877" w:name="_Toc18209"/>
      <w:bookmarkStart w:id="878" w:name="_Toc22534"/>
      <w:bookmarkStart w:id="879" w:name="_Toc28329"/>
      <w:bookmarkStart w:id="880" w:name="_Toc17035"/>
      <w:bookmarkStart w:id="881" w:name="_Toc4932"/>
      <w:bookmarkStart w:id="882" w:name="_Toc16959"/>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.2地表水环境现状监测与评价</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13D79FE8">
      <w:pPr>
        <w:pStyle w:val="21"/>
        <w:bidi w:val="0"/>
        <w:rPr>
          <w:rFonts w:hint="default"/>
          <w:color w:val="auto"/>
          <w:u w:val="none" w:color="auto"/>
        </w:rPr>
      </w:pPr>
      <w:bookmarkStart w:id="883" w:name="_Toc14636"/>
      <w:bookmarkStart w:id="884" w:name="_Toc2689"/>
      <w:bookmarkStart w:id="885" w:name="_Toc17874"/>
      <w:bookmarkStart w:id="886" w:name="_Toc641"/>
      <w:r>
        <w:rPr>
          <w:rFonts w:hint="default"/>
          <w:color w:val="auto"/>
          <w:u w:val="none" w:color="auto"/>
        </w:rPr>
        <w:t>本项目区域的主要地表水体为</w:t>
      </w:r>
      <w:r>
        <w:rPr>
          <w:rFonts w:hint="eastAsia"/>
          <w:color w:val="auto"/>
          <w:u w:val="none" w:color="auto"/>
          <w:lang w:val="en-US" w:eastAsia="zh-CN"/>
        </w:rPr>
        <w:t>白沙河</w:t>
      </w:r>
      <w:r>
        <w:rPr>
          <w:rFonts w:hint="default"/>
          <w:color w:val="auto"/>
          <w:u w:val="none" w:color="auto"/>
        </w:rPr>
        <w:t>。本次评价引用《汨罗高新技术产业开发区扩区规划环境影响报告书》中的地表水环境质量补充监测结果进行分析和评价。</w:t>
      </w:r>
    </w:p>
    <w:p w14:paraId="63D084AA">
      <w:pPr>
        <w:pStyle w:val="21"/>
        <w:bidi w:val="0"/>
        <w:rPr>
          <w:rFonts w:hint="default"/>
          <w:color w:val="auto"/>
          <w:u w:val="none" w:color="auto"/>
          <w:lang w:val="en-US" w:eastAsia="zh-CN"/>
        </w:rPr>
      </w:pPr>
      <w:r>
        <w:rPr>
          <w:rFonts w:hint="default"/>
          <w:color w:val="auto"/>
          <w:u w:val="none" w:color="auto"/>
          <w:lang w:val="en-US" w:eastAsia="zh-CN"/>
        </w:rPr>
        <w:t>湖南桓泓检测技术有限公司于2023年5月24日至26日对区域地表水监测断面进行了连续3天监测，每天一次进行采样。</w:t>
      </w:r>
    </w:p>
    <w:p w14:paraId="5628A4C6">
      <w:pPr>
        <w:pStyle w:val="21"/>
        <w:bidi w:val="0"/>
        <w:rPr>
          <w:rFonts w:hint="default"/>
          <w:color w:val="auto"/>
          <w:u w:val="none" w:color="auto"/>
          <w:lang w:val="en-US" w:eastAsia="zh-CN"/>
        </w:rPr>
      </w:pPr>
      <w:r>
        <w:rPr>
          <w:rFonts w:hint="default"/>
          <w:color w:val="auto"/>
          <w:u w:val="none" w:color="auto"/>
          <w:lang w:val="en-US" w:eastAsia="zh-CN"/>
        </w:rPr>
        <w:t>引用的补充监测断面、监测因子等基本情况详见下表。</w:t>
      </w:r>
    </w:p>
    <w:p w14:paraId="467CE5B4">
      <w:pPr>
        <w:pStyle w:val="45"/>
        <w:bidi w:val="0"/>
        <w:rPr>
          <w:rFonts w:hint="eastAsia"/>
          <w:color w:val="auto"/>
          <w:u w:val="none" w:color="auto"/>
          <w:lang w:val="en-US" w:eastAsia="zh-CN"/>
        </w:rPr>
      </w:pPr>
      <w:r>
        <w:rPr>
          <w:rFonts w:hint="eastAsia"/>
          <w:color w:val="auto"/>
          <w:u w:val="none" w:color="auto"/>
          <w:lang w:val="en-US" w:eastAsia="zh-CN"/>
        </w:rPr>
        <w:t>表4.3-3 引用地表水现状补充监测点位表</w:t>
      </w:r>
    </w:p>
    <w:tbl>
      <w:tblPr>
        <w:tblStyle w:val="16"/>
        <w:tblW w:w="505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012"/>
        <w:gridCol w:w="2280"/>
        <w:gridCol w:w="1304"/>
        <w:gridCol w:w="2670"/>
        <w:gridCol w:w="1235"/>
      </w:tblGrid>
      <w:tr w14:paraId="511BD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785E0E0E">
            <w:pPr>
              <w:pStyle w:val="32"/>
              <w:bidi w:val="0"/>
              <w:rPr>
                <w:rFonts w:hint="default" w:eastAsia="宋体"/>
                <w:color w:val="auto"/>
                <w:u w:val="none" w:color="auto"/>
                <w:lang w:val="en-US" w:eastAsia="zh-CN"/>
              </w:rPr>
            </w:pPr>
            <w:r>
              <w:rPr>
                <w:rFonts w:hint="eastAsia"/>
                <w:color w:val="auto"/>
                <w:u w:val="none" w:color="auto"/>
                <w:lang w:val="en-US" w:eastAsia="zh-CN"/>
              </w:rPr>
              <w:t>编号</w:t>
            </w:r>
          </w:p>
        </w:tc>
        <w:tc>
          <w:tcPr>
            <w:tcW w:w="1340" w:type="pct"/>
            <w:tcBorders>
              <w:tl2br w:val="nil"/>
              <w:tr2bl w:val="nil"/>
            </w:tcBorders>
            <w:noWrap w:val="0"/>
            <w:vAlign w:val="center"/>
          </w:tcPr>
          <w:p w14:paraId="355879A4">
            <w:pPr>
              <w:pStyle w:val="32"/>
              <w:bidi w:val="0"/>
              <w:rPr>
                <w:rFonts w:hint="default" w:eastAsia="宋体"/>
                <w:color w:val="auto"/>
                <w:u w:val="none" w:color="auto"/>
                <w:lang w:val="en-US" w:eastAsia="zh-CN"/>
              </w:rPr>
            </w:pPr>
            <w:r>
              <w:rPr>
                <w:rFonts w:hint="eastAsia" w:ascii="Times New Roman" w:hAnsi="Times New Roman" w:cs="Times New Roman"/>
                <w:color w:val="auto"/>
                <w:u w:val="none" w:color="auto"/>
                <w:lang w:val="en-US" w:eastAsia="zh-CN"/>
              </w:rPr>
              <w:t>引用点位名称</w:t>
            </w:r>
          </w:p>
        </w:tc>
        <w:tc>
          <w:tcPr>
            <w:tcW w:w="767" w:type="pct"/>
            <w:tcBorders>
              <w:tl2br w:val="nil"/>
              <w:tr2bl w:val="nil"/>
            </w:tcBorders>
            <w:noWrap w:val="0"/>
            <w:vAlign w:val="center"/>
          </w:tcPr>
          <w:p w14:paraId="2C4C983F">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水体</w:t>
            </w:r>
          </w:p>
        </w:tc>
        <w:tc>
          <w:tcPr>
            <w:tcW w:w="1570" w:type="pct"/>
            <w:tcBorders>
              <w:tl2br w:val="nil"/>
              <w:tr2bl w:val="nil"/>
            </w:tcBorders>
            <w:noWrap w:val="0"/>
            <w:vAlign w:val="center"/>
          </w:tcPr>
          <w:p w14:paraId="4BD09322">
            <w:pPr>
              <w:pStyle w:val="32"/>
              <w:bidi w:val="0"/>
              <w:rPr>
                <w:rFonts w:hint="default" w:eastAsia="宋体"/>
                <w:color w:val="auto"/>
                <w:u w:val="none" w:color="auto"/>
                <w:lang w:val="en-US" w:eastAsia="zh-CN"/>
              </w:rPr>
            </w:pPr>
            <w:r>
              <w:rPr>
                <w:rFonts w:hint="eastAsia"/>
                <w:color w:val="auto"/>
                <w:u w:val="none" w:color="auto"/>
                <w:lang w:val="en-US" w:eastAsia="zh-CN"/>
              </w:rPr>
              <w:t>监测因子</w:t>
            </w:r>
          </w:p>
        </w:tc>
        <w:tc>
          <w:tcPr>
            <w:tcW w:w="726" w:type="pct"/>
            <w:tcBorders>
              <w:tl2br w:val="nil"/>
              <w:tr2bl w:val="nil"/>
            </w:tcBorders>
            <w:noWrap w:val="0"/>
            <w:vAlign w:val="center"/>
          </w:tcPr>
          <w:p w14:paraId="70B7280C">
            <w:pPr>
              <w:pStyle w:val="32"/>
              <w:bidi w:val="0"/>
              <w:rPr>
                <w:rFonts w:hint="default"/>
                <w:color w:val="auto"/>
                <w:u w:val="none" w:color="auto"/>
                <w:lang w:val="en-US"/>
              </w:rPr>
            </w:pPr>
            <w:r>
              <w:rPr>
                <w:rFonts w:hint="eastAsia" w:ascii="Times New Roman" w:hAnsi="Times New Roman" w:cs="Times New Roman"/>
                <w:color w:val="auto"/>
                <w:u w:val="none" w:color="auto"/>
                <w:lang w:val="en-US" w:eastAsia="zh-CN"/>
              </w:rPr>
              <w:t>水功能区划</w:t>
            </w:r>
          </w:p>
        </w:tc>
      </w:tr>
      <w:tr w14:paraId="4169D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3DFAD94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rPr>
              <w:t>W9</w:t>
            </w:r>
          </w:p>
        </w:tc>
        <w:tc>
          <w:tcPr>
            <w:tcW w:w="1340" w:type="pct"/>
            <w:tcBorders>
              <w:tl2br w:val="nil"/>
              <w:tr2bl w:val="nil"/>
            </w:tcBorders>
            <w:noWrap w:val="0"/>
            <w:vAlign w:val="center"/>
          </w:tcPr>
          <w:p w14:paraId="3E1C856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lang w:eastAsia="zh-CN"/>
              </w:rPr>
              <w:t>汨</w:t>
            </w:r>
            <w:r>
              <w:rPr>
                <w:rFonts w:cs="Times New Roman"/>
                <w:color w:val="auto"/>
                <w:sz w:val="21"/>
              </w:rPr>
              <w:t>罗产业园污水处理厂排污口上游500m</w:t>
            </w:r>
          </w:p>
        </w:tc>
        <w:tc>
          <w:tcPr>
            <w:tcW w:w="767" w:type="pct"/>
            <w:tcBorders>
              <w:tl2br w:val="nil"/>
              <w:tr2bl w:val="nil"/>
            </w:tcBorders>
            <w:noWrap w:val="0"/>
            <w:vAlign w:val="center"/>
          </w:tcPr>
          <w:p w14:paraId="386B48F2">
            <w:pPr>
              <w:pStyle w:val="32"/>
              <w:bidi w:val="0"/>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白沙河</w:t>
            </w:r>
          </w:p>
        </w:tc>
        <w:tc>
          <w:tcPr>
            <w:tcW w:w="1570" w:type="pct"/>
            <w:vMerge w:val="restart"/>
            <w:tcBorders>
              <w:tl2br w:val="nil"/>
              <w:tr2bl w:val="nil"/>
            </w:tcBorders>
            <w:noWrap w:val="0"/>
            <w:vAlign w:val="center"/>
          </w:tcPr>
          <w:p w14:paraId="0933D9DF">
            <w:pPr>
              <w:pStyle w:val="32"/>
              <w:bidi w:val="0"/>
              <w:rPr>
                <w:color w:val="auto"/>
                <w:u w:val="none" w:color="auto"/>
              </w:rPr>
            </w:pPr>
            <w:r>
              <w:rPr>
                <w:rFonts w:hint="eastAsia"/>
                <w:color w:val="auto"/>
                <w:u w:val="none" w:color="auto"/>
              </w:rPr>
              <w:t>pH、SS、溶解氧、高锰酸盐指数、CODcr、BOD</w:t>
            </w:r>
            <w:r>
              <w:rPr>
                <w:rFonts w:hint="eastAsia"/>
                <w:color w:val="auto"/>
                <w:u w:val="none" w:color="auto"/>
                <w:vertAlign w:val="subscript"/>
              </w:rPr>
              <w:t>5</w:t>
            </w:r>
            <w:r>
              <w:rPr>
                <w:rFonts w:hint="eastAsia"/>
                <w:color w:val="auto"/>
                <w:u w:val="none" w:color="auto"/>
              </w:rPr>
              <w:t>、NH</w:t>
            </w:r>
            <w:r>
              <w:rPr>
                <w:rFonts w:hint="eastAsia"/>
                <w:color w:val="auto"/>
                <w:u w:val="none" w:color="auto"/>
                <w:vertAlign w:val="subscript"/>
              </w:rPr>
              <w:t>3</w:t>
            </w:r>
            <w:r>
              <w:rPr>
                <w:rFonts w:hint="eastAsia"/>
                <w:color w:val="auto"/>
                <w:u w:val="none" w:color="auto"/>
              </w:rPr>
              <w:t>-N、总磷、总氮、总铜、总锌、挥发酚、石油类、氟化物、氰化物、铅、镉、汞、砷、六价铬、镍、钴、锰、锑、铊、粪大肠菌群、硫化物</w:t>
            </w:r>
          </w:p>
        </w:tc>
        <w:tc>
          <w:tcPr>
            <w:tcW w:w="726" w:type="pct"/>
            <w:tcBorders>
              <w:tl2br w:val="nil"/>
              <w:tr2bl w:val="nil"/>
            </w:tcBorders>
            <w:noWrap w:val="0"/>
            <w:vAlign w:val="center"/>
          </w:tcPr>
          <w:p w14:paraId="57A808D9">
            <w:pPr>
              <w:pStyle w:val="32"/>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386B1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7B0669C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cs="Times New Roman"/>
                <w:color w:val="auto"/>
                <w:sz w:val="21"/>
              </w:rPr>
              <w:t>W10</w:t>
            </w:r>
          </w:p>
        </w:tc>
        <w:tc>
          <w:tcPr>
            <w:tcW w:w="1340" w:type="pct"/>
            <w:tcBorders>
              <w:tl2br w:val="nil"/>
              <w:tr2bl w:val="nil"/>
            </w:tcBorders>
            <w:noWrap w:val="0"/>
            <w:vAlign w:val="center"/>
          </w:tcPr>
          <w:p w14:paraId="7858519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lang w:eastAsia="zh-CN"/>
              </w:rPr>
              <w:t>汨</w:t>
            </w:r>
            <w:r>
              <w:rPr>
                <w:rFonts w:cs="Times New Roman"/>
                <w:color w:val="auto"/>
                <w:sz w:val="21"/>
              </w:rPr>
              <w:t>罗产业园污水处理厂排污口下游2000m</w:t>
            </w:r>
          </w:p>
        </w:tc>
        <w:tc>
          <w:tcPr>
            <w:tcW w:w="767" w:type="pct"/>
            <w:tcBorders>
              <w:tl2br w:val="nil"/>
              <w:tr2bl w:val="nil"/>
            </w:tcBorders>
            <w:noWrap w:val="0"/>
            <w:vAlign w:val="center"/>
          </w:tcPr>
          <w:p w14:paraId="501C7194">
            <w:pPr>
              <w:pStyle w:val="32"/>
              <w:bidi w:val="0"/>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白沙河</w:t>
            </w:r>
          </w:p>
        </w:tc>
        <w:tc>
          <w:tcPr>
            <w:tcW w:w="1570" w:type="pct"/>
            <w:vMerge w:val="continue"/>
            <w:tcBorders>
              <w:tl2br w:val="nil"/>
              <w:tr2bl w:val="nil"/>
            </w:tcBorders>
            <w:noWrap w:val="0"/>
            <w:vAlign w:val="center"/>
          </w:tcPr>
          <w:p w14:paraId="5F1BCCA1">
            <w:pPr>
              <w:pStyle w:val="32"/>
              <w:bidi w:val="0"/>
              <w:rPr>
                <w:color w:val="auto"/>
                <w:u w:val="none" w:color="auto"/>
              </w:rPr>
            </w:pPr>
          </w:p>
        </w:tc>
        <w:tc>
          <w:tcPr>
            <w:tcW w:w="726" w:type="pct"/>
            <w:tcBorders>
              <w:tl2br w:val="nil"/>
              <w:tr2bl w:val="nil"/>
            </w:tcBorders>
            <w:noWrap w:val="0"/>
            <w:vAlign w:val="center"/>
          </w:tcPr>
          <w:p w14:paraId="0D5F5E96">
            <w:pPr>
              <w:pStyle w:val="32"/>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bl>
    <w:p w14:paraId="142ED9EE">
      <w:pPr>
        <w:pStyle w:val="21"/>
        <w:bidi w:val="0"/>
        <w:rPr>
          <w:rFonts w:hint="default"/>
          <w:color w:val="auto"/>
          <w:u w:val="none" w:color="auto"/>
          <w:lang w:val="en-US" w:eastAsia="zh-CN"/>
        </w:rPr>
      </w:pPr>
      <w:r>
        <w:rPr>
          <w:rFonts w:hint="eastAsia"/>
          <w:color w:val="auto"/>
          <w:u w:val="none" w:color="auto"/>
          <w:lang w:val="en-US" w:eastAsia="zh-CN"/>
        </w:rPr>
        <w:t>白沙河</w:t>
      </w:r>
      <w:r>
        <w:rPr>
          <w:rFonts w:hint="default"/>
          <w:color w:val="auto"/>
          <w:u w:val="none" w:color="auto"/>
          <w:lang w:val="en-US" w:eastAsia="zh-CN"/>
        </w:rPr>
        <w:t>各补充监测断面均执行《地表水环境质量标准》（GB3838-2002）Ⅲ类标准限值。本次引用的地表水现状质量补充检测结果如下表所示。</w:t>
      </w:r>
    </w:p>
    <w:p w14:paraId="09770FA0">
      <w:pPr>
        <w:pStyle w:val="23"/>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
          <w:color w:val="auto"/>
          <w:kern w:val="2"/>
          <w:sz w:val="21"/>
          <w:szCs w:val="24"/>
          <w:u w:val="none" w:color="auto"/>
          <w:lang w:val="en-US" w:eastAsia="zh-CN" w:bidi="ar-SA"/>
        </w:rPr>
        <w:t>表</w:t>
      </w:r>
      <w:r>
        <w:rPr>
          <w:rFonts w:hint="eastAsia" w:ascii="Times New Roman" w:hAnsi="Times New Roman" w:eastAsia="宋体" w:cs="Times New Roman"/>
          <w:b/>
          <w:color w:val="auto"/>
          <w:kern w:val="2"/>
          <w:sz w:val="21"/>
          <w:szCs w:val="24"/>
          <w:u w:val="none" w:color="auto"/>
          <w:lang w:val="en-US" w:eastAsia="zh-CN" w:bidi="ar-SA"/>
        </w:rPr>
        <w:t>4</w:t>
      </w:r>
      <w:r>
        <w:rPr>
          <w:rFonts w:hint="default" w:ascii="Times New Roman" w:hAnsi="Times New Roman" w:cs="Times New Roman"/>
          <w:b/>
          <w:color w:val="auto"/>
          <w:kern w:val="2"/>
          <w:sz w:val="21"/>
          <w:szCs w:val="24"/>
          <w:u w:val="none" w:color="auto"/>
          <w:lang w:val="en-US" w:eastAsia="zh-CN" w:bidi="ar-SA"/>
        </w:rPr>
        <w:t>.</w:t>
      </w:r>
      <w:r>
        <w:rPr>
          <w:rFonts w:hint="eastAsia" w:cs="Times New Roman"/>
          <w:b/>
          <w:color w:val="auto"/>
          <w:kern w:val="2"/>
          <w:sz w:val="21"/>
          <w:szCs w:val="24"/>
          <w:u w:val="none" w:color="auto"/>
          <w:lang w:val="en-US" w:eastAsia="zh-CN" w:bidi="ar-SA"/>
        </w:rPr>
        <w:t>3</w:t>
      </w:r>
      <w:r>
        <w:rPr>
          <w:rFonts w:hint="default" w:ascii="Times New Roman" w:hAnsi="Times New Roman" w:eastAsia="宋体" w:cs="Times New Roman"/>
          <w:b/>
          <w:color w:val="auto"/>
          <w:kern w:val="2"/>
          <w:sz w:val="21"/>
          <w:szCs w:val="24"/>
          <w:u w:val="none" w:color="auto"/>
          <w:lang w:val="en-US" w:eastAsia="zh-CN" w:bidi="ar-SA"/>
        </w:rPr>
        <w:t>-</w:t>
      </w:r>
      <w:r>
        <w:rPr>
          <w:rFonts w:hint="eastAsia" w:ascii="Times New Roman" w:hAnsi="Times New Roman" w:eastAsia="宋体" w:cs="Times New Roman"/>
          <w:b/>
          <w:color w:val="auto"/>
          <w:kern w:val="2"/>
          <w:sz w:val="21"/>
          <w:szCs w:val="24"/>
          <w:u w:val="none" w:color="auto"/>
          <w:lang w:val="en-US" w:eastAsia="zh-CN" w:bidi="ar-SA"/>
        </w:rPr>
        <w:t>4</w:t>
      </w:r>
      <w:r>
        <w:rPr>
          <w:rFonts w:hint="default" w:ascii="Times New Roman" w:hAnsi="Times New Roman" w:cs="Times New Roman"/>
          <w:b/>
          <w:color w:val="auto"/>
          <w:kern w:val="2"/>
          <w:sz w:val="21"/>
          <w:szCs w:val="24"/>
          <w:u w:val="none" w:color="auto"/>
          <w:lang w:val="en-US" w:eastAsia="zh-CN" w:bidi="ar-SA"/>
        </w:rPr>
        <w:t xml:space="preserve">  </w:t>
      </w:r>
      <w:r>
        <w:rPr>
          <w:rFonts w:hint="eastAsia" w:ascii="Times New Roman" w:hAnsi="Times New Roman" w:cs="Times New Roman"/>
          <w:color w:val="auto"/>
          <w:u w:val="none" w:color="auto"/>
          <w:lang w:val="en-US" w:eastAsia="zh-CN"/>
        </w:rPr>
        <w:t>地表水现状补充监测结果评价一览表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69"/>
        <w:gridCol w:w="921"/>
        <w:gridCol w:w="1495"/>
        <w:gridCol w:w="1199"/>
        <w:gridCol w:w="1921"/>
        <w:gridCol w:w="1199"/>
      </w:tblGrid>
      <w:tr w14:paraId="612B5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B3B48AE">
            <w:pPr>
              <w:widowControl/>
              <w:spacing w:line="240" w:lineRule="auto"/>
              <w:ind w:firstLine="0" w:firstLineChars="0"/>
              <w:jc w:val="center"/>
              <w:rPr>
                <w:rFonts w:cs="Times New Roman"/>
                <w:b/>
                <w:color w:val="auto"/>
                <w:sz w:val="21"/>
                <w:u w:val="none" w:color="auto"/>
              </w:rPr>
            </w:pPr>
            <w:r>
              <w:rPr>
                <w:rFonts w:cs="Times New Roman"/>
                <w:b/>
                <w:color w:val="auto"/>
                <w:sz w:val="21"/>
                <w:u w:val="none" w:color="auto"/>
              </w:rPr>
              <w:t>因子</w:t>
            </w:r>
          </w:p>
        </w:tc>
        <w:tc>
          <w:tcPr>
            <w:tcW w:w="921" w:type="dxa"/>
            <w:tcBorders>
              <w:tl2br w:val="nil"/>
              <w:tr2bl w:val="nil"/>
            </w:tcBorders>
            <w:noWrap/>
            <w:tcMar>
              <w:top w:w="15" w:type="dxa"/>
              <w:left w:w="15" w:type="dxa"/>
              <w:right w:w="15" w:type="dxa"/>
            </w:tcMar>
            <w:vAlign w:val="center"/>
          </w:tcPr>
          <w:p w14:paraId="641CF08C">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u w:val="none" w:color="auto"/>
                <w:lang w:bidi="ar"/>
              </w:rPr>
              <w:t>单位</w:t>
            </w:r>
          </w:p>
        </w:tc>
        <w:tc>
          <w:tcPr>
            <w:tcW w:w="1495" w:type="dxa"/>
            <w:tcBorders>
              <w:tl2br w:val="nil"/>
              <w:tr2bl w:val="nil"/>
            </w:tcBorders>
            <w:noWrap/>
            <w:tcMar>
              <w:top w:w="15" w:type="dxa"/>
              <w:left w:w="15" w:type="dxa"/>
              <w:right w:w="15" w:type="dxa"/>
            </w:tcMar>
            <w:vAlign w:val="center"/>
          </w:tcPr>
          <w:p w14:paraId="06B459A7">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检测值范围</w:t>
            </w:r>
          </w:p>
        </w:tc>
        <w:tc>
          <w:tcPr>
            <w:tcW w:w="1199" w:type="dxa"/>
            <w:tcBorders>
              <w:tl2br w:val="nil"/>
              <w:tr2bl w:val="nil"/>
            </w:tcBorders>
            <w:noWrap/>
            <w:tcMar>
              <w:top w:w="15" w:type="dxa"/>
              <w:left w:w="15" w:type="dxa"/>
              <w:right w:w="15" w:type="dxa"/>
            </w:tcMar>
            <w:vAlign w:val="center"/>
          </w:tcPr>
          <w:p w14:paraId="7CAFE9E2">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标准限值</w:t>
            </w:r>
          </w:p>
        </w:tc>
        <w:tc>
          <w:tcPr>
            <w:tcW w:w="1921" w:type="dxa"/>
            <w:tcBorders>
              <w:tl2br w:val="nil"/>
              <w:tr2bl w:val="nil"/>
            </w:tcBorders>
            <w:noWrap/>
            <w:tcMar>
              <w:top w:w="15" w:type="dxa"/>
              <w:left w:w="15" w:type="dxa"/>
              <w:right w:w="15" w:type="dxa"/>
            </w:tcMar>
            <w:vAlign w:val="center"/>
          </w:tcPr>
          <w:p w14:paraId="14163142">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标准指数范围*</w:t>
            </w:r>
          </w:p>
        </w:tc>
        <w:tc>
          <w:tcPr>
            <w:tcW w:w="1199" w:type="dxa"/>
            <w:tcBorders>
              <w:tl2br w:val="nil"/>
              <w:tr2bl w:val="nil"/>
            </w:tcBorders>
            <w:noWrap/>
            <w:tcMar>
              <w:top w:w="15" w:type="dxa"/>
              <w:left w:w="15" w:type="dxa"/>
              <w:right w:w="15" w:type="dxa"/>
            </w:tcMar>
            <w:vAlign w:val="center"/>
          </w:tcPr>
          <w:p w14:paraId="0B90EA63">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达标情况</w:t>
            </w:r>
          </w:p>
        </w:tc>
      </w:tr>
      <w:tr w14:paraId="42F9E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5851483F">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rPr>
              <w:t>W9 白沙河-</w:t>
            </w:r>
            <w:r>
              <w:rPr>
                <w:rFonts w:hint="eastAsia" w:cs="Times New Roman"/>
                <w:b/>
                <w:color w:val="auto"/>
                <w:sz w:val="21"/>
                <w:lang w:eastAsia="zh-CN"/>
              </w:rPr>
              <w:t>汨</w:t>
            </w:r>
            <w:r>
              <w:rPr>
                <w:rFonts w:cs="Times New Roman"/>
                <w:b/>
                <w:color w:val="auto"/>
                <w:sz w:val="21"/>
              </w:rPr>
              <w:t>罗产业园污水处理厂排污口上游500m</w:t>
            </w:r>
          </w:p>
        </w:tc>
      </w:tr>
      <w:tr w14:paraId="65770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EB9102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水温</w:t>
            </w:r>
          </w:p>
        </w:tc>
        <w:tc>
          <w:tcPr>
            <w:tcW w:w="921" w:type="dxa"/>
            <w:tcBorders>
              <w:tl2br w:val="nil"/>
              <w:tr2bl w:val="nil"/>
            </w:tcBorders>
            <w:noWrap/>
            <w:tcMar>
              <w:top w:w="15" w:type="dxa"/>
              <w:left w:w="15" w:type="dxa"/>
              <w:right w:w="15" w:type="dxa"/>
            </w:tcMar>
            <w:vAlign w:val="center"/>
          </w:tcPr>
          <w:p w14:paraId="4DBD144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495" w:type="dxa"/>
            <w:tcBorders>
              <w:tl2br w:val="nil"/>
              <w:tr2bl w:val="nil"/>
            </w:tcBorders>
            <w:noWrap/>
            <w:tcMar>
              <w:top w:w="15" w:type="dxa"/>
              <w:left w:w="15" w:type="dxa"/>
              <w:right w:w="15" w:type="dxa"/>
            </w:tcMar>
            <w:vAlign w:val="center"/>
          </w:tcPr>
          <w:p w14:paraId="4D792C2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27.5~28.1</w:t>
            </w:r>
          </w:p>
        </w:tc>
        <w:tc>
          <w:tcPr>
            <w:tcW w:w="1199" w:type="dxa"/>
            <w:tcBorders>
              <w:tl2br w:val="nil"/>
              <w:tr2bl w:val="nil"/>
            </w:tcBorders>
            <w:noWrap/>
            <w:tcMar>
              <w:top w:w="15" w:type="dxa"/>
              <w:left w:w="15" w:type="dxa"/>
              <w:right w:w="15" w:type="dxa"/>
            </w:tcMar>
            <w:vAlign w:val="center"/>
          </w:tcPr>
          <w:p w14:paraId="7381774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921" w:type="dxa"/>
            <w:tcBorders>
              <w:tl2br w:val="nil"/>
              <w:tr2bl w:val="nil"/>
            </w:tcBorders>
            <w:noWrap/>
            <w:tcMar>
              <w:top w:w="15" w:type="dxa"/>
              <w:left w:w="15" w:type="dxa"/>
              <w:right w:w="15" w:type="dxa"/>
            </w:tcMar>
            <w:vAlign w:val="center"/>
          </w:tcPr>
          <w:p w14:paraId="1D01C5C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EADE575">
            <w:pPr>
              <w:widowControl/>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r>
      <w:tr w14:paraId="2376F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C9A374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pH</w:t>
            </w:r>
          </w:p>
        </w:tc>
        <w:tc>
          <w:tcPr>
            <w:tcW w:w="921" w:type="dxa"/>
            <w:tcBorders>
              <w:tl2br w:val="nil"/>
              <w:tr2bl w:val="nil"/>
            </w:tcBorders>
            <w:noWrap/>
            <w:tcMar>
              <w:top w:w="15" w:type="dxa"/>
              <w:left w:w="15" w:type="dxa"/>
              <w:right w:w="15" w:type="dxa"/>
            </w:tcMar>
            <w:vAlign w:val="center"/>
          </w:tcPr>
          <w:p w14:paraId="5C7AE21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无量纲</w:t>
            </w:r>
          </w:p>
        </w:tc>
        <w:tc>
          <w:tcPr>
            <w:tcW w:w="1495" w:type="dxa"/>
            <w:tcBorders>
              <w:tl2br w:val="nil"/>
              <w:tr2bl w:val="nil"/>
            </w:tcBorders>
            <w:noWrap/>
            <w:tcMar>
              <w:top w:w="15" w:type="dxa"/>
              <w:left w:w="15" w:type="dxa"/>
              <w:right w:w="15" w:type="dxa"/>
            </w:tcMar>
            <w:vAlign w:val="center"/>
          </w:tcPr>
          <w:p w14:paraId="1EE7BAE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7.8~7.9</w:t>
            </w:r>
          </w:p>
        </w:tc>
        <w:tc>
          <w:tcPr>
            <w:tcW w:w="1199" w:type="dxa"/>
            <w:tcBorders>
              <w:tl2br w:val="nil"/>
              <w:tr2bl w:val="nil"/>
            </w:tcBorders>
            <w:noWrap/>
            <w:tcMar>
              <w:top w:w="15" w:type="dxa"/>
              <w:left w:w="15" w:type="dxa"/>
              <w:right w:w="15" w:type="dxa"/>
            </w:tcMar>
            <w:vAlign w:val="center"/>
          </w:tcPr>
          <w:p w14:paraId="6ED66FD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6~9</w:t>
            </w:r>
          </w:p>
        </w:tc>
        <w:tc>
          <w:tcPr>
            <w:tcW w:w="1921" w:type="dxa"/>
            <w:tcBorders>
              <w:tl2br w:val="nil"/>
              <w:tr2bl w:val="nil"/>
            </w:tcBorders>
            <w:noWrap/>
            <w:tcMar>
              <w:top w:w="15" w:type="dxa"/>
              <w:left w:w="15" w:type="dxa"/>
              <w:right w:w="15" w:type="dxa"/>
            </w:tcMar>
            <w:vAlign w:val="center"/>
          </w:tcPr>
          <w:p w14:paraId="7EF2E1A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0.40~0.45</w:t>
            </w:r>
          </w:p>
        </w:tc>
        <w:tc>
          <w:tcPr>
            <w:tcW w:w="1199" w:type="dxa"/>
            <w:tcBorders>
              <w:tl2br w:val="nil"/>
              <w:tr2bl w:val="nil"/>
            </w:tcBorders>
            <w:noWrap/>
            <w:tcMar>
              <w:top w:w="15" w:type="dxa"/>
              <w:left w:w="15" w:type="dxa"/>
              <w:right w:w="15" w:type="dxa"/>
            </w:tcMar>
            <w:vAlign w:val="center"/>
          </w:tcPr>
          <w:p w14:paraId="0DC0244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97AF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53ECCD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SS</w:t>
            </w:r>
          </w:p>
        </w:tc>
        <w:tc>
          <w:tcPr>
            <w:tcW w:w="921" w:type="dxa"/>
            <w:tcBorders>
              <w:tl2br w:val="nil"/>
              <w:tr2bl w:val="nil"/>
            </w:tcBorders>
            <w:noWrap/>
            <w:tcMar>
              <w:top w:w="15" w:type="dxa"/>
              <w:left w:w="15" w:type="dxa"/>
              <w:right w:w="15" w:type="dxa"/>
            </w:tcMar>
            <w:vAlign w:val="center"/>
          </w:tcPr>
          <w:p w14:paraId="04F02D9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5BAFEEB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19~20</w:t>
            </w:r>
          </w:p>
        </w:tc>
        <w:tc>
          <w:tcPr>
            <w:tcW w:w="1199" w:type="dxa"/>
            <w:tcBorders>
              <w:tl2br w:val="nil"/>
              <w:tr2bl w:val="nil"/>
            </w:tcBorders>
            <w:noWrap/>
            <w:tcMar>
              <w:top w:w="15" w:type="dxa"/>
              <w:left w:w="15" w:type="dxa"/>
              <w:right w:w="15" w:type="dxa"/>
            </w:tcMar>
            <w:vAlign w:val="center"/>
          </w:tcPr>
          <w:p w14:paraId="3C58955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921" w:type="dxa"/>
            <w:tcBorders>
              <w:tl2br w:val="nil"/>
              <w:tr2bl w:val="nil"/>
            </w:tcBorders>
            <w:noWrap/>
            <w:tcMar>
              <w:top w:w="15" w:type="dxa"/>
              <w:left w:w="15" w:type="dxa"/>
              <w:right w:w="15" w:type="dxa"/>
            </w:tcMar>
            <w:vAlign w:val="center"/>
          </w:tcPr>
          <w:p w14:paraId="420D839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070AC2C7">
            <w:pPr>
              <w:widowControl/>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r>
      <w:tr w14:paraId="1D024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22A8F2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DO</w:t>
            </w:r>
          </w:p>
        </w:tc>
        <w:tc>
          <w:tcPr>
            <w:tcW w:w="921" w:type="dxa"/>
            <w:tcBorders>
              <w:tl2br w:val="nil"/>
              <w:tr2bl w:val="nil"/>
            </w:tcBorders>
            <w:noWrap/>
            <w:tcMar>
              <w:top w:w="15" w:type="dxa"/>
              <w:left w:w="15" w:type="dxa"/>
              <w:right w:w="15" w:type="dxa"/>
            </w:tcMar>
            <w:vAlign w:val="center"/>
          </w:tcPr>
          <w:p w14:paraId="59CCFDF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F5654D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7.1~7.3</w:t>
            </w:r>
          </w:p>
        </w:tc>
        <w:tc>
          <w:tcPr>
            <w:tcW w:w="1199" w:type="dxa"/>
            <w:tcBorders>
              <w:tl2br w:val="nil"/>
              <w:tr2bl w:val="nil"/>
            </w:tcBorders>
            <w:noWrap/>
            <w:tcMar>
              <w:top w:w="15" w:type="dxa"/>
              <w:left w:w="15" w:type="dxa"/>
              <w:right w:w="15" w:type="dxa"/>
            </w:tcMar>
            <w:vAlign w:val="center"/>
          </w:tcPr>
          <w:p w14:paraId="7C3BBE8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≥5</w:t>
            </w:r>
          </w:p>
        </w:tc>
        <w:tc>
          <w:tcPr>
            <w:tcW w:w="1921" w:type="dxa"/>
            <w:tcBorders>
              <w:tl2br w:val="nil"/>
              <w:tr2bl w:val="nil"/>
            </w:tcBorders>
            <w:noWrap/>
            <w:tcMar>
              <w:top w:w="15" w:type="dxa"/>
              <w:left w:w="15" w:type="dxa"/>
              <w:right w:w="15" w:type="dxa"/>
            </w:tcMar>
            <w:vAlign w:val="center"/>
          </w:tcPr>
          <w:p w14:paraId="39650A1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0.19~0.27</w:t>
            </w:r>
          </w:p>
        </w:tc>
        <w:tc>
          <w:tcPr>
            <w:tcW w:w="1199" w:type="dxa"/>
            <w:tcBorders>
              <w:tl2br w:val="nil"/>
              <w:tr2bl w:val="nil"/>
            </w:tcBorders>
            <w:noWrap/>
            <w:tcMar>
              <w:top w:w="15" w:type="dxa"/>
              <w:left w:w="15" w:type="dxa"/>
              <w:right w:w="15" w:type="dxa"/>
            </w:tcMar>
            <w:vAlign w:val="center"/>
          </w:tcPr>
          <w:p w14:paraId="106963D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143C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82A404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高锰酸盐指数</w:t>
            </w:r>
          </w:p>
        </w:tc>
        <w:tc>
          <w:tcPr>
            <w:tcW w:w="921" w:type="dxa"/>
            <w:tcBorders>
              <w:tl2br w:val="nil"/>
              <w:tr2bl w:val="nil"/>
            </w:tcBorders>
            <w:noWrap/>
            <w:tcMar>
              <w:top w:w="15" w:type="dxa"/>
              <w:left w:w="15" w:type="dxa"/>
              <w:right w:w="15" w:type="dxa"/>
            </w:tcMar>
            <w:vAlign w:val="center"/>
          </w:tcPr>
          <w:p w14:paraId="2B0AEE8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887FE3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1.3~1.5</w:t>
            </w:r>
          </w:p>
        </w:tc>
        <w:tc>
          <w:tcPr>
            <w:tcW w:w="1199" w:type="dxa"/>
            <w:tcBorders>
              <w:tl2br w:val="nil"/>
              <w:tr2bl w:val="nil"/>
            </w:tcBorders>
            <w:noWrap/>
            <w:tcMar>
              <w:top w:w="15" w:type="dxa"/>
              <w:left w:w="15" w:type="dxa"/>
              <w:right w:w="15" w:type="dxa"/>
            </w:tcMar>
            <w:vAlign w:val="center"/>
          </w:tcPr>
          <w:p w14:paraId="346AAA1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≤6</w:t>
            </w:r>
          </w:p>
        </w:tc>
        <w:tc>
          <w:tcPr>
            <w:tcW w:w="1921" w:type="dxa"/>
            <w:tcBorders>
              <w:tl2br w:val="nil"/>
              <w:tr2bl w:val="nil"/>
            </w:tcBorders>
            <w:noWrap/>
            <w:tcMar>
              <w:top w:w="15" w:type="dxa"/>
              <w:left w:w="15" w:type="dxa"/>
              <w:right w:w="15" w:type="dxa"/>
            </w:tcMar>
            <w:vAlign w:val="center"/>
          </w:tcPr>
          <w:p w14:paraId="07828FC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0.22~0.25</w:t>
            </w:r>
          </w:p>
        </w:tc>
        <w:tc>
          <w:tcPr>
            <w:tcW w:w="1199" w:type="dxa"/>
            <w:tcBorders>
              <w:tl2br w:val="nil"/>
              <w:tr2bl w:val="nil"/>
            </w:tcBorders>
            <w:noWrap/>
            <w:tcMar>
              <w:top w:w="15" w:type="dxa"/>
              <w:left w:w="15" w:type="dxa"/>
              <w:right w:w="15" w:type="dxa"/>
            </w:tcMar>
            <w:vAlign w:val="center"/>
          </w:tcPr>
          <w:p w14:paraId="4CD71C2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E5B0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76824A9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COD</w:t>
            </w:r>
            <w:r>
              <w:rPr>
                <w:rFonts w:cs="Times New Roman"/>
                <w:color w:val="auto"/>
                <w:sz w:val="21"/>
                <w:vertAlign w:val="subscript"/>
                <w:lang w:bidi="ar"/>
              </w:rPr>
              <w:t>Cr</w:t>
            </w:r>
          </w:p>
        </w:tc>
        <w:tc>
          <w:tcPr>
            <w:tcW w:w="921" w:type="dxa"/>
            <w:tcBorders>
              <w:tl2br w:val="nil"/>
              <w:tr2bl w:val="nil"/>
            </w:tcBorders>
            <w:noWrap/>
            <w:tcMar>
              <w:top w:w="15" w:type="dxa"/>
              <w:left w:w="15" w:type="dxa"/>
              <w:right w:w="15" w:type="dxa"/>
            </w:tcMar>
            <w:vAlign w:val="center"/>
          </w:tcPr>
          <w:p w14:paraId="6458E02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7243C5D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12~13</w:t>
            </w:r>
          </w:p>
        </w:tc>
        <w:tc>
          <w:tcPr>
            <w:tcW w:w="1199" w:type="dxa"/>
            <w:tcBorders>
              <w:tl2br w:val="nil"/>
              <w:tr2bl w:val="nil"/>
            </w:tcBorders>
            <w:noWrap/>
            <w:tcMar>
              <w:top w:w="15" w:type="dxa"/>
              <w:left w:w="15" w:type="dxa"/>
              <w:right w:w="15" w:type="dxa"/>
            </w:tcMar>
            <w:vAlign w:val="center"/>
          </w:tcPr>
          <w:p w14:paraId="049C1B2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≤20</w:t>
            </w:r>
          </w:p>
        </w:tc>
        <w:tc>
          <w:tcPr>
            <w:tcW w:w="1921" w:type="dxa"/>
            <w:tcBorders>
              <w:tl2br w:val="nil"/>
              <w:tr2bl w:val="nil"/>
            </w:tcBorders>
            <w:noWrap/>
            <w:tcMar>
              <w:top w:w="15" w:type="dxa"/>
              <w:left w:w="15" w:type="dxa"/>
              <w:right w:w="15" w:type="dxa"/>
            </w:tcMar>
            <w:vAlign w:val="center"/>
          </w:tcPr>
          <w:p w14:paraId="7EA91F4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0.60~0.65</w:t>
            </w:r>
          </w:p>
        </w:tc>
        <w:tc>
          <w:tcPr>
            <w:tcW w:w="1199" w:type="dxa"/>
            <w:tcBorders>
              <w:tl2br w:val="nil"/>
              <w:tr2bl w:val="nil"/>
            </w:tcBorders>
            <w:noWrap/>
            <w:tcMar>
              <w:top w:w="15" w:type="dxa"/>
              <w:left w:w="15" w:type="dxa"/>
              <w:right w:w="15" w:type="dxa"/>
            </w:tcMar>
            <w:vAlign w:val="center"/>
          </w:tcPr>
          <w:p w14:paraId="0AADB16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1937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6E3A863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BOD</w:t>
            </w:r>
            <w:r>
              <w:rPr>
                <w:rFonts w:cs="Times New Roman"/>
                <w:color w:val="auto"/>
                <w:sz w:val="21"/>
                <w:vertAlign w:val="subscript"/>
                <w:lang w:bidi="ar"/>
              </w:rPr>
              <w:t>5</w:t>
            </w:r>
          </w:p>
        </w:tc>
        <w:tc>
          <w:tcPr>
            <w:tcW w:w="921" w:type="dxa"/>
            <w:tcBorders>
              <w:tl2br w:val="nil"/>
              <w:tr2bl w:val="nil"/>
            </w:tcBorders>
            <w:noWrap/>
            <w:tcMar>
              <w:top w:w="15" w:type="dxa"/>
              <w:left w:w="15" w:type="dxa"/>
              <w:right w:w="15" w:type="dxa"/>
            </w:tcMar>
            <w:vAlign w:val="center"/>
          </w:tcPr>
          <w:p w14:paraId="7BCD8D6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47034BF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2.6~2.8</w:t>
            </w:r>
          </w:p>
        </w:tc>
        <w:tc>
          <w:tcPr>
            <w:tcW w:w="1199" w:type="dxa"/>
            <w:tcBorders>
              <w:tl2br w:val="nil"/>
              <w:tr2bl w:val="nil"/>
            </w:tcBorders>
            <w:noWrap/>
            <w:tcMar>
              <w:top w:w="15" w:type="dxa"/>
              <w:left w:w="15" w:type="dxa"/>
              <w:right w:w="15" w:type="dxa"/>
            </w:tcMar>
            <w:vAlign w:val="center"/>
          </w:tcPr>
          <w:p w14:paraId="4358972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≤4</w:t>
            </w:r>
          </w:p>
        </w:tc>
        <w:tc>
          <w:tcPr>
            <w:tcW w:w="1921" w:type="dxa"/>
            <w:tcBorders>
              <w:tl2br w:val="nil"/>
              <w:tr2bl w:val="nil"/>
            </w:tcBorders>
            <w:noWrap/>
            <w:tcMar>
              <w:top w:w="15" w:type="dxa"/>
              <w:left w:w="15" w:type="dxa"/>
              <w:right w:w="15" w:type="dxa"/>
            </w:tcMar>
            <w:vAlign w:val="center"/>
          </w:tcPr>
          <w:p w14:paraId="2A8B233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0.65~0.70</w:t>
            </w:r>
          </w:p>
        </w:tc>
        <w:tc>
          <w:tcPr>
            <w:tcW w:w="1199" w:type="dxa"/>
            <w:tcBorders>
              <w:tl2br w:val="nil"/>
              <w:tr2bl w:val="nil"/>
            </w:tcBorders>
            <w:noWrap/>
            <w:tcMar>
              <w:top w:w="15" w:type="dxa"/>
              <w:left w:w="15" w:type="dxa"/>
              <w:right w:w="15" w:type="dxa"/>
            </w:tcMar>
            <w:vAlign w:val="center"/>
          </w:tcPr>
          <w:p w14:paraId="508AF58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13B9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020F9AD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NH</w:t>
            </w:r>
            <w:r>
              <w:rPr>
                <w:rFonts w:cs="Times New Roman"/>
                <w:color w:val="auto"/>
                <w:sz w:val="21"/>
                <w:vertAlign w:val="subscript"/>
                <w:lang w:bidi="ar"/>
              </w:rPr>
              <w:t>3</w:t>
            </w:r>
            <w:r>
              <w:rPr>
                <w:rStyle w:val="46"/>
                <w:rFonts w:hint="default" w:ascii="Times New Roman" w:hAnsi="Times New Roman" w:cs="Times New Roman"/>
                <w:color w:val="auto"/>
                <w:sz w:val="21"/>
                <w:szCs w:val="21"/>
                <w:lang w:bidi="ar"/>
              </w:rPr>
              <w:t>-H</w:t>
            </w:r>
          </w:p>
        </w:tc>
        <w:tc>
          <w:tcPr>
            <w:tcW w:w="921" w:type="dxa"/>
            <w:tcBorders>
              <w:tl2br w:val="nil"/>
              <w:tr2bl w:val="nil"/>
            </w:tcBorders>
            <w:noWrap/>
            <w:tcMar>
              <w:top w:w="15" w:type="dxa"/>
              <w:left w:w="15" w:type="dxa"/>
              <w:right w:w="15" w:type="dxa"/>
            </w:tcMar>
            <w:vAlign w:val="center"/>
          </w:tcPr>
          <w:p w14:paraId="7860FCB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2C883F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0.598~0.613</w:t>
            </w:r>
          </w:p>
        </w:tc>
        <w:tc>
          <w:tcPr>
            <w:tcW w:w="1199" w:type="dxa"/>
            <w:tcBorders>
              <w:tl2br w:val="nil"/>
              <w:tr2bl w:val="nil"/>
            </w:tcBorders>
            <w:noWrap/>
            <w:tcMar>
              <w:top w:w="15" w:type="dxa"/>
              <w:left w:w="15" w:type="dxa"/>
              <w:right w:w="15" w:type="dxa"/>
            </w:tcMar>
            <w:vAlign w:val="center"/>
          </w:tcPr>
          <w:p w14:paraId="562D5EB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1247696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0.60~0.61</w:t>
            </w:r>
          </w:p>
        </w:tc>
        <w:tc>
          <w:tcPr>
            <w:tcW w:w="1199" w:type="dxa"/>
            <w:tcBorders>
              <w:tl2br w:val="nil"/>
              <w:tr2bl w:val="nil"/>
            </w:tcBorders>
            <w:noWrap/>
            <w:tcMar>
              <w:top w:w="15" w:type="dxa"/>
              <w:left w:w="15" w:type="dxa"/>
              <w:right w:w="15" w:type="dxa"/>
            </w:tcMar>
            <w:vAlign w:val="center"/>
          </w:tcPr>
          <w:p w14:paraId="24FAF1E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059C8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7277C0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总磷</w:t>
            </w:r>
          </w:p>
        </w:tc>
        <w:tc>
          <w:tcPr>
            <w:tcW w:w="921" w:type="dxa"/>
            <w:tcBorders>
              <w:tl2br w:val="nil"/>
              <w:tr2bl w:val="nil"/>
            </w:tcBorders>
            <w:noWrap/>
            <w:tcMar>
              <w:top w:w="15" w:type="dxa"/>
              <w:left w:w="15" w:type="dxa"/>
              <w:right w:w="15" w:type="dxa"/>
            </w:tcMar>
            <w:vAlign w:val="center"/>
          </w:tcPr>
          <w:p w14:paraId="60B2BF6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1B166D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0.10~0.11</w:t>
            </w:r>
          </w:p>
        </w:tc>
        <w:tc>
          <w:tcPr>
            <w:tcW w:w="1199" w:type="dxa"/>
            <w:tcBorders>
              <w:tl2br w:val="nil"/>
              <w:tr2bl w:val="nil"/>
            </w:tcBorders>
            <w:noWrap/>
            <w:tcMar>
              <w:top w:w="15" w:type="dxa"/>
              <w:left w:w="15" w:type="dxa"/>
              <w:right w:w="15" w:type="dxa"/>
            </w:tcMar>
            <w:vAlign w:val="center"/>
          </w:tcPr>
          <w:p w14:paraId="2FF45BD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21EEDAC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0.50~0.55</w:t>
            </w:r>
          </w:p>
        </w:tc>
        <w:tc>
          <w:tcPr>
            <w:tcW w:w="1199" w:type="dxa"/>
            <w:tcBorders>
              <w:tl2br w:val="nil"/>
              <w:tr2bl w:val="nil"/>
            </w:tcBorders>
            <w:noWrap/>
            <w:tcMar>
              <w:top w:w="15" w:type="dxa"/>
              <w:left w:w="15" w:type="dxa"/>
              <w:right w:w="15" w:type="dxa"/>
            </w:tcMar>
            <w:vAlign w:val="center"/>
          </w:tcPr>
          <w:p w14:paraId="3B5A25B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63050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9D87FC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总氮</w:t>
            </w:r>
          </w:p>
        </w:tc>
        <w:tc>
          <w:tcPr>
            <w:tcW w:w="921" w:type="dxa"/>
            <w:tcBorders>
              <w:tl2br w:val="nil"/>
              <w:tr2bl w:val="nil"/>
            </w:tcBorders>
            <w:noWrap/>
            <w:tcMar>
              <w:top w:w="15" w:type="dxa"/>
              <w:left w:w="15" w:type="dxa"/>
              <w:right w:w="15" w:type="dxa"/>
            </w:tcMar>
            <w:vAlign w:val="center"/>
          </w:tcPr>
          <w:p w14:paraId="36CEA50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F84C2A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0.76~0.80</w:t>
            </w:r>
          </w:p>
        </w:tc>
        <w:tc>
          <w:tcPr>
            <w:tcW w:w="1199" w:type="dxa"/>
            <w:tcBorders>
              <w:tl2br w:val="nil"/>
              <w:tr2bl w:val="nil"/>
            </w:tcBorders>
            <w:noWrap/>
            <w:tcMar>
              <w:top w:w="15" w:type="dxa"/>
              <w:left w:w="15" w:type="dxa"/>
              <w:right w:w="15" w:type="dxa"/>
            </w:tcMar>
            <w:vAlign w:val="center"/>
          </w:tcPr>
          <w:p w14:paraId="5D708B6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746D6A6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0.76~0.80</w:t>
            </w:r>
          </w:p>
        </w:tc>
        <w:tc>
          <w:tcPr>
            <w:tcW w:w="1199" w:type="dxa"/>
            <w:tcBorders>
              <w:tl2br w:val="nil"/>
              <w:tr2bl w:val="nil"/>
            </w:tcBorders>
            <w:noWrap/>
            <w:tcMar>
              <w:top w:w="15" w:type="dxa"/>
              <w:left w:w="15" w:type="dxa"/>
              <w:right w:w="15" w:type="dxa"/>
            </w:tcMar>
            <w:vAlign w:val="center"/>
          </w:tcPr>
          <w:p w14:paraId="32B9D2D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62A2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6457AC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铜</w:t>
            </w:r>
          </w:p>
        </w:tc>
        <w:tc>
          <w:tcPr>
            <w:tcW w:w="921" w:type="dxa"/>
            <w:tcBorders>
              <w:tl2br w:val="nil"/>
              <w:tr2bl w:val="nil"/>
            </w:tcBorders>
            <w:noWrap/>
            <w:tcMar>
              <w:top w:w="15" w:type="dxa"/>
              <w:left w:w="15" w:type="dxa"/>
              <w:right w:w="15" w:type="dxa"/>
            </w:tcMar>
            <w:vAlign w:val="center"/>
          </w:tcPr>
          <w:p w14:paraId="3C73C92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25CBAC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0.05L</w:t>
            </w:r>
          </w:p>
        </w:tc>
        <w:tc>
          <w:tcPr>
            <w:tcW w:w="1199" w:type="dxa"/>
            <w:tcBorders>
              <w:tl2br w:val="nil"/>
              <w:tr2bl w:val="nil"/>
            </w:tcBorders>
            <w:noWrap/>
            <w:tcMar>
              <w:top w:w="15" w:type="dxa"/>
              <w:left w:w="15" w:type="dxa"/>
              <w:right w:w="15" w:type="dxa"/>
            </w:tcMar>
            <w:vAlign w:val="center"/>
          </w:tcPr>
          <w:p w14:paraId="3DA90F4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5542EA7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74D5419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2783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61C64D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锌</w:t>
            </w:r>
          </w:p>
        </w:tc>
        <w:tc>
          <w:tcPr>
            <w:tcW w:w="921" w:type="dxa"/>
            <w:tcBorders>
              <w:tl2br w:val="nil"/>
              <w:tr2bl w:val="nil"/>
            </w:tcBorders>
            <w:noWrap/>
            <w:tcMar>
              <w:top w:w="15" w:type="dxa"/>
              <w:left w:w="15" w:type="dxa"/>
              <w:right w:w="15" w:type="dxa"/>
            </w:tcMar>
            <w:vAlign w:val="center"/>
          </w:tcPr>
          <w:p w14:paraId="7E98519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E588EB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0.12~0.13</w:t>
            </w:r>
          </w:p>
        </w:tc>
        <w:tc>
          <w:tcPr>
            <w:tcW w:w="1199" w:type="dxa"/>
            <w:tcBorders>
              <w:tl2br w:val="nil"/>
              <w:tr2bl w:val="nil"/>
            </w:tcBorders>
            <w:noWrap/>
            <w:tcMar>
              <w:top w:w="15" w:type="dxa"/>
              <w:left w:w="15" w:type="dxa"/>
              <w:right w:w="15" w:type="dxa"/>
            </w:tcMar>
            <w:vAlign w:val="center"/>
          </w:tcPr>
          <w:p w14:paraId="14D1FDA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62DDA36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0.12~0.13</w:t>
            </w:r>
          </w:p>
        </w:tc>
        <w:tc>
          <w:tcPr>
            <w:tcW w:w="1199" w:type="dxa"/>
            <w:tcBorders>
              <w:tl2br w:val="nil"/>
              <w:tr2bl w:val="nil"/>
            </w:tcBorders>
            <w:noWrap/>
            <w:tcMar>
              <w:top w:w="15" w:type="dxa"/>
              <w:left w:w="15" w:type="dxa"/>
              <w:right w:w="15" w:type="dxa"/>
            </w:tcMar>
            <w:vAlign w:val="center"/>
          </w:tcPr>
          <w:p w14:paraId="6FDD6A6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0495F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682639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挥发酚</w:t>
            </w:r>
          </w:p>
        </w:tc>
        <w:tc>
          <w:tcPr>
            <w:tcW w:w="921" w:type="dxa"/>
            <w:tcBorders>
              <w:tl2br w:val="nil"/>
              <w:tr2bl w:val="nil"/>
            </w:tcBorders>
            <w:noWrap/>
            <w:tcMar>
              <w:top w:w="15" w:type="dxa"/>
              <w:left w:w="15" w:type="dxa"/>
              <w:right w:w="15" w:type="dxa"/>
            </w:tcMar>
            <w:vAlign w:val="center"/>
          </w:tcPr>
          <w:p w14:paraId="7101715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141E8B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0.0003L</w:t>
            </w:r>
          </w:p>
        </w:tc>
        <w:tc>
          <w:tcPr>
            <w:tcW w:w="1199" w:type="dxa"/>
            <w:tcBorders>
              <w:tl2br w:val="nil"/>
              <w:tr2bl w:val="nil"/>
            </w:tcBorders>
            <w:noWrap/>
            <w:tcMar>
              <w:top w:w="15" w:type="dxa"/>
              <w:left w:w="15" w:type="dxa"/>
              <w:right w:w="15" w:type="dxa"/>
            </w:tcMar>
            <w:vAlign w:val="center"/>
          </w:tcPr>
          <w:p w14:paraId="6392511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511E2C7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537855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93F3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0BBE32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石油类</w:t>
            </w:r>
          </w:p>
        </w:tc>
        <w:tc>
          <w:tcPr>
            <w:tcW w:w="921" w:type="dxa"/>
            <w:tcBorders>
              <w:tl2br w:val="nil"/>
              <w:tr2bl w:val="nil"/>
            </w:tcBorders>
            <w:noWrap/>
            <w:tcMar>
              <w:top w:w="15" w:type="dxa"/>
              <w:left w:w="15" w:type="dxa"/>
              <w:right w:w="15" w:type="dxa"/>
            </w:tcMar>
            <w:vAlign w:val="center"/>
          </w:tcPr>
          <w:p w14:paraId="4C8E5AB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4EB12F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0.02~0.03</w:t>
            </w:r>
          </w:p>
        </w:tc>
        <w:tc>
          <w:tcPr>
            <w:tcW w:w="1199" w:type="dxa"/>
            <w:tcBorders>
              <w:tl2br w:val="nil"/>
              <w:tr2bl w:val="nil"/>
            </w:tcBorders>
            <w:noWrap/>
            <w:tcMar>
              <w:top w:w="15" w:type="dxa"/>
              <w:left w:w="15" w:type="dxa"/>
              <w:right w:w="15" w:type="dxa"/>
            </w:tcMar>
            <w:vAlign w:val="center"/>
          </w:tcPr>
          <w:p w14:paraId="49EA85A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39971FA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0.40~0.60</w:t>
            </w:r>
          </w:p>
        </w:tc>
        <w:tc>
          <w:tcPr>
            <w:tcW w:w="1199" w:type="dxa"/>
            <w:tcBorders>
              <w:tl2br w:val="nil"/>
              <w:tr2bl w:val="nil"/>
            </w:tcBorders>
            <w:noWrap/>
            <w:tcMar>
              <w:top w:w="15" w:type="dxa"/>
              <w:left w:w="15" w:type="dxa"/>
              <w:right w:w="15" w:type="dxa"/>
            </w:tcMar>
            <w:vAlign w:val="center"/>
          </w:tcPr>
          <w:p w14:paraId="42ADD20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A751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F263D2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氟化物</w:t>
            </w:r>
          </w:p>
        </w:tc>
        <w:tc>
          <w:tcPr>
            <w:tcW w:w="921" w:type="dxa"/>
            <w:tcBorders>
              <w:tl2br w:val="nil"/>
              <w:tr2bl w:val="nil"/>
            </w:tcBorders>
            <w:noWrap/>
            <w:tcMar>
              <w:top w:w="15" w:type="dxa"/>
              <w:left w:w="15" w:type="dxa"/>
              <w:right w:w="15" w:type="dxa"/>
            </w:tcMar>
            <w:vAlign w:val="center"/>
          </w:tcPr>
          <w:p w14:paraId="3C87DAE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3CE559F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0.296~0.300</w:t>
            </w:r>
          </w:p>
        </w:tc>
        <w:tc>
          <w:tcPr>
            <w:tcW w:w="1199" w:type="dxa"/>
            <w:tcBorders>
              <w:tl2br w:val="nil"/>
              <w:tr2bl w:val="nil"/>
            </w:tcBorders>
            <w:noWrap/>
            <w:tcMar>
              <w:top w:w="15" w:type="dxa"/>
              <w:left w:w="15" w:type="dxa"/>
              <w:right w:w="15" w:type="dxa"/>
            </w:tcMar>
            <w:vAlign w:val="center"/>
          </w:tcPr>
          <w:p w14:paraId="3D4E078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36928A3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0.30~0.30</w:t>
            </w:r>
          </w:p>
        </w:tc>
        <w:tc>
          <w:tcPr>
            <w:tcW w:w="1199" w:type="dxa"/>
            <w:tcBorders>
              <w:tl2br w:val="nil"/>
              <w:tr2bl w:val="nil"/>
            </w:tcBorders>
            <w:noWrap/>
            <w:tcMar>
              <w:top w:w="15" w:type="dxa"/>
              <w:left w:w="15" w:type="dxa"/>
              <w:right w:w="15" w:type="dxa"/>
            </w:tcMar>
            <w:vAlign w:val="center"/>
          </w:tcPr>
          <w:p w14:paraId="4985F4E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A474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0334B1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氰化物</w:t>
            </w:r>
          </w:p>
        </w:tc>
        <w:tc>
          <w:tcPr>
            <w:tcW w:w="921" w:type="dxa"/>
            <w:tcBorders>
              <w:tl2br w:val="nil"/>
              <w:tr2bl w:val="nil"/>
            </w:tcBorders>
            <w:noWrap/>
            <w:tcMar>
              <w:top w:w="15" w:type="dxa"/>
              <w:left w:w="15" w:type="dxa"/>
              <w:right w:w="15" w:type="dxa"/>
            </w:tcMar>
            <w:vAlign w:val="center"/>
          </w:tcPr>
          <w:p w14:paraId="22BDD6A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510BB6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0.004L</w:t>
            </w:r>
          </w:p>
        </w:tc>
        <w:tc>
          <w:tcPr>
            <w:tcW w:w="1199" w:type="dxa"/>
            <w:tcBorders>
              <w:tl2br w:val="nil"/>
              <w:tr2bl w:val="nil"/>
            </w:tcBorders>
            <w:noWrap/>
            <w:tcMar>
              <w:top w:w="15" w:type="dxa"/>
              <w:left w:w="15" w:type="dxa"/>
              <w:right w:w="15" w:type="dxa"/>
            </w:tcMar>
            <w:vAlign w:val="center"/>
          </w:tcPr>
          <w:p w14:paraId="14ED275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0FC0E2D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502A15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EF4D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4490C4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铅</w:t>
            </w:r>
          </w:p>
        </w:tc>
        <w:tc>
          <w:tcPr>
            <w:tcW w:w="921" w:type="dxa"/>
            <w:tcBorders>
              <w:tl2br w:val="nil"/>
              <w:tr2bl w:val="nil"/>
            </w:tcBorders>
            <w:noWrap/>
            <w:tcMar>
              <w:top w:w="15" w:type="dxa"/>
              <w:left w:w="15" w:type="dxa"/>
              <w:right w:w="15" w:type="dxa"/>
            </w:tcMar>
            <w:vAlign w:val="center"/>
          </w:tcPr>
          <w:p w14:paraId="2A9A92F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48DE46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0.001L</w:t>
            </w:r>
          </w:p>
        </w:tc>
        <w:tc>
          <w:tcPr>
            <w:tcW w:w="1199" w:type="dxa"/>
            <w:tcBorders>
              <w:tl2br w:val="nil"/>
              <w:tr2bl w:val="nil"/>
            </w:tcBorders>
            <w:noWrap/>
            <w:tcMar>
              <w:top w:w="15" w:type="dxa"/>
              <w:left w:w="15" w:type="dxa"/>
              <w:right w:w="15" w:type="dxa"/>
            </w:tcMar>
            <w:vAlign w:val="center"/>
          </w:tcPr>
          <w:p w14:paraId="612647E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3550C97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106163E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77EC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34EA5D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镉</w:t>
            </w:r>
          </w:p>
        </w:tc>
        <w:tc>
          <w:tcPr>
            <w:tcW w:w="921" w:type="dxa"/>
            <w:tcBorders>
              <w:tl2br w:val="nil"/>
              <w:tr2bl w:val="nil"/>
            </w:tcBorders>
            <w:noWrap/>
            <w:tcMar>
              <w:top w:w="15" w:type="dxa"/>
              <w:left w:w="15" w:type="dxa"/>
              <w:right w:w="15" w:type="dxa"/>
            </w:tcMar>
            <w:vAlign w:val="center"/>
          </w:tcPr>
          <w:p w14:paraId="4BBB0F2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A4AB4C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0.0001L</w:t>
            </w:r>
          </w:p>
        </w:tc>
        <w:tc>
          <w:tcPr>
            <w:tcW w:w="1199" w:type="dxa"/>
            <w:tcBorders>
              <w:tl2br w:val="nil"/>
              <w:tr2bl w:val="nil"/>
            </w:tcBorders>
            <w:noWrap/>
            <w:tcMar>
              <w:top w:w="15" w:type="dxa"/>
              <w:left w:w="15" w:type="dxa"/>
              <w:right w:w="15" w:type="dxa"/>
            </w:tcMar>
            <w:vAlign w:val="center"/>
          </w:tcPr>
          <w:p w14:paraId="410C4AC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63D7190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17D2B93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9488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6B3980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汞</w:t>
            </w:r>
          </w:p>
        </w:tc>
        <w:tc>
          <w:tcPr>
            <w:tcW w:w="921" w:type="dxa"/>
            <w:tcBorders>
              <w:tl2br w:val="nil"/>
              <w:tr2bl w:val="nil"/>
            </w:tcBorders>
            <w:noWrap/>
            <w:tcMar>
              <w:top w:w="15" w:type="dxa"/>
              <w:left w:w="15" w:type="dxa"/>
              <w:right w:w="15" w:type="dxa"/>
            </w:tcMar>
            <w:vAlign w:val="center"/>
          </w:tcPr>
          <w:p w14:paraId="4BA3E1F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C5D65D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0.00004L</w:t>
            </w:r>
          </w:p>
        </w:tc>
        <w:tc>
          <w:tcPr>
            <w:tcW w:w="1199" w:type="dxa"/>
            <w:tcBorders>
              <w:tl2br w:val="nil"/>
              <w:tr2bl w:val="nil"/>
            </w:tcBorders>
            <w:noWrap/>
            <w:tcMar>
              <w:top w:w="15" w:type="dxa"/>
              <w:left w:w="15" w:type="dxa"/>
              <w:right w:w="15" w:type="dxa"/>
            </w:tcMar>
            <w:vAlign w:val="center"/>
          </w:tcPr>
          <w:p w14:paraId="538DAD3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w:t>
            </w:r>
          </w:p>
        </w:tc>
        <w:tc>
          <w:tcPr>
            <w:tcW w:w="1921" w:type="dxa"/>
            <w:tcBorders>
              <w:tl2br w:val="nil"/>
              <w:tr2bl w:val="nil"/>
            </w:tcBorders>
            <w:noWrap/>
            <w:tcMar>
              <w:top w:w="15" w:type="dxa"/>
              <w:left w:w="15" w:type="dxa"/>
              <w:right w:w="15" w:type="dxa"/>
            </w:tcMar>
            <w:vAlign w:val="center"/>
          </w:tcPr>
          <w:p w14:paraId="71172BC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3DC1607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9126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1CA550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砷</w:t>
            </w:r>
          </w:p>
        </w:tc>
        <w:tc>
          <w:tcPr>
            <w:tcW w:w="921" w:type="dxa"/>
            <w:tcBorders>
              <w:tl2br w:val="nil"/>
              <w:tr2bl w:val="nil"/>
            </w:tcBorders>
            <w:noWrap/>
            <w:tcMar>
              <w:top w:w="15" w:type="dxa"/>
              <w:left w:w="15" w:type="dxa"/>
              <w:right w:w="15" w:type="dxa"/>
            </w:tcMar>
            <w:vAlign w:val="center"/>
          </w:tcPr>
          <w:p w14:paraId="63B072E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7ED73DF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0.0003L</w:t>
            </w:r>
          </w:p>
        </w:tc>
        <w:tc>
          <w:tcPr>
            <w:tcW w:w="1199" w:type="dxa"/>
            <w:tcBorders>
              <w:tl2br w:val="nil"/>
              <w:tr2bl w:val="nil"/>
            </w:tcBorders>
            <w:noWrap/>
            <w:tcMar>
              <w:top w:w="15" w:type="dxa"/>
              <w:left w:w="15" w:type="dxa"/>
              <w:right w:w="15" w:type="dxa"/>
            </w:tcMar>
            <w:vAlign w:val="center"/>
          </w:tcPr>
          <w:p w14:paraId="3C6D26F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7956EF1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04E2252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14794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584B38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六价铬</w:t>
            </w:r>
          </w:p>
        </w:tc>
        <w:tc>
          <w:tcPr>
            <w:tcW w:w="921" w:type="dxa"/>
            <w:tcBorders>
              <w:tl2br w:val="nil"/>
              <w:tr2bl w:val="nil"/>
            </w:tcBorders>
            <w:noWrap/>
            <w:tcMar>
              <w:top w:w="15" w:type="dxa"/>
              <w:left w:w="15" w:type="dxa"/>
              <w:right w:w="15" w:type="dxa"/>
            </w:tcMar>
            <w:vAlign w:val="center"/>
          </w:tcPr>
          <w:p w14:paraId="107FDA2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054F0C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0.004L</w:t>
            </w:r>
          </w:p>
        </w:tc>
        <w:tc>
          <w:tcPr>
            <w:tcW w:w="1199" w:type="dxa"/>
            <w:tcBorders>
              <w:tl2br w:val="nil"/>
              <w:tr2bl w:val="nil"/>
            </w:tcBorders>
            <w:noWrap/>
            <w:tcMar>
              <w:top w:w="15" w:type="dxa"/>
              <w:left w:w="15" w:type="dxa"/>
              <w:right w:w="15" w:type="dxa"/>
            </w:tcMar>
            <w:vAlign w:val="center"/>
          </w:tcPr>
          <w:p w14:paraId="7921705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4CBB247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277A5EB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DFA9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8CD67D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镍</w:t>
            </w:r>
          </w:p>
        </w:tc>
        <w:tc>
          <w:tcPr>
            <w:tcW w:w="921" w:type="dxa"/>
            <w:tcBorders>
              <w:tl2br w:val="nil"/>
              <w:tr2bl w:val="nil"/>
            </w:tcBorders>
            <w:noWrap/>
            <w:tcMar>
              <w:top w:w="15" w:type="dxa"/>
              <w:left w:w="15" w:type="dxa"/>
              <w:right w:w="15" w:type="dxa"/>
            </w:tcMar>
            <w:vAlign w:val="center"/>
          </w:tcPr>
          <w:p w14:paraId="4DE3DEB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421105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0.005L</w:t>
            </w:r>
          </w:p>
        </w:tc>
        <w:tc>
          <w:tcPr>
            <w:tcW w:w="1199" w:type="dxa"/>
            <w:tcBorders>
              <w:tl2br w:val="nil"/>
              <w:tr2bl w:val="nil"/>
            </w:tcBorders>
            <w:noWrap/>
            <w:tcMar>
              <w:top w:w="15" w:type="dxa"/>
              <w:left w:w="15" w:type="dxa"/>
              <w:right w:w="15" w:type="dxa"/>
            </w:tcMar>
            <w:vAlign w:val="center"/>
          </w:tcPr>
          <w:p w14:paraId="6680CDA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≤0.02</w:t>
            </w:r>
          </w:p>
        </w:tc>
        <w:tc>
          <w:tcPr>
            <w:tcW w:w="1921" w:type="dxa"/>
            <w:tcBorders>
              <w:tl2br w:val="nil"/>
              <w:tr2bl w:val="nil"/>
            </w:tcBorders>
            <w:noWrap/>
            <w:tcMar>
              <w:top w:w="15" w:type="dxa"/>
              <w:left w:w="15" w:type="dxa"/>
              <w:right w:w="15" w:type="dxa"/>
            </w:tcMar>
            <w:vAlign w:val="center"/>
          </w:tcPr>
          <w:p w14:paraId="3626BC6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4C541E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718F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6927F4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钴</w:t>
            </w:r>
          </w:p>
        </w:tc>
        <w:tc>
          <w:tcPr>
            <w:tcW w:w="921" w:type="dxa"/>
            <w:tcBorders>
              <w:tl2br w:val="nil"/>
              <w:tr2bl w:val="nil"/>
            </w:tcBorders>
            <w:noWrap/>
            <w:tcMar>
              <w:top w:w="15" w:type="dxa"/>
              <w:left w:w="15" w:type="dxa"/>
              <w:right w:w="15" w:type="dxa"/>
            </w:tcMar>
            <w:vAlign w:val="center"/>
          </w:tcPr>
          <w:p w14:paraId="032FD2E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81F462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0.002L</w:t>
            </w:r>
          </w:p>
        </w:tc>
        <w:tc>
          <w:tcPr>
            <w:tcW w:w="1199" w:type="dxa"/>
            <w:tcBorders>
              <w:tl2br w:val="nil"/>
              <w:tr2bl w:val="nil"/>
            </w:tcBorders>
            <w:noWrap/>
            <w:tcMar>
              <w:top w:w="15" w:type="dxa"/>
              <w:left w:w="15" w:type="dxa"/>
              <w:right w:w="15" w:type="dxa"/>
            </w:tcMar>
            <w:vAlign w:val="center"/>
          </w:tcPr>
          <w:p w14:paraId="60848E0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7F71835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1B1F64A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71CC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55C836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锰</w:t>
            </w:r>
          </w:p>
        </w:tc>
        <w:tc>
          <w:tcPr>
            <w:tcW w:w="921" w:type="dxa"/>
            <w:tcBorders>
              <w:tl2br w:val="nil"/>
              <w:tr2bl w:val="nil"/>
            </w:tcBorders>
            <w:noWrap/>
            <w:tcMar>
              <w:top w:w="15" w:type="dxa"/>
              <w:left w:w="15" w:type="dxa"/>
              <w:right w:w="15" w:type="dxa"/>
            </w:tcMar>
            <w:vAlign w:val="center"/>
          </w:tcPr>
          <w:p w14:paraId="7F9C0CE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1E8FE0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0.01L</w:t>
            </w:r>
          </w:p>
        </w:tc>
        <w:tc>
          <w:tcPr>
            <w:tcW w:w="1199" w:type="dxa"/>
            <w:tcBorders>
              <w:tl2br w:val="nil"/>
              <w:tr2bl w:val="nil"/>
            </w:tcBorders>
            <w:noWrap/>
            <w:tcMar>
              <w:top w:w="15" w:type="dxa"/>
              <w:left w:w="15" w:type="dxa"/>
              <w:right w:w="15" w:type="dxa"/>
            </w:tcMar>
            <w:vAlign w:val="center"/>
          </w:tcPr>
          <w:p w14:paraId="4FBE73E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≤0.1</w:t>
            </w:r>
          </w:p>
        </w:tc>
        <w:tc>
          <w:tcPr>
            <w:tcW w:w="1921" w:type="dxa"/>
            <w:tcBorders>
              <w:tl2br w:val="nil"/>
              <w:tr2bl w:val="nil"/>
            </w:tcBorders>
            <w:noWrap/>
            <w:tcMar>
              <w:top w:w="15" w:type="dxa"/>
              <w:left w:w="15" w:type="dxa"/>
              <w:right w:w="15" w:type="dxa"/>
            </w:tcMar>
            <w:vAlign w:val="center"/>
          </w:tcPr>
          <w:p w14:paraId="5CDB4D6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E258ED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4135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83B7C6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锑</w:t>
            </w:r>
          </w:p>
        </w:tc>
        <w:tc>
          <w:tcPr>
            <w:tcW w:w="921" w:type="dxa"/>
            <w:tcBorders>
              <w:tl2br w:val="nil"/>
              <w:tr2bl w:val="nil"/>
            </w:tcBorders>
            <w:noWrap/>
            <w:tcMar>
              <w:top w:w="15" w:type="dxa"/>
              <w:left w:w="15" w:type="dxa"/>
              <w:right w:w="15" w:type="dxa"/>
            </w:tcMar>
            <w:vAlign w:val="center"/>
          </w:tcPr>
          <w:p w14:paraId="4715A8D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3F270B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0.0002L</w:t>
            </w:r>
          </w:p>
        </w:tc>
        <w:tc>
          <w:tcPr>
            <w:tcW w:w="1199" w:type="dxa"/>
            <w:tcBorders>
              <w:tl2br w:val="nil"/>
              <w:tr2bl w:val="nil"/>
            </w:tcBorders>
            <w:noWrap/>
            <w:tcMar>
              <w:top w:w="15" w:type="dxa"/>
              <w:left w:w="15" w:type="dxa"/>
              <w:right w:w="15" w:type="dxa"/>
            </w:tcMar>
            <w:vAlign w:val="center"/>
          </w:tcPr>
          <w:p w14:paraId="7AF9BD0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0C5F9C7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17B682C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3EDD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302036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铊</w:t>
            </w:r>
          </w:p>
        </w:tc>
        <w:tc>
          <w:tcPr>
            <w:tcW w:w="921" w:type="dxa"/>
            <w:tcBorders>
              <w:tl2br w:val="nil"/>
              <w:tr2bl w:val="nil"/>
            </w:tcBorders>
            <w:noWrap/>
            <w:tcMar>
              <w:top w:w="15" w:type="dxa"/>
              <w:left w:w="15" w:type="dxa"/>
              <w:right w:w="15" w:type="dxa"/>
            </w:tcMar>
            <w:vAlign w:val="center"/>
          </w:tcPr>
          <w:p w14:paraId="38B2A60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34FCCCE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0.00003L</w:t>
            </w:r>
          </w:p>
        </w:tc>
        <w:tc>
          <w:tcPr>
            <w:tcW w:w="1199" w:type="dxa"/>
            <w:tcBorders>
              <w:tl2br w:val="nil"/>
              <w:tr2bl w:val="nil"/>
            </w:tcBorders>
            <w:noWrap/>
            <w:tcMar>
              <w:top w:w="15" w:type="dxa"/>
              <w:left w:w="15" w:type="dxa"/>
              <w:right w:w="15" w:type="dxa"/>
            </w:tcMar>
            <w:vAlign w:val="center"/>
          </w:tcPr>
          <w:p w14:paraId="0343659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w:t>
            </w:r>
          </w:p>
        </w:tc>
        <w:tc>
          <w:tcPr>
            <w:tcW w:w="1921" w:type="dxa"/>
            <w:tcBorders>
              <w:tl2br w:val="nil"/>
              <w:tr2bl w:val="nil"/>
            </w:tcBorders>
            <w:noWrap/>
            <w:tcMar>
              <w:top w:w="15" w:type="dxa"/>
              <w:left w:w="15" w:type="dxa"/>
              <w:right w:w="15" w:type="dxa"/>
            </w:tcMar>
            <w:vAlign w:val="center"/>
          </w:tcPr>
          <w:p w14:paraId="2956B26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913EEA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B7E1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238907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粪大肠菌群</w:t>
            </w:r>
          </w:p>
        </w:tc>
        <w:tc>
          <w:tcPr>
            <w:tcW w:w="921" w:type="dxa"/>
            <w:tcBorders>
              <w:tl2br w:val="nil"/>
              <w:tr2bl w:val="nil"/>
            </w:tcBorders>
            <w:noWrap/>
            <w:tcMar>
              <w:top w:w="15" w:type="dxa"/>
              <w:left w:w="15" w:type="dxa"/>
              <w:right w:w="15" w:type="dxa"/>
            </w:tcMar>
            <w:vAlign w:val="center"/>
          </w:tcPr>
          <w:p w14:paraId="5559429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lang w:bidi="ar"/>
              </w:rPr>
              <w:t>MPN/L</w:t>
            </w:r>
          </w:p>
        </w:tc>
        <w:tc>
          <w:tcPr>
            <w:tcW w:w="1495" w:type="dxa"/>
            <w:tcBorders>
              <w:tl2br w:val="nil"/>
              <w:tr2bl w:val="nil"/>
            </w:tcBorders>
            <w:noWrap/>
            <w:tcMar>
              <w:top w:w="15" w:type="dxa"/>
              <w:left w:w="15" w:type="dxa"/>
              <w:right w:w="15" w:type="dxa"/>
            </w:tcMar>
            <w:vAlign w:val="center"/>
          </w:tcPr>
          <w:p w14:paraId="7B74AA6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700~950</w:t>
            </w:r>
          </w:p>
        </w:tc>
        <w:tc>
          <w:tcPr>
            <w:tcW w:w="1199" w:type="dxa"/>
            <w:tcBorders>
              <w:tl2br w:val="nil"/>
              <w:tr2bl w:val="nil"/>
            </w:tcBorders>
            <w:noWrap/>
            <w:tcMar>
              <w:top w:w="15" w:type="dxa"/>
              <w:left w:w="15" w:type="dxa"/>
              <w:right w:w="15" w:type="dxa"/>
            </w:tcMar>
            <w:vAlign w:val="center"/>
          </w:tcPr>
          <w:p w14:paraId="1B7D06F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≤10000</w:t>
            </w:r>
          </w:p>
        </w:tc>
        <w:tc>
          <w:tcPr>
            <w:tcW w:w="1921" w:type="dxa"/>
            <w:tcBorders>
              <w:tl2br w:val="nil"/>
              <w:tr2bl w:val="nil"/>
            </w:tcBorders>
            <w:noWrap/>
            <w:tcMar>
              <w:top w:w="15" w:type="dxa"/>
              <w:left w:w="15" w:type="dxa"/>
              <w:right w:w="15" w:type="dxa"/>
            </w:tcMar>
            <w:vAlign w:val="center"/>
          </w:tcPr>
          <w:p w14:paraId="26A93F3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0.07~0.10</w:t>
            </w:r>
          </w:p>
        </w:tc>
        <w:tc>
          <w:tcPr>
            <w:tcW w:w="1199" w:type="dxa"/>
            <w:tcBorders>
              <w:tl2br w:val="nil"/>
              <w:tr2bl w:val="nil"/>
            </w:tcBorders>
            <w:noWrap/>
            <w:tcMar>
              <w:top w:w="15" w:type="dxa"/>
              <w:left w:w="15" w:type="dxa"/>
              <w:right w:w="15" w:type="dxa"/>
            </w:tcMar>
            <w:vAlign w:val="center"/>
          </w:tcPr>
          <w:p w14:paraId="34F7764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14CD7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004C05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硫化物</w:t>
            </w:r>
          </w:p>
        </w:tc>
        <w:tc>
          <w:tcPr>
            <w:tcW w:w="921" w:type="dxa"/>
            <w:tcBorders>
              <w:tl2br w:val="nil"/>
              <w:tr2bl w:val="nil"/>
            </w:tcBorders>
            <w:noWrap/>
            <w:tcMar>
              <w:top w:w="15" w:type="dxa"/>
              <w:left w:w="15" w:type="dxa"/>
              <w:right w:w="15" w:type="dxa"/>
            </w:tcMar>
            <w:vAlign w:val="center"/>
          </w:tcPr>
          <w:p w14:paraId="4EB70E8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64EC61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0.01L</w:t>
            </w:r>
          </w:p>
        </w:tc>
        <w:tc>
          <w:tcPr>
            <w:tcW w:w="1199" w:type="dxa"/>
            <w:tcBorders>
              <w:tl2br w:val="nil"/>
              <w:tr2bl w:val="nil"/>
            </w:tcBorders>
            <w:noWrap/>
            <w:tcMar>
              <w:top w:w="15" w:type="dxa"/>
              <w:left w:w="15" w:type="dxa"/>
              <w:right w:w="15" w:type="dxa"/>
            </w:tcMar>
            <w:vAlign w:val="center"/>
          </w:tcPr>
          <w:p w14:paraId="5E67397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7998B4A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6888D2A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3EF2D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7D64B242">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rPr>
              <w:t>W10白沙河-</w:t>
            </w:r>
            <w:r>
              <w:rPr>
                <w:rFonts w:hint="eastAsia" w:cs="Times New Roman"/>
                <w:b/>
                <w:color w:val="auto"/>
                <w:sz w:val="21"/>
                <w:lang w:eastAsia="zh-CN"/>
              </w:rPr>
              <w:t>汨</w:t>
            </w:r>
            <w:r>
              <w:rPr>
                <w:rFonts w:cs="Times New Roman"/>
                <w:b/>
                <w:color w:val="auto"/>
                <w:sz w:val="21"/>
              </w:rPr>
              <w:t>罗产业园污水处理厂排污口下游2000m</w:t>
            </w:r>
          </w:p>
        </w:tc>
      </w:tr>
      <w:tr w14:paraId="4066A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7833B1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水温</w:t>
            </w:r>
          </w:p>
        </w:tc>
        <w:tc>
          <w:tcPr>
            <w:tcW w:w="921" w:type="dxa"/>
            <w:tcBorders>
              <w:tl2br w:val="nil"/>
              <w:tr2bl w:val="nil"/>
            </w:tcBorders>
            <w:noWrap/>
            <w:tcMar>
              <w:top w:w="15" w:type="dxa"/>
              <w:left w:w="15" w:type="dxa"/>
              <w:right w:w="15" w:type="dxa"/>
            </w:tcMar>
            <w:vAlign w:val="center"/>
          </w:tcPr>
          <w:p w14:paraId="4983C5D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495" w:type="dxa"/>
            <w:tcBorders>
              <w:tl2br w:val="nil"/>
              <w:tr2bl w:val="nil"/>
            </w:tcBorders>
            <w:noWrap/>
            <w:tcMar>
              <w:top w:w="15" w:type="dxa"/>
              <w:left w:w="15" w:type="dxa"/>
              <w:right w:w="15" w:type="dxa"/>
            </w:tcMar>
            <w:vAlign w:val="center"/>
          </w:tcPr>
          <w:p w14:paraId="6F06B79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26.5~27.5</w:t>
            </w:r>
          </w:p>
        </w:tc>
        <w:tc>
          <w:tcPr>
            <w:tcW w:w="1199" w:type="dxa"/>
            <w:tcBorders>
              <w:tl2br w:val="nil"/>
              <w:tr2bl w:val="nil"/>
            </w:tcBorders>
            <w:noWrap/>
            <w:tcMar>
              <w:top w:w="15" w:type="dxa"/>
              <w:left w:w="15" w:type="dxa"/>
              <w:right w:w="15" w:type="dxa"/>
            </w:tcMar>
            <w:vAlign w:val="center"/>
          </w:tcPr>
          <w:p w14:paraId="6427B73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921" w:type="dxa"/>
            <w:tcBorders>
              <w:tl2br w:val="nil"/>
              <w:tr2bl w:val="nil"/>
            </w:tcBorders>
            <w:noWrap/>
            <w:tcMar>
              <w:top w:w="15" w:type="dxa"/>
              <w:left w:w="15" w:type="dxa"/>
              <w:right w:w="15" w:type="dxa"/>
            </w:tcMar>
            <w:vAlign w:val="center"/>
          </w:tcPr>
          <w:p w14:paraId="6ED93BA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227CE58">
            <w:pPr>
              <w:widowControl/>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r>
      <w:tr w14:paraId="49FA4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58D294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pH</w:t>
            </w:r>
          </w:p>
        </w:tc>
        <w:tc>
          <w:tcPr>
            <w:tcW w:w="921" w:type="dxa"/>
            <w:tcBorders>
              <w:tl2br w:val="nil"/>
              <w:tr2bl w:val="nil"/>
            </w:tcBorders>
            <w:noWrap/>
            <w:tcMar>
              <w:top w:w="15" w:type="dxa"/>
              <w:left w:w="15" w:type="dxa"/>
              <w:right w:w="15" w:type="dxa"/>
            </w:tcMar>
            <w:vAlign w:val="center"/>
          </w:tcPr>
          <w:p w14:paraId="348E172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无量纲</w:t>
            </w:r>
          </w:p>
        </w:tc>
        <w:tc>
          <w:tcPr>
            <w:tcW w:w="1495" w:type="dxa"/>
            <w:tcBorders>
              <w:tl2br w:val="nil"/>
              <w:tr2bl w:val="nil"/>
            </w:tcBorders>
            <w:noWrap/>
            <w:tcMar>
              <w:top w:w="15" w:type="dxa"/>
              <w:left w:w="15" w:type="dxa"/>
              <w:right w:w="15" w:type="dxa"/>
            </w:tcMar>
            <w:vAlign w:val="center"/>
          </w:tcPr>
          <w:p w14:paraId="054CDF2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7.9~8.1</w:t>
            </w:r>
          </w:p>
        </w:tc>
        <w:tc>
          <w:tcPr>
            <w:tcW w:w="1199" w:type="dxa"/>
            <w:tcBorders>
              <w:tl2br w:val="nil"/>
              <w:tr2bl w:val="nil"/>
            </w:tcBorders>
            <w:noWrap/>
            <w:tcMar>
              <w:top w:w="15" w:type="dxa"/>
              <w:left w:w="15" w:type="dxa"/>
              <w:right w:w="15" w:type="dxa"/>
            </w:tcMar>
            <w:vAlign w:val="center"/>
          </w:tcPr>
          <w:p w14:paraId="32C5DF1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6~9</w:t>
            </w:r>
          </w:p>
        </w:tc>
        <w:tc>
          <w:tcPr>
            <w:tcW w:w="1921" w:type="dxa"/>
            <w:tcBorders>
              <w:tl2br w:val="nil"/>
              <w:tr2bl w:val="nil"/>
            </w:tcBorders>
            <w:noWrap/>
            <w:tcMar>
              <w:top w:w="15" w:type="dxa"/>
              <w:left w:w="15" w:type="dxa"/>
              <w:right w:w="15" w:type="dxa"/>
            </w:tcMar>
            <w:vAlign w:val="center"/>
          </w:tcPr>
          <w:p w14:paraId="6551B13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0.45~0.55</w:t>
            </w:r>
          </w:p>
        </w:tc>
        <w:tc>
          <w:tcPr>
            <w:tcW w:w="1199" w:type="dxa"/>
            <w:tcBorders>
              <w:tl2br w:val="nil"/>
              <w:tr2bl w:val="nil"/>
            </w:tcBorders>
            <w:noWrap/>
            <w:tcMar>
              <w:top w:w="15" w:type="dxa"/>
              <w:left w:w="15" w:type="dxa"/>
              <w:right w:w="15" w:type="dxa"/>
            </w:tcMar>
            <w:vAlign w:val="center"/>
          </w:tcPr>
          <w:p w14:paraId="24FBE9D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758D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F8EC13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SS</w:t>
            </w:r>
          </w:p>
        </w:tc>
        <w:tc>
          <w:tcPr>
            <w:tcW w:w="921" w:type="dxa"/>
            <w:tcBorders>
              <w:tl2br w:val="nil"/>
              <w:tr2bl w:val="nil"/>
            </w:tcBorders>
            <w:noWrap/>
            <w:tcMar>
              <w:top w:w="15" w:type="dxa"/>
              <w:left w:w="15" w:type="dxa"/>
              <w:right w:w="15" w:type="dxa"/>
            </w:tcMar>
            <w:vAlign w:val="center"/>
          </w:tcPr>
          <w:p w14:paraId="5A7E46D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3051228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21~22</w:t>
            </w:r>
          </w:p>
        </w:tc>
        <w:tc>
          <w:tcPr>
            <w:tcW w:w="1199" w:type="dxa"/>
            <w:tcBorders>
              <w:tl2br w:val="nil"/>
              <w:tr2bl w:val="nil"/>
            </w:tcBorders>
            <w:noWrap/>
            <w:tcMar>
              <w:top w:w="15" w:type="dxa"/>
              <w:left w:w="15" w:type="dxa"/>
              <w:right w:w="15" w:type="dxa"/>
            </w:tcMar>
            <w:vAlign w:val="center"/>
          </w:tcPr>
          <w:p w14:paraId="1BF3A59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921" w:type="dxa"/>
            <w:tcBorders>
              <w:tl2br w:val="nil"/>
              <w:tr2bl w:val="nil"/>
            </w:tcBorders>
            <w:noWrap/>
            <w:tcMar>
              <w:top w:w="15" w:type="dxa"/>
              <w:left w:w="15" w:type="dxa"/>
              <w:right w:w="15" w:type="dxa"/>
            </w:tcMar>
            <w:vAlign w:val="center"/>
          </w:tcPr>
          <w:p w14:paraId="362623F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FD611CF">
            <w:pPr>
              <w:widowControl/>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r>
      <w:tr w14:paraId="522B4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3F14AE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DO</w:t>
            </w:r>
          </w:p>
        </w:tc>
        <w:tc>
          <w:tcPr>
            <w:tcW w:w="921" w:type="dxa"/>
            <w:tcBorders>
              <w:tl2br w:val="nil"/>
              <w:tr2bl w:val="nil"/>
            </w:tcBorders>
            <w:noWrap/>
            <w:tcMar>
              <w:top w:w="15" w:type="dxa"/>
              <w:left w:w="15" w:type="dxa"/>
              <w:right w:w="15" w:type="dxa"/>
            </w:tcMar>
            <w:vAlign w:val="center"/>
          </w:tcPr>
          <w:p w14:paraId="6B20E48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A23755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7.1~7.3</w:t>
            </w:r>
          </w:p>
        </w:tc>
        <w:tc>
          <w:tcPr>
            <w:tcW w:w="1199" w:type="dxa"/>
            <w:tcBorders>
              <w:tl2br w:val="nil"/>
              <w:tr2bl w:val="nil"/>
            </w:tcBorders>
            <w:noWrap/>
            <w:tcMar>
              <w:top w:w="15" w:type="dxa"/>
              <w:left w:w="15" w:type="dxa"/>
              <w:right w:w="15" w:type="dxa"/>
            </w:tcMar>
            <w:vAlign w:val="center"/>
          </w:tcPr>
          <w:p w14:paraId="747BFB6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≥5</w:t>
            </w:r>
          </w:p>
        </w:tc>
        <w:tc>
          <w:tcPr>
            <w:tcW w:w="1921" w:type="dxa"/>
            <w:tcBorders>
              <w:tl2br w:val="nil"/>
              <w:tr2bl w:val="nil"/>
            </w:tcBorders>
            <w:noWrap/>
            <w:tcMar>
              <w:top w:w="15" w:type="dxa"/>
              <w:left w:w="15" w:type="dxa"/>
              <w:right w:w="15" w:type="dxa"/>
            </w:tcMar>
            <w:vAlign w:val="center"/>
          </w:tcPr>
          <w:p w14:paraId="0EFFD55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0.25~0.28</w:t>
            </w:r>
          </w:p>
        </w:tc>
        <w:tc>
          <w:tcPr>
            <w:tcW w:w="1199" w:type="dxa"/>
            <w:tcBorders>
              <w:tl2br w:val="nil"/>
              <w:tr2bl w:val="nil"/>
            </w:tcBorders>
            <w:noWrap/>
            <w:tcMar>
              <w:top w:w="15" w:type="dxa"/>
              <w:left w:w="15" w:type="dxa"/>
              <w:right w:w="15" w:type="dxa"/>
            </w:tcMar>
            <w:vAlign w:val="center"/>
          </w:tcPr>
          <w:p w14:paraId="5E0A430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1A31C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75FF5D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高锰酸盐指数</w:t>
            </w:r>
          </w:p>
        </w:tc>
        <w:tc>
          <w:tcPr>
            <w:tcW w:w="921" w:type="dxa"/>
            <w:tcBorders>
              <w:tl2br w:val="nil"/>
              <w:tr2bl w:val="nil"/>
            </w:tcBorders>
            <w:noWrap/>
            <w:tcMar>
              <w:top w:w="15" w:type="dxa"/>
              <w:left w:w="15" w:type="dxa"/>
              <w:right w:w="15" w:type="dxa"/>
            </w:tcMar>
            <w:vAlign w:val="center"/>
          </w:tcPr>
          <w:p w14:paraId="0F7C13F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124DAE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1.2~1.4</w:t>
            </w:r>
          </w:p>
        </w:tc>
        <w:tc>
          <w:tcPr>
            <w:tcW w:w="1199" w:type="dxa"/>
            <w:tcBorders>
              <w:tl2br w:val="nil"/>
              <w:tr2bl w:val="nil"/>
            </w:tcBorders>
            <w:noWrap/>
            <w:tcMar>
              <w:top w:w="15" w:type="dxa"/>
              <w:left w:w="15" w:type="dxa"/>
              <w:right w:w="15" w:type="dxa"/>
            </w:tcMar>
            <w:vAlign w:val="center"/>
          </w:tcPr>
          <w:p w14:paraId="4F375A4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≤6</w:t>
            </w:r>
          </w:p>
        </w:tc>
        <w:tc>
          <w:tcPr>
            <w:tcW w:w="1921" w:type="dxa"/>
            <w:tcBorders>
              <w:tl2br w:val="nil"/>
              <w:tr2bl w:val="nil"/>
            </w:tcBorders>
            <w:noWrap/>
            <w:tcMar>
              <w:top w:w="15" w:type="dxa"/>
              <w:left w:w="15" w:type="dxa"/>
              <w:right w:w="15" w:type="dxa"/>
            </w:tcMar>
            <w:vAlign w:val="center"/>
          </w:tcPr>
          <w:p w14:paraId="01C9393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0.20~0.23</w:t>
            </w:r>
          </w:p>
        </w:tc>
        <w:tc>
          <w:tcPr>
            <w:tcW w:w="1199" w:type="dxa"/>
            <w:tcBorders>
              <w:tl2br w:val="nil"/>
              <w:tr2bl w:val="nil"/>
            </w:tcBorders>
            <w:noWrap/>
            <w:tcMar>
              <w:top w:w="15" w:type="dxa"/>
              <w:left w:w="15" w:type="dxa"/>
              <w:right w:w="15" w:type="dxa"/>
            </w:tcMar>
            <w:vAlign w:val="center"/>
          </w:tcPr>
          <w:p w14:paraId="53EEE3D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BF3F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3B663F1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COD</w:t>
            </w:r>
            <w:r>
              <w:rPr>
                <w:rFonts w:cs="Times New Roman"/>
                <w:color w:val="auto"/>
                <w:sz w:val="21"/>
                <w:vertAlign w:val="subscript"/>
                <w:lang w:bidi="ar"/>
              </w:rPr>
              <w:t>Cr</w:t>
            </w:r>
          </w:p>
        </w:tc>
        <w:tc>
          <w:tcPr>
            <w:tcW w:w="921" w:type="dxa"/>
            <w:tcBorders>
              <w:tl2br w:val="nil"/>
              <w:tr2bl w:val="nil"/>
            </w:tcBorders>
            <w:noWrap/>
            <w:tcMar>
              <w:top w:w="15" w:type="dxa"/>
              <w:left w:w="15" w:type="dxa"/>
              <w:right w:w="15" w:type="dxa"/>
            </w:tcMar>
            <w:vAlign w:val="center"/>
          </w:tcPr>
          <w:p w14:paraId="025687C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2BAE43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14~15</w:t>
            </w:r>
          </w:p>
        </w:tc>
        <w:tc>
          <w:tcPr>
            <w:tcW w:w="1199" w:type="dxa"/>
            <w:tcBorders>
              <w:tl2br w:val="nil"/>
              <w:tr2bl w:val="nil"/>
            </w:tcBorders>
            <w:noWrap/>
            <w:tcMar>
              <w:top w:w="15" w:type="dxa"/>
              <w:left w:w="15" w:type="dxa"/>
              <w:right w:w="15" w:type="dxa"/>
            </w:tcMar>
            <w:vAlign w:val="center"/>
          </w:tcPr>
          <w:p w14:paraId="40AC767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≤20</w:t>
            </w:r>
          </w:p>
        </w:tc>
        <w:tc>
          <w:tcPr>
            <w:tcW w:w="1921" w:type="dxa"/>
            <w:tcBorders>
              <w:tl2br w:val="nil"/>
              <w:tr2bl w:val="nil"/>
            </w:tcBorders>
            <w:noWrap/>
            <w:tcMar>
              <w:top w:w="15" w:type="dxa"/>
              <w:left w:w="15" w:type="dxa"/>
              <w:right w:w="15" w:type="dxa"/>
            </w:tcMar>
            <w:vAlign w:val="center"/>
          </w:tcPr>
          <w:p w14:paraId="596C65D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0.70~0.75</w:t>
            </w:r>
          </w:p>
        </w:tc>
        <w:tc>
          <w:tcPr>
            <w:tcW w:w="1199" w:type="dxa"/>
            <w:tcBorders>
              <w:tl2br w:val="nil"/>
              <w:tr2bl w:val="nil"/>
            </w:tcBorders>
            <w:noWrap/>
            <w:tcMar>
              <w:top w:w="15" w:type="dxa"/>
              <w:left w:w="15" w:type="dxa"/>
              <w:right w:w="15" w:type="dxa"/>
            </w:tcMar>
            <w:vAlign w:val="center"/>
          </w:tcPr>
          <w:p w14:paraId="0BBD8E8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01FE4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7BC602D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BOD</w:t>
            </w:r>
            <w:r>
              <w:rPr>
                <w:rFonts w:cs="Times New Roman"/>
                <w:color w:val="auto"/>
                <w:sz w:val="21"/>
                <w:vertAlign w:val="subscript"/>
                <w:lang w:bidi="ar"/>
              </w:rPr>
              <w:t>5</w:t>
            </w:r>
          </w:p>
        </w:tc>
        <w:tc>
          <w:tcPr>
            <w:tcW w:w="921" w:type="dxa"/>
            <w:tcBorders>
              <w:tl2br w:val="nil"/>
              <w:tr2bl w:val="nil"/>
            </w:tcBorders>
            <w:noWrap/>
            <w:tcMar>
              <w:top w:w="15" w:type="dxa"/>
              <w:left w:w="15" w:type="dxa"/>
              <w:right w:w="15" w:type="dxa"/>
            </w:tcMar>
            <w:vAlign w:val="center"/>
          </w:tcPr>
          <w:p w14:paraId="53DC0FD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7880E86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3.0~3.2</w:t>
            </w:r>
          </w:p>
        </w:tc>
        <w:tc>
          <w:tcPr>
            <w:tcW w:w="1199" w:type="dxa"/>
            <w:tcBorders>
              <w:tl2br w:val="nil"/>
              <w:tr2bl w:val="nil"/>
            </w:tcBorders>
            <w:noWrap/>
            <w:tcMar>
              <w:top w:w="15" w:type="dxa"/>
              <w:left w:w="15" w:type="dxa"/>
              <w:right w:w="15" w:type="dxa"/>
            </w:tcMar>
            <w:vAlign w:val="center"/>
          </w:tcPr>
          <w:p w14:paraId="1E04DFA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≤4</w:t>
            </w:r>
          </w:p>
        </w:tc>
        <w:tc>
          <w:tcPr>
            <w:tcW w:w="1921" w:type="dxa"/>
            <w:tcBorders>
              <w:tl2br w:val="nil"/>
              <w:tr2bl w:val="nil"/>
            </w:tcBorders>
            <w:noWrap/>
            <w:tcMar>
              <w:top w:w="15" w:type="dxa"/>
              <w:left w:w="15" w:type="dxa"/>
              <w:right w:w="15" w:type="dxa"/>
            </w:tcMar>
            <w:vAlign w:val="center"/>
          </w:tcPr>
          <w:p w14:paraId="6965711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0.75~0.80</w:t>
            </w:r>
          </w:p>
        </w:tc>
        <w:tc>
          <w:tcPr>
            <w:tcW w:w="1199" w:type="dxa"/>
            <w:tcBorders>
              <w:tl2br w:val="nil"/>
              <w:tr2bl w:val="nil"/>
            </w:tcBorders>
            <w:noWrap/>
            <w:tcMar>
              <w:top w:w="15" w:type="dxa"/>
              <w:left w:w="15" w:type="dxa"/>
              <w:right w:w="15" w:type="dxa"/>
            </w:tcMar>
            <w:vAlign w:val="center"/>
          </w:tcPr>
          <w:p w14:paraId="4665BF1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C1CA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16237C1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NH</w:t>
            </w:r>
            <w:r>
              <w:rPr>
                <w:rFonts w:cs="Times New Roman"/>
                <w:color w:val="auto"/>
                <w:sz w:val="21"/>
                <w:vertAlign w:val="subscript"/>
                <w:lang w:bidi="ar"/>
              </w:rPr>
              <w:t>3</w:t>
            </w:r>
            <w:r>
              <w:rPr>
                <w:rStyle w:val="46"/>
                <w:rFonts w:hint="default" w:ascii="Times New Roman" w:hAnsi="Times New Roman" w:cs="Times New Roman"/>
                <w:color w:val="auto"/>
                <w:sz w:val="21"/>
                <w:szCs w:val="21"/>
                <w:lang w:bidi="ar"/>
              </w:rPr>
              <w:t>-H</w:t>
            </w:r>
          </w:p>
        </w:tc>
        <w:tc>
          <w:tcPr>
            <w:tcW w:w="921" w:type="dxa"/>
            <w:tcBorders>
              <w:tl2br w:val="nil"/>
              <w:tr2bl w:val="nil"/>
            </w:tcBorders>
            <w:noWrap/>
            <w:tcMar>
              <w:top w:w="15" w:type="dxa"/>
              <w:left w:w="15" w:type="dxa"/>
              <w:right w:w="15" w:type="dxa"/>
            </w:tcMar>
            <w:vAlign w:val="center"/>
          </w:tcPr>
          <w:p w14:paraId="5D76C6C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898DC0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0.582~0.595</w:t>
            </w:r>
          </w:p>
        </w:tc>
        <w:tc>
          <w:tcPr>
            <w:tcW w:w="1199" w:type="dxa"/>
            <w:tcBorders>
              <w:tl2br w:val="nil"/>
              <w:tr2bl w:val="nil"/>
            </w:tcBorders>
            <w:noWrap/>
            <w:tcMar>
              <w:top w:w="15" w:type="dxa"/>
              <w:left w:w="15" w:type="dxa"/>
              <w:right w:w="15" w:type="dxa"/>
            </w:tcMar>
            <w:vAlign w:val="center"/>
          </w:tcPr>
          <w:p w14:paraId="578CEDF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41E0BC1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0.58~0.60</w:t>
            </w:r>
          </w:p>
        </w:tc>
        <w:tc>
          <w:tcPr>
            <w:tcW w:w="1199" w:type="dxa"/>
            <w:tcBorders>
              <w:tl2br w:val="nil"/>
              <w:tr2bl w:val="nil"/>
            </w:tcBorders>
            <w:noWrap/>
            <w:tcMar>
              <w:top w:w="15" w:type="dxa"/>
              <w:left w:w="15" w:type="dxa"/>
              <w:right w:w="15" w:type="dxa"/>
            </w:tcMar>
            <w:vAlign w:val="center"/>
          </w:tcPr>
          <w:p w14:paraId="25C1CA5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AFFD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47C625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总磷</w:t>
            </w:r>
          </w:p>
        </w:tc>
        <w:tc>
          <w:tcPr>
            <w:tcW w:w="921" w:type="dxa"/>
            <w:tcBorders>
              <w:tl2br w:val="nil"/>
              <w:tr2bl w:val="nil"/>
            </w:tcBorders>
            <w:noWrap/>
            <w:tcMar>
              <w:top w:w="15" w:type="dxa"/>
              <w:left w:w="15" w:type="dxa"/>
              <w:right w:w="15" w:type="dxa"/>
            </w:tcMar>
            <w:vAlign w:val="center"/>
          </w:tcPr>
          <w:p w14:paraId="0380D9A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93183A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0.11~0.12</w:t>
            </w:r>
          </w:p>
        </w:tc>
        <w:tc>
          <w:tcPr>
            <w:tcW w:w="1199" w:type="dxa"/>
            <w:tcBorders>
              <w:tl2br w:val="nil"/>
              <w:tr2bl w:val="nil"/>
            </w:tcBorders>
            <w:noWrap/>
            <w:tcMar>
              <w:top w:w="15" w:type="dxa"/>
              <w:left w:w="15" w:type="dxa"/>
              <w:right w:w="15" w:type="dxa"/>
            </w:tcMar>
            <w:vAlign w:val="center"/>
          </w:tcPr>
          <w:p w14:paraId="16470C0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3CD3B6A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0.55~0.60</w:t>
            </w:r>
          </w:p>
        </w:tc>
        <w:tc>
          <w:tcPr>
            <w:tcW w:w="1199" w:type="dxa"/>
            <w:tcBorders>
              <w:tl2br w:val="nil"/>
              <w:tr2bl w:val="nil"/>
            </w:tcBorders>
            <w:noWrap/>
            <w:tcMar>
              <w:top w:w="15" w:type="dxa"/>
              <w:left w:w="15" w:type="dxa"/>
              <w:right w:w="15" w:type="dxa"/>
            </w:tcMar>
            <w:vAlign w:val="center"/>
          </w:tcPr>
          <w:p w14:paraId="0BBEB46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3504B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56150F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总氮</w:t>
            </w:r>
          </w:p>
        </w:tc>
        <w:tc>
          <w:tcPr>
            <w:tcW w:w="921" w:type="dxa"/>
            <w:tcBorders>
              <w:tl2br w:val="nil"/>
              <w:tr2bl w:val="nil"/>
            </w:tcBorders>
            <w:noWrap/>
            <w:tcMar>
              <w:top w:w="15" w:type="dxa"/>
              <w:left w:w="15" w:type="dxa"/>
              <w:right w:w="15" w:type="dxa"/>
            </w:tcMar>
            <w:vAlign w:val="center"/>
          </w:tcPr>
          <w:p w14:paraId="1FEDFBD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6D3F00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0.75~0.81</w:t>
            </w:r>
          </w:p>
        </w:tc>
        <w:tc>
          <w:tcPr>
            <w:tcW w:w="1199" w:type="dxa"/>
            <w:tcBorders>
              <w:tl2br w:val="nil"/>
              <w:tr2bl w:val="nil"/>
            </w:tcBorders>
            <w:noWrap/>
            <w:tcMar>
              <w:top w:w="15" w:type="dxa"/>
              <w:left w:w="15" w:type="dxa"/>
              <w:right w:w="15" w:type="dxa"/>
            </w:tcMar>
            <w:vAlign w:val="center"/>
          </w:tcPr>
          <w:p w14:paraId="1379E1E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0BDD99A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0.75~0.81</w:t>
            </w:r>
          </w:p>
        </w:tc>
        <w:tc>
          <w:tcPr>
            <w:tcW w:w="1199" w:type="dxa"/>
            <w:tcBorders>
              <w:tl2br w:val="nil"/>
              <w:tr2bl w:val="nil"/>
            </w:tcBorders>
            <w:noWrap/>
            <w:tcMar>
              <w:top w:w="15" w:type="dxa"/>
              <w:left w:w="15" w:type="dxa"/>
              <w:right w:w="15" w:type="dxa"/>
            </w:tcMar>
            <w:vAlign w:val="center"/>
          </w:tcPr>
          <w:p w14:paraId="3F8A883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1880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D44E2C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铜</w:t>
            </w:r>
          </w:p>
        </w:tc>
        <w:tc>
          <w:tcPr>
            <w:tcW w:w="921" w:type="dxa"/>
            <w:tcBorders>
              <w:tl2br w:val="nil"/>
              <w:tr2bl w:val="nil"/>
            </w:tcBorders>
            <w:noWrap/>
            <w:tcMar>
              <w:top w:w="15" w:type="dxa"/>
              <w:left w:w="15" w:type="dxa"/>
              <w:right w:w="15" w:type="dxa"/>
            </w:tcMar>
            <w:vAlign w:val="center"/>
          </w:tcPr>
          <w:p w14:paraId="2AAF516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80E75E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0.05L</w:t>
            </w:r>
          </w:p>
        </w:tc>
        <w:tc>
          <w:tcPr>
            <w:tcW w:w="1199" w:type="dxa"/>
            <w:tcBorders>
              <w:tl2br w:val="nil"/>
              <w:tr2bl w:val="nil"/>
            </w:tcBorders>
            <w:noWrap/>
            <w:tcMar>
              <w:top w:w="15" w:type="dxa"/>
              <w:left w:w="15" w:type="dxa"/>
              <w:right w:w="15" w:type="dxa"/>
            </w:tcMar>
            <w:vAlign w:val="center"/>
          </w:tcPr>
          <w:p w14:paraId="4321CD9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4449934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398F249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35551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AB3645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锌</w:t>
            </w:r>
          </w:p>
        </w:tc>
        <w:tc>
          <w:tcPr>
            <w:tcW w:w="921" w:type="dxa"/>
            <w:tcBorders>
              <w:tl2br w:val="nil"/>
              <w:tr2bl w:val="nil"/>
            </w:tcBorders>
            <w:noWrap/>
            <w:tcMar>
              <w:top w:w="15" w:type="dxa"/>
              <w:left w:w="15" w:type="dxa"/>
              <w:right w:w="15" w:type="dxa"/>
            </w:tcMar>
            <w:vAlign w:val="center"/>
          </w:tcPr>
          <w:p w14:paraId="10A7122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0D9BCB7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0.05L</w:t>
            </w:r>
          </w:p>
        </w:tc>
        <w:tc>
          <w:tcPr>
            <w:tcW w:w="1199" w:type="dxa"/>
            <w:tcBorders>
              <w:tl2br w:val="nil"/>
              <w:tr2bl w:val="nil"/>
            </w:tcBorders>
            <w:noWrap/>
            <w:tcMar>
              <w:top w:w="15" w:type="dxa"/>
              <w:left w:w="15" w:type="dxa"/>
              <w:right w:w="15" w:type="dxa"/>
            </w:tcMar>
            <w:vAlign w:val="center"/>
          </w:tcPr>
          <w:p w14:paraId="2992160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539E1C9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2379A9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49EB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011588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挥发酚</w:t>
            </w:r>
          </w:p>
        </w:tc>
        <w:tc>
          <w:tcPr>
            <w:tcW w:w="921" w:type="dxa"/>
            <w:tcBorders>
              <w:tl2br w:val="nil"/>
              <w:tr2bl w:val="nil"/>
            </w:tcBorders>
            <w:noWrap/>
            <w:tcMar>
              <w:top w:w="15" w:type="dxa"/>
              <w:left w:w="15" w:type="dxa"/>
              <w:right w:w="15" w:type="dxa"/>
            </w:tcMar>
            <w:vAlign w:val="center"/>
          </w:tcPr>
          <w:p w14:paraId="0A142F2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13CB3F7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0.0003L</w:t>
            </w:r>
          </w:p>
        </w:tc>
        <w:tc>
          <w:tcPr>
            <w:tcW w:w="1199" w:type="dxa"/>
            <w:tcBorders>
              <w:tl2br w:val="nil"/>
              <w:tr2bl w:val="nil"/>
            </w:tcBorders>
            <w:noWrap/>
            <w:tcMar>
              <w:top w:w="15" w:type="dxa"/>
              <w:left w:w="15" w:type="dxa"/>
              <w:right w:w="15" w:type="dxa"/>
            </w:tcMar>
            <w:vAlign w:val="center"/>
          </w:tcPr>
          <w:p w14:paraId="6DA81FE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24E960D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32820FA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985F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3B0547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石油类</w:t>
            </w:r>
          </w:p>
        </w:tc>
        <w:tc>
          <w:tcPr>
            <w:tcW w:w="921" w:type="dxa"/>
            <w:tcBorders>
              <w:tl2br w:val="nil"/>
              <w:tr2bl w:val="nil"/>
            </w:tcBorders>
            <w:noWrap/>
            <w:tcMar>
              <w:top w:w="15" w:type="dxa"/>
              <w:left w:w="15" w:type="dxa"/>
              <w:right w:w="15" w:type="dxa"/>
            </w:tcMar>
            <w:vAlign w:val="center"/>
          </w:tcPr>
          <w:p w14:paraId="7D80678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4EAB038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0.02~0.03</w:t>
            </w:r>
          </w:p>
        </w:tc>
        <w:tc>
          <w:tcPr>
            <w:tcW w:w="1199" w:type="dxa"/>
            <w:tcBorders>
              <w:tl2br w:val="nil"/>
              <w:tr2bl w:val="nil"/>
            </w:tcBorders>
            <w:noWrap/>
            <w:tcMar>
              <w:top w:w="15" w:type="dxa"/>
              <w:left w:w="15" w:type="dxa"/>
              <w:right w:w="15" w:type="dxa"/>
            </w:tcMar>
            <w:vAlign w:val="center"/>
          </w:tcPr>
          <w:p w14:paraId="4295054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4318258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0.40~0.60</w:t>
            </w:r>
          </w:p>
        </w:tc>
        <w:tc>
          <w:tcPr>
            <w:tcW w:w="1199" w:type="dxa"/>
            <w:tcBorders>
              <w:tl2br w:val="nil"/>
              <w:tr2bl w:val="nil"/>
            </w:tcBorders>
            <w:noWrap/>
            <w:tcMar>
              <w:top w:w="15" w:type="dxa"/>
              <w:left w:w="15" w:type="dxa"/>
              <w:right w:w="15" w:type="dxa"/>
            </w:tcMar>
            <w:vAlign w:val="center"/>
          </w:tcPr>
          <w:p w14:paraId="3664ABB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229F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C3D134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氟化物</w:t>
            </w:r>
          </w:p>
        </w:tc>
        <w:tc>
          <w:tcPr>
            <w:tcW w:w="921" w:type="dxa"/>
            <w:tcBorders>
              <w:tl2br w:val="nil"/>
              <w:tr2bl w:val="nil"/>
            </w:tcBorders>
            <w:noWrap/>
            <w:tcMar>
              <w:top w:w="15" w:type="dxa"/>
              <w:left w:w="15" w:type="dxa"/>
              <w:right w:w="15" w:type="dxa"/>
            </w:tcMar>
            <w:vAlign w:val="center"/>
          </w:tcPr>
          <w:p w14:paraId="7C7E9E8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72B6351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0.302~0.309</w:t>
            </w:r>
          </w:p>
        </w:tc>
        <w:tc>
          <w:tcPr>
            <w:tcW w:w="1199" w:type="dxa"/>
            <w:tcBorders>
              <w:tl2br w:val="nil"/>
              <w:tr2bl w:val="nil"/>
            </w:tcBorders>
            <w:noWrap/>
            <w:tcMar>
              <w:top w:w="15" w:type="dxa"/>
              <w:left w:w="15" w:type="dxa"/>
              <w:right w:w="15" w:type="dxa"/>
            </w:tcMar>
            <w:vAlign w:val="center"/>
          </w:tcPr>
          <w:p w14:paraId="153BA09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6DD454F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0.30~0.31</w:t>
            </w:r>
          </w:p>
        </w:tc>
        <w:tc>
          <w:tcPr>
            <w:tcW w:w="1199" w:type="dxa"/>
            <w:tcBorders>
              <w:tl2br w:val="nil"/>
              <w:tr2bl w:val="nil"/>
            </w:tcBorders>
            <w:noWrap/>
            <w:tcMar>
              <w:top w:w="15" w:type="dxa"/>
              <w:left w:w="15" w:type="dxa"/>
              <w:right w:w="15" w:type="dxa"/>
            </w:tcMar>
            <w:vAlign w:val="center"/>
          </w:tcPr>
          <w:p w14:paraId="759CAC3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D5E2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25B710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氰化物</w:t>
            </w:r>
          </w:p>
        </w:tc>
        <w:tc>
          <w:tcPr>
            <w:tcW w:w="921" w:type="dxa"/>
            <w:tcBorders>
              <w:tl2br w:val="nil"/>
              <w:tr2bl w:val="nil"/>
            </w:tcBorders>
            <w:noWrap/>
            <w:tcMar>
              <w:top w:w="15" w:type="dxa"/>
              <w:left w:w="15" w:type="dxa"/>
              <w:right w:w="15" w:type="dxa"/>
            </w:tcMar>
            <w:vAlign w:val="center"/>
          </w:tcPr>
          <w:p w14:paraId="7112672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7578F2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0.004L</w:t>
            </w:r>
          </w:p>
        </w:tc>
        <w:tc>
          <w:tcPr>
            <w:tcW w:w="1199" w:type="dxa"/>
            <w:tcBorders>
              <w:tl2br w:val="nil"/>
              <w:tr2bl w:val="nil"/>
            </w:tcBorders>
            <w:noWrap/>
            <w:tcMar>
              <w:top w:w="15" w:type="dxa"/>
              <w:left w:w="15" w:type="dxa"/>
              <w:right w:w="15" w:type="dxa"/>
            </w:tcMar>
            <w:vAlign w:val="center"/>
          </w:tcPr>
          <w:p w14:paraId="1003B58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05EA177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0013E3C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250C9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407A65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铅</w:t>
            </w:r>
          </w:p>
        </w:tc>
        <w:tc>
          <w:tcPr>
            <w:tcW w:w="921" w:type="dxa"/>
            <w:tcBorders>
              <w:tl2br w:val="nil"/>
              <w:tr2bl w:val="nil"/>
            </w:tcBorders>
            <w:noWrap/>
            <w:tcMar>
              <w:top w:w="15" w:type="dxa"/>
              <w:left w:w="15" w:type="dxa"/>
              <w:right w:w="15" w:type="dxa"/>
            </w:tcMar>
            <w:vAlign w:val="center"/>
          </w:tcPr>
          <w:p w14:paraId="6C9DB06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85A16C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0.001L</w:t>
            </w:r>
          </w:p>
        </w:tc>
        <w:tc>
          <w:tcPr>
            <w:tcW w:w="1199" w:type="dxa"/>
            <w:tcBorders>
              <w:tl2br w:val="nil"/>
              <w:tr2bl w:val="nil"/>
            </w:tcBorders>
            <w:noWrap/>
            <w:tcMar>
              <w:top w:w="15" w:type="dxa"/>
              <w:left w:w="15" w:type="dxa"/>
              <w:right w:w="15" w:type="dxa"/>
            </w:tcMar>
            <w:vAlign w:val="center"/>
          </w:tcPr>
          <w:p w14:paraId="03A87C4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2B7BD3A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9D1463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5CB46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50BB1D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镉</w:t>
            </w:r>
          </w:p>
        </w:tc>
        <w:tc>
          <w:tcPr>
            <w:tcW w:w="921" w:type="dxa"/>
            <w:tcBorders>
              <w:tl2br w:val="nil"/>
              <w:tr2bl w:val="nil"/>
            </w:tcBorders>
            <w:noWrap/>
            <w:tcMar>
              <w:top w:w="15" w:type="dxa"/>
              <w:left w:w="15" w:type="dxa"/>
              <w:right w:w="15" w:type="dxa"/>
            </w:tcMar>
            <w:vAlign w:val="center"/>
          </w:tcPr>
          <w:p w14:paraId="3654C0B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B8CE24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0.0001L</w:t>
            </w:r>
          </w:p>
        </w:tc>
        <w:tc>
          <w:tcPr>
            <w:tcW w:w="1199" w:type="dxa"/>
            <w:tcBorders>
              <w:tl2br w:val="nil"/>
              <w:tr2bl w:val="nil"/>
            </w:tcBorders>
            <w:noWrap/>
            <w:tcMar>
              <w:top w:w="15" w:type="dxa"/>
              <w:left w:w="15" w:type="dxa"/>
              <w:right w:w="15" w:type="dxa"/>
            </w:tcMar>
            <w:vAlign w:val="center"/>
          </w:tcPr>
          <w:p w14:paraId="564E965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58C3DB8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14D7CD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5C06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A93706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汞</w:t>
            </w:r>
          </w:p>
        </w:tc>
        <w:tc>
          <w:tcPr>
            <w:tcW w:w="921" w:type="dxa"/>
            <w:tcBorders>
              <w:tl2br w:val="nil"/>
              <w:tr2bl w:val="nil"/>
            </w:tcBorders>
            <w:noWrap/>
            <w:tcMar>
              <w:top w:w="15" w:type="dxa"/>
              <w:left w:w="15" w:type="dxa"/>
              <w:right w:w="15" w:type="dxa"/>
            </w:tcMar>
            <w:vAlign w:val="center"/>
          </w:tcPr>
          <w:p w14:paraId="5C09C58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6FC054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0.00004L</w:t>
            </w:r>
          </w:p>
        </w:tc>
        <w:tc>
          <w:tcPr>
            <w:tcW w:w="1199" w:type="dxa"/>
            <w:tcBorders>
              <w:tl2br w:val="nil"/>
              <w:tr2bl w:val="nil"/>
            </w:tcBorders>
            <w:noWrap/>
            <w:tcMar>
              <w:top w:w="15" w:type="dxa"/>
              <w:left w:w="15" w:type="dxa"/>
              <w:right w:w="15" w:type="dxa"/>
            </w:tcMar>
            <w:vAlign w:val="center"/>
          </w:tcPr>
          <w:p w14:paraId="36A5393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w:t>
            </w:r>
          </w:p>
        </w:tc>
        <w:tc>
          <w:tcPr>
            <w:tcW w:w="1921" w:type="dxa"/>
            <w:tcBorders>
              <w:tl2br w:val="nil"/>
              <w:tr2bl w:val="nil"/>
            </w:tcBorders>
            <w:noWrap/>
            <w:tcMar>
              <w:top w:w="15" w:type="dxa"/>
              <w:left w:w="15" w:type="dxa"/>
              <w:right w:w="15" w:type="dxa"/>
            </w:tcMar>
            <w:vAlign w:val="center"/>
          </w:tcPr>
          <w:p w14:paraId="5420A43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7CC7C5A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0179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9B57D5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砷</w:t>
            </w:r>
          </w:p>
        </w:tc>
        <w:tc>
          <w:tcPr>
            <w:tcW w:w="921" w:type="dxa"/>
            <w:tcBorders>
              <w:tl2br w:val="nil"/>
              <w:tr2bl w:val="nil"/>
            </w:tcBorders>
            <w:noWrap/>
            <w:tcMar>
              <w:top w:w="15" w:type="dxa"/>
              <w:left w:w="15" w:type="dxa"/>
              <w:right w:w="15" w:type="dxa"/>
            </w:tcMar>
            <w:vAlign w:val="center"/>
          </w:tcPr>
          <w:p w14:paraId="10276E4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469D4B1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0.0003L</w:t>
            </w:r>
          </w:p>
        </w:tc>
        <w:tc>
          <w:tcPr>
            <w:tcW w:w="1199" w:type="dxa"/>
            <w:tcBorders>
              <w:tl2br w:val="nil"/>
              <w:tr2bl w:val="nil"/>
            </w:tcBorders>
            <w:noWrap/>
            <w:tcMar>
              <w:top w:w="15" w:type="dxa"/>
              <w:left w:w="15" w:type="dxa"/>
              <w:right w:w="15" w:type="dxa"/>
            </w:tcMar>
            <w:vAlign w:val="center"/>
          </w:tcPr>
          <w:p w14:paraId="2895DB8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47731D2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B134C0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1043A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2F3BB77">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六价铬</w:t>
            </w:r>
          </w:p>
        </w:tc>
        <w:tc>
          <w:tcPr>
            <w:tcW w:w="921" w:type="dxa"/>
            <w:tcBorders>
              <w:tl2br w:val="nil"/>
              <w:tr2bl w:val="nil"/>
            </w:tcBorders>
            <w:noWrap/>
            <w:tcMar>
              <w:top w:w="15" w:type="dxa"/>
              <w:left w:w="15" w:type="dxa"/>
              <w:right w:w="15" w:type="dxa"/>
            </w:tcMar>
            <w:vAlign w:val="center"/>
          </w:tcPr>
          <w:p w14:paraId="0CB4B063">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315CCBB6">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0.004L</w:t>
            </w:r>
          </w:p>
        </w:tc>
        <w:tc>
          <w:tcPr>
            <w:tcW w:w="1199" w:type="dxa"/>
            <w:tcBorders>
              <w:tl2br w:val="nil"/>
              <w:tr2bl w:val="nil"/>
            </w:tcBorders>
            <w:noWrap/>
            <w:tcMar>
              <w:top w:w="15" w:type="dxa"/>
              <w:left w:w="15" w:type="dxa"/>
              <w:right w:w="15" w:type="dxa"/>
            </w:tcMar>
            <w:vAlign w:val="center"/>
          </w:tcPr>
          <w:p w14:paraId="658729E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≤0.05</w:t>
            </w:r>
          </w:p>
        </w:tc>
        <w:tc>
          <w:tcPr>
            <w:tcW w:w="1921" w:type="dxa"/>
            <w:tcBorders>
              <w:tl2br w:val="nil"/>
              <w:tr2bl w:val="nil"/>
            </w:tcBorders>
            <w:noWrap/>
            <w:tcMar>
              <w:top w:w="15" w:type="dxa"/>
              <w:left w:w="15" w:type="dxa"/>
              <w:right w:w="15" w:type="dxa"/>
            </w:tcMar>
            <w:vAlign w:val="center"/>
          </w:tcPr>
          <w:p w14:paraId="38D8971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3F98EE9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EBDA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BA54CF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镍</w:t>
            </w:r>
          </w:p>
        </w:tc>
        <w:tc>
          <w:tcPr>
            <w:tcW w:w="921" w:type="dxa"/>
            <w:tcBorders>
              <w:tl2br w:val="nil"/>
              <w:tr2bl w:val="nil"/>
            </w:tcBorders>
            <w:noWrap/>
            <w:tcMar>
              <w:top w:w="15" w:type="dxa"/>
              <w:left w:w="15" w:type="dxa"/>
              <w:right w:w="15" w:type="dxa"/>
            </w:tcMar>
            <w:vAlign w:val="center"/>
          </w:tcPr>
          <w:p w14:paraId="33902F7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368F46C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0.005L</w:t>
            </w:r>
          </w:p>
        </w:tc>
        <w:tc>
          <w:tcPr>
            <w:tcW w:w="1199" w:type="dxa"/>
            <w:tcBorders>
              <w:tl2br w:val="nil"/>
              <w:tr2bl w:val="nil"/>
            </w:tcBorders>
            <w:noWrap/>
            <w:tcMar>
              <w:top w:w="15" w:type="dxa"/>
              <w:left w:w="15" w:type="dxa"/>
              <w:right w:w="15" w:type="dxa"/>
            </w:tcMar>
            <w:vAlign w:val="center"/>
          </w:tcPr>
          <w:p w14:paraId="537081A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≤0.02</w:t>
            </w:r>
          </w:p>
        </w:tc>
        <w:tc>
          <w:tcPr>
            <w:tcW w:w="1921" w:type="dxa"/>
            <w:tcBorders>
              <w:tl2br w:val="nil"/>
              <w:tr2bl w:val="nil"/>
            </w:tcBorders>
            <w:noWrap/>
            <w:tcMar>
              <w:top w:w="15" w:type="dxa"/>
              <w:left w:w="15" w:type="dxa"/>
              <w:right w:w="15" w:type="dxa"/>
            </w:tcMar>
            <w:vAlign w:val="center"/>
          </w:tcPr>
          <w:p w14:paraId="5F4AA35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616E8B6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13FA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4A0E4B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钴</w:t>
            </w:r>
          </w:p>
        </w:tc>
        <w:tc>
          <w:tcPr>
            <w:tcW w:w="921" w:type="dxa"/>
            <w:tcBorders>
              <w:tl2br w:val="nil"/>
              <w:tr2bl w:val="nil"/>
            </w:tcBorders>
            <w:noWrap/>
            <w:tcMar>
              <w:top w:w="15" w:type="dxa"/>
              <w:left w:w="15" w:type="dxa"/>
              <w:right w:w="15" w:type="dxa"/>
            </w:tcMar>
            <w:vAlign w:val="center"/>
          </w:tcPr>
          <w:p w14:paraId="481097F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9A0968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0.002L</w:t>
            </w:r>
          </w:p>
        </w:tc>
        <w:tc>
          <w:tcPr>
            <w:tcW w:w="1199" w:type="dxa"/>
            <w:tcBorders>
              <w:tl2br w:val="nil"/>
              <w:tr2bl w:val="nil"/>
            </w:tcBorders>
            <w:noWrap/>
            <w:tcMar>
              <w:top w:w="15" w:type="dxa"/>
              <w:left w:w="15" w:type="dxa"/>
              <w:right w:w="15" w:type="dxa"/>
            </w:tcMar>
            <w:vAlign w:val="center"/>
          </w:tcPr>
          <w:p w14:paraId="5B48629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w:t>
            </w:r>
          </w:p>
        </w:tc>
        <w:tc>
          <w:tcPr>
            <w:tcW w:w="1921" w:type="dxa"/>
            <w:tcBorders>
              <w:tl2br w:val="nil"/>
              <w:tr2bl w:val="nil"/>
            </w:tcBorders>
            <w:noWrap/>
            <w:tcMar>
              <w:top w:w="15" w:type="dxa"/>
              <w:left w:w="15" w:type="dxa"/>
              <w:right w:w="15" w:type="dxa"/>
            </w:tcMar>
            <w:vAlign w:val="center"/>
          </w:tcPr>
          <w:p w14:paraId="765E241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7494572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692E6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7" w:hRule="atLeast"/>
          <w:tblHeader/>
          <w:jc w:val="center"/>
        </w:trPr>
        <w:tc>
          <w:tcPr>
            <w:tcW w:w="1769" w:type="dxa"/>
            <w:tcBorders>
              <w:tl2br w:val="nil"/>
              <w:tr2bl w:val="nil"/>
            </w:tcBorders>
            <w:noWrap/>
            <w:tcMar>
              <w:top w:w="15" w:type="dxa"/>
              <w:left w:w="15" w:type="dxa"/>
              <w:right w:w="15" w:type="dxa"/>
            </w:tcMar>
            <w:vAlign w:val="center"/>
          </w:tcPr>
          <w:p w14:paraId="4CD7BD9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锰</w:t>
            </w:r>
          </w:p>
        </w:tc>
        <w:tc>
          <w:tcPr>
            <w:tcW w:w="921" w:type="dxa"/>
            <w:tcBorders>
              <w:tl2br w:val="nil"/>
              <w:tr2bl w:val="nil"/>
            </w:tcBorders>
            <w:noWrap/>
            <w:tcMar>
              <w:top w:w="15" w:type="dxa"/>
              <w:left w:w="15" w:type="dxa"/>
              <w:right w:w="15" w:type="dxa"/>
            </w:tcMar>
            <w:vAlign w:val="center"/>
          </w:tcPr>
          <w:p w14:paraId="77DD0A12">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7D0C431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0.01L</w:t>
            </w:r>
          </w:p>
        </w:tc>
        <w:tc>
          <w:tcPr>
            <w:tcW w:w="1199" w:type="dxa"/>
            <w:tcBorders>
              <w:tl2br w:val="nil"/>
              <w:tr2bl w:val="nil"/>
            </w:tcBorders>
            <w:noWrap/>
            <w:tcMar>
              <w:top w:w="15" w:type="dxa"/>
              <w:left w:w="15" w:type="dxa"/>
              <w:right w:w="15" w:type="dxa"/>
            </w:tcMar>
            <w:vAlign w:val="center"/>
          </w:tcPr>
          <w:p w14:paraId="6533E7C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≤0.1</w:t>
            </w:r>
          </w:p>
        </w:tc>
        <w:tc>
          <w:tcPr>
            <w:tcW w:w="1921" w:type="dxa"/>
            <w:tcBorders>
              <w:tl2br w:val="nil"/>
              <w:tr2bl w:val="nil"/>
            </w:tcBorders>
            <w:noWrap/>
            <w:tcMar>
              <w:top w:w="15" w:type="dxa"/>
              <w:left w:w="15" w:type="dxa"/>
              <w:right w:w="15" w:type="dxa"/>
            </w:tcMar>
            <w:vAlign w:val="center"/>
          </w:tcPr>
          <w:p w14:paraId="3B414AC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66902FD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11E9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AE6DAA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锑</w:t>
            </w:r>
          </w:p>
        </w:tc>
        <w:tc>
          <w:tcPr>
            <w:tcW w:w="921" w:type="dxa"/>
            <w:tcBorders>
              <w:tl2br w:val="nil"/>
              <w:tr2bl w:val="nil"/>
            </w:tcBorders>
            <w:noWrap/>
            <w:tcMar>
              <w:top w:w="15" w:type="dxa"/>
              <w:left w:w="15" w:type="dxa"/>
              <w:right w:w="15" w:type="dxa"/>
            </w:tcMar>
            <w:vAlign w:val="center"/>
          </w:tcPr>
          <w:p w14:paraId="7642E74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63CB2B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0.0002L</w:t>
            </w:r>
          </w:p>
        </w:tc>
        <w:tc>
          <w:tcPr>
            <w:tcW w:w="1199" w:type="dxa"/>
            <w:tcBorders>
              <w:tl2br w:val="nil"/>
              <w:tr2bl w:val="nil"/>
            </w:tcBorders>
            <w:noWrap/>
            <w:tcMar>
              <w:top w:w="15" w:type="dxa"/>
              <w:left w:w="15" w:type="dxa"/>
              <w:right w:w="15" w:type="dxa"/>
            </w:tcMar>
            <w:vAlign w:val="center"/>
          </w:tcPr>
          <w:p w14:paraId="6484D13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≤0.005</w:t>
            </w:r>
          </w:p>
        </w:tc>
        <w:tc>
          <w:tcPr>
            <w:tcW w:w="1921" w:type="dxa"/>
            <w:tcBorders>
              <w:tl2br w:val="nil"/>
              <w:tr2bl w:val="nil"/>
            </w:tcBorders>
            <w:noWrap/>
            <w:tcMar>
              <w:top w:w="15" w:type="dxa"/>
              <w:left w:w="15" w:type="dxa"/>
              <w:right w:w="15" w:type="dxa"/>
            </w:tcMar>
            <w:vAlign w:val="center"/>
          </w:tcPr>
          <w:p w14:paraId="1302A20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4FDF425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4BE24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CFABC6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铊</w:t>
            </w:r>
          </w:p>
        </w:tc>
        <w:tc>
          <w:tcPr>
            <w:tcW w:w="921" w:type="dxa"/>
            <w:tcBorders>
              <w:tl2br w:val="nil"/>
              <w:tr2bl w:val="nil"/>
            </w:tcBorders>
            <w:noWrap/>
            <w:tcMar>
              <w:top w:w="15" w:type="dxa"/>
              <w:left w:w="15" w:type="dxa"/>
              <w:right w:w="15" w:type="dxa"/>
            </w:tcMar>
            <w:vAlign w:val="center"/>
          </w:tcPr>
          <w:p w14:paraId="1C64427F">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2D8A8950">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0.00003L</w:t>
            </w:r>
          </w:p>
        </w:tc>
        <w:tc>
          <w:tcPr>
            <w:tcW w:w="1199" w:type="dxa"/>
            <w:tcBorders>
              <w:tl2br w:val="nil"/>
              <w:tr2bl w:val="nil"/>
            </w:tcBorders>
            <w:noWrap/>
            <w:tcMar>
              <w:top w:w="15" w:type="dxa"/>
              <w:left w:w="15" w:type="dxa"/>
              <w:right w:w="15" w:type="dxa"/>
            </w:tcMar>
            <w:vAlign w:val="center"/>
          </w:tcPr>
          <w:p w14:paraId="04B23DF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≤0.0001</w:t>
            </w:r>
          </w:p>
        </w:tc>
        <w:tc>
          <w:tcPr>
            <w:tcW w:w="1921" w:type="dxa"/>
            <w:tcBorders>
              <w:tl2br w:val="nil"/>
              <w:tr2bl w:val="nil"/>
            </w:tcBorders>
            <w:noWrap/>
            <w:tcMar>
              <w:top w:w="15" w:type="dxa"/>
              <w:left w:w="15" w:type="dxa"/>
              <w:right w:w="15" w:type="dxa"/>
            </w:tcMar>
            <w:vAlign w:val="center"/>
          </w:tcPr>
          <w:p w14:paraId="2431D4E5">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00E69491">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BD4F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9D76F2D">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粪大肠菌群</w:t>
            </w:r>
          </w:p>
        </w:tc>
        <w:tc>
          <w:tcPr>
            <w:tcW w:w="921" w:type="dxa"/>
            <w:tcBorders>
              <w:tl2br w:val="nil"/>
              <w:tr2bl w:val="nil"/>
            </w:tcBorders>
            <w:noWrap/>
            <w:tcMar>
              <w:top w:w="15" w:type="dxa"/>
              <w:left w:w="15" w:type="dxa"/>
              <w:right w:w="15" w:type="dxa"/>
            </w:tcMar>
            <w:vAlign w:val="center"/>
          </w:tcPr>
          <w:p w14:paraId="0B90FFA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lang w:bidi="ar"/>
              </w:rPr>
              <w:t>MPN/L</w:t>
            </w:r>
          </w:p>
        </w:tc>
        <w:tc>
          <w:tcPr>
            <w:tcW w:w="1495" w:type="dxa"/>
            <w:tcBorders>
              <w:tl2br w:val="nil"/>
              <w:tr2bl w:val="nil"/>
            </w:tcBorders>
            <w:noWrap/>
            <w:tcMar>
              <w:top w:w="15" w:type="dxa"/>
              <w:left w:w="15" w:type="dxa"/>
              <w:right w:w="15" w:type="dxa"/>
            </w:tcMar>
            <w:vAlign w:val="center"/>
          </w:tcPr>
          <w:p w14:paraId="5549986B">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840~940</w:t>
            </w:r>
          </w:p>
        </w:tc>
        <w:tc>
          <w:tcPr>
            <w:tcW w:w="1199" w:type="dxa"/>
            <w:tcBorders>
              <w:tl2br w:val="nil"/>
              <w:tr2bl w:val="nil"/>
            </w:tcBorders>
            <w:noWrap/>
            <w:tcMar>
              <w:top w:w="15" w:type="dxa"/>
              <w:left w:w="15" w:type="dxa"/>
              <w:right w:w="15" w:type="dxa"/>
            </w:tcMar>
            <w:vAlign w:val="center"/>
          </w:tcPr>
          <w:p w14:paraId="7CCB60C8">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≤10000</w:t>
            </w:r>
          </w:p>
        </w:tc>
        <w:tc>
          <w:tcPr>
            <w:tcW w:w="1921" w:type="dxa"/>
            <w:tcBorders>
              <w:tl2br w:val="nil"/>
              <w:tr2bl w:val="nil"/>
            </w:tcBorders>
            <w:noWrap/>
            <w:tcMar>
              <w:top w:w="15" w:type="dxa"/>
              <w:left w:w="15" w:type="dxa"/>
              <w:right w:w="15" w:type="dxa"/>
            </w:tcMar>
            <w:vAlign w:val="center"/>
          </w:tcPr>
          <w:p w14:paraId="784BAD9A">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0.08~0.9</w:t>
            </w:r>
          </w:p>
        </w:tc>
        <w:tc>
          <w:tcPr>
            <w:tcW w:w="1199" w:type="dxa"/>
            <w:tcBorders>
              <w:tl2br w:val="nil"/>
              <w:tr2bl w:val="nil"/>
            </w:tcBorders>
            <w:noWrap/>
            <w:tcMar>
              <w:top w:w="15" w:type="dxa"/>
              <w:left w:w="15" w:type="dxa"/>
              <w:right w:w="15" w:type="dxa"/>
            </w:tcMar>
            <w:vAlign w:val="center"/>
          </w:tcPr>
          <w:p w14:paraId="1D71B28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7606E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2A4EF5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硫化物</w:t>
            </w:r>
          </w:p>
        </w:tc>
        <w:tc>
          <w:tcPr>
            <w:tcW w:w="921" w:type="dxa"/>
            <w:tcBorders>
              <w:tl2br w:val="nil"/>
              <w:tr2bl w:val="nil"/>
            </w:tcBorders>
            <w:noWrap/>
            <w:tcMar>
              <w:top w:w="15" w:type="dxa"/>
              <w:left w:w="15" w:type="dxa"/>
              <w:right w:w="15" w:type="dxa"/>
            </w:tcMar>
            <w:vAlign w:val="center"/>
          </w:tcPr>
          <w:p w14:paraId="1577E959">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
              </w:rPr>
            </w:pPr>
            <w:r>
              <w:rPr>
                <w:rFonts w:cs="Times New Roman"/>
                <w:color w:val="auto"/>
                <w:sz w:val="21"/>
              </w:rPr>
              <w:t>Mg/L</w:t>
            </w:r>
          </w:p>
        </w:tc>
        <w:tc>
          <w:tcPr>
            <w:tcW w:w="1495" w:type="dxa"/>
            <w:tcBorders>
              <w:tl2br w:val="nil"/>
              <w:tr2bl w:val="nil"/>
            </w:tcBorders>
            <w:noWrap/>
            <w:tcMar>
              <w:top w:w="15" w:type="dxa"/>
              <w:left w:w="15" w:type="dxa"/>
              <w:right w:w="15" w:type="dxa"/>
            </w:tcMar>
            <w:vAlign w:val="center"/>
          </w:tcPr>
          <w:p w14:paraId="694F2B14">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0.01L</w:t>
            </w:r>
          </w:p>
        </w:tc>
        <w:tc>
          <w:tcPr>
            <w:tcW w:w="1199" w:type="dxa"/>
            <w:tcBorders>
              <w:tl2br w:val="nil"/>
              <w:tr2bl w:val="nil"/>
            </w:tcBorders>
            <w:noWrap/>
            <w:tcMar>
              <w:top w:w="15" w:type="dxa"/>
              <w:left w:w="15" w:type="dxa"/>
              <w:right w:w="15" w:type="dxa"/>
            </w:tcMar>
            <w:vAlign w:val="center"/>
          </w:tcPr>
          <w:p w14:paraId="357DFBBC">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lang w:bidi="ar"/>
              </w:rPr>
              <w:t>≤0.2</w:t>
            </w:r>
          </w:p>
        </w:tc>
        <w:tc>
          <w:tcPr>
            <w:tcW w:w="1921" w:type="dxa"/>
            <w:tcBorders>
              <w:tl2br w:val="nil"/>
              <w:tr2bl w:val="nil"/>
            </w:tcBorders>
            <w:noWrap/>
            <w:tcMar>
              <w:top w:w="15" w:type="dxa"/>
              <w:left w:w="15" w:type="dxa"/>
              <w:right w:w="15" w:type="dxa"/>
            </w:tcMar>
            <w:vAlign w:val="center"/>
          </w:tcPr>
          <w:p w14:paraId="653C962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w:t>
            </w:r>
          </w:p>
        </w:tc>
        <w:tc>
          <w:tcPr>
            <w:tcW w:w="1199" w:type="dxa"/>
            <w:tcBorders>
              <w:tl2br w:val="nil"/>
              <w:tr2bl w:val="nil"/>
            </w:tcBorders>
            <w:noWrap/>
            <w:tcMar>
              <w:top w:w="15" w:type="dxa"/>
              <w:left w:w="15" w:type="dxa"/>
              <w:right w:w="15" w:type="dxa"/>
            </w:tcMar>
            <w:vAlign w:val="center"/>
          </w:tcPr>
          <w:p w14:paraId="577BBB1E">
            <w:pPr>
              <w:widowControl/>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cs="Times New Roman"/>
                <w:color w:val="auto"/>
                <w:sz w:val="21"/>
              </w:rPr>
              <w:t>达标</w:t>
            </w:r>
          </w:p>
        </w:tc>
      </w:tr>
      <w:tr w14:paraId="1E832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6C518BA0">
            <w:pPr>
              <w:widowControl/>
              <w:spacing w:line="240" w:lineRule="auto"/>
              <w:ind w:firstLine="0" w:firstLineChars="0"/>
              <w:jc w:val="left"/>
              <w:textAlignment w:val="center"/>
              <w:rPr>
                <w:rFonts w:cs="Times New Roman"/>
                <w:color w:val="auto"/>
                <w:sz w:val="21"/>
                <w:u w:val="none" w:color="auto"/>
              </w:rPr>
            </w:pPr>
            <w:r>
              <w:rPr>
                <w:rFonts w:cs="Times New Roman"/>
                <w:color w:val="auto"/>
                <w:sz w:val="21"/>
                <w:szCs w:val="24"/>
                <w:u w:val="none" w:color="auto"/>
              </w:rPr>
              <w:t>注：①标准指标无单位。②“L”表示未检出，其前数值为检出限。</w:t>
            </w:r>
          </w:p>
        </w:tc>
      </w:tr>
    </w:tbl>
    <w:p w14:paraId="4D97E309">
      <w:pPr>
        <w:pStyle w:val="21"/>
        <w:bidi w:val="0"/>
        <w:rPr>
          <w:rFonts w:hint="default"/>
          <w:color w:val="auto"/>
          <w:u w:val="none" w:color="auto"/>
          <w:lang w:val="en-US" w:eastAsia="zh-CN"/>
        </w:rPr>
      </w:pPr>
      <w:r>
        <w:rPr>
          <w:rFonts w:hint="eastAsia"/>
          <w:color w:val="auto"/>
          <w:u w:val="none" w:color="auto"/>
          <w:lang w:val="en-US" w:eastAsia="zh-CN"/>
        </w:rPr>
        <w:t>由上表补充监测结果可知，白沙河各监测断面所有监测因子均符合《地表水环境质量标准》（GB3838-2002）中的</w:t>
      </w:r>
      <w:r>
        <w:rPr>
          <w:rFonts w:hint="default" w:ascii="Times New Roman" w:hAnsi="Times New Roman" w:cs="Times New Roman"/>
          <w:color w:val="auto"/>
          <w:u w:val="none" w:color="auto"/>
          <w:lang w:val="en-US" w:eastAsia="zh-CN"/>
        </w:rPr>
        <w:t>Ⅲ</w:t>
      </w:r>
      <w:r>
        <w:rPr>
          <w:rFonts w:hint="eastAsia"/>
          <w:color w:val="auto"/>
          <w:u w:val="none" w:color="auto"/>
          <w:lang w:val="en-US" w:eastAsia="zh-CN"/>
        </w:rPr>
        <w:t>类标准。</w:t>
      </w:r>
    </w:p>
    <w:p w14:paraId="3000EC8F">
      <w:pPr>
        <w:pStyle w:val="8"/>
        <w:rPr>
          <w:rFonts w:hint="default" w:ascii="Times New Roman" w:hAnsi="Times New Roman" w:cs="Times New Roman"/>
          <w:color w:val="auto"/>
          <w:u w:val="none" w:color="auto"/>
        </w:rPr>
      </w:pPr>
      <w:bookmarkStart w:id="887" w:name="_Toc14561"/>
      <w:bookmarkStart w:id="888" w:name="_Toc32157"/>
      <w:bookmarkStart w:id="889" w:name="_Toc15958"/>
      <w:bookmarkStart w:id="890" w:name="_Toc19313"/>
      <w:bookmarkStart w:id="891" w:name="_Toc20424"/>
      <w:bookmarkStart w:id="892" w:name="_Toc25097"/>
      <w:bookmarkStart w:id="893" w:name="_Toc18561"/>
      <w:bookmarkStart w:id="894" w:name="_Toc10588"/>
      <w:bookmarkStart w:id="895" w:name="_Toc2536"/>
      <w:bookmarkStart w:id="896" w:name="_Toc879"/>
      <w:bookmarkStart w:id="897" w:name="_Toc21119"/>
      <w:bookmarkStart w:id="898" w:name="_Toc14666"/>
      <w:bookmarkStart w:id="899" w:name="_Toc25582"/>
      <w:bookmarkStart w:id="900" w:name="_Toc17042"/>
      <w:bookmarkStart w:id="901" w:name="_Toc13884"/>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.3地下水环境现状监测与评价</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631E88C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为进一步了解项目所在地地下水质量现状，本评价委托湖南</w:t>
      </w:r>
      <w:r>
        <w:rPr>
          <w:rFonts w:hint="eastAsia" w:ascii="Times New Roman" w:hAnsi="Times New Roman" w:cs="Times New Roman"/>
          <w:color w:val="auto"/>
          <w:u w:val="none" w:color="auto"/>
          <w:lang w:val="en-US" w:eastAsia="zh-CN"/>
        </w:rPr>
        <w:t>中青</w:t>
      </w:r>
      <w:r>
        <w:rPr>
          <w:rFonts w:hint="default" w:ascii="Times New Roman" w:hAnsi="Times New Roman" w:cs="Times New Roman"/>
          <w:color w:val="auto"/>
          <w:u w:val="none" w:color="auto"/>
          <w:lang w:eastAsia="zh-CN"/>
        </w:rPr>
        <w:t>检测有限公司于202</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eastAsia="zh-CN"/>
        </w:rPr>
        <w:t>年</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eastAsia="zh-CN"/>
        </w:rPr>
        <w:t>月</w:t>
      </w:r>
      <w:r>
        <w:rPr>
          <w:rFonts w:hint="eastAsia" w:ascii="Times New Roman" w:hAnsi="Times New Roman" w:cs="Times New Roman"/>
          <w:color w:val="auto"/>
          <w:u w:val="none" w:color="auto"/>
          <w:lang w:val="en-US" w:eastAsia="zh-CN"/>
        </w:rPr>
        <w:t>17</w:t>
      </w:r>
      <w:r>
        <w:rPr>
          <w:rFonts w:hint="default" w:ascii="Times New Roman" w:hAnsi="Times New Roman" w:cs="Times New Roman"/>
          <w:color w:val="auto"/>
          <w:u w:val="none" w:color="auto"/>
          <w:lang w:eastAsia="zh-CN"/>
        </w:rPr>
        <w:t>日对项目所在地进行了地下水环境现状监测</w:t>
      </w:r>
      <w:r>
        <w:rPr>
          <w:rFonts w:hint="default" w:ascii="Times New Roman" w:hAnsi="Times New Roman" w:cs="Times New Roman"/>
          <w:color w:val="auto"/>
          <w:u w:val="none" w:color="auto"/>
        </w:rPr>
        <w:t>。</w:t>
      </w:r>
    </w:p>
    <w:p w14:paraId="3961AAA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1、监测点位：</w:t>
      </w:r>
    </w:p>
    <w:p w14:paraId="5518F0ED">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4.3</w:t>
      </w:r>
      <w:r>
        <w:rPr>
          <w:rFonts w:hint="default"/>
          <w:color w:val="auto"/>
          <w:u w:val="none" w:color="auto"/>
        </w:rPr>
        <w:t>-</w:t>
      </w:r>
      <w:r>
        <w:rPr>
          <w:rFonts w:hint="eastAsia"/>
          <w:color w:val="auto"/>
          <w:u w:val="none" w:color="auto"/>
          <w:lang w:val="en-US" w:eastAsia="zh-CN"/>
        </w:rPr>
        <w:t>5</w:t>
      </w:r>
      <w:r>
        <w:rPr>
          <w:rFonts w:hint="default"/>
          <w:color w:val="auto"/>
          <w:u w:val="none" w:color="auto"/>
        </w:rPr>
        <w:t xml:space="preserve"> </w:t>
      </w:r>
      <w:r>
        <w:rPr>
          <w:rFonts w:hint="eastAsia"/>
          <w:color w:val="auto"/>
          <w:u w:val="none" w:color="auto"/>
          <w:lang w:val="en-US" w:eastAsia="zh-CN"/>
        </w:rPr>
        <w:t>引用</w:t>
      </w:r>
      <w:r>
        <w:rPr>
          <w:rFonts w:hint="default"/>
          <w:color w:val="auto"/>
          <w:u w:val="none" w:color="auto"/>
        </w:rPr>
        <w:t>地下水监测布点一览表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304"/>
        <w:gridCol w:w="2598"/>
        <w:gridCol w:w="3620"/>
      </w:tblGrid>
      <w:tr w14:paraId="737E0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3DC71E3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szCs w:val="21"/>
              </w:rPr>
            </w:pPr>
            <w:r>
              <w:rPr>
                <w:rFonts w:hint="eastAsia"/>
                <w:color w:val="000000"/>
              </w:rPr>
              <w:t>序号</w:t>
            </w:r>
          </w:p>
        </w:tc>
        <w:tc>
          <w:tcPr>
            <w:tcW w:w="2598" w:type="dxa"/>
            <w:tcBorders>
              <w:tl2br w:val="nil"/>
              <w:tr2bl w:val="nil"/>
            </w:tcBorders>
            <w:noWrap w:val="0"/>
            <w:vAlign w:val="center"/>
          </w:tcPr>
          <w:p w14:paraId="2C861D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szCs w:val="21"/>
                <w:lang w:val="en-US" w:eastAsia="zh-CN"/>
              </w:rPr>
            </w:pPr>
            <w:r>
              <w:rPr>
                <w:rFonts w:hint="eastAsia"/>
                <w:color w:val="000000"/>
                <w:lang w:val="en-US" w:eastAsia="zh-CN"/>
              </w:rPr>
              <w:t>与本项目</w:t>
            </w:r>
            <w:r>
              <w:rPr>
                <w:rFonts w:hint="eastAsia"/>
                <w:color w:val="000000"/>
              </w:rPr>
              <w:t>位置</w:t>
            </w:r>
            <w:r>
              <w:rPr>
                <w:rFonts w:hint="eastAsia"/>
                <w:color w:val="000000"/>
                <w:lang w:val="en-US" w:eastAsia="zh-CN"/>
              </w:rPr>
              <w:t>关系</w:t>
            </w:r>
          </w:p>
        </w:tc>
        <w:tc>
          <w:tcPr>
            <w:tcW w:w="3620" w:type="dxa"/>
            <w:tcBorders>
              <w:tl2br w:val="nil"/>
              <w:tr2bl w:val="nil"/>
            </w:tcBorders>
            <w:noWrap w:val="0"/>
            <w:vAlign w:val="center"/>
          </w:tcPr>
          <w:p w14:paraId="206C42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Cs w:val="21"/>
                <w:lang w:val="en-US" w:eastAsia="zh-CN"/>
              </w:rPr>
            </w:pPr>
            <w:r>
              <w:rPr>
                <w:rFonts w:hint="eastAsia"/>
                <w:color w:val="000000"/>
                <w:lang w:val="en-US" w:eastAsia="zh-CN"/>
              </w:rPr>
              <w:t>监测因子</w:t>
            </w:r>
          </w:p>
        </w:tc>
      </w:tr>
      <w:tr w14:paraId="38CA6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4B44013B">
            <w:pPr>
              <w:pStyle w:val="32"/>
              <w:bidi w:val="0"/>
              <w:rPr>
                <w:rFonts w:hint="default" w:ascii="Times New Roman" w:hAnsi="Times New Roman" w:eastAsia="宋体" w:cs="Times New Roman"/>
                <w:color w:val="000000"/>
                <w:kern w:val="2"/>
                <w:sz w:val="21"/>
                <w:szCs w:val="21"/>
                <w:highlight w:val="none"/>
                <w:lang w:val="en-US" w:eastAsia="zh-CN" w:bidi="ar-SA"/>
              </w:rPr>
            </w:pPr>
            <w:r>
              <w:rPr>
                <w:rFonts w:hint="eastAsia"/>
                <w:highlight w:val="none"/>
                <w:lang w:val="en-US" w:eastAsia="zh-CN"/>
              </w:rPr>
              <w:t>D1皮公塘</w:t>
            </w:r>
            <w:r>
              <w:rPr>
                <w:rFonts w:hint="default" w:ascii="Times New Roman" w:hAnsi="Times New Roman" w:eastAsia="宋体" w:cs="Times New Roman"/>
                <w:b w:val="0"/>
                <w:bCs w:val="0"/>
                <w:color w:val="auto"/>
                <w:kern w:val="2"/>
                <w:sz w:val="21"/>
                <w:szCs w:val="21"/>
                <w:lang w:val="en-US" w:eastAsia="zh-CN" w:bidi="ar-SA"/>
              </w:rPr>
              <w:t>水井</w:t>
            </w:r>
          </w:p>
        </w:tc>
        <w:tc>
          <w:tcPr>
            <w:tcW w:w="2598" w:type="dxa"/>
            <w:tcBorders>
              <w:tl2br w:val="nil"/>
              <w:tr2bl w:val="nil"/>
            </w:tcBorders>
            <w:noWrap w:val="0"/>
            <w:vAlign w:val="center"/>
          </w:tcPr>
          <w:p w14:paraId="2BE0A8D6">
            <w:pPr>
              <w:spacing w:line="360" w:lineRule="exact"/>
              <w:jc w:val="center"/>
              <w:rPr>
                <w:rFonts w:hint="default" w:ascii="Times New Roman" w:hAnsi="Times New Roman" w:eastAsia="宋体" w:cs="Times New Roman"/>
                <w:color w:val="000000"/>
                <w:kern w:val="2"/>
                <w:sz w:val="21"/>
                <w:szCs w:val="21"/>
                <w:lang w:val="en-US" w:eastAsia="zh-CN" w:bidi="ar-SA"/>
              </w:rPr>
            </w:pPr>
            <w:r>
              <w:rPr>
                <w:rFonts w:hint="eastAsia"/>
                <w:color w:val="000000"/>
                <w:lang w:eastAsia="zh-CN"/>
              </w:rPr>
              <w:t>项目所在地</w:t>
            </w:r>
            <w:r>
              <w:rPr>
                <w:rFonts w:hint="eastAsia"/>
                <w:color w:val="000000"/>
                <w:lang w:val="en-US" w:eastAsia="zh-CN"/>
              </w:rPr>
              <w:t>东南侧690m</w:t>
            </w:r>
          </w:p>
        </w:tc>
        <w:tc>
          <w:tcPr>
            <w:tcW w:w="3620" w:type="dxa"/>
            <w:vMerge w:val="restart"/>
            <w:tcBorders>
              <w:tl2br w:val="nil"/>
              <w:tr2bl w:val="nil"/>
            </w:tcBorders>
            <w:noWrap w:val="0"/>
            <w:vAlign w:val="center"/>
          </w:tcPr>
          <w:p w14:paraId="6E5003B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lang w:val="en-US" w:eastAsia="zh-CN"/>
              </w:rPr>
            </w:pPr>
            <w:r>
              <w:rPr>
                <w:rFonts w:hint="default" w:ascii="Times New Roman" w:hAnsi="Times New Roman" w:eastAsia="宋体" w:cs="Times New Roman"/>
                <w:color w:val="auto"/>
                <w:kern w:val="2"/>
                <w:sz w:val="21"/>
                <w:szCs w:val="21"/>
                <w:lang w:val="en-US" w:eastAsia="zh-CN" w:bidi="ar-SA"/>
              </w:rPr>
              <w:t>水位、K</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、Na</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、Ca</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、Mg</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、HCO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、氯化物（以Cl</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计）、硫酸盐（以SO</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计）、pH值、溶解性总固体、总硬度、耗氧量（CODMn法）、硝酸盐、亚硝酸盐、氨氮</w:t>
            </w:r>
            <w:r>
              <w:rPr>
                <w:rFonts w:hint="eastAsia" w:ascii="Times New Roman" w:hAnsi="Times New Roman" w:eastAsia="宋体" w:cs="Times New Roman"/>
                <w:color w:val="auto"/>
                <w:kern w:val="2"/>
                <w:sz w:val="21"/>
                <w:szCs w:val="21"/>
                <w:lang w:val="en-US" w:eastAsia="zh-CN" w:bidi="ar-SA"/>
              </w:rPr>
              <w:t>、</w:t>
            </w:r>
            <w:r>
              <w:rPr>
                <w:rFonts w:hint="eastAsia"/>
                <w:lang w:val="en-US" w:eastAsia="zh-CN"/>
              </w:rPr>
              <w:t>挥发酚</w:t>
            </w:r>
          </w:p>
        </w:tc>
      </w:tr>
      <w:tr w14:paraId="4B9B4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3260CCAD">
            <w:pPr>
              <w:pStyle w:val="32"/>
              <w:bidi w:val="0"/>
              <w:rPr>
                <w:rFonts w:hint="default" w:ascii="Times New Roman" w:hAnsi="Times New Roman" w:eastAsia="宋体" w:cs="Times New Roman"/>
                <w:color w:val="000000"/>
                <w:kern w:val="2"/>
                <w:sz w:val="21"/>
                <w:szCs w:val="21"/>
                <w:highlight w:val="none"/>
                <w:lang w:val="en-US" w:eastAsia="zh-CN" w:bidi="ar-SA"/>
              </w:rPr>
            </w:pPr>
            <w:r>
              <w:rPr>
                <w:rFonts w:hint="eastAsia"/>
                <w:highlight w:val="none"/>
                <w:lang w:val="en-US" w:eastAsia="zh-CN"/>
              </w:rPr>
              <w:t>D2李家大屋</w:t>
            </w:r>
            <w:r>
              <w:rPr>
                <w:rFonts w:hint="default" w:ascii="Times New Roman" w:hAnsi="Times New Roman" w:eastAsia="宋体" w:cs="Times New Roman"/>
                <w:b w:val="0"/>
                <w:bCs w:val="0"/>
                <w:color w:val="auto"/>
                <w:kern w:val="2"/>
                <w:sz w:val="21"/>
                <w:szCs w:val="21"/>
                <w:lang w:val="en-US" w:eastAsia="zh-CN" w:bidi="ar-SA"/>
              </w:rPr>
              <w:t>水井</w:t>
            </w:r>
          </w:p>
        </w:tc>
        <w:tc>
          <w:tcPr>
            <w:tcW w:w="2598" w:type="dxa"/>
            <w:tcBorders>
              <w:tl2br w:val="nil"/>
              <w:tr2bl w:val="nil"/>
            </w:tcBorders>
            <w:noWrap w:val="0"/>
            <w:vAlign w:val="center"/>
          </w:tcPr>
          <w:p w14:paraId="607F44A6">
            <w:pPr>
              <w:spacing w:line="36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eastAsia="zh-CN"/>
              </w:rPr>
              <w:t>项目所在地</w:t>
            </w:r>
            <w:r>
              <w:rPr>
                <w:rFonts w:hint="eastAsia"/>
                <w:color w:val="000000"/>
                <w:lang w:val="en-US" w:eastAsia="zh-CN"/>
              </w:rPr>
              <w:t>东侧725m</w:t>
            </w:r>
          </w:p>
        </w:tc>
        <w:tc>
          <w:tcPr>
            <w:tcW w:w="3620" w:type="dxa"/>
            <w:vMerge w:val="continue"/>
            <w:tcBorders>
              <w:tl2br w:val="nil"/>
              <w:tr2bl w:val="nil"/>
            </w:tcBorders>
            <w:noWrap w:val="0"/>
            <w:vAlign w:val="center"/>
          </w:tcPr>
          <w:p w14:paraId="445B9D3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rPr>
            </w:pPr>
          </w:p>
        </w:tc>
      </w:tr>
      <w:tr w14:paraId="51D09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2304" w:type="dxa"/>
            <w:tcBorders>
              <w:tl2br w:val="nil"/>
              <w:tr2bl w:val="nil"/>
            </w:tcBorders>
            <w:noWrap w:val="0"/>
            <w:vAlign w:val="center"/>
          </w:tcPr>
          <w:p w14:paraId="112D28E0">
            <w:pPr>
              <w:pStyle w:val="32"/>
              <w:bidi w:val="0"/>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D3桑子园</w:t>
            </w:r>
            <w:r>
              <w:rPr>
                <w:rFonts w:hint="default"/>
                <w:highlight w:val="none"/>
              </w:rPr>
              <w:t>水井</w:t>
            </w:r>
          </w:p>
        </w:tc>
        <w:tc>
          <w:tcPr>
            <w:tcW w:w="2598" w:type="dxa"/>
            <w:tcBorders>
              <w:tl2br w:val="nil"/>
              <w:tr2bl w:val="nil"/>
            </w:tcBorders>
            <w:noWrap w:val="0"/>
            <w:vAlign w:val="center"/>
          </w:tcPr>
          <w:p w14:paraId="04951D31">
            <w:pPr>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项目所在地北侧1045m</w:t>
            </w:r>
          </w:p>
        </w:tc>
        <w:tc>
          <w:tcPr>
            <w:tcW w:w="3620" w:type="dxa"/>
            <w:vMerge w:val="continue"/>
            <w:tcBorders>
              <w:tl2br w:val="nil"/>
              <w:tr2bl w:val="nil"/>
            </w:tcBorders>
            <w:noWrap w:val="0"/>
            <w:vAlign w:val="center"/>
          </w:tcPr>
          <w:p w14:paraId="0A29C7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r w14:paraId="0B444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27C5A2F5">
            <w:pPr>
              <w:pStyle w:val="32"/>
              <w:bidi w:val="0"/>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D4上高冲</w:t>
            </w:r>
            <w:r>
              <w:rPr>
                <w:rFonts w:hint="default"/>
                <w:highlight w:val="none"/>
              </w:rPr>
              <w:t>水井</w:t>
            </w:r>
          </w:p>
        </w:tc>
        <w:tc>
          <w:tcPr>
            <w:tcW w:w="2598" w:type="dxa"/>
            <w:tcBorders>
              <w:tl2br w:val="nil"/>
              <w:tr2bl w:val="nil"/>
            </w:tcBorders>
            <w:noWrap w:val="0"/>
            <w:vAlign w:val="center"/>
          </w:tcPr>
          <w:p w14:paraId="4916958D">
            <w:pPr>
              <w:spacing w:line="320" w:lineRule="exact"/>
              <w:jc w:val="center"/>
              <w:rPr>
                <w:rFonts w:hint="eastAsia" w:ascii="Times New Roman" w:hAnsi="Times New Roman" w:eastAsia="宋体" w:cs="Times New Roman"/>
                <w:kern w:val="2"/>
                <w:sz w:val="21"/>
                <w:szCs w:val="21"/>
                <w:lang w:val="en-US" w:eastAsia="zh-CN" w:bidi="ar-SA"/>
              </w:rPr>
            </w:pPr>
            <w:r>
              <w:rPr>
                <w:rFonts w:hint="eastAsia"/>
                <w:color w:val="000000"/>
                <w:lang w:eastAsia="zh-CN"/>
              </w:rPr>
              <w:t>项目所在地</w:t>
            </w:r>
            <w:r>
              <w:rPr>
                <w:rFonts w:hint="eastAsia"/>
                <w:color w:val="000000"/>
                <w:lang w:val="en-US" w:eastAsia="zh-CN"/>
              </w:rPr>
              <w:t>东北侧230m</w:t>
            </w:r>
          </w:p>
        </w:tc>
        <w:tc>
          <w:tcPr>
            <w:tcW w:w="3620" w:type="dxa"/>
            <w:vMerge w:val="restart"/>
            <w:tcBorders>
              <w:tl2br w:val="nil"/>
              <w:tr2bl w:val="nil"/>
            </w:tcBorders>
            <w:noWrap w:val="0"/>
            <w:vAlign w:val="center"/>
          </w:tcPr>
          <w:p w14:paraId="19130B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r>
              <w:rPr>
                <w:rFonts w:hint="eastAsia"/>
                <w:color w:val="000000"/>
                <w:szCs w:val="21"/>
                <w:lang w:val="en-US" w:eastAsia="zh-CN"/>
              </w:rPr>
              <w:t>水位</w:t>
            </w:r>
          </w:p>
        </w:tc>
      </w:tr>
      <w:tr w14:paraId="1ABA1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2B43716B">
            <w:pPr>
              <w:pStyle w:val="32"/>
              <w:bidi w:val="0"/>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kern w:val="2"/>
                <w:sz w:val="21"/>
                <w:szCs w:val="21"/>
                <w:highlight w:val="none"/>
                <w:lang w:val="en-US" w:eastAsia="zh-CN" w:bidi="ar-SA"/>
              </w:rPr>
              <w:t>D5彭家塘水井</w:t>
            </w:r>
          </w:p>
        </w:tc>
        <w:tc>
          <w:tcPr>
            <w:tcW w:w="2598" w:type="dxa"/>
            <w:tcBorders>
              <w:tl2br w:val="nil"/>
              <w:tr2bl w:val="nil"/>
            </w:tcBorders>
            <w:noWrap w:val="0"/>
            <w:vAlign w:val="center"/>
          </w:tcPr>
          <w:p w14:paraId="1DD436B8">
            <w:pPr>
              <w:spacing w:line="32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项目所在地东北侧1010m</w:t>
            </w:r>
          </w:p>
        </w:tc>
        <w:tc>
          <w:tcPr>
            <w:tcW w:w="3620" w:type="dxa"/>
            <w:vMerge w:val="continue"/>
            <w:tcBorders>
              <w:tl2br w:val="nil"/>
              <w:tr2bl w:val="nil"/>
            </w:tcBorders>
            <w:noWrap w:val="0"/>
            <w:vAlign w:val="center"/>
          </w:tcPr>
          <w:p w14:paraId="43F4B6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r w14:paraId="141B8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35B4D1F3">
            <w:pPr>
              <w:pStyle w:val="32"/>
              <w:bidi w:val="0"/>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D6木门楼水井</w:t>
            </w:r>
          </w:p>
        </w:tc>
        <w:tc>
          <w:tcPr>
            <w:tcW w:w="2598" w:type="dxa"/>
            <w:tcBorders>
              <w:tl2br w:val="nil"/>
              <w:tr2bl w:val="nil"/>
            </w:tcBorders>
            <w:noWrap w:val="0"/>
            <w:vAlign w:val="center"/>
          </w:tcPr>
          <w:p w14:paraId="5E4E28CA">
            <w:pPr>
              <w:spacing w:line="320" w:lineRule="exact"/>
              <w:jc w:val="center"/>
              <w:rPr>
                <w:rFonts w:hint="eastAsia" w:ascii="Times New Roman" w:hAnsi="Times New Roman" w:eastAsia="宋体" w:cs="Times New Roman"/>
                <w:kern w:val="2"/>
                <w:sz w:val="21"/>
                <w:szCs w:val="21"/>
                <w:lang w:val="en-US" w:eastAsia="zh-CN" w:bidi="ar-SA"/>
              </w:rPr>
            </w:pPr>
            <w:r>
              <w:rPr>
                <w:rFonts w:hint="eastAsia"/>
                <w:color w:val="000000"/>
                <w:lang w:eastAsia="zh-CN"/>
              </w:rPr>
              <w:t>项目所在地</w:t>
            </w:r>
            <w:r>
              <w:rPr>
                <w:rFonts w:hint="eastAsia"/>
                <w:color w:val="000000"/>
                <w:lang w:val="en-US" w:eastAsia="zh-CN"/>
              </w:rPr>
              <w:t>西北侧1835m</w:t>
            </w:r>
          </w:p>
        </w:tc>
        <w:tc>
          <w:tcPr>
            <w:tcW w:w="3620" w:type="dxa"/>
            <w:vMerge w:val="continue"/>
            <w:tcBorders>
              <w:tl2br w:val="nil"/>
              <w:tr2bl w:val="nil"/>
            </w:tcBorders>
            <w:noWrap w:val="0"/>
            <w:vAlign w:val="center"/>
          </w:tcPr>
          <w:p w14:paraId="3EEDC1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bl>
    <w:p w14:paraId="64EEEC0C">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、监测结果如下：</w:t>
      </w:r>
    </w:p>
    <w:p w14:paraId="29167634">
      <w:pPr>
        <w:pStyle w:val="23"/>
        <w:bidi w:val="0"/>
        <w:rPr>
          <w:rFonts w:hint="default" w:ascii="Times New Roman" w:hAnsi="Times New Roman" w:cs="Times New Roman"/>
          <w:color w:val="auto"/>
          <w:u w:val="none" w:color="auto"/>
        </w:rPr>
      </w:pPr>
      <w:bookmarkStart w:id="902" w:name="_Ref527300053"/>
      <w:r>
        <w:rPr>
          <w:rFonts w:hint="default" w:ascii="Times New Roman" w:hAnsi="Times New Roman" w:cs="Times New Roman"/>
          <w:color w:val="auto"/>
          <w:u w:val="none" w:color="auto"/>
        </w:rPr>
        <w:t>表</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noBreakHyphen/>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 xml:space="preserve"> 地下水环境因子及水位检测结果一览表  单位：mg/L</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76"/>
        <w:gridCol w:w="1076"/>
        <w:gridCol w:w="1076"/>
        <w:gridCol w:w="1076"/>
        <w:gridCol w:w="1076"/>
        <w:gridCol w:w="1079"/>
        <w:gridCol w:w="744"/>
      </w:tblGrid>
      <w:tr w14:paraId="4C487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vMerge w:val="restart"/>
            <w:noWrap w:val="0"/>
            <w:vAlign w:val="center"/>
          </w:tcPr>
          <w:p w14:paraId="0BC087E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监测项目</w:t>
            </w:r>
          </w:p>
        </w:tc>
        <w:tc>
          <w:tcPr>
            <w:tcW w:w="6459" w:type="dxa"/>
            <w:gridSpan w:val="6"/>
            <w:noWrap w:val="0"/>
            <w:vAlign w:val="center"/>
          </w:tcPr>
          <w:p w14:paraId="0D19CD6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监测点位</w:t>
            </w:r>
          </w:p>
        </w:tc>
        <w:tc>
          <w:tcPr>
            <w:tcW w:w="744" w:type="dxa"/>
            <w:vMerge w:val="restart"/>
            <w:noWrap w:val="0"/>
            <w:vAlign w:val="center"/>
          </w:tcPr>
          <w:p w14:paraId="5436AE7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单位</w:t>
            </w:r>
          </w:p>
        </w:tc>
      </w:tr>
      <w:tr w14:paraId="313FA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vMerge w:val="continue"/>
            <w:noWrap w:val="0"/>
            <w:vAlign w:val="center"/>
          </w:tcPr>
          <w:p w14:paraId="3C3D61E7">
            <w:pPr>
              <w:pStyle w:val="25"/>
              <w:bidi w:val="0"/>
              <w:rPr>
                <w:rFonts w:hint="default" w:ascii="Times New Roman" w:hAnsi="Times New Roman" w:cs="Times New Roman"/>
                <w:color w:val="auto"/>
                <w:u w:val="none" w:color="auto"/>
              </w:rPr>
            </w:pPr>
          </w:p>
        </w:tc>
        <w:tc>
          <w:tcPr>
            <w:tcW w:w="1076" w:type="dxa"/>
            <w:noWrap w:val="0"/>
            <w:vAlign w:val="center"/>
          </w:tcPr>
          <w:p w14:paraId="24943501">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1</w:t>
            </w:r>
          </w:p>
        </w:tc>
        <w:tc>
          <w:tcPr>
            <w:tcW w:w="1076" w:type="dxa"/>
            <w:noWrap w:val="0"/>
            <w:vAlign w:val="center"/>
          </w:tcPr>
          <w:p w14:paraId="1CC5756F">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2</w:t>
            </w:r>
          </w:p>
        </w:tc>
        <w:tc>
          <w:tcPr>
            <w:tcW w:w="1076" w:type="dxa"/>
            <w:noWrap w:val="0"/>
            <w:vAlign w:val="center"/>
          </w:tcPr>
          <w:p w14:paraId="7C199678">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3</w:t>
            </w:r>
          </w:p>
        </w:tc>
        <w:tc>
          <w:tcPr>
            <w:tcW w:w="1076" w:type="dxa"/>
            <w:noWrap w:val="0"/>
            <w:vAlign w:val="center"/>
          </w:tcPr>
          <w:p w14:paraId="10D96787">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4</w:t>
            </w:r>
          </w:p>
        </w:tc>
        <w:tc>
          <w:tcPr>
            <w:tcW w:w="1076" w:type="dxa"/>
            <w:noWrap w:val="0"/>
            <w:vAlign w:val="center"/>
          </w:tcPr>
          <w:p w14:paraId="0AC0E95D">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5</w:t>
            </w:r>
          </w:p>
        </w:tc>
        <w:tc>
          <w:tcPr>
            <w:tcW w:w="1079" w:type="dxa"/>
            <w:noWrap w:val="0"/>
            <w:vAlign w:val="center"/>
          </w:tcPr>
          <w:p w14:paraId="4F656518">
            <w:pPr>
              <w:pStyle w:val="25"/>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D6</w:t>
            </w:r>
          </w:p>
        </w:tc>
        <w:tc>
          <w:tcPr>
            <w:tcW w:w="744" w:type="dxa"/>
            <w:vMerge w:val="continue"/>
            <w:noWrap w:val="0"/>
            <w:vAlign w:val="center"/>
          </w:tcPr>
          <w:p w14:paraId="0818D46A">
            <w:pPr>
              <w:pStyle w:val="25"/>
              <w:bidi w:val="0"/>
              <w:rPr>
                <w:rFonts w:hint="default" w:ascii="Times New Roman" w:hAnsi="Times New Roman" w:cs="Times New Roman"/>
                <w:color w:val="auto"/>
                <w:u w:val="none" w:color="auto"/>
              </w:rPr>
            </w:pPr>
          </w:p>
        </w:tc>
      </w:tr>
      <w:tr w14:paraId="02BA6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noWrap w:val="0"/>
            <w:vAlign w:val="center"/>
          </w:tcPr>
          <w:p w14:paraId="2AFDBFB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水位</w:t>
            </w:r>
          </w:p>
        </w:tc>
        <w:tc>
          <w:tcPr>
            <w:tcW w:w="1076" w:type="dxa"/>
            <w:noWrap w:val="0"/>
            <w:vAlign w:val="center"/>
          </w:tcPr>
          <w:p w14:paraId="37549A2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7.1</w:t>
            </w:r>
          </w:p>
        </w:tc>
        <w:tc>
          <w:tcPr>
            <w:tcW w:w="1076" w:type="dxa"/>
            <w:noWrap w:val="0"/>
            <w:vAlign w:val="center"/>
          </w:tcPr>
          <w:p w14:paraId="2B2A9C39">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6.0</w:t>
            </w:r>
          </w:p>
        </w:tc>
        <w:tc>
          <w:tcPr>
            <w:tcW w:w="1076" w:type="dxa"/>
            <w:noWrap w:val="0"/>
            <w:vAlign w:val="center"/>
          </w:tcPr>
          <w:p w14:paraId="7A53D106">
            <w:pPr>
              <w:pStyle w:val="25"/>
              <w:bidi w:val="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2.5</w:t>
            </w:r>
          </w:p>
        </w:tc>
        <w:tc>
          <w:tcPr>
            <w:tcW w:w="1076" w:type="dxa"/>
            <w:noWrap w:val="0"/>
            <w:vAlign w:val="center"/>
          </w:tcPr>
          <w:p w14:paraId="4EB104B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3.4</w:t>
            </w:r>
          </w:p>
        </w:tc>
        <w:tc>
          <w:tcPr>
            <w:tcW w:w="1076" w:type="dxa"/>
            <w:noWrap w:val="0"/>
            <w:vAlign w:val="center"/>
          </w:tcPr>
          <w:p w14:paraId="60D8697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1.1</w:t>
            </w:r>
          </w:p>
        </w:tc>
        <w:tc>
          <w:tcPr>
            <w:tcW w:w="1079" w:type="dxa"/>
            <w:noWrap w:val="0"/>
            <w:vAlign w:val="center"/>
          </w:tcPr>
          <w:p w14:paraId="0044EFD8">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9.8</w:t>
            </w:r>
          </w:p>
        </w:tc>
        <w:tc>
          <w:tcPr>
            <w:tcW w:w="744" w:type="dxa"/>
            <w:noWrap w:val="0"/>
            <w:vAlign w:val="center"/>
          </w:tcPr>
          <w:p w14:paraId="405361BC">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m</w:t>
            </w:r>
          </w:p>
        </w:tc>
      </w:tr>
      <w:bookmarkEnd w:id="902"/>
    </w:tbl>
    <w:p w14:paraId="3C80D787">
      <w:pPr>
        <w:pStyle w:val="21"/>
        <w:bidi w:val="0"/>
        <w:rPr>
          <w:rFonts w:hint="default" w:ascii="Times New Roman" w:hAnsi="Times New Roman" w:cs="Times New Roman"/>
          <w:color w:val="auto"/>
          <w:u w:val="none" w:color="auto"/>
        </w:rPr>
      </w:pPr>
      <w:r>
        <w:rPr>
          <w:rFonts w:hint="default" w:ascii="Times New Roman" w:hAnsi="Times New Roman" w:eastAsia="宋体" w:cs="Times New Roman"/>
          <w:color w:val="auto"/>
          <w:sz w:val="24"/>
          <w:szCs w:val="24"/>
          <w:u w:val="none" w:color="auto"/>
        </w:rPr>
        <w:t>通过</w:t>
      </w:r>
      <w:r>
        <w:rPr>
          <w:rFonts w:hint="default" w:ascii="Times New Roman" w:hAnsi="Times New Roman" w:eastAsia="宋体" w:cs="Times New Roman"/>
          <w:color w:val="auto"/>
          <w:sz w:val="24"/>
          <w:szCs w:val="24"/>
          <w:u w:val="none" w:color="auto"/>
          <w:lang w:eastAsia="zh-CN"/>
        </w:rPr>
        <w:t>下表</w:t>
      </w:r>
      <w:r>
        <w:rPr>
          <w:rFonts w:hint="default" w:ascii="Times New Roman" w:hAnsi="Times New Roman" w:eastAsia="宋体" w:cs="Times New Roman"/>
          <w:color w:val="auto"/>
          <w:sz w:val="24"/>
          <w:szCs w:val="24"/>
          <w:u w:val="none" w:color="auto"/>
        </w:rPr>
        <w:t>地下水水位调查结果，项目所在区域为丘陵地区，海拔波动较为平缓，预测地下水的水位D</w:t>
      </w:r>
      <w:r>
        <w:rPr>
          <w:rFonts w:hint="eastAsia" w:ascii="Times New Roman" w:hAnsi="Times New Roman" w:eastAsia="宋体"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cs="Times New Roman"/>
          <w:color w:val="auto"/>
          <w:u w:val="none" w:color="auto"/>
        </w:rPr>
        <w:t>。</w:t>
      </w:r>
    </w:p>
    <w:p w14:paraId="68EAA8C6">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4</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lang w:val="en-US" w:eastAsia="zh-CN"/>
        </w:rPr>
        <w:t>-</w:t>
      </w:r>
      <w:r>
        <w:rPr>
          <w:rFonts w:hint="eastAsia"/>
          <w:color w:val="auto"/>
          <w:u w:val="none" w:color="auto"/>
          <w:lang w:val="en-US" w:eastAsia="zh-CN"/>
        </w:rPr>
        <w:t>7</w:t>
      </w:r>
      <w:r>
        <w:rPr>
          <w:rFonts w:hint="default"/>
          <w:color w:val="auto"/>
          <w:u w:val="none" w:color="auto"/>
        </w:rPr>
        <w:t xml:space="preserve"> 地下水监测</w:t>
      </w:r>
      <w:r>
        <w:rPr>
          <w:rFonts w:hint="eastAsia"/>
          <w:color w:val="auto"/>
          <w:u w:val="none" w:color="auto"/>
          <w:lang w:val="en-US" w:eastAsia="zh-CN"/>
        </w:rPr>
        <w:t>点</w:t>
      </w:r>
      <w:r>
        <w:rPr>
          <w:rFonts w:hint="default"/>
          <w:color w:val="auto"/>
          <w:u w:val="none" w:color="auto"/>
        </w:rPr>
        <w:t>水质现状监测结果统计  单位：mg/L（pH除外）</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450"/>
        <w:gridCol w:w="967"/>
        <w:gridCol w:w="969"/>
        <w:gridCol w:w="896"/>
        <w:gridCol w:w="897"/>
        <w:gridCol w:w="1089"/>
        <w:gridCol w:w="1042"/>
        <w:gridCol w:w="1025"/>
      </w:tblGrid>
      <w:tr w14:paraId="5466E3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870" w:type="pct"/>
            <w:vMerge w:val="restart"/>
            <w:tcBorders>
              <w:tl2br w:val="nil"/>
              <w:tr2bl w:val="nil"/>
            </w:tcBorders>
            <w:noWrap/>
            <w:vAlign w:val="center"/>
          </w:tcPr>
          <w:p w14:paraId="1F3BBB09">
            <w:pPr>
              <w:pStyle w:val="42"/>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监测项目</w:t>
            </w:r>
          </w:p>
        </w:tc>
        <w:tc>
          <w:tcPr>
            <w:tcW w:w="1161" w:type="pct"/>
            <w:gridSpan w:val="2"/>
            <w:tcBorders>
              <w:tl2br w:val="nil"/>
              <w:tr2bl w:val="nil"/>
            </w:tcBorders>
            <w:noWrap/>
            <w:vAlign w:val="center"/>
          </w:tcPr>
          <w:p w14:paraId="0A11E3F3">
            <w:pPr>
              <w:pStyle w:val="42"/>
              <w:keepNext w:val="0"/>
              <w:keepLines w:val="0"/>
              <w:pageBreakBefore w:val="0"/>
              <w:kinsoku w:val="0"/>
              <w:wordWrap/>
              <w:overflowPunct w:val="0"/>
              <w:topLinePunct w:val="0"/>
              <w:autoSpaceDE/>
              <w:autoSpaceDN/>
              <w:bidi w:val="0"/>
              <w:adjustRightInd w:val="0"/>
              <w:snapToGrid w:val="0"/>
              <w:jc w:val="center"/>
              <w:textAlignment w:val="auto"/>
              <w:rPr>
                <w:rFonts w:hint="eastAsia" w:ascii="Times New Roman" w:hAnsi="Times New Roman" w:eastAsia="宋体" w:cs="Times New Roman"/>
                <w:bCs/>
                <w:color w:val="auto"/>
                <w:kern w:val="2"/>
                <w:sz w:val="21"/>
                <w:szCs w:val="21"/>
                <w:u w:val="none" w:color="auto"/>
                <w:lang w:val="en-US" w:eastAsia="zh-CN"/>
              </w:rPr>
            </w:pPr>
            <w:r>
              <w:rPr>
                <w:rFonts w:hint="default" w:ascii="Times New Roman" w:hAnsi="Times New Roman" w:eastAsia="宋体" w:cs="Times New Roman"/>
                <w:bCs/>
                <w:color w:val="auto"/>
                <w:kern w:val="2"/>
                <w:sz w:val="21"/>
                <w:szCs w:val="21"/>
                <w:u w:val="none" w:color="auto"/>
              </w:rPr>
              <w:t>D</w:t>
            </w:r>
            <w:r>
              <w:rPr>
                <w:rFonts w:hint="eastAsia" w:ascii="Times New Roman" w:hAnsi="Times New Roman" w:cs="Times New Roman"/>
                <w:bCs/>
                <w:color w:val="auto"/>
                <w:kern w:val="2"/>
                <w:sz w:val="21"/>
                <w:szCs w:val="21"/>
                <w:u w:val="none" w:color="auto"/>
                <w:lang w:val="en-US" w:eastAsia="zh-CN"/>
              </w:rPr>
              <w:t>1</w:t>
            </w:r>
          </w:p>
        </w:tc>
        <w:tc>
          <w:tcPr>
            <w:tcW w:w="1075" w:type="pct"/>
            <w:gridSpan w:val="2"/>
            <w:tcBorders>
              <w:tl2br w:val="nil"/>
              <w:tr2bl w:val="nil"/>
            </w:tcBorders>
            <w:noWrap/>
            <w:vAlign w:val="center"/>
          </w:tcPr>
          <w:p w14:paraId="34F55710">
            <w:pPr>
              <w:keepNext w:val="0"/>
              <w:keepLines w:val="0"/>
              <w:pageBreakBefore w:val="0"/>
              <w:widowControl/>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sz w:val="21"/>
                <w:szCs w:val="21"/>
                <w:u w:val="none" w:color="auto"/>
              </w:rPr>
              <w:t>D</w:t>
            </w:r>
            <w:r>
              <w:rPr>
                <w:rFonts w:hint="eastAsia" w:ascii="Times New Roman" w:hAnsi="Times New Roman" w:eastAsia="宋体" w:cs="Times New Roman"/>
                <w:bCs/>
                <w:color w:val="auto"/>
                <w:sz w:val="21"/>
                <w:szCs w:val="21"/>
                <w:u w:val="none" w:color="auto"/>
                <w:lang w:val="en-US" w:eastAsia="zh-CN"/>
              </w:rPr>
              <w:t>2</w:t>
            </w:r>
          </w:p>
        </w:tc>
        <w:tc>
          <w:tcPr>
            <w:tcW w:w="1278" w:type="pct"/>
            <w:gridSpan w:val="2"/>
            <w:tcBorders>
              <w:tl2br w:val="nil"/>
              <w:tr2bl w:val="nil"/>
            </w:tcBorders>
            <w:noWrap/>
            <w:vAlign w:val="center"/>
          </w:tcPr>
          <w:p w14:paraId="160E33F2">
            <w:pPr>
              <w:keepNext w:val="0"/>
              <w:keepLines w:val="0"/>
              <w:pageBreakBefore w:val="0"/>
              <w:widowControl/>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rPr>
              <w:t>D</w:t>
            </w:r>
            <w:r>
              <w:rPr>
                <w:rFonts w:hint="eastAsia" w:ascii="Times New Roman" w:hAnsi="Times New Roman" w:eastAsia="宋体" w:cs="Times New Roman"/>
                <w:bCs/>
                <w:color w:val="auto"/>
                <w:kern w:val="2"/>
                <w:sz w:val="21"/>
                <w:szCs w:val="21"/>
                <w:u w:val="none" w:color="auto"/>
                <w:lang w:val="en-US" w:eastAsia="zh-CN"/>
              </w:rPr>
              <w:t>3</w:t>
            </w:r>
          </w:p>
        </w:tc>
        <w:tc>
          <w:tcPr>
            <w:tcW w:w="614" w:type="pct"/>
            <w:vMerge w:val="restart"/>
            <w:tcBorders>
              <w:tl2br w:val="nil"/>
              <w:tr2bl w:val="nil"/>
            </w:tcBorders>
            <w:noWrap/>
            <w:vAlign w:val="center"/>
          </w:tcPr>
          <w:p w14:paraId="42E131B4">
            <w:pPr>
              <w:pStyle w:val="42"/>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u w:val="none" w:color="auto"/>
              </w:rPr>
            </w:pPr>
            <w:r>
              <w:rPr>
                <w:rFonts w:hint="default" w:ascii="Times New Roman" w:hAnsi="Times New Roman" w:eastAsia="宋体" w:cs="Times New Roman"/>
                <w:bCs/>
                <w:color w:val="auto"/>
                <w:kern w:val="2"/>
                <w:sz w:val="21"/>
                <w:szCs w:val="21"/>
                <w:u w:val="none" w:color="auto"/>
              </w:rPr>
              <w:t>标准值</w:t>
            </w:r>
          </w:p>
        </w:tc>
      </w:tr>
      <w:tr w14:paraId="5DA139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870" w:type="pct"/>
            <w:vMerge w:val="continue"/>
            <w:tcBorders>
              <w:tl2br w:val="nil"/>
              <w:tr2bl w:val="nil"/>
            </w:tcBorders>
            <w:noWrap/>
            <w:vAlign w:val="center"/>
          </w:tcPr>
          <w:p w14:paraId="6406C516">
            <w:pPr>
              <w:pStyle w:val="42"/>
              <w:keepNext w:val="0"/>
              <w:keepLines w:val="0"/>
              <w:pageBreakBefore w:val="0"/>
              <w:kinsoku w:val="0"/>
              <w:wordWrap/>
              <w:overflowPunct w:val="0"/>
              <w:topLinePunct w:val="0"/>
              <w:autoSpaceDE/>
              <w:autoSpaceDN/>
              <w:bidi w:val="0"/>
              <w:adjustRightInd w:val="0"/>
              <w:snapToGrid w:val="0"/>
              <w:jc w:val="center"/>
              <w:textAlignment w:val="auto"/>
            </w:pPr>
          </w:p>
        </w:tc>
        <w:tc>
          <w:tcPr>
            <w:tcW w:w="580" w:type="pct"/>
            <w:tcBorders>
              <w:tl2br w:val="nil"/>
              <w:tr2bl w:val="nil"/>
            </w:tcBorders>
            <w:noWrap/>
            <w:vAlign w:val="center"/>
          </w:tcPr>
          <w:p w14:paraId="4C722071">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581" w:type="pct"/>
            <w:tcBorders>
              <w:tl2br w:val="nil"/>
              <w:tr2bl w:val="nil"/>
            </w:tcBorders>
            <w:noWrap/>
            <w:vAlign w:val="center"/>
          </w:tcPr>
          <w:p w14:paraId="7F7B3F7A">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537" w:type="pct"/>
            <w:tcBorders>
              <w:tl2br w:val="nil"/>
              <w:tr2bl w:val="nil"/>
            </w:tcBorders>
            <w:noWrap/>
            <w:vAlign w:val="center"/>
          </w:tcPr>
          <w:p w14:paraId="0DF4ED09">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537" w:type="pct"/>
            <w:tcBorders>
              <w:tl2br w:val="nil"/>
              <w:tr2bl w:val="nil"/>
            </w:tcBorders>
            <w:noWrap/>
            <w:vAlign w:val="center"/>
          </w:tcPr>
          <w:p w14:paraId="0F0D2F74">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653" w:type="pct"/>
            <w:tcBorders>
              <w:tl2br w:val="nil"/>
              <w:tr2bl w:val="nil"/>
            </w:tcBorders>
            <w:noWrap/>
            <w:vAlign w:val="center"/>
          </w:tcPr>
          <w:p w14:paraId="6EB7C2AB">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625" w:type="pct"/>
            <w:tcBorders>
              <w:tl2br w:val="nil"/>
              <w:tr2bl w:val="nil"/>
            </w:tcBorders>
            <w:noWrap/>
            <w:vAlign w:val="center"/>
          </w:tcPr>
          <w:p w14:paraId="4D0422DB">
            <w:pPr>
              <w:pStyle w:val="42"/>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614" w:type="pct"/>
            <w:vMerge w:val="continue"/>
            <w:tcBorders>
              <w:tl2br w:val="nil"/>
              <w:tr2bl w:val="nil"/>
            </w:tcBorders>
            <w:noWrap/>
            <w:vAlign w:val="center"/>
          </w:tcPr>
          <w:p w14:paraId="7A435B6E">
            <w:pPr>
              <w:pStyle w:val="42"/>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u w:val="none" w:color="auto"/>
              </w:rPr>
            </w:pPr>
          </w:p>
        </w:tc>
      </w:tr>
      <w:tr w14:paraId="392B91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346E542F">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溶解性总固体</w:t>
            </w:r>
          </w:p>
        </w:tc>
        <w:tc>
          <w:tcPr>
            <w:tcW w:w="580" w:type="pct"/>
            <w:tcBorders>
              <w:tl2br w:val="nil"/>
              <w:tr2bl w:val="nil"/>
            </w:tcBorders>
            <w:noWrap/>
            <w:vAlign w:val="center"/>
          </w:tcPr>
          <w:p w14:paraId="3D08F5A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34</w:t>
            </w:r>
          </w:p>
        </w:tc>
        <w:tc>
          <w:tcPr>
            <w:tcW w:w="581" w:type="pct"/>
            <w:tcBorders>
              <w:tl2br w:val="nil"/>
              <w:tr2bl w:val="nil"/>
            </w:tcBorders>
            <w:noWrap/>
            <w:vAlign w:val="center"/>
          </w:tcPr>
          <w:p w14:paraId="19CFE63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0.034</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537" w:type="pct"/>
            <w:tcBorders>
              <w:tl2br w:val="nil"/>
              <w:tr2bl w:val="nil"/>
            </w:tcBorders>
            <w:noWrap/>
            <w:vAlign w:val="center"/>
          </w:tcPr>
          <w:p w14:paraId="68EC292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77</w:t>
            </w:r>
          </w:p>
        </w:tc>
        <w:tc>
          <w:tcPr>
            <w:tcW w:w="537" w:type="pct"/>
            <w:tcBorders>
              <w:tl2br w:val="nil"/>
              <w:tr2bl w:val="nil"/>
            </w:tcBorders>
            <w:noWrap/>
            <w:vAlign w:val="center"/>
          </w:tcPr>
          <w:p w14:paraId="5E82DEE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0.077</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53" w:type="pct"/>
            <w:tcBorders>
              <w:tl2br w:val="nil"/>
              <w:tr2bl w:val="nil"/>
            </w:tcBorders>
            <w:noWrap/>
            <w:vAlign w:val="center"/>
          </w:tcPr>
          <w:p w14:paraId="04693A3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68</w:t>
            </w:r>
          </w:p>
        </w:tc>
        <w:tc>
          <w:tcPr>
            <w:tcW w:w="625" w:type="pct"/>
            <w:tcBorders>
              <w:tl2br w:val="nil"/>
              <w:tr2bl w:val="nil"/>
            </w:tcBorders>
            <w:noWrap/>
            <w:vAlign w:val="center"/>
          </w:tcPr>
          <w:p w14:paraId="74894AE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0.068</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14" w:type="pct"/>
            <w:tcBorders>
              <w:tl2br w:val="nil"/>
              <w:tr2bl w:val="nil"/>
            </w:tcBorders>
            <w:noWrap/>
            <w:vAlign w:val="center"/>
          </w:tcPr>
          <w:p w14:paraId="6EDED05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1000</w:t>
            </w:r>
          </w:p>
        </w:tc>
      </w:tr>
      <w:tr w14:paraId="6D36B1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569262E">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高猛酸盐指数</w:t>
            </w:r>
          </w:p>
        </w:tc>
        <w:tc>
          <w:tcPr>
            <w:tcW w:w="580" w:type="pct"/>
            <w:tcBorders>
              <w:tl2br w:val="nil"/>
              <w:tr2bl w:val="nil"/>
            </w:tcBorders>
            <w:noWrap/>
            <w:vAlign w:val="center"/>
          </w:tcPr>
          <w:p w14:paraId="5C22EEE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eastAsia" w:ascii="Times New Roman" w:hAnsi="Times New Roman" w:eastAsia="宋体" w:cs="Times New Roman"/>
                <w:i w:val="0"/>
                <w:iCs w:val="0"/>
                <w:color w:val="auto"/>
                <w:kern w:val="0"/>
                <w:sz w:val="21"/>
                <w:szCs w:val="21"/>
                <w:highlight w:val="none"/>
                <w:u w:val="none" w:color="auto"/>
                <w:lang w:val="en-US" w:eastAsia="zh-CN" w:bidi="ar"/>
              </w:rPr>
              <w:t>45</w:t>
            </w:r>
          </w:p>
        </w:tc>
        <w:tc>
          <w:tcPr>
            <w:tcW w:w="581" w:type="pct"/>
            <w:tcBorders>
              <w:tl2br w:val="nil"/>
              <w:tr2bl w:val="nil"/>
            </w:tcBorders>
            <w:noWrap/>
            <w:vAlign w:val="center"/>
          </w:tcPr>
          <w:p w14:paraId="1784944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48</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3 </w:t>
            </w:r>
          </w:p>
        </w:tc>
        <w:tc>
          <w:tcPr>
            <w:tcW w:w="537" w:type="pct"/>
            <w:tcBorders>
              <w:tl2br w:val="nil"/>
              <w:tr2bl w:val="nil"/>
            </w:tcBorders>
            <w:noWrap/>
            <w:vAlign w:val="center"/>
          </w:tcPr>
          <w:p w14:paraId="243D806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eastAsia" w:ascii="Times New Roman" w:hAnsi="Times New Roman" w:eastAsia="宋体" w:cs="Times New Roman"/>
                <w:i w:val="0"/>
                <w:iCs w:val="0"/>
                <w:color w:val="auto"/>
                <w:kern w:val="0"/>
                <w:sz w:val="21"/>
                <w:szCs w:val="21"/>
                <w:highlight w:val="none"/>
                <w:u w:val="none" w:color="auto"/>
                <w:lang w:val="en-US" w:eastAsia="zh-CN" w:bidi="ar"/>
              </w:rPr>
              <w:t>.71</w:t>
            </w:r>
          </w:p>
        </w:tc>
        <w:tc>
          <w:tcPr>
            <w:tcW w:w="537" w:type="pct"/>
            <w:tcBorders>
              <w:tl2br w:val="nil"/>
              <w:tr2bl w:val="nil"/>
            </w:tcBorders>
            <w:noWrap/>
            <w:vAlign w:val="center"/>
          </w:tcPr>
          <w:p w14:paraId="4BF8872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57</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53" w:type="pct"/>
            <w:tcBorders>
              <w:tl2br w:val="nil"/>
              <w:tr2bl w:val="nil"/>
            </w:tcBorders>
            <w:noWrap/>
            <w:vAlign w:val="center"/>
          </w:tcPr>
          <w:p w14:paraId="1BE7CA3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1.39</w:t>
            </w:r>
          </w:p>
        </w:tc>
        <w:tc>
          <w:tcPr>
            <w:tcW w:w="625" w:type="pct"/>
            <w:tcBorders>
              <w:tl2br w:val="nil"/>
              <w:tr2bl w:val="nil"/>
            </w:tcBorders>
            <w:noWrap/>
            <w:vAlign w:val="center"/>
          </w:tcPr>
          <w:p w14:paraId="280B26E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0.463</w:t>
            </w:r>
          </w:p>
        </w:tc>
        <w:tc>
          <w:tcPr>
            <w:tcW w:w="614" w:type="pct"/>
            <w:tcBorders>
              <w:tl2br w:val="nil"/>
              <w:tr2bl w:val="nil"/>
            </w:tcBorders>
            <w:noWrap/>
            <w:vAlign w:val="center"/>
          </w:tcPr>
          <w:p w14:paraId="5C109B6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3</w:t>
            </w:r>
          </w:p>
        </w:tc>
      </w:tr>
      <w:tr w14:paraId="043C22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2C0FEA1F">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硝酸盐</w:t>
            </w:r>
          </w:p>
        </w:tc>
        <w:tc>
          <w:tcPr>
            <w:tcW w:w="580" w:type="pct"/>
            <w:tcBorders>
              <w:tl2br w:val="nil"/>
              <w:tr2bl w:val="nil"/>
            </w:tcBorders>
            <w:noWrap/>
            <w:vAlign w:val="center"/>
          </w:tcPr>
          <w:p w14:paraId="04662EF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0.09</w:t>
            </w:r>
          </w:p>
        </w:tc>
        <w:tc>
          <w:tcPr>
            <w:tcW w:w="581" w:type="pct"/>
            <w:tcBorders>
              <w:tl2br w:val="nil"/>
              <w:tr2bl w:val="nil"/>
            </w:tcBorders>
            <w:noWrap/>
            <w:vAlign w:val="center"/>
          </w:tcPr>
          <w:p w14:paraId="599BD11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w:t>
            </w:r>
            <w:r>
              <w:rPr>
                <w:rFonts w:hint="eastAsia" w:ascii="Times New Roman" w:hAnsi="Times New Roman" w:eastAsia="宋体" w:cs="Times New Roman"/>
                <w:i w:val="0"/>
                <w:iCs w:val="0"/>
                <w:color w:val="auto"/>
                <w:kern w:val="0"/>
                <w:sz w:val="21"/>
                <w:szCs w:val="21"/>
                <w:highlight w:val="none"/>
                <w:u w:val="none" w:color="auto"/>
                <w:lang w:val="en-US" w:eastAsia="zh-CN" w:bidi="ar"/>
              </w:rPr>
              <w:t>045</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537" w:type="pct"/>
            <w:tcBorders>
              <w:tl2br w:val="nil"/>
              <w:tr2bl w:val="nil"/>
            </w:tcBorders>
            <w:noWrap/>
            <w:vAlign w:val="center"/>
          </w:tcPr>
          <w:p w14:paraId="4602DC5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0.10</w:t>
            </w:r>
          </w:p>
        </w:tc>
        <w:tc>
          <w:tcPr>
            <w:tcW w:w="537" w:type="pct"/>
            <w:tcBorders>
              <w:tl2br w:val="nil"/>
              <w:tr2bl w:val="nil"/>
            </w:tcBorders>
            <w:noWrap/>
            <w:vAlign w:val="center"/>
          </w:tcPr>
          <w:p w14:paraId="1B38A93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w:t>
            </w:r>
            <w:r>
              <w:rPr>
                <w:rFonts w:hint="eastAsia" w:ascii="Times New Roman" w:hAnsi="Times New Roman" w:eastAsia="宋体" w:cs="Times New Roman"/>
                <w:i w:val="0"/>
                <w:iCs w:val="0"/>
                <w:color w:val="auto"/>
                <w:kern w:val="0"/>
                <w:sz w:val="21"/>
                <w:szCs w:val="21"/>
                <w:highlight w:val="none"/>
                <w:u w:val="none" w:color="auto"/>
                <w:lang w:val="en-US" w:eastAsia="zh-CN" w:bidi="ar"/>
              </w:rPr>
              <w:t>05</w:t>
            </w:r>
          </w:p>
        </w:tc>
        <w:tc>
          <w:tcPr>
            <w:tcW w:w="653" w:type="pct"/>
            <w:tcBorders>
              <w:tl2br w:val="nil"/>
              <w:tr2bl w:val="nil"/>
            </w:tcBorders>
            <w:noWrap/>
            <w:vAlign w:val="center"/>
          </w:tcPr>
          <w:p w14:paraId="088A96B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0.12</w:t>
            </w:r>
          </w:p>
        </w:tc>
        <w:tc>
          <w:tcPr>
            <w:tcW w:w="625" w:type="pct"/>
            <w:tcBorders>
              <w:tl2br w:val="nil"/>
              <w:tr2bl w:val="nil"/>
            </w:tcBorders>
            <w:noWrap/>
            <w:vAlign w:val="center"/>
          </w:tcPr>
          <w:p w14:paraId="0013E1D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0.006</w:t>
            </w:r>
          </w:p>
        </w:tc>
        <w:tc>
          <w:tcPr>
            <w:tcW w:w="614" w:type="pct"/>
            <w:tcBorders>
              <w:tl2br w:val="nil"/>
              <w:tr2bl w:val="nil"/>
            </w:tcBorders>
            <w:noWrap/>
            <w:vAlign w:val="center"/>
          </w:tcPr>
          <w:p w14:paraId="4861B3C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20</w:t>
            </w:r>
          </w:p>
        </w:tc>
      </w:tr>
      <w:tr w14:paraId="444029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AE65538">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亚硝酸盐</w:t>
            </w:r>
          </w:p>
        </w:tc>
        <w:tc>
          <w:tcPr>
            <w:tcW w:w="580" w:type="pct"/>
            <w:tcBorders>
              <w:tl2br w:val="nil"/>
              <w:tr2bl w:val="nil"/>
            </w:tcBorders>
            <w:noWrap/>
            <w:vAlign w:val="center"/>
          </w:tcPr>
          <w:p w14:paraId="3B5F22F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581" w:type="pct"/>
            <w:tcBorders>
              <w:tl2br w:val="nil"/>
              <w:tr2bl w:val="nil"/>
            </w:tcBorders>
            <w:noWrap/>
            <w:vAlign w:val="center"/>
          </w:tcPr>
          <w:p w14:paraId="3688E35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118B30B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537" w:type="pct"/>
            <w:tcBorders>
              <w:tl2br w:val="nil"/>
              <w:tr2bl w:val="nil"/>
            </w:tcBorders>
            <w:noWrap/>
            <w:vAlign w:val="center"/>
          </w:tcPr>
          <w:p w14:paraId="6E13515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54A50A2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625" w:type="pct"/>
            <w:tcBorders>
              <w:tl2br w:val="nil"/>
              <w:tr2bl w:val="nil"/>
            </w:tcBorders>
            <w:noWrap/>
            <w:vAlign w:val="center"/>
          </w:tcPr>
          <w:p w14:paraId="1DD3DC8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35EFB45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r>
      <w:tr w14:paraId="186D4D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388F5E76">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氨氮</w:t>
            </w:r>
          </w:p>
        </w:tc>
        <w:tc>
          <w:tcPr>
            <w:tcW w:w="580" w:type="pct"/>
            <w:tcBorders>
              <w:tl2br w:val="nil"/>
              <w:tr2bl w:val="nil"/>
            </w:tcBorders>
            <w:noWrap/>
            <w:vAlign w:val="center"/>
          </w:tcPr>
          <w:p w14:paraId="1F4576B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0.029</w:t>
            </w:r>
          </w:p>
        </w:tc>
        <w:tc>
          <w:tcPr>
            <w:tcW w:w="581" w:type="pct"/>
            <w:tcBorders>
              <w:tl2br w:val="nil"/>
              <w:tr2bl w:val="nil"/>
            </w:tcBorders>
            <w:noWrap/>
            <w:vAlign w:val="center"/>
          </w:tcPr>
          <w:p w14:paraId="6766FED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0.058</w:t>
            </w:r>
          </w:p>
        </w:tc>
        <w:tc>
          <w:tcPr>
            <w:tcW w:w="537" w:type="pct"/>
            <w:tcBorders>
              <w:tl2br w:val="nil"/>
              <w:tr2bl w:val="nil"/>
            </w:tcBorders>
            <w:noWrap/>
            <w:vAlign w:val="center"/>
          </w:tcPr>
          <w:p w14:paraId="03959F9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0.038</w:t>
            </w:r>
          </w:p>
        </w:tc>
        <w:tc>
          <w:tcPr>
            <w:tcW w:w="537" w:type="pct"/>
            <w:tcBorders>
              <w:tl2br w:val="nil"/>
              <w:tr2bl w:val="nil"/>
            </w:tcBorders>
            <w:noWrap/>
            <w:vAlign w:val="center"/>
          </w:tcPr>
          <w:p w14:paraId="671A24F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0.076</w:t>
            </w:r>
          </w:p>
        </w:tc>
        <w:tc>
          <w:tcPr>
            <w:tcW w:w="653" w:type="pct"/>
            <w:tcBorders>
              <w:tl2br w:val="nil"/>
              <w:tr2bl w:val="nil"/>
            </w:tcBorders>
            <w:noWrap/>
            <w:vAlign w:val="center"/>
          </w:tcPr>
          <w:p w14:paraId="38D074F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0.059</w:t>
            </w:r>
          </w:p>
        </w:tc>
        <w:tc>
          <w:tcPr>
            <w:tcW w:w="625" w:type="pct"/>
            <w:tcBorders>
              <w:tl2br w:val="nil"/>
              <w:tr2bl w:val="nil"/>
            </w:tcBorders>
            <w:noWrap/>
            <w:vAlign w:val="center"/>
          </w:tcPr>
          <w:p w14:paraId="4527EB6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0.118</w:t>
            </w:r>
          </w:p>
        </w:tc>
        <w:tc>
          <w:tcPr>
            <w:tcW w:w="614" w:type="pct"/>
            <w:tcBorders>
              <w:tl2br w:val="nil"/>
              <w:tr2bl w:val="nil"/>
            </w:tcBorders>
            <w:noWrap/>
            <w:vAlign w:val="center"/>
          </w:tcPr>
          <w:p w14:paraId="22344C2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0.5</w:t>
            </w:r>
          </w:p>
        </w:tc>
      </w:tr>
      <w:tr w14:paraId="76BC5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8D2BFCA">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挥发酚</w:t>
            </w:r>
          </w:p>
        </w:tc>
        <w:tc>
          <w:tcPr>
            <w:tcW w:w="580" w:type="pct"/>
            <w:tcBorders>
              <w:tl2br w:val="nil"/>
              <w:tr2bl w:val="nil"/>
            </w:tcBorders>
            <w:noWrap/>
            <w:vAlign w:val="center"/>
          </w:tcPr>
          <w:p w14:paraId="6389994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kern w:val="2"/>
                <w:sz w:val="21"/>
                <w:lang w:val="en-US" w:eastAsia="zh-CN" w:bidi="ar-SA"/>
              </w:rPr>
              <w:t>0.0003L</w:t>
            </w:r>
          </w:p>
        </w:tc>
        <w:tc>
          <w:tcPr>
            <w:tcW w:w="581" w:type="pct"/>
            <w:tcBorders>
              <w:tl2br w:val="nil"/>
              <w:tr2bl w:val="nil"/>
            </w:tcBorders>
            <w:noWrap/>
            <w:vAlign w:val="center"/>
          </w:tcPr>
          <w:p w14:paraId="1FD6EC6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w:t>
            </w:r>
          </w:p>
        </w:tc>
        <w:tc>
          <w:tcPr>
            <w:tcW w:w="537" w:type="pct"/>
            <w:tcBorders>
              <w:tl2br w:val="nil"/>
              <w:tr2bl w:val="nil"/>
            </w:tcBorders>
            <w:noWrap/>
            <w:vAlign w:val="center"/>
          </w:tcPr>
          <w:p w14:paraId="6596DF3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kern w:val="2"/>
                <w:sz w:val="21"/>
                <w:lang w:val="en-US" w:eastAsia="zh-CN" w:bidi="ar-SA"/>
              </w:rPr>
              <w:t>0.0003L</w:t>
            </w:r>
          </w:p>
        </w:tc>
        <w:tc>
          <w:tcPr>
            <w:tcW w:w="537" w:type="pct"/>
            <w:tcBorders>
              <w:tl2br w:val="nil"/>
              <w:tr2bl w:val="nil"/>
            </w:tcBorders>
            <w:noWrap/>
            <w:vAlign w:val="center"/>
          </w:tcPr>
          <w:p w14:paraId="06364FB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w:t>
            </w:r>
          </w:p>
        </w:tc>
        <w:tc>
          <w:tcPr>
            <w:tcW w:w="653" w:type="pct"/>
            <w:tcBorders>
              <w:tl2br w:val="nil"/>
              <w:tr2bl w:val="nil"/>
            </w:tcBorders>
            <w:noWrap/>
            <w:vAlign w:val="center"/>
          </w:tcPr>
          <w:p w14:paraId="49DB4D2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kern w:val="2"/>
                <w:sz w:val="21"/>
                <w:lang w:val="en-US" w:eastAsia="zh-CN" w:bidi="ar-SA"/>
              </w:rPr>
              <w:t>0.0003L</w:t>
            </w:r>
          </w:p>
        </w:tc>
        <w:tc>
          <w:tcPr>
            <w:tcW w:w="625" w:type="pct"/>
            <w:tcBorders>
              <w:tl2br w:val="nil"/>
              <w:tr2bl w:val="nil"/>
            </w:tcBorders>
            <w:noWrap/>
            <w:vAlign w:val="center"/>
          </w:tcPr>
          <w:p w14:paraId="7DD5985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w:t>
            </w:r>
          </w:p>
        </w:tc>
        <w:tc>
          <w:tcPr>
            <w:tcW w:w="614" w:type="pct"/>
            <w:tcBorders>
              <w:tl2br w:val="nil"/>
              <w:tr2bl w:val="nil"/>
            </w:tcBorders>
            <w:noWrap/>
            <w:vAlign w:val="center"/>
          </w:tcPr>
          <w:p w14:paraId="05B0399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002</w:t>
            </w:r>
          </w:p>
        </w:tc>
      </w:tr>
      <w:tr w14:paraId="7AD739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480E3730">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钾</w:t>
            </w:r>
          </w:p>
        </w:tc>
        <w:tc>
          <w:tcPr>
            <w:tcW w:w="580" w:type="pct"/>
            <w:tcBorders>
              <w:tl2br w:val="nil"/>
              <w:tr2bl w:val="nil"/>
            </w:tcBorders>
            <w:noWrap/>
            <w:vAlign w:val="center"/>
          </w:tcPr>
          <w:p w14:paraId="069E53E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0.049</w:t>
            </w:r>
          </w:p>
        </w:tc>
        <w:tc>
          <w:tcPr>
            <w:tcW w:w="581" w:type="pct"/>
            <w:tcBorders>
              <w:tl2br w:val="nil"/>
              <w:tr2bl w:val="nil"/>
            </w:tcBorders>
            <w:noWrap/>
            <w:vAlign w:val="center"/>
          </w:tcPr>
          <w:p w14:paraId="0A78B8B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25F1372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16.1</w:t>
            </w:r>
          </w:p>
        </w:tc>
        <w:tc>
          <w:tcPr>
            <w:tcW w:w="537" w:type="pct"/>
            <w:tcBorders>
              <w:tl2br w:val="nil"/>
              <w:tr2bl w:val="nil"/>
            </w:tcBorders>
            <w:noWrap/>
            <w:vAlign w:val="center"/>
          </w:tcPr>
          <w:p w14:paraId="378E29E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46912B7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2.33</w:t>
            </w:r>
          </w:p>
        </w:tc>
        <w:tc>
          <w:tcPr>
            <w:tcW w:w="625" w:type="pct"/>
            <w:tcBorders>
              <w:tl2br w:val="nil"/>
              <w:tr2bl w:val="nil"/>
            </w:tcBorders>
            <w:noWrap/>
            <w:vAlign w:val="center"/>
          </w:tcPr>
          <w:p w14:paraId="3B9E78B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5CB4F044">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67DA16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3E49CDD9">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钠</w:t>
            </w:r>
          </w:p>
        </w:tc>
        <w:tc>
          <w:tcPr>
            <w:tcW w:w="580" w:type="pct"/>
            <w:tcBorders>
              <w:tl2br w:val="nil"/>
              <w:tr2bl w:val="nil"/>
            </w:tcBorders>
            <w:noWrap/>
            <w:vAlign w:val="center"/>
          </w:tcPr>
          <w:p w14:paraId="3E9BE00C">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1.32</w:t>
            </w:r>
          </w:p>
        </w:tc>
        <w:tc>
          <w:tcPr>
            <w:tcW w:w="581" w:type="pct"/>
            <w:tcBorders>
              <w:tl2br w:val="nil"/>
              <w:tr2bl w:val="nil"/>
            </w:tcBorders>
            <w:noWrap/>
            <w:vAlign w:val="center"/>
          </w:tcPr>
          <w:p w14:paraId="7E0E455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0.0066</w:t>
            </w:r>
          </w:p>
        </w:tc>
        <w:tc>
          <w:tcPr>
            <w:tcW w:w="537" w:type="pct"/>
            <w:tcBorders>
              <w:tl2br w:val="nil"/>
              <w:tr2bl w:val="nil"/>
            </w:tcBorders>
            <w:noWrap/>
            <w:vAlign w:val="center"/>
          </w:tcPr>
          <w:p w14:paraId="0DDFD440">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8.33</w:t>
            </w:r>
          </w:p>
        </w:tc>
        <w:tc>
          <w:tcPr>
            <w:tcW w:w="537" w:type="pct"/>
            <w:tcBorders>
              <w:tl2br w:val="nil"/>
              <w:tr2bl w:val="nil"/>
            </w:tcBorders>
            <w:noWrap/>
            <w:vAlign w:val="center"/>
          </w:tcPr>
          <w:p w14:paraId="7AB16B9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0.04165</w:t>
            </w:r>
          </w:p>
        </w:tc>
        <w:tc>
          <w:tcPr>
            <w:tcW w:w="653" w:type="pct"/>
            <w:tcBorders>
              <w:tl2br w:val="nil"/>
              <w:tr2bl w:val="nil"/>
            </w:tcBorders>
            <w:noWrap/>
            <w:vAlign w:val="center"/>
          </w:tcPr>
          <w:p w14:paraId="21D23585">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11.3</w:t>
            </w:r>
          </w:p>
        </w:tc>
        <w:tc>
          <w:tcPr>
            <w:tcW w:w="625" w:type="pct"/>
            <w:tcBorders>
              <w:tl2br w:val="nil"/>
              <w:tr2bl w:val="nil"/>
            </w:tcBorders>
            <w:noWrap/>
            <w:vAlign w:val="center"/>
          </w:tcPr>
          <w:p w14:paraId="0AFA651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0.0565</w:t>
            </w:r>
          </w:p>
        </w:tc>
        <w:tc>
          <w:tcPr>
            <w:tcW w:w="614" w:type="pct"/>
            <w:tcBorders>
              <w:tl2br w:val="nil"/>
              <w:tr2bl w:val="nil"/>
            </w:tcBorders>
            <w:noWrap/>
            <w:vAlign w:val="center"/>
          </w:tcPr>
          <w:p w14:paraId="49E6543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200</w:t>
            </w:r>
          </w:p>
        </w:tc>
      </w:tr>
      <w:tr w14:paraId="512DAD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564E1DBC">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钙</w:t>
            </w:r>
          </w:p>
        </w:tc>
        <w:tc>
          <w:tcPr>
            <w:tcW w:w="580" w:type="pct"/>
            <w:tcBorders>
              <w:tl2br w:val="nil"/>
              <w:tr2bl w:val="nil"/>
            </w:tcBorders>
            <w:noWrap/>
            <w:vAlign w:val="center"/>
          </w:tcPr>
          <w:p w14:paraId="3C3A2323">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14.0</w:t>
            </w:r>
          </w:p>
        </w:tc>
        <w:tc>
          <w:tcPr>
            <w:tcW w:w="581" w:type="pct"/>
            <w:tcBorders>
              <w:tl2br w:val="nil"/>
              <w:tr2bl w:val="nil"/>
            </w:tcBorders>
            <w:noWrap/>
            <w:vAlign w:val="center"/>
          </w:tcPr>
          <w:p w14:paraId="6A03C98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450BF73C">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30.0</w:t>
            </w:r>
          </w:p>
        </w:tc>
        <w:tc>
          <w:tcPr>
            <w:tcW w:w="537" w:type="pct"/>
            <w:tcBorders>
              <w:tl2br w:val="nil"/>
              <w:tr2bl w:val="nil"/>
            </w:tcBorders>
            <w:noWrap/>
            <w:vAlign w:val="center"/>
          </w:tcPr>
          <w:p w14:paraId="45DC26C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7F3F07BE">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34.3</w:t>
            </w:r>
          </w:p>
        </w:tc>
        <w:tc>
          <w:tcPr>
            <w:tcW w:w="625" w:type="pct"/>
            <w:tcBorders>
              <w:tl2br w:val="nil"/>
              <w:tr2bl w:val="nil"/>
            </w:tcBorders>
            <w:noWrap/>
            <w:vAlign w:val="center"/>
          </w:tcPr>
          <w:p w14:paraId="121E942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05B6544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2BD38D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749EB01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镁</w:t>
            </w:r>
          </w:p>
        </w:tc>
        <w:tc>
          <w:tcPr>
            <w:tcW w:w="580" w:type="pct"/>
            <w:tcBorders>
              <w:tl2br w:val="nil"/>
              <w:tr2bl w:val="nil"/>
            </w:tcBorders>
            <w:noWrap/>
            <w:vAlign w:val="center"/>
          </w:tcPr>
          <w:p w14:paraId="0FAFDDCD">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0.02L</w:t>
            </w:r>
          </w:p>
        </w:tc>
        <w:tc>
          <w:tcPr>
            <w:tcW w:w="581" w:type="pct"/>
            <w:tcBorders>
              <w:tl2br w:val="nil"/>
              <w:tr2bl w:val="nil"/>
            </w:tcBorders>
            <w:noWrap/>
            <w:vAlign w:val="center"/>
          </w:tcPr>
          <w:p w14:paraId="724FA57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40C9910E">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1.33</w:t>
            </w:r>
          </w:p>
        </w:tc>
        <w:tc>
          <w:tcPr>
            <w:tcW w:w="537" w:type="pct"/>
            <w:tcBorders>
              <w:tl2br w:val="nil"/>
              <w:tr2bl w:val="nil"/>
            </w:tcBorders>
            <w:noWrap/>
            <w:vAlign w:val="center"/>
          </w:tcPr>
          <w:p w14:paraId="22472BE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5B1DF5E1">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0.446</w:t>
            </w:r>
          </w:p>
        </w:tc>
        <w:tc>
          <w:tcPr>
            <w:tcW w:w="625" w:type="pct"/>
            <w:tcBorders>
              <w:tl2br w:val="nil"/>
              <w:tr2bl w:val="nil"/>
            </w:tcBorders>
            <w:noWrap/>
            <w:vAlign w:val="center"/>
          </w:tcPr>
          <w:p w14:paraId="05D67CF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5AFD0D6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2D1A19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8D19B13">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碳酸根</w:t>
            </w:r>
          </w:p>
        </w:tc>
        <w:tc>
          <w:tcPr>
            <w:tcW w:w="580" w:type="pct"/>
            <w:tcBorders>
              <w:tl2br w:val="nil"/>
              <w:tr2bl w:val="nil"/>
            </w:tcBorders>
            <w:noWrap/>
            <w:vAlign w:val="center"/>
          </w:tcPr>
          <w:p w14:paraId="183F9B84">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5L</w:t>
            </w:r>
          </w:p>
        </w:tc>
        <w:tc>
          <w:tcPr>
            <w:tcW w:w="581" w:type="pct"/>
            <w:tcBorders>
              <w:tl2br w:val="nil"/>
              <w:tr2bl w:val="nil"/>
            </w:tcBorders>
            <w:noWrap/>
            <w:vAlign w:val="center"/>
          </w:tcPr>
          <w:p w14:paraId="55E18E9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0E3B41B9">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5L</w:t>
            </w:r>
          </w:p>
        </w:tc>
        <w:tc>
          <w:tcPr>
            <w:tcW w:w="537" w:type="pct"/>
            <w:tcBorders>
              <w:tl2br w:val="nil"/>
              <w:tr2bl w:val="nil"/>
            </w:tcBorders>
            <w:noWrap/>
            <w:vAlign w:val="center"/>
          </w:tcPr>
          <w:p w14:paraId="6C938BB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304CE366">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5L</w:t>
            </w:r>
          </w:p>
        </w:tc>
        <w:tc>
          <w:tcPr>
            <w:tcW w:w="625" w:type="pct"/>
            <w:tcBorders>
              <w:tl2br w:val="nil"/>
              <w:tr2bl w:val="nil"/>
            </w:tcBorders>
            <w:noWrap/>
            <w:vAlign w:val="center"/>
          </w:tcPr>
          <w:p w14:paraId="3C667B1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0D5AE24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56787E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264FB97C">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碳酸氢根</w:t>
            </w:r>
          </w:p>
        </w:tc>
        <w:tc>
          <w:tcPr>
            <w:tcW w:w="580" w:type="pct"/>
            <w:tcBorders>
              <w:tl2br w:val="nil"/>
              <w:tr2bl w:val="nil"/>
            </w:tcBorders>
            <w:noWrap/>
            <w:vAlign w:val="center"/>
          </w:tcPr>
          <w:p w14:paraId="42D09D5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101</w:t>
            </w:r>
          </w:p>
        </w:tc>
        <w:tc>
          <w:tcPr>
            <w:tcW w:w="581" w:type="pct"/>
            <w:tcBorders>
              <w:tl2br w:val="nil"/>
              <w:tr2bl w:val="nil"/>
            </w:tcBorders>
            <w:noWrap/>
            <w:vAlign w:val="center"/>
          </w:tcPr>
          <w:p w14:paraId="3332294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156005B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118</w:t>
            </w:r>
          </w:p>
        </w:tc>
        <w:tc>
          <w:tcPr>
            <w:tcW w:w="537" w:type="pct"/>
            <w:tcBorders>
              <w:tl2br w:val="nil"/>
              <w:tr2bl w:val="nil"/>
            </w:tcBorders>
            <w:noWrap/>
            <w:vAlign w:val="center"/>
          </w:tcPr>
          <w:p w14:paraId="308DC5D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5A3730E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96.7</w:t>
            </w:r>
          </w:p>
        </w:tc>
        <w:tc>
          <w:tcPr>
            <w:tcW w:w="625" w:type="pct"/>
            <w:tcBorders>
              <w:tl2br w:val="nil"/>
              <w:tr2bl w:val="nil"/>
            </w:tcBorders>
            <w:noWrap/>
            <w:vAlign w:val="center"/>
          </w:tcPr>
          <w:p w14:paraId="28511A1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1CFEEC0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2B50A6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BD791AA">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硫酸盐</w:t>
            </w:r>
          </w:p>
        </w:tc>
        <w:tc>
          <w:tcPr>
            <w:tcW w:w="580" w:type="pct"/>
            <w:tcBorders>
              <w:tl2br w:val="nil"/>
              <w:tr2bl w:val="nil"/>
            </w:tcBorders>
            <w:noWrap/>
            <w:vAlign w:val="center"/>
          </w:tcPr>
          <w:p w14:paraId="269FD92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0.508</w:t>
            </w:r>
          </w:p>
        </w:tc>
        <w:tc>
          <w:tcPr>
            <w:tcW w:w="581" w:type="pct"/>
            <w:tcBorders>
              <w:tl2br w:val="nil"/>
              <w:tr2bl w:val="nil"/>
            </w:tcBorders>
            <w:noWrap/>
            <w:vAlign w:val="center"/>
          </w:tcPr>
          <w:p w14:paraId="16CEC66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0.002032</w:t>
            </w:r>
          </w:p>
        </w:tc>
        <w:tc>
          <w:tcPr>
            <w:tcW w:w="537" w:type="pct"/>
            <w:tcBorders>
              <w:tl2br w:val="nil"/>
              <w:tr2bl w:val="nil"/>
            </w:tcBorders>
            <w:noWrap/>
            <w:vAlign w:val="center"/>
          </w:tcPr>
          <w:p w14:paraId="730D585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1.02</w:t>
            </w:r>
          </w:p>
        </w:tc>
        <w:tc>
          <w:tcPr>
            <w:tcW w:w="537" w:type="pct"/>
            <w:tcBorders>
              <w:tl2br w:val="nil"/>
              <w:tr2bl w:val="nil"/>
            </w:tcBorders>
            <w:noWrap/>
            <w:vAlign w:val="center"/>
          </w:tcPr>
          <w:p w14:paraId="53875F7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0.00408</w:t>
            </w:r>
          </w:p>
        </w:tc>
        <w:tc>
          <w:tcPr>
            <w:tcW w:w="653" w:type="pct"/>
            <w:tcBorders>
              <w:tl2br w:val="nil"/>
              <w:tr2bl w:val="nil"/>
            </w:tcBorders>
            <w:noWrap/>
            <w:vAlign w:val="center"/>
          </w:tcPr>
          <w:p w14:paraId="0930C46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18.6</w:t>
            </w:r>
          </w:p>
        </w:tc>
        <w:tc>
          <w:tcPr>
            <w:tcW w:w="625" w:type="pct"/>
            <w:tcBorders>
              <w:tl2br w:val="nil"/>
              <w:tr2bl w:val="nil"/>
            </w:tcBorders>
            <w:noWrap/>
            <w:vAlign w:val="center"/>
          </w:tcPr>
          <w:p w14:paraId="0FC40BB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0.0744</w:t>
            </w:r>
          </w:p>
        </w:tc>
        <w:tc>
          <w:tcPr>
            <w:tcW w:w="614" w:type="pct"/>
            <w:tcBorders>
              <w:tl2br w:val="nil"/>
              <w:tr2bl w:val="nil"/>
            </w:tcBorders>
            <w:noWrap/>
            <w:vAlign w:val="center"/>
          </w:tcPr>
          <w:p w14:paraId="356AE1C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250</w:t>
            </w:r>
          </w:p>
        </w:tc>
      </w:tr>
      <w:tr w14:paraId="128A38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494560AB">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氯化物</w:t>
            </w:r>
          </w:p>
        </w:tc>
        <w:tc>
          <w:tcPr>
            <w:tcW w:w="580" w:type="pct"/>
            <w:tcBorders>
              <w:tl2br w:val="nil"/>
              <w:tr2bl w:val="nil"/>
            </w:tcBorders>
            <w:noWrap/>
            <w:vAlign w:val="center"/>
          </w:tcPr>
          <w:p w14:paraId="5AE5FC0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5.12</w:t>
            </w:r>
          </w:p>
        </w:tc>
        <w:tc>
          <w:tcPr>
            <w:tcW w:w="581" w:type="pct"/>
            <w:tcBorders>
              <w:tl2br w:val="nil"/>
              <w:tr2bl w:val="nil"/>
            </w:tcBorders>
            <w:noWrap/>
            <w:vAlign w:val="center"/>
          </w:tcPr>
          <w:p w14:paraId="4C0F659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0.02048</w:t>
            </w:r>
          </w:p>
        </w:tc>
        <w:tc>
          <w:tcPr>
            <w:tcW w:w="537" w:type="pct"/>
            <w:tcBorders>
              <w:tl2br w:val="nil"/>
              <w:tr2bl w:val="nil"/>
            </w:tcBorders>
            <w:noWrap/>
            <w:vAlign w:val="center"/>
          </w:tcPr>
          <w:p w14:paraId="757453A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10.2</w:t>
            </w:r>
          </w:p>
        </w:tc>
        <w:tc>
          <w:tcPr>
            <w:tcW w:w="537" w:type="pct"/>
            <w:tcBorders>
              <w:tl2br w:val="nil"/>
              <w:tr2bl w:val="nil"/>
            </w:tcBorders>
            <w:noWrap/>
            <w:vAlign w:val="center"/>
          </w:tcPr>
          <w:p w14:paraId="3044611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0.0408</w:t>
            </w:r>
          </w:p>
        </w:tc>
        <w:tc>
          <w:tcPr>
            <w:tcW w:w="653" w:type="pct"/>
            <w:tcBorders>
              <w:tl2br w:val="nil"/>
              <w:tr2bl w:val="nil"/>
            </w:tcBorders>
            <w:noWrap/>
            <w:vAlign w:val="center"/>
          </w:tcPr>
          <w:p w14:paraId="7E7B43C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zh-CN"/>
              </w:rPr>
            </w:pPr>
            <w:r>
              <w:rPr>
                <w:rFonts w:hint="eastAsia" w:ascii="Times New Roman" w:hAnsi="Times New Roman" w:eastAsia="宋体" w:cs="Times New Roman"/>
                <w:b w:val="0"/>
                <w:bCs w:val="0"/>
                <w:color w:val="auto"/>
                <w:kern w:val="2"/>
                <w:sz w:val="21"/>
                <w:szCs w:val="21"/>
                <w:highlight w:val="none"/>
                <w:u w:val="none" w:color="auto"/>
                <w:lang w:val="en-US" w:eastAsia="zh-CN" w:bidi="zh-CN"/>
              </w:rPr>
              <w:t>6.02</w:t>
            </w:r>
          </w:p>
        </w:tc>
        <w:tc>
          <w:tcPr>
            <w:tcW w:w="625" w:type="pct"/>
            <w:tcBorders>
              <w:tl2br w:val="nil"/>
              <w:tr2bl w:val="nil"/>
            </w:tcBorders>
            <w:noWrap/>
            <w:vAlign w:val="center"/>
          </w:tcPr>
          <w:p w14:paraId="7BF2A3D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zh-CN"/>
              </w:rPr>
            </w:pPr>
            <w:r>
              <w:rPr>
                <w:rFonts w:hint="eastAsia" w:ascii="Times New Roman" w:hAnsi="Times New Roman" w:eastAsia="宋体" w:cs="Times New Roman"/>
                <w:b w:val="0"/>
                <w:bCs w:val="0"/>
                <w:color w:val="auto"/>
                <w:kern w:val="2"/>
                <w:sz w:val="21"/>
                <w:szCs w:val="21"/>
                <w:highlight w:val="none"/>
                <w:u w:val="none" w:color="auto"/>
                <w:lang w:val="en-US" w:eastAsia="zh-CN" w:bidi="zh-CN"/>
              </w:rPr>
              <w:t>0.02408</w:t>
            </w:r>
          </w:p>
        </w:tc>
        <w:tc>
          <w:tcPr>
            <w:tcW w:w="614" w:type="pct"/>
            <w:tcBorders>
              <w:tl2br w:val="nil"/>
              <w:tr2bl w:val="nil"/>
            </w:tcBorders>
            <w:noWrap/>
            <w:vAlign w:val="center"/>
          </w:tcPr>
          <w:p w14:paraId="64D09BB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250</w:t>
            </w:r>
          </w:p>
        </w:tc>
      </w:tr>
      <w:tr w14:paraId="2EFE6C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7E3D71F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pH值</w:t>
            </w:r>
          </w:p>
        </w:tc>
        <w:tc>
          <w:tcPr>
            <w:tcW w:w="580" w:type="pct"/>
            <w:tcBorders>
              <w:tl2br w:val="nil"/>
              <w:tr2bl w:val="nil"/>
            </w:tcBorders>
            <w:noWrap/>
            <w:vAlign w:val="center"/>
          </w:tcPr>
          <w:p w14:paraId="2CD531D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6.9</w:t>
            </w:r>
          </w:p>
        </w:tc>
        <w:tc>
          <w:tcPr>
            <w:tcW w:w="581" w:type="pct"/>
            <w:tcBorders>
              <w:tl2br w:val="nil"/>
              <w:tr2bl w:val="nil"/>
            </w:tcBorders>
            <w:noWrap/>
            <w:vAlign w:val="center"/>
          </w:tcPr>
          <w:p w14:paraId="67B2460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1999CFD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6.6</w:t>
            </w:r>
          </w:p>
        </w:tc>
        <w:tc>
          <w:tcPr>
            <w:tcW w:w="537" w:type="pct"/>
            <w:tcBorders>
              <w:tl2br w:val="nil"/>
              <w:tr2bl w:val="nil"/>
            </w:tcBorders>
            <w:noWrap/>
            <w:vAlign w:val="center"/>
          </w:tcPr>
          <w:p w14:paraId="16A5300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5B2FD67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6.</w:t>
            </w:r>
            <w:r>
              <w:rPr>
                <w:rFonts w:hint="eastAsia" w:ascii="Times New Roman" w:hAnsi="Times New Roman" w:eastAsia="宋体" w:cs="Times New Roman"/>
                <w:i w:val="0"/>
                <w:iCs w:val="0"/>
                <w:color w:val="auto"/>
                <w:kern w:val="0"/>
                <w:sz w:val="21"/>
                <w:szCs w:val="21"/>
                <w:highlight w:val="none"/>
                <w:u w:val="none" w:color="auto"/>
                <w:lang w:val="en-US" w:eastAsia="zh-CN" w:bidi="ar"/>
              </w:rPr>
              <w:t>8</w:t>
            </w:r>
          </w:p>
        </w:tc>
        <w:tc>
          <w:tcPr>
            <w:tcW w:w="625" w:type="pct"/>
            <w:tcBorders>
              <w:tl2br w:val="nil"/>
              <w:tr2bl w:val="nil"/>
            </w:tcBorders>
            <w:noWrap/>
            <w:vAlign w:val="center"/>
          </w:tcPr>
          <w:p w14:paraId="5FF81AC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520EBAE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6.5-8.5</w:t>
            </w:r>
          </w:p>
        </w:tc>
      </w:tr>
      <w:tr w14:paraId="7A7C9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ECFDC60">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总硬度</w:t>
            </w:r>
          </w:p>
        </w:tc>
        <w:tc>
          <w:tcPr>
            <w:tcW w:w="580" w:type="pct"/>
            <w:tcBorders>
              <w:tl2br w:val="nil"/>
              <w:tr2bl w:val="nil"/>
            </w:tcBorders>
            <w:noWrap/>
            <w:vAlign w:val="center"/>
          </w:tcPr>
          <w:p w14:paraId="7EDE8FF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23.5</w:t>
            </w:r>
          </w:p>
        </w:tc>
        <w:tc>
          <w:tcPr>
            <w:tcW w:w="581" w:type="pct"/>
            <w:tcBorders>
              <w:tl2br w:val="nil"/>
              <w:tr2bl w:val="nil"/>
            </w:tcBorders>
            <w:noWrap/>
            <w:vAlign w:val="center"/>
          </w:tcPr>
          <w:p w14:paraId="5566CCA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0.0522</w:t>
            </w:r>
          </w:p>
        </w:tc>
        <w:tc>
          <w:tcPr>
            <w:tcW w:w="537" w:type="pct"/>
            <w:tcBorders>
              <w:tl2br w:val="nil"/>
              <w:tr2bl w:val="nil"/>
            </w:tcBorders>
            <w:noWrap/>
            <w:vAlign w:val="center"/>
          </w:tcPr>
          <w:p w14:paraId="36F8CF8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64.7</w:t>
            </w:r>
          </w:p>
        </w:tc>
        <w:tc>
          <w:tcPr>
            <w:tcW w:w="537" w:type="pct"/>
            <w:tcBorders>
              <w:tl2br w:val="nil"/>
              <w:tr2bl w:val="nil"/>
            </w:tcBorders>
            <w:noWrap/>
            <w:vAlign w:val="center"/>
          </w:tcPr>
          <w:p w14:paraId="074EBB7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0.1438</w:t>
            </w:r>
          </w:p>
        </w:tc>
        <w:tc>
          <w:tcPr>
            <w:tcW w:w="653" w:type="pct"/>
            <w:tcBorders>
              <w:tl2br w:val="nil"/>
              <w:tr2bl w:val="nil"/>
            </w:tcBorders>
            <w:noWrap/>
            <w:vAlign w:val="center"/>
          </w:tcPr>
          <w:p w14:paraId="490902C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59.3</w:t>
            </w:r>
          </w:p>
        </w:tc>
        <w:tc>
          <w:tcPr>
            <w:tcW w:w="625" w:type="pct"/>
            <w:tcBorders>
              <w:tl2br w:val="nil"/>
              <w:tr2bl w:val="nil"/>
            </w:tcBorders>
            <w:noWrap/>
            <w:vAlign w:val="center"/>
          </w:tcPr>
          <w:p w14:paraId="0516854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0.1318</w:t>
            </w:r>
          </w:p>
        </w:tc>
        <w:tc>
          <w:tcPr>
            <w:tcW w:w="614" w:type="pct"/>
            <w:tcBorders>
              <w:tl2br w:val="nil"/>
              <w:tr2bl w:val="nil"/>
            </w:tcBorders>
            <w:noWrap/>
            <w:vAlign w:val="center"/>
          </w:tcPr>
          <w:p w14:paraId="538FCB6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450</w:t>
            </w:r>
          </w:p>
        </w:tc>
      </w:tr>
    </w:tbl>
    <w:p w14:paraId="5D1139EA">
      <w:pPr>
        <w:pStyle w:val="21"/>
        <w:bidi w:val="0"/>
        <w:rPr>
          <w:rFonts w:hint="default"/>
          <w:color w:val="auto"/>
          <w:u w:val="none" w:color="auto"/>
          <w:lang w:eastAsia="zh-CN"/>
        </w:rPr>
      </w:pPr>
      <w:r>
        <w:rPr>
          <w:rFonts w:hint="default"/>
          <w:color w:val="auto"/>
          <w:u w:val="none" w:color="auto"/>
        </w:rPr>
        <w:t>从</w:t>
      </w:r>
      <w:r>
        <w:rPr>
          <w:rFonts w:hint="default"/>
          <w:color w:val="auto"/>
          <w:u w:val="none" w:color="auto"/>
          <w:lang w:eastAsia="zh-CN"/>
        </w:rPr>
        <w:t>上表</w:t>
      </w:r>
      <w:r>
        <w:rPr>
          <w:rFonts w:hint="default"/>
          <w:color w:val="auto"/>
          <w:u w:val="none" w:color="auto"/>
        </w:rPr>
        <w:t>监测结果可知，项目及评价区域内地下水各监测点的各监测因子均能达到《地下水质量标准》（GB/T14848-93）Ⅲ类水质标准。</w:t>
      </w:r>
      <w:r>
        <w:rPr>
          <w:rFonts w:hint="eastAsia"/>
          <w:color w:val="auto"/>
          <w:u w:val="none" w:color="auto"/>
          <w:lang w:val="en-US" w:eastAsia="zh-CN"/>
        </w:rPr>
        <w:t>项目地下水质量状况良好</w:t>
      </w:r>
      <w:r>
        <w:rPr>
          <w:rFonts w:hint="default"/>
          <w:color w:val="auto"/>
          <w:u w:val="none" w:color="auto"/>
          <w:lang w:eastAsia="zh-CN"/>
        </w:rPr>
        <w:t>。</w:t>
      </w:r>
      <w:bookmarkEnd w:id="828"/>
      <w:bookmarkEnd w:id="829"/>
      <w:bookmarkEnd w:id="830"/>
      <w:bookmarkEnd w:id="831"/>
      <w:bookmarkEnd w:id="832"/>
      <w:bookmarkEnd w:id="833"/>
      <w:bookmarkEnd w:id="834"/>
      <w:bookmarkStart w:id="903" w:name="_Toc13734"/>
      <w:bookmarkStart w:id="904" w:name="_Toc23535"/>
      <w:bookmarkStart w:id="905" w:name="_Toc9053"/>
      <w:bookmarkStart w:id="906" w:name="_Toc1454"/>
      <w:bookmarkStart w:id="907" w:name="_Toc3956"/>
      <w:bookmarkStart w:id="908" w:name="_Toc15244"/>
      <w:bookmarkStart w:id="909" w:name="_Toc10586"/>
      <w:bookmarkStart w:id="910" w:name="_Toc5755"/>
      <w:bookmarkStart w:id="911" w:name="_Toc14646"/>
      <w:bookmarkStart w:id="912" w:name="_Toc18139"/>
      <w:bookmarkStart w:id="913" w:name="_Toc27959"/>
      <w:bookmarkStart w:id="914" w:name="_Toc12882"/>
      <w:bookmarkStart w:id="915" w:name="_Toc26231"/>
      <w:bookmarkStart w:id="916" w:name="_Toc24940"/>
      <w:bookmarkStart w:id="917" w:name="_Toc1408"/>
      <w:bookmarkStart w:id="918" w:name="_Toc29303"/>
    </w:p>
    <w:p w14:paraId="30535F3F">
      <w:pPr>
        <w:pStyle w:val="8"/>
        <w:bidi w:val="0"/>
        <w:rPr>
          <w:rFonts w:hint="default"/>
          <w:color w:val="auto"/>
          <w:u w:val="none" w:color="auto"/>
        </w:rPr>
      </w:pPr>
      <w:bookmarkStart w:id="919" w:name="_Toc1434"/>
      <w:bookmarkStart w:id="920" w:name="_Toc29470"/>
      <w:bookmarkStart w:id="921" w:name="_Toc11821"/>
      <w:r>
        <w:rPr>
          <w:rFonts w:hint="eastAsia"/>
          <w:color w:val="auto"/>
          <w:u w:val="none" w:color="auto"/>
          <w:lang w:val="en-US" w:eastAsia="zh-CN"/>
        </w:rPr>
        <w:t>4</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.4声环境现状监测与评价</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39907C7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为了解项目所在区域内的声环境质量现状，</w:t>
      </w:r>
      <w:r>
        <w:rPr>
          <w:rFonts w:hint="default" w:ascii="Times New Roman" w:hAnsi="Times New Roman" w:cs="Times New Roman"/>
          <w:color w:val="auto"/>
          <w:u w:val="none" w:color="auto"/>
          <w:lang w:eastAsia="zh-CN"/>
        </w:rPr>
        <w:t>建设单位</w:t>
      </w:r>
      <w:r>
        <w:rPr>
          <w:rFonts w:hint="default" w:ascii="Times New Roman" w:hAnsi="Times New Roman" w:cs="Times New Roman"/>
          <w:color w:val="auto"/>
          <w:u w:val="none" w:color="auto"/>
        </w:rPr>
        <w:t>委托</w:t>
      </w:r>
      <w:r>
        <w:rPr>
          <w:rFonts w:hint="default" w:ascii="Times New Roman" w:hAnsi="Times New Roman" w:cs="Times New Roman"/>
          <w:color w:val="auto"/>
          <w:u w:val="none" w:color="auto"/>
          <w:lang w:eastAsia="zh-CN"/>
        </w:rPr>
        <w:t>湖南</w:t>
      </w:r>
      <w:r>
        <w:rPr>
          <w:rFonts w:hint="eastAsia" w:ascii="Times New Roman" w:hAnsi="Times New Roman" w:cs="Times New Roman"/>
          <w:color w:val="auto"/>
          <w:u w:val="none" w:color="auto"/>
          <w:lang w:val="en-US" w:eastAsia="zh-CN"/>
        </w:rPr>
        <w:t>中青</w:t>
      </w:r>
      <w:r>
        <w:rPr>
          <w:rFonts w:hint="default" w:ascii="Times New Roman" w:hAnsi="Times New Roman" w:cs="Times New Roman"/>
          <w:color w:val="auto"/>
          <w:u w:val="none" w:color="auto"/>
          <w:lang w:eastAsia="zh-CN"/>
        </w:rPr>
        <w:t>检测有限公司</w:t>
      </w:r>
      <w:r>
        <w:rPr>
          <w:rFonts w:hint="default" w:ascii="Times New Roman" w:hAnsi="Times New Roman" w:cs="Times New Roman"/>
          <w:color w:val="auto"/>
          <w:u w:val="none" w:color="auto"/>
        </w:rPr>
        <w:t>于</w:t>
      </w:r>
      <w:r>
        <w:rPr>
          <w:rFonts w:hint="default" w:ascii="Times New Roman" w:hAnsi="Times New Roman" w:cs="Times New Roman"/>
          <w:color w:val="auto"/>
          <w:highlight w:val="none"/>
          <w:u w:val="none" w:color="auto"/>
          <w:lang w:val="en-US" w:eastAsia="zh-CN"/>
        </w:rPr>
        <w:t>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16</w:t>
      </w:r>
      <w:r>
        <w:rPr>
          <w:rFonts w:hint="default" w:ascii="Times New Roman" w:hAnsi="Times New Roman" w:cs="Times New Roman"/>
          <w:color w:val="auto"/>
          <w:highlight w:val="none"/>
          <w:u w:val="none" w:color="auto"/>
        </w:rPr>
        <w:t>日~</w:t>
      </w:r>
      <w:r>
        <w:rPr>
          <w:rFonts w:hint="eastAsia" w:ascii="Times New Roman" w:hAnsi="Times New Roman" w:cs="Times New Roman"/>
          <w:color w:val="auto"/>
          <w:highlight w:val="none"/>
          <w:u w:val="none" w:color="auto"/>
          <w:lang w:val="en-US" w:eastAsia="zh-CN"/>
        </w:rPr>
        <w:t>17</w:t>
      </w:r>
      <w:r>
        <w:rPr>
          <w:rFonts w:hint="default" w:ascii="Times New Roman" w:hAnsi="Times New Roman" w:cs="Times New Roman"/>
          <w:color w:val="auto"/>
          <w:highlight w:val="none"/>
          <w:u w:val="none" w:color="auto"/>
        </w:rPr>
        <w:t>日</w:t>
      </w:r>
      <w:r>
        <w:rPr>
          <w:rFonts w:hint="default" w:ascii="Times New Roman" w:hAnsi="Times New Roman" w:cs="Times New Roman"/>
          <w:color w:val="auto"/>
          <w:u w:val="none" w:color="auto"/>
        </w:rPr>
        <w:t>在本项目场址周围外1m处</w:t>
      </w:r>
      <w:r>
        <w:rPr>
          <w:rFonts w:hint="eastAsia" w:ascii="Times New Roman" w:hAnsi="Times New Roman" w:cs="Times New Roman"/>
          <w:color w:val="auto"/>
          <w:u w:val="none" w:color="auto"/>
          <w:lang w:val="en-US" w:eastAsia="zh-CN"/>
        </w:rPr>
        <w:t>以及项目东侧敏感点</w:t>
      </w:r>
      <w:r>
        <w:rPr>
          <w:rFonts w:hint="default" w:ascii="Times New Roman" w:hAnsi="Times New Roman" w:cs="Times New Roman"/>
          <w:color w:val="auto"/>
          <w:u w:val="none" w:color="auto"/>
        </w:rPr>
        <w:t>进行了噪声现场监测。</w:t>
      </w:r>
    </w:p>
    <w:p w14:paraId="575C1BD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（1）监测布点</w:t>
      </w:r>
    </w:p>
    <w:p w14:paraId="6401E73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本次噪声现状监测共布设</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个监测点，分别位于项目拟建地厂界西、北、东、南外1m处</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项目东侧敏感点</w:t>
      </w:r>
      <w:r>
        <w:rPr>
          <w:rFonts w:hint="eastAsia" w:hAnsi="宋体"/>
          <w:color w:val="auto"/>
          <w:sz w:val="24"/>
          <w:lang w:val="en-US" w:eastAsia="zh-CN"/>
        </w:rPr>
        <w:t>1F、4F</w:t>
      </w:r>
      <w:r>
        <w:rPr>
          <w:rFonts w:hint="default" w:ascii="Times New Roman" w:hAnsi="Times New Roman" w:cs="Times New Roman"/>
          <w:color w:val="auto"/>
          <w:u w:val="none" w:color="auto"/>
        </w:rPr>
        <w:t>。</w:t>
      </w:r>
    </w:p>
    <w:p w14:paraId="6BB11A8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（2）噪声监测方法</w:t>
      </w:r>
    </w:p>
    <w:p w14:paraId="7001528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测量方法与仪器噪声测量按照《声环境质量标准》（GB3096-2008）中相关要求进行测量，测量仪器为</w:t>
      </w:r>
      <w:r>
        <w:rPr>
          <w:rFonts w:hint="eastAsia" w:ascii="Times New Roman" w:hAnsi="Times New Roman" w:cs="Times New Roman"/>
          <w:color w:val="auto"/>
          <w:u w:val="none" w:color="auto"/>
          <w:lang w:val="en-US" w:eastAsia="zh-CN"/>
        </w:rPr>
        <w:t>AWA5688多功能声级计</w:t>
      </w:r>
      <w:r>
        <w:rPr>
          <w:rFonts w:hint="default" w:ascii="Times New Roman" w:hAnsi="Times New Roman" w:cs="Times New Roman"/>
          <w:color w:val="auto"/>
          <w:u w:val="none" w:color="auto"/>
        </w:rPr>
        <w:t>。测量前后均经校正，前后两次校正灵敏度之差小于0.5dB。</w:t>
      </w:r>
    </w:p>
    <w:p w14:paraId="2BEA435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（3）监测时间和频次</w:t>
      </w:r>
    </w:p>
    <w:p w14:paraId="1837DD0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连续监测2天，分昼夜和夜间两个时段，各测一次。</w:t>
      </w:r>
    </w:p>
    <w:p w14:paraId="66D2294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（4）监测结果</w:t>
      </w:r>
    </w:p>
    <w:p w14:paraId="377DDF9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项目所在区域环境噪声监测结果见表</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rPr>
        <w:t>。</w:t>
      </w:r>
    </w:p>
    <w:p w14:paraId="3DF7B21A">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4</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w:t>
      </w:r>
      <w:r>
        <w:rPr>
          <w:rFonts w:hint="eastAsia"/>
          <w:color w:val="auto"/>
          <w:u w:val="none" w:color="auto"/>
          <w:lang w:val="en-US" w:eastAsia="zh-CN"/>
        </w:rPr>
        <w:t>8</w:t>
      </w:r>
      <w:r>
        <w:rPr>
          <w:rFonts w:hint="default"/>
          <w:color w:val="auto"/>
          <w:u w:val="none" w:color="auto"/>
        </w:rPr>
        <w:t xml:space="preserve"> 项目区域环境噪声监测数据（单位：dB</w:t>
      </w:r>
      <w:r>
        <w:rPr>
          <w:rFonts w:hint="default"/>
          <w:color w:val="auto"/>
          <w:u w:val="none" w:color="auto"/>
          <w:lang w:eastAsia="zh-CN"/>
        </w:rPr>
        <w:t>（</w:t>
      </w:r>
      <w:r>
        <w:rPr>
          <w:rFonts w:hint="default"/>
          <w:color w:val="auto"/>
          <w:u w:val="none" w:color="auto"/>
        </w:rPr>
        <w:t>A</w:t>
      </w:r>
      <w:r>
        <w:rPr>
          <w:rFonts w:hint="default"/>
          <w:color w:val="auto"/>
          <w:u w:val="none" w:color="auto"/>
          <w:lang w:eastAsia="zh-CN"/>
        </w:rPr>
        <w:t>）</w:t>
      </w:r>
      <w:r>
        <w:rPr>
          <w:rFonts w:hint="default"/>
          <w:color w:val="auto"/>
          <w:u w:val="none" w:color="auto"/>
        </w:rPr>
        <w:t>）</w:t>
      </w:r>
      <w:bookmarkStart w:id="922" w:name="_Toc15134"/>
      <w:bookmarkStart w:id="923" w:name="_Toc8555"/>
      <w:bookmarkStart w:id="924" w:name="_Toc23361"/>
      <w:bookmarkStart w:id="925" w:name="_Toc10970"/>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1320"/>
        <w:gridCol w:w="997"/>
        <w:gridCol w:w="997"/>
        <w:gridCol w:w="1"/>
        <w:gridCol w:w="996"/>
        <w:gridCol w:w="999"/>
        <w:gridCol w:w="1156"/>
        <w:gridCol w:w="3"/>
      </w:tblGrid>
      <w:tr w14:paraId="6F48F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restart"/>
            <w:tcBorders>
              <w:tl2br w:val="nil"/>
              <w:tr2bl w:val="nil"/>
            </w:tcBorders>
            <w:noWrap w:val="0"/>
            <w:vAlign w:val="center"/>
          </w:tcPr>
          <w:p w14:paraId="6FCC70B2">
            <w:pPr>
              <w:pStyle w:val="25"/>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采样地点</w:t>
            </w:r>
          </w:p>
        </w:tc>
        <w:tc>
          <w:tcPr>
            <w:tcW w:w="1320" w:type="dxa"/>
            <w:vMerge w:val="restart"/>
            <w:tcBorders>
              <w:tl2br w:val="nil"/>
              <w:tr2bl w:val="nil"/>
            </w:tcBorders>
            <w:noWrap w:val="0"/>
            <w:vAlign w:val="center"/>
          </w:tcPr>
          <w:p w14:paraId="143AE3A3">
            <w:pPr>
              <w:pStyle w:val="25"/>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检测项目</w:t>
            </w:r>
          </w:p>
        </w:tc>
        <w:tc>
          <w:tcPr>
            <w:tcW w:w="3990" w:type="dxa"/>
            <w:gridSpan w:val="5"/>
            <w:tcBorders>
              <w:tl2br w:val="nil"/>
              <w:tr2bl w:val="nil"/>
            </w:tcBorders>
            <w:noWrap w:val="0"/>
            <w:vAlign w:val="center"/>
          </w:tcPr>
          <w:p w14:paraId="1F3147EF">
            <w:pPr>
              <w:pStyle w:val="25"/>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检测结果dB（A）</w:t>
            </w:r>
          </w:p>
        </w:tc>
        <w:tc>
          <w:tcPr>
            <w:tcW w:w="1159" w:type="dxa"/>
            <w:gridSpan w:val="2"/>
            <w:vMerge w:val="restart"/>
            <w:tcBorders>
              <w:tl2br w:val="nil"/>
              <w:tr2bl w:val="nil"/>
            </w:tcBorders>
            <w:noWrap w:val="0"/>
            <w:vAlign w:val="center"/>
          </w:tcPr>
          <w:p w14:paraId="73E3FD6D">
            <w:pPr>
              <w:pStyle w:val="25"/>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bidi="ar"/>
              </w:rPr>
              <w:t>是否达标</w:t>
            </w:r>
          </w:p>
        </w:tc>
      </w:tr>
      <w:tr w14:paraId="4276B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continue"/>
            <w:tcBorders>
              <w:tl2br w:val="nil"/>
              <w:tr2bl w:val="nil"/>
            </w:tcBorders>
            <w:noWrap w:val="0"/>
            <w:vAlign w:val="center"/>
          </w:tcPr>
          <w:p w14:paraId="7CA17A2A">
            <w:pPr>
              <w:pStyle w:val="25"/>
              <w:bidi w:val="0"/>
              <w:rPr>
                <w:rFonts w:hint="default" w:ascii="Times New Roman" w:hAnsi="Times New Roman" w:cs="Times New Roman"/>
                <w:color w:val="auto"/>
                <w:sz w:val="21"/>
                <w:szCs w:val="21"/>
                <w:highlight w:val="none"/>
                <w:u w:val="none" w:color="auto"/>
              </w:rPr>
            </w:pPr>
          </w:p>
        </w:tc>
        <w:tc>
          <w:tcPr>
            <w:tcW w:w="1320" w:type="dxa"/>
            <w:vMerge w:val="continue"/>
            <w:tcBorders>
              <w:tl2br w:val="nil"/>
              <w:tr2bl w:val="nil"/>
            </w:tcBorders>
            <w:noWrap w:val="0"/>
            <w:vAlign w:val="center"/>
          </w:tcPr>
          <w:p w14:paraId="78D36833">
            <w:pPr>
              <w:pStyle w:val="25"/>
              <w:bidi w:val="0"/>
              <w:rPr>
                <w:rFonts w:hint="default" w:ascii="Times New Roman" w:hAnsi="Times New Roman" w:cs="Times New Roman"/>
                <w:color w:val="auto"/>
                <w:sz w:val="21"/>
                <w:szCs w:val="21"/>
                <w:highlight w:val="none"/>
                <w:u w:val="none" w:color="auto"/>
              </w:rPr>
            </w:pPr>
          </w:p>
        </w:tc>
        <w:tc>
          <w:tcPr>
            <w:tcW w:w="1995" w:type="dxa"/>
            <w:gridSpan w:val="3"/>
            <w:tcBorders>
              <w:tl2br w:val="nil"/>
              <w:tr2bl w:val="nil"/>
            </w:tcBorders>
            <w:noWrap w:val="0"/>
            <w:vAlign w:val="center"/>
          </w:tcPr>
          <w:p w14:paraId="0D60F8ED">
            <w:pPr>
              <w:pStyle w:val="25"/>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2025-7-16</w:t>
            </w:r>
          </w:p>
        </w:tc>
        <w:tc>
          <w:tcPr>
            <w:tcW w:w="1995" w:type="dxa"/>
            <w:gridSpan w:val="2"/>
            <w:tcBorders>
              <w:tl2br w:val="nil"/>
              <w:tr2bl w:val="nil"/>
            </w:tcBorders>
            <w:noWrap w:val="0"/>
            <w:vAlign w:val="center"/>
          </w:tcPr>
          <w:p w14:paraId="3684E555">
            <w:pPr>
              <w:pStyle w:val="25"/>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2025-7-17</w:t>
            </w:r>
          </w:p>
        </w:tc>
        <w:tc>
          <w:tcPr>
            <w:tcW w:w="1159" w:type="dxa"/>
            <w:gridSpan w:val="2"/>
            <w:vMerge w:val="continue"/>
            <w:tcBorders>
              <w:tl2br w:val="nil"/>
              <w:tr2bl w:val="nil"/>
            </w:tcBorders>
            <w:noWrap w:val="0"/>
            <w:vAlign w:val="center"/>
          </w:tcPr>
          <w:p w14:paraId="1FEB60B9">
            <w:pPr>
              <w:pStyle w:val="25"/>
              <w:bidi w:val="0"/>
              <w:rPr>
                <w:rFonts w:hint="default" w:ascii="Times New Roman" w:hAnsi="Times New Roman" w:cs="Times New Roman"/>
                <w:bCs/>
                <w:color w:val="auto"/>
                <w:sz w:val="21"/>
                <w:szCs w:val="21"/>
                <w:highlight w:val="none"/>
                <w:u w:val="none" w:color="auto"/>
                <w:lang w:bidi="ar"/>
              </w:rPr>
            </w:pPr>
          </w:p>
        </w:tc>
      </w:tr>
      <w:tr w14:paraId="717B8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vMerge w:val="continue"/>
            <w:tcBorders>
              <w:tl2br w:val="nil"/>
              <w:tr2bl w:val="nil"/>
            </w:tcBorders>
            <w:noWrap w:val="0"/>
            <w:vAlign w:val="center"/>
          </w:tcPr>
          <w:p w14:paraId="346798D5">
            <w:pPr>
              <w:pStyle w:val="25"/>
              <w:bidi w:val="0"/>
              <w:rPr>
                <w:rFonts w:hint="default" w:ascii="Times New Roman" w:hAnsi="Times New Roman" w:cs="Times New Roman"/>
                <w:color w:val="auto"/>
                <w:sz w:val="21"/>
                <w:szCs w:val="21"/>
                <w:highlight w:val="none"/>
                <w:u w:val="none" w:color="auto"/>
              </w:rPr>
            </w:pPr>
          </w:p>
        </w:tc>
        <w:tc>
          <w:tcPr>
            <w:tcW w:w="1320" w:type="dxa"/>
            <w:vMerge w:val="continue"/>
            <w:tcBorders>
              <w:tl2br w:val="nil"/>
              <w:tr2bl w:val="nil"/>
            </w:tcBorders>
            <w:noWrap w:val="0"/>
            <w:vAlign w:val="center"/>
          </w:tcPr>
          <w:p w14:paraId="511E862E">
            <w:pPr>
              <w:pStyle w:val="25"/>
              <w:bidi w:val="0"/>
              <w:rPr>
                <w:rFonts w:hint="default" w:ascii="Times New Roman" w:hAnsi="Times New Roman" w:cs="Times New Roman"/>
                <w:color w:val="auto"/>
                <w:sz w:val="21"/>
                <w:szCs w:val="21"/>
                <w:highlight w:val="none"/>
                <w:u w:val="none" w:color="auto"/>
              </w:rPr>
            </w:pPr>
          </w:p>
        </w:tc>
        <w:tc>
          <w:tcPr>
            <w:tcW w:w="997" w:type="dxa"/>
            <w:tcBorders>
              <w:tl2br w:val="nil"/>
              <w:tr2bl w:val="nil"/>
            </w:tcBorders>
            <w:noWrap w:val="0"/>
            <w:vAlign w:val="center"/>
          </w:tcPr>
          <w:p w14:paraId="46872D97">
            <w:pPr>
              <w:pStyle w:val="25"/>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昼间</w:t>
            </w:r>
          </w:p>
        </w:tc>
        <w:tc>
          <w:tcPr>
            <w:tcW w:w="997" w:type="dxa"/>
            <w:tcBorders>
              <w:tl2br w:val="nil"/>
              <w:tr2bl w:val="nil"/>
            </w:tcBorders>
            <w:noWrap w:val="0"/>
            <w:vAlign w:val="center"/>
          </w:tcPr>
          <w:p w14:paraId="788A9DBB">
            <w:pPr>
              <w:pStyle w:val="25"/>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夜间</w:t>
            </w:r>
          </w:p>
        </w:tc>
        <w:tc>
          <w:tcPr>
            <w:tcW w:w="997" w:type="dxa"/>
            <w:gridSpan w:val="2"/>
            <w:tcBorders>
              <w:tl2br w:val="nil"/>
              <w:tr2bl w:val="nil"/>
            </w:tcBorders>
            <w:noWrap w:val="0"/>
            <w:vAlign w:val="center"/>
          </w:tcPr>
          <w:p w14:paraId="6F6775A0">
            <w:pPr>
              <w:pStyle w:val="25"/>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昼间</w:t>
            </w:r>
          </w:p>
        </w:tc>
        <w:tc>
          <w:tcPr>
            <w:tcW w:w="999" w:type="dxa"/>
            <w:tcBorders>
              <w:tl2br w:val="nil"/>
              <w:tr2bl w:val="nil"/>
            </w:tcBorders>
            <w:noWrap w:val="0"/>
            <w:vAlign w:val="center"/>
          </w:tcPr>
          <w:p w14:paraId="605B51F2">
            <w:pPr>
              <w:pStyle w:val="25"/>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夜间</w:t>
            </w:r>
          </w:p>
        </w:tc>
        <w:tc>
          <w:tcPr>
            <w:tcW w:w="1156" w:type="dxa"/>
            <w:vMerge w:val="continue"/>
            <w:tcBorders>
              <w:tl2br w:val="nil"/>
              <w:tr2bl w:val="nil"/>
            </w:tcBorders>
            <w:noWrap w:val="0"/>
            <w:vAlign w:val="center"/>
          </w:tcPr>
          <w:p w14:paraId="3584E8EE">
            <w:pPr>
              <w:pStyle w:val="25"/>
              <w:bidi w:val="0"/>
              <w:rPr>
                <w:rFonts w:hint="default" w:ascii="Times New Roman" w:hAnsi="Times New Roman" w:cs="Times New Roman"/>
                <w:color w:val="auto"/>
                <w:sz w:val="21"/>
                <w:szCs w:val="21"/>
                <w:highlight w:val="none"/>
                <w:u w:val="none" w:color="auto"/>
                <w:lang w:val="en-US" w:eastAsia="zh-CN"/>
              </w:rPr>
            </w:pPr>
          </w:p>
        </w:tc>
      </w:tr>
      <w:tr w14:paraId="12881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2E4A5B28">
            <w:pPr>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lang w:eastAsia="zh-CN"/>
              </w:rPr>
              <w:t>厂界东侧</w:t>
            </w:r>
          </w:p>
        </w:tc>
        <w:tc>
          <w:tcPr>
            <w:tcW w:w="1320" w:type="dxa"/>
            <w:vMerge w:val="restart"/>
            <w:tcBorders>
              <w:tl2br w:val="nil"/>
              <w:tr2bl w:val="nil"/>
            </w:tcBorders>
            <w:noWrap w:val="0"/>
            <w:vAlign w:val="center"/>
          </w:tcPr>
          <w:p w14:paraId="4063BB6F">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环境噪声</w:t>
            </w:r>
          </w:p>
        </w:tc>
        <w:tc>
          <w:tcPr>
            <w:tcW w:w="997" w:type="dxa"/>
            <w:tcBorders>
              <w:tl2br w:val="nil"/>
              <w:tr2bl w:val="nil"/>
            </w:tcBorders>
            <w:noWrap w:val="0"/>
            <w:vAlign w:val="center"/>
          </w:tcPr>
          <w:p w14:paraId="58665031">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60</w:t>
            </w:r>
          </w:p>
        </w:tc>
        <w:tc>
          <w:tcPr>
            <w:tcW w:w="997" w:type="dxa"/>
            <w:tcBorders>
              <w:tl2br w:val="nil"/>
              <w:tr2bl w:val="nil"/>
            </w:tcBorders>
            <w:noWrap w:val="0"/>
            <w:vAlign w:val="center"/>
          </w:tcPr>
          <w:p w14:paraId="0096E6D0">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48</w:t>
            </w:r>
          </w:p>
        </w:tc>
        <w:tc>
          <w:tcPr>
            <w:tcW w:w="997" w:type="dxa"/>
            <w:gridSpan w:val="2"/>
            <w:tcBorders>
              <w:tl2br w:val="nil"/>
              <w:tr2bl w:val="nil"/>
            </w:tcBorders>
            <w:noWrap w:val="0"/>
            <w:vAlign w:val="center"/>
          </w:tcPr>
          <w:p w14:paraId="033D0F3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59</w:t>
            </w:r>
          </w:p>
        </w:tc>
        <w:tc>
          <w:tcPr>
            <w:tcW w:w="999" w:type="dxa"/>
            <w:tcBorders>
              <w:tl2br w:val="nil"/>
              <w:tr2bl w:val="nil"/>
            </w:tcBorders>
            <w:noWrap w:val="0"/>
            <w:vAlign w:val="center"/>
          </w:tcPr>
          <w:p w14:paraId="2F25FCB8">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52</w:t>
            </w:r>
          </w:p>
        </w:tc>
        <w:tc>
          <w:tcPr>
            <w:tcW w:w="1156" w:type="dxa"/>
            <w:tcBorders>
              <w:tl2br w:val="nil"/>
              <w:tr2bl w:val="nil"/>
            </w:tcBorders>
            <w:noWrap w:val="0"/>
            <w:vAlign w:val="center"/>
          </w:tcPr>
          <w:p w14:paraId="3A2B6065">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7DC9A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52B1EBE0">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厂界南侧</w:t>
            </w:r>
          </w:p>
        </w:tc>
        <w:tc>
          <w:tcPr>
            <w:tcW w:w="1320" w:type="dxa"/>
            <w:vMerge w:val="continue"/>
            <w:tcBorders>
              <w:tl2br w:val="nil"/>
              <w:tr2bl w:val="nil"/>
            </w:tcBorders>
            <w:noWrap w:val="0"/>
            <w:vAlign w:val="center"/>
          </w:tcPr>
          <w:p w14:paraId="31CD0269">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1C9C8E9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61</w:t>
            </w:r>
          </w:p>
        </w:tc>
        <w:tc>
          <w:tcPr>
            <w:tcW w:w="997" w:type="dxa"/>
            <w:tcBorders>
              <w:tl2br w:val="nil"/>
              <w:tr2bl w:val="nil"/>
            </w:tcBorders>
            <w:noWrap w:val="0"/>
            <w:vAlign w:val="center"/>
          </w:tcPr>
          <w:p w14:paraId="2E9D0A2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48</w:t>
            </w:r>
          </w:p>
        </w:tc>
        <w:tc>
          <w:tcPr>
            <w:tcW w:w="997" w:type="dxa"/>
            <w:gridSpan w:val="2"/>
            <w:tcBorders>
              <w:tl2br w:val="nil"/>
              <w:tr2bl w:val="nil"/>
            </w:tcBorders>
            <w:noWrap w:val="0"/>
            <w:vAlign w:val="center"/>
          </w:tcPr>
          <w:p w14:paraId="26E7623A">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62</w:t>
            </w:r>
          </w:p>
        </w:tc>
        <w:tc>
          <w:tcPr>
            <w:tcW w:w="999" w:type="dxa"/>
            <w:tcBorders>
              <w:tl2br w:val="nil"/>
              <w:tr2bl w:val="nil"/>
            </w:tcBorders>
            <w:noWrap w:val="0"/>
            <w:vAlign w:val="center"/>
          </w:tcPr>
          <w:p w14:paraId="03A10FD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50</w:t>
            </w:r>
          </w:p>
        </w:tc>
        <w:tc>
          <w:tcPr>
            <w:tcW w:w="1156" w:type="dxa"/>
            <w:tcBorders>
              <w:tl2br w:val="nil"/>
              <w:tr2bl w:val="nil"/>
            </w:tcBorders>
            <w:noWrap w:val="0"/>
            <w:vAlign w:val="center"/>
          </w:tcPr>
          <w:p w14:paraId="08724E64">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2EFFF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7A3D49D7">
            <w:pPr>
              <w:jc w:val="center"/>
              <w:rPr>
                <w:rFonts w:hint="default" w:ascii="Times New Roman" w:hAnsi="Times New Roman" w:eastAsia="宋体" w:cs="Times New Roman"/>
                <w:b w:val="0"/>
                <w:bCs/>
                <w:color w:val="auto"/>
                <w:kern w:val="0"/>
                <w:sz w:val="21"/>
                <w:szCs w:val="21"/>
                <w:highlight w:val="none"/>
                <w:u w:val="none" w:color="auto"/>
                <w:lang w:eastAsia="zh-CN"/>
              </w:rPr>
            </w:pPr>
            <w:r>
              <w:rPr>
                <w:rFonts w:hint="default" w:ascii="Times New Roman" w:hAnsi="Times New Roman" w:eastAsia="宋体" w:cs="Times New Roman"/>
                <w:b w:val="0"/>
                <w:bCs/>
                <w:color w:val="auto"/>
                <w:kern w:val="0"/>
                <w:sz w:val="21"/>
                <w:szCs w:val="21"/>
                <w:highlight w:val="none"/>
                <w:u w:val="none" w:color="auto"/>
                <w:lang w:eastAsia="zh-CN"/>
              </w:rPr>
              <w:t>厂界</w:t>
            </w:r>
            <w:r>
              <w:rPr>
                <w:rFonts w:hint="eastAsia" w:cs="Times New Roman"/>
                <w:b w:val="0"/>
                <w:bCs/>
                <w:color w:val="auto"/>
                <w:kern w:val="0"/>
                <w:sz w:val="21"/>
                <w:szCs w:val="21"/>
                <w:highlight w:val="none"/>
                <w:u w:val="none" w:color="auto"/>
                <w:lang w:val="en-US" w:eastAsia="zh-CN"/>
              </w:rPr>
              <w:t>西</w:t>
            </w:r>
            <w:r>
              <w:rPr>
                <w:rFonts w:hint="default" w:ascii="Times New Roman" w:hAnsi="Times New Roman" w:eastAsia="宋体" w:cs="Times New Roman"/>
                <w:b w:val="0"/>
                <w:bCs/>
                <w:color w:val="auto"/>
                <w:kern w:val="0"/>
                <w:sz w:val="21"/>
                <w:szCs w:val="21"/>
                <w:highlight w:val="none"/>
                <w:u w:val="none" w:color="auto"/>
                <w:lang w:eastAsia="zh-CN"/>
              </w:rPr>
              <w:t>侧</w:t>
            </w:r>
          </w:p>
        </w:tc>
        <w:tc>
          <w:tcPr>
            <w:tcW w:w="1320" w:type="dxa"/>
            <w:vMerge w:val="continue"/>
            <w:tcBorders>
              <w:tl2br w:val="nil"/>
              <w:tr2bl w:val="nil"/>
            </w:tcBorders>
            <w:noWrap w:val="0"/>
            <w:vAlign w:val="center"/>
          </w:tcPr>
          <w:p w14:paraId="288E7F57">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5696F515">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62</w:t>
            </w:r>
          </w:p>
        </w:tc>
        <w:tc>
          <w:tcPr>
            <w:tcW w:w="997" w:type="dxa"/>
            <w:tcBorders>
              <w:tl2br w:val="nil"/>
              <w:tr2bl w:val="nil"/>
            </w:tcBorders>
            <w:noWrap w:val="0"/>
            <w:vAlign w:val="center"/>
          </w:tcPr>
          <w:p w14:paraId="29A61708">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46</w:t>
            </w:r>
          </w:p>
        </w:tc>
        <w:tc>
          <w:tcPr>
            <w:tcW w:w="997" w:type="dxa"/>
            <w:gridSpan w:val="2"/>
            <w:tcBorders>
              <w:tl2br w:val="nil"/>
              <w:tr2bl w:val="nil"/>
            </w:tcBorders>
            <w:noWrap w:val="0"/>
            <w:vAlign w:val="center"/>
          </w:tcPr>
          <w:p w14:paraId="450BD17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61</w:t>
            </w:r>
          </w:p>
        </w:tc>
        <w:tc>
          <w:tcPr>
            <w:tcW w:w="999" w:type="dxa"/>
            <w:tcBorders>
              <w:tl2br w:val="nil"/>
              <w:tr2bl w:val="nil"/>
            </w:tcBorders>
            <w:noWrap w:val="0"/>
            <w:vAlign w:val="center"/>
          </w:tcPr>
          <w:p w14:paraId="5D2EC02A">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50</w:t>
            </w:r>
          </w:p>
        </w:tc>
        <w:tc>
          <w:tcPr>
            <w:tcW w:w="1156" w:type="dxa"/>
            <w:tcBorders>
              <w:tl2br w:val="nil"/>
              <w:tr2bl w:val="nil"/>
            </w:tcBorders>
            <w:noWrap w:val="0"/>
            <w:vAlign w:val="center"/>
          </w:tcPr>
          <w:p w14:paraId="5A069CF2">
            <w:pPr>
              <w:snapToGrid w:val="0"/>
              <w:jc w:val="center"/>
              <w:rPr>
                <w:rFonts w:hint="default" w:ascii="Times New Roman" w:hAnsi="Times New Roman" w:cs="Times New Roman"/>
                <w:color w:val="auto"/>
                <w:sz w:val="21"/>
                <w:szCs w:val="21"/>
                <w:highlight w:val="none"/>
                <w:u w:val="none" w:color="auto"/>
                <w:lang w:bidi="ar"/>
              </w:rPr>
            </w:pPr>
            <w:r>
              <w:rPr>
                <w:rFonts w:hint="default" w:ascii="Times New Roman" w:hAnsi="Times New Roman" w:cs="Times New Roman"/>
                <w:color w:val="auto"/>
                <w:sz w:val="21"/>
                <w:szCs w:val="21"/>
                <w:highlight w:val="none"/>
                <w:u w:val="none" w:color="auto"/>
                <w:lang w:bidi="ar"/>
              </w:rPr>
              <w:t>达标</w:t>
            </w:r>
          </w:p>
        </w:tc>
      </w:tr>
      <w:tr w14:paraId="67B72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451861EB">
            <w:pPr>
              <w:jc w:val="center"/>
              <w:rPr>
                <w:rFonts w:hint="default" w:ascii="Times New Roman" w:hAnsi="Times New Roman" w:cs="Times New Roman"/>
                <w:color w:val="auto"/>
                <w:sz w:val="21"/>
                <w:szCs w:val="21"/>
                <w:highlight w:val="none"/>
                <w:u w:val="none" w:color="auto"/>
                <w:lang w:eastAsia="zh-CN"/>
              </w:rPr>
            </w:pPr>
            <w:r>
              <w:rPr>
                <w:rFonts w:hint="default" w:ascii="Times New Roman" w:hAnsi="Times New Roman" w:eastAsia="宋体" w:cs="Times New Roman"/>
                <w:b w:val="0"/>
                <w:bCs/>
                <w:color w:val="auto"/>
                <w:kern w:val="0"/>
                <w:sz w:val="21"/>
                <w:szCs w:val="21"/>
                <w:highlight w:val="none"/>
                <w:u w:val="none" w:color="auto"/>
                <w:lang w:eastAsia="zh-CN"/>
              </w:rPr>
              <w:t>厂界</w:t>
            </w:r>
            <w:r>
              <w:rPr>
                <w:rFonts w:hint="eastAsia" w:ascii="Times New Roman" w:hAnsi="Times New Roman" w:eastAsia="宋体" w:cs="Times New Roman"/>
                <w:b w:val="0"/>
                <w:bCs/>
                <w:color w:val="auto"/>
                <w:kern w:val="0"/>
                <w:sz w:val="21"/>
                <w:szCs w:val="21"/>
                <w:highlight w:val="none"/>
                <w:u w:val="none" w:color="auto"/>
                <w:lang w:val="en-US" w:eastAsia="zh-CN"/>
              </w:rPr>
              <w:t>北</w:t>
            </w:r>
            <w:r>
              <w:rPr>
                <w:rFonts w:hint="default" w:ascii="Times New Roman" w:hAnsi="Times New Roman" w:eastAsia="宋体" w:cs="Times New Roman"/>
                <w:b w:val="0"/>
                <w:bCs/>
                <w:color w:val="auto"/>
                <w:kern w:val="0"/>
                <w:sz w:val="21"/>
                <w:szCs w:val="21"/>
                <w:highlight w:val="none"/>
                <w:u w:val="none" w:color="auto"/>
                <w:lang w:eastAsia="zh-CN"/>
              </w:rPr>
              <w:t>侧</w:t>
            </w:r>
          </w:p>
        </w:tc>
        <w:tc>
          <w:tcPr>
            <w:tcW w:w="1320" w:type="dxa"/>
            <w:vMerge w:val="continue"/>
            <w:tcBorders>
              <w:tl2br w:val="nil"/>
              <w:tr2bl w:val="nil"/>
            </w:tcBorders>
            <w:noWrap w:val="0"/>
            <w:vAlign w:val="center"/>
          </w:tcPr>
          <w:p w14:paraId="44969214">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7480E62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61</w:t>
            </w:r>
          </w:p>
        </w:tc>
        <w:tc>
          <w:tcPr>
            <w:tcW w:w="997" w:type="dxa"/>
            <w:tcBorders>
              <w:tl2br w:val="nil"/>
              <w:tr2bl w:val="nil"/>
            </w:tcBorders>
            <w:noWrap w:val="0"/>
            <w:vAlign w:val="center"/>
          </w:tcPr>
          <w:p w14:paraId="359FCEED">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51</w:t>
            </w:r>
          </w:p>
        </w:tc>
        <w:tc>
          <w:tcPr>
            <w:tcW w:w="997" w:type="dxa"/>
            <w:gridSpan w:val="2"/>
            <w:tcBorders>
              <w:tl2br w:val="nil"/>
              <w:tr2bl w:val="nil"/>
            </w:tcBorders>
            <w:noWrap w:val="0"/>
            <w:vAlign w:val="center"/>
          </w:tcPr>
          <w:p w14:paraId="62A39574">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60</w:t>
            </w:r>
          </w:p>
        </w:tc>
        <w:tc>
          <w:tcPr>
            <w:tcW w:w="999" w:type="dxa"/>
            <w:tcBorders>
              <w:tl2br w:val="nil"/>
              <w:tr2bl w:val="nil"/>
            </w:tcBorders>
            <w:noWrap w:val="0"/>
            <w:vAlign w:val="center"/>
          </w:tcPr>
          <w:p w14:paraId="63137FD9">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52</w:t>
            </w:r>
          </w:p>
        </w:tc>
        <w:tc>
          <w:tcPr>
            <w:tcW w:w="1156" w:type="dxa"/>
            <w:tcBorders>
              <w:tl2br w:val="nil"/>
              <w:tr2bl w:val="nil"/>
            </w:tcBorders>
            <w:noWrap w:val="0"/>
            <w:vAlign w:val="center"/>
          </w:tcPr>
          <w:p w14:paraId="4A251779">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3F35C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3350" w:type="dxa"/>
            <w:gridSpan w:val="2"/>
            <w:tcBorders>
              <w:tl2br w:val="nil"/>
              <w:tr2bl w:val="nil"/>
            </w:tcBorders>
            <w:noWrap w:val="0"/>
            <w:vAlign w:val="center"/>
          </w:tcPr>
          <w:p w14:paraId="10D02ADE">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ascii="Times New Roman" w:hAnsi="Times New Roman" w:eastAsia="宋体" w:cs="Times New Roman"/>
                <w:b w:val="0"/>
                <w:bCs/>
                <w:color w:val="auto"/>
                <w:kern w:val="0"/>
                <w:sz w:val="21"/>
                <w:szCs w:val="21"/>
                <w:highlight w:val="none"/>
                <w:u w:val="none" w:color="auto"/>
                <w:lang w:val="en-US" w:eastAsia="zh-CN"/>
              </w:rPr>
              <w:t>标准限值</w:t>
            </w:r>
          </w:p>
        </w:tc>
        <w:tc>
          <w:tcPr>
            <w:tcW w:w="997" w:type="dxa"/>
            <w:tcBorders>
              <w:tl2br w:val="nil"/>
              <w:tr2bl w:val="nil"/>
            </w:tcBorders>
            <w:noWrap w:val="0"/>
            <w:vAlign w:val="center"/>
          </w:tcPr>
          <w:p w14:paraId="7E3E1F6F">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65</w:t>
            </w:r>
          </w:p>
        </w:tc>
        <w:tc>
          <w:tcPr>
            <w:tcW w:w="997" w:type="dxa"/>
            <w:tcBorders>
              <w:tl2br w:val="nil"/>
              <w:tr2bl w:val="nil"/>
            </w:tcBorders>
            <w:noWrap w:val="0"/>
            <w:vAlign w:val="center"/>
          </w:tcPr>
          <w:p w14:paraId="43C8857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55</w:t>
            </w:r>
          </w:p>
        </w:tc>
        <w:tc>
          <w:tcPr>
            <w:tcW w:w="997" w:type="dxa"/>
            <w:gridSpan w:val="2"/>
            <w:tcBorders>
              <w:tl2br w:val="nil"/>
              <w:tr2bl w:val="nil"/>
            </w:tcBorders>
            <w:noWrap w:val="0"/>
            <w:vAlign w:val="center"/>
          </w:tcPr>
          <w:p w14:paraId="3D704331">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65</w:t>
            </w:r>
          </w:p>
        </w:tc>
        <w:tc>
          <w:tcPr>
            <w:tcW w:w="999" w:type="dxa"/>
            <w:tcBorders>
              <w:tl2br w:val="nil"/>
              <w:tr2bl w:val="nil"/>
            </w:tcBorders>
            <w:noWrap w:val="0"/>
            <w:vAlign w:val="center"/>
          </w:tcPr>
          <w:p w14:paraId="36F7DD2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55</w:t>
            </w:r>
          </w:p>
        </w:tc>
        <w:tc>
          <w:tcPr>
            <w:tcW w:w="1156" w:type="dxa"/>
            <w:tcBorders>
              <w:tl2br w:val="nil"/>
              <w:tr2bl w:val="nil"/>
            </w:tcBorders>
            <w:noWrap w:val="0"/>
            <w:vAlign w:val="center"/>
          </w:tcPr>
          <w:p w14:paraId="5726B2D0">
            <w:pPr>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w:t>
            </w:r>
          </w:p>
        </w:tc>
      </w:tr>
      <w:tr w14:paraId="28E41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2AF24EC9">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东侧敏感点1F</w:t>
            </w:r>
          </w:p>
        </w:tc>
        <w:tc>
          <w:tcPr>
            <w:tcW w:w="1320" w:type="dxa"/>
            <w:vMerge w:val="restart"/>
            <w:tcBorders>
              <w:tl2br w:val="nil"/>
              <w:tr2bl w:val="nil"/>
            </w:tcBorders>
            <w:noWrap w:val="0"/>
            <w:vAlign w:val="center"/>
          </w:tcPr>
          <w:p w14:paraId="5585B753">
            <w:pPr>
              <w:jc w:val="center"/>
              <w:rPr>
                <w:rFonts w:hint="default"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环境噪声</w:t>
            </w:r>
          </w:p>
        </w:tc>
        <w:tc>
          <w:tcPr>
            <w:tcW w:w="997" w:type="dxa"/>
            <w:tcBorders>
              <w:tl2br w:val="nil"/>
              <w:tr2bl w:val="nil"/>
            </w:tcBorders>
            <w:noWrap w:val="0"/>
            <w:vAlign w:val="center"/>
          </w:tcPr>
          <w:p w14:paraId="7471397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55</w:t>
            </w:r>
          </w:p>
        </w:tc>
        <w:tc>
          <w:tcPr>
            <w:tcW w:w="997" w:type="dxa"/>
            <w:tcBorders>
              <w:tl2br w:val="nil"/>
              <w:tr2bl w:val="nil"/>
            </w:tcBorders>
            <w:noWrap w:val="0"/>
            <w:vAlign w:val="center"/>
          </w:tcPr>
          <w:p w14:paraId="28DAF140">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47</w:t>
            </w:r>
          </w:p>
        </w:tc>
        <w:tc>
          <w:tcPr>
            <w:tcW w:w="997" w:type="dxa"/>
            <w:gridSpan w:val="2"/>
            <w:tcBorders>
              <w:tl2br w:val="nil"/>
              <w:tr2bl w:val="nil"/>
            </w:tcBorders>
            <w:noWrap w:val="0"/>
            <w:vAlign w:val="center"/>
          </w:tcPr>
          <w:p w14:paraId="582E352A">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53</w:t>
            </w:r>
          </w:p>
        </w:tc>
        <w:tc>
          <w:tcPr>
            <w:tcW w:w="999" w:type="dxa"/>
            <w:tcBorders>
              <w:tl2br w:val="nil"/>
              <w:tr2bl w:val="nil"/>
            </w:tcBorders>
            <w:noWrap w:val="0"/>
            <w:vAlign w:val="center"/>
          </w:tcPr>
          <w:p w14:paraId="74F80098">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44</w:t>
            </w:r>
          </w:p>
        </w:tc>
        <w:tc>
          <w:tcPr>
            <w:tcW w:w="1156" w:type="dxa"/>
            <w:tcBorders>
              <w:tl2br w:val="nil"/>
              <w:tr2bl w:val="nil"/>
            </w:tcBorders>
            <w:noWrap w:val="0"/>
            <w:vAlign w:val="center"/>
          </w:tcPr>
          <w:p w14:paraId="311DB2E0">
            <w:pPr>
              <w:snapToGrid w:val="0"/>
              <w:jc w:val="center"/>
              <w:rPr>
                <w:rFonts w:hint="default" w:ascii="Times New Roman" w:hAnsi="Times New Roman" w:cs="Times New Roman"/>
                <w:color w:val="auto"/>
                <w:sz w:val="21"/>
                <w:szCs w:val="21"/>
                <w:highlight w:val="none"/>
                <w:u w:val="none" w:color="auto"/>
                <w:lang w:bidi="ar"/>
              </w:rPr>
            </w:pPr>
            <w:r>
              <w:rPr>
                <w:rFonts w:hint="default" w:ascii="Times New Roman" w:hAnsi="Times New Roman" w:cs="Times New Roman"/>
                <w:color w:val="auto"/>
                <w:sz w:val="21"/>
                <w:szCs w:val="21"/>
                <w:highlight w:val="none"/>
                <w:u w:val="none" w:color="auto"/>
                <w:lang w:bidi="ar"/>
              </w:rPr>
              <w:t>达标</w:t>
            </w:r>
          </w:p>
        </w:tc>
      </w:tr>
      <w:tr w14:paraId="07B1D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7D82C6F9">
            <w:pPr>
              <w:jc w:val="center"/>
              <w:rPr>
                <w:rFonts w:hint="eastAsia"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东侧敏感点4F</w:t>
            </w:r>
          </w:p>
        </w:tc>
        <w:tc>
          <w:tcPr>
            <w:tcW w:w="1320" w:type="dxa"/>
            <w:vMerge w:val="continue"/>
            <w:tcBorders>
              <w:tl2br w:val="nil"/>
              <w:tr2bl w:val="nil"/>
            </w:tcBorders>
            <w:noWrap w:val="0"/>
            <w:vAlign w:val="center"/>
          </w:tcPr>
          <w:p w14:paraId="47E4F606">
            <w:pPr>
              <w:jc w:val="center"/>
              <w:rPr>
                <w:rFonts w:hint="eastAsia" w:cs="Times New Roman"/>
                <w:b w:val="0"/>
                <w:bCs/>
                <w:color w:val="auto"/>
                <w:kern w:val="0"/>
                <w:sz w:val="21"/>
                <w:szCs w:val="21"/>
                <w:highlight w:val="none"/>
                <w:u w:val="none" w:color="auto"/>
                <w:lang w:val="en-US" w:eastAsia="zh-CN"/>
              </w:rPr>
            </w:pPr>
          </w:p>
        </w:tc>
        <w:tc>
          <w:tcPr>
            <w:tcW w:w="997" w:type="dxa"/>
            <w:tcBorders>
              <w:tl2br w:val="nil"/>
              <w:tr2bl w:val="nil"/>
            </w:tcBorders>
            <w:noWrap w:val="0"/>
            <w:vAlign w:val="center"/>
          </w:tcPr>
          <w:p w14:paraId="3DFDA618">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54</w:t>
            </w:r>
          </w:p>
        </w:tc>
        <w:tc>
          <w:tcPr>
            <w:tcW w:w="997" w:type="dxa"/>
            <w:tcBorders>
              <w:tl2br w:val="nil"/>
              <w:tr2bl w:val="nil"/>
            </w:tcBorders>
            <w:noWrap w:val="0"/>
            <w:vAlign w:val="center"/>
          </w:tcPr>
          <w:p w14:paraId="575D971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47</w:t>
            </w:r>
          </w:p>
        </w:tc>
        <w:tc>
          <w:tcPr>
            <w:tcW w:w="997" w:type="dxa"/>
            <w:gridSpan w:val="2"/>
            <w:tcBorders>
              <w:tl2br w:val="nil"/>
              <w:tr2bl w:val="nil"/>
            </w:tcBorders>
            <w:noWrap w:val="0"/>
            <w:vAlign w:val="center"/>
          </w:tcPr>
          <w:p w14:paraId="372967A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52</w:t>
            </w:r>
          </w:p>
        </w:tc>
        <w:tc>
          <w:tcPr>
            <w:tcW w:w="999" w:type="dxa"/>
            <w:tcBorders>
              <w:tl2br w:val="nil"/>
              <w:tr2bl w:val="nil"/>
            </w:tcBorders>
            <w:noWrap w:val="0"/>
            <w:vAlign w:val="center"/>
          </w:tcPr>
          <w:p w14:paraId="11377F6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w:t>
            </w:r>
          </w:p>
        </w:tc>
        <w:tc>
          <w:tcPr>
            <w:tcW w:w="1156" w:type="dxa"/>
            <w:tcBorders>
              <w:tl2br w:val="nil"/>
              <w:tr2bl w:val="nil"/>
            </w:tcBorders>
            <w:noWrap w:val="0"/>
            <w:vAlign w:val="center"/>
          </w:tcPr>
          <w:p w14:paraId="53972549">
            <w:pPr>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达标</w:t>
            </w:r>
          </w:p>
        </w:tc>
      </w:tr>
      <w:tr w14:paraId="66B0F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3350" w:type="dxa"/>
            <w:gridSpan w:val="2"/>
            <w:tcBorders>
              <w:tl2br w:val="nil"/>
              <w:tr2bl w:val="nil"/>
            </w:tcBorders>
            <w:noWrap w:val="0"/>
            <w:vAlign w:val="center"/>
          </w:tcPr>
          <w:p w14:paraId="4DA47DC6">
            <w:pPr>
              <w:jc w:val="center"/>
              <w:rPr>
                <w:rFonts w:hint="eastAsia" w:cs="Times New Roman"/>
                <w:b w:val="0"/>
                <w:bCs/>
                <w:color w:val="auto"/>
                <w:kern w:val="0"/>
                <w:sz w:val="21"/>
                <w:szCs w:val="21"/>
                <w:highlight w:val="none"/>
                <w:u w:val="none" w:color="auto"/>
                <w:lang w:val="en-US" w:eastAsia="zh-CN"/>
              </w:rPr>
            </w:pPr>
            <w:r>
              <w:rPr>
                <w:rFonts w:hint="eastAsia" w:ascii="Times New Roman" w:hAnsi="Times New Roman" w:eastAsia="宋体" w:cs="Times New Roman"/>
                <w:b w:val="0"/>
                <w:bCs/>
                <w:color w:val="auto"/>
                <w:kern w:val="0"/>
                <w:sz w:val="21"/>
                <w:szCs w:val="21"/>
                <w:highlight w:val="none"/>
                <w:u w:val="none" w:color="auto"/>
                <w:lang w:val="en-US" w:eastAsia="zh-CN"/>
              </w:rPr>
              <w:t>标准限值</w:t>
            </w:r>
          </w:p>
        </w:tc>
        <w:tc>
          <w:tcPr>
            <w:tcW w:w="997" w:type="dxa"/>
            <w:tcBorders>
              <w:tl2br w:val="nil"/>
              <w:tr2bl w:val="nil"/>
            </w:tcBorders>
            <w:noWrap w:val="0"/>
            <w:vAlign w:val="center"/>
          </w:tcPr>
          <w:p w14:paraId="4CED644A">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997" w:type="dxa"/>
            <w:tcBorders>
              <w:tl2br w:val="nil"/>
              <w:tr2bl w:val="nil"/>
            </w:tcBorders>
            <w:noWrap w:val="0"/>
            <w:vAlign w:val="center"/>
          </w:tcPr>
          <w:p w14:paraId="0E46C125">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w:t>
            </w:r>
          </w:p>
        </w:tc>
        <w:tc>
          <w:tcPr>
            <w:tcW w:w="997" w:type="dxa"/>
            <w:gridSpan w:val="2"/>
            <w:tcBorders>
              <w:tl2br w:val="nil"/>
              <w:tr2bl w:val="nil"/>
            </w:tcBorders>
            <w:noWrap w:val="0"/>
            <w:vAlign w:val="center"/>
          </w:tcPr>
          <w:p w14:paraId="1ABC56D7">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70</w:t>
            </w:r>
          </w:p>
        </w:tc>
        <w:tc>
          <w:tcPr>
            <w:tcW w:w="999" w:type="dxa"/>
            <w:tcBorders>
              <w:tl2br w:val="nil"/>
              <w:tr2bl w:val="nil"/>
            </w:tcBorders>
            <w:noWrap w:val="0"/>
            <w:vAlign w:val="center"/>
          </w:tcPr>
          <w:p w14:paraId="78BC13D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55</w:t>
            </w:r>
          </w:p>
        </w:tc>
        <w:tc>
          <w:tcPr>
            <w:tcW w:w="1156" w:type="dxa"/>
            <w:tcBorders>
              <w:tl2br w:val="nil"/>
              <w:tr2bl w:val="nil"/>
            </w:tcBorders>
            <w:noWrap w:val="0"/>
            <w:vAlign w:val="center"/>
          </w:tcPr>
          <w:p w14:paraId="71872742">
            <w:pPr>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w:t>
            </w:r>
          </w:p>
        </w:tc>
      </w:tr>
    </w:tbl>
    <w:p w14:paraId="6D0AED1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从噪声现场监测数据与评价标准对比可知：项目所在地</w:t>
      </w:r>
      <w:r>
        <w:rPr>
          <w:rFonts w:hint="eastAsia" w:ascii="Times New Roman" w:hAnsi="Times New Roman" w:cs="Times New Roman"/>
          <w:color w:val="auto"/>
          <w:u w:val="none" w:color="auto"/>
          <w:lang w:val="en-US" w:eastAsia="zh-CN"/>
        </w:rPr>
        <w:t>厂界</w:t>
      </w:r>
      <w:r>
        <w:rPr>
          <w:rFonts w:hint="default" w:ascii="Times New Roman" w:hAnsi="Times New Roman" w:cs="Times New Roman"/>
          <w:color w:val="auto"/>
          <w:u w:val="none" w:color="auto"/>
        </w:rPr>
        <w:t>的声环境</w:t>
      </w:r>
      <w:r>
        <w:rPr>
          <w:rFonts w:hint="eastAsia" w:ascii="Times New Roman" w:hAnsi="Times New Roman" w:cs="Times New Roman"/>
          <w:color w:val="auto"/>
          <w:u w:val="none" w:color="auto"/>
          <w:lang w:val="en-US" w:eastAsia="zh-CN"/>
        </w:rPr>
        <w:t>噪声满足</w:t>
      </w:r>
      <w:r>
        <w:rPr>
          <w:color w:val="auto"/>
          <w:u w:val="none" w:color="auto"/>
        </w:rPr>
        <w:t>《声环境质量标准》（GB3096-2008）表1中</w:t>
      </w:r>
      <w:r>
        <w:rPr>
          <w:rFonts w:hint="default" w:ascii="Times New Roman" w:hAnsi="Times New Roman" w:cs="Times New Roman"/>
          <w:color w:val="auto"/>
          <w:u w:val="none" w:color="auto"/>
        </w:rPr>
        <w:t>的3类标准</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东侧敏感点的声环境噪声满足</w:t>
      </w:r>
      <w:r>
        <w:rPr>
          <w:color w:val="auto"/>
          <w:u w:val="none" w:color="auto"/>
        </w:rPr>
        <w:t>《声环境质量标准》（GB3096-2008）表1中</w:t>
      </w:r>
      <w:r>
        <w:rPr>
          <w:rFonts w:hint="eastAsia"/>
          <w:color w:val="auto"/>
          <w:u w:val="none" w:color="auto"/>
          <w:lang w:val="en-US" w:eastAsia="zh-CN"/>
        </w:rPr>
        <w:t>的4a类标准</w:t>
      </w:r>
      <w:r>
        <w:rPr>
          <w:rFonts w:hint="default" w:ascii="Times New Roman" w:hAnsi="Times New Roman" w:cs="Times New Roman"/>
          <w:color w:val="auto"/>
          <w:u w:val="none" w:color="auto"/>
        </w:rPr>
        <w:t>。</w:t>
      </w:r>
    </w:p>
    <w:p w14:paraId="0884C7FC">
      <w:pPr>
        <w:pStyle w:val="8"/>
        <w:rPr>
          <w:rFonts w:hint="default" w:ascii="Times New Roman" w:hAnsi="Times New Roman" w:cs="Times New Roman"/>
          <w:color w:val="auto"/>
          <w:u w:val="none" w:color="auto"/>
        </w:rPr>
      </w:pPr>
      <w:bookmarkStart w:id="926" w:name="_Toc13467"/>
      <w:bookmarkStart w:id="927" w:name="_Toc22047"/>
      <w:bookmarkStart w:id="928" w:name="_Toc3308"/>
      <w:bookmarkStart w:id="929" w:name="_Toc27696"/>
      <w:bookmarkStart w:id="930" w:name="_Toc6165"/>
      <w:bookmarkStart w:id="931" w:name="_Toc29469"/>
      <w:bookmarkStart w:id="932" w:name="_Toc13854"/>
      <w:bookmarkStart w:id="933" w:name="_Toc19479"/>
      <w:bookmarkStart w:id="934" w:name="_Toc5195"/>
      <w:bookmarkStart w:id="935" w:name="_Toc31901"/>
      <w:bookmarkStart w:id="936" w:name="_Toc10941"/>
      <w:bookmarkStart w:id="937" w:name="_Toc31434"/>
      <w:bookmarkStart w:id="938" w:name="_Toc4561"/>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.5土壤环境现状监测与评价</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F8D4C83">
      <w:pPr>
        <w:pStyle w:val="21"/>
        <w:ind w:firstLine="480"/>
        <w:rPr>
          <w:rFonts w:hint="eastAsia" w:ascii="Times New Roman" w:hAnsi="Times New Roman" w:eastAsia="宋体" w:cs="Times New Roman"/>
          <w:color w:val="auto"/>
          <w:kern w:val="2"/>
          <w:sz w:val="24"/>
          <w:szCs w:val="24"/>
          <w:u w:val="none" w:color="auto"/>
          <w:lang w:val="en-US" w:eastAsia="zh-CN" w:bidi="ar-SA"/>
        </w:rPr>
      </w:pPr>
      <w:bookmarkStart w:id="939" w:name="_Toc28931"/>
      <w:bookmarkStart w:id="940" w:name="_Toc11094"/>
      <w:r>
        <w:rPr>
          <w:rFonts w:hint="eastAsia" w:ascii="Times New Roman" w:hAnsi="Times New Roman" w:eastAsia="宋体" w:cs="Times New Roman"/>
          <w:color w:val="auto"/>
          <w:kern w:val="2"/>
          <w:sz w:val="24"/>
          <w:szCs w:val="24"/>
          <w:u w:val="none" w:color="auto"/>
          <w:lang w:val="en-US" w:eastAsia="zh-CN" w:bidi="ar-SA"/>
        </w:rPr>
        <w:t>根据《环境影响评价技术导则-土壤环境》(HJ964-2018)中附录A（规范性附录）土壤环境影响评价行业项目类别表，</w:t>
      </w:r>
      <w:r>
        <w:rPr>
          <w:rFonts w:hint="default" w:ascii="Times New Roman" w:hAnsi="Times New Roman" w:eastAsia="宋体" w:cs="Times New Roman"/>
          <w:color w:val="auto"/>
          <w:kern w:val="2"/>
          <w:sz w:val="24"/>
          <w:szCs w:val="24"/>
          <w:u w:val="none" w:color="auto"/>
          <w:lang w:val="en-US" w:eastAsia="zh-CN" w:bidi="ar-SA"/>
        </w:rPr>
        <w:t>可知本项目属</w:t>
      </w:r>
      <w:r>
        <w:rPr>
          <w:rFonts w:hint="eastAsia" w:ascii="宋体" w:hAnsi="宋体" w:eastAsia="宋体" w:cs="宋体"/>
          <w:color w:val="auto"/>
          <w:kern w:val="2"/>
          <w:sz w:val="24"/>
          <w:szCs w:val="24"/>
          <w:u w:val="none" w:color="auto"/>
          <w:lang w:val="en-US" w:eastAsia="zh-CN" w:bidi="ar-SA"/>
        </w:rPr>
        <w:t>于“</w:t>
      </w:r>
      <w:r>
        <w:rPr>
          <w:rFonts w:hint="eastAsia" w:ascii="宋体" w:hAnsi="宋体" w:cs="宋体"/>
          <w:color w:val="auto"/>
          <w:kern w:val="2"/>
          <w:sz w:val="24"/>
          <w:szCs w:val="24"/>
          <w:u w:val="none" w:color="auto"/>
          <w:lang w:val="en-US" w:eastAsia="zh-CN" w:bidi="ar-SA"/>
        </w:rPr>
        <w:t>非金属矿物制品业</w:t>
      </w:r>
      <w:r>
        <w:rPr>
          <w:rFonts w:hint="eastAsia" w:ascii="宋体" w:hAnsi="宋体" w:eastAsia="宋体" w:cs="宋体"/>
          <w:color w:val="auto"/>
          <w:kern w:val="2"/>
          <w:sz w:val="24"/>
          <w:szCs w:val="24"/>
          <w:u w:val="none" w:color="auto"/>
          <w:lang w:val="en-US" w:eastAsia="zh-CN" w:bidi="ar-SA"/>
        </w:rPr>
        <w:t>”中的“</w:t>
      </w:r>
      <w:r>
        <w:rPr>
          <w:rFonts w:hint="eastAsia" w:ascii="宋体" w:hAnsi="宋体" w:cs="宋体"/>
          <w:color w:val="auto"/>
          <w:kern w:val="2"/>
          <w:sz w:val="24"/>
          <w:szCs w:val="24"/>
          <w:u w:val="none" w:color="auto"/>
          <w:lang w:val="en-US" w:eastAsia="zh-CN" w:bidi="ar-SA"/>
        </w:rPr>
        <w:t>含焙烧的石墨、碳素制品</w:t>
      </w:r>
      <w:r>
        <w:rPr>
          <w:rFonts w:hint="eastAsia" w:ascii="宋体" w:hAnsi="宋体" w:eastAsia="宋体" w:cs="宋体"/>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，类别为Ⅱ类</w:t>
      </w:r>
      <w:r>
        <w:rPr>
          <w:rFonts w:hint="eastAsia" w:ascii="Times New Roman" w:hAnsi="Times New Roman" w:eastAsia="宋体" w:cs="Times New Roman"/>
          <w:color w:val="auto"/>
          <w:kern w:val="2"/>
          <w:sz w:val="24"/>
          <w:szCs w:val="24"/>
          <w:u w:val="none" w:color="auto"/>
          <w:lang w:val="en-US" w:eastAsia="zh-CN" w:bidi="ar-SA"/>
        </w:rPr>
        <w:t>。</w:t>
      </w:r>
    </w:p>
    <w:p w14:paraId="16DD6701">
      <w:pPr>
        <w:pStyle w:val="21"/>
        <w:ind w:firstLine="480"/>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本项目占地面积约为40</w:t>
      </w:r>
      <w:r>
        <w:rPr>
          <w:rFonts w:hint="eastAsia"/>
          <w:b w:val="0"/>
          <w:bCs w:val="0"/>
          <w:color w:val="auto"/>
          <w:u w:val="none" w:color="auto"/>
          <w:lang w:val="en-US" w:eastAsia="zh-CN"/>
        </w:rPr>
        <w:t>00</w:t>
      </w:r>
      <w:r>
        <w:rPr>
          <w:rFonts w:hint="eastAsia" w:ascii="Times New Roman" w:hAnsi="Times New Roman" w:eastAsia="宋体" w:cs="Times New Roman"/>
          <w:color w:val="auto"/>
          <w:kern w:val="2"/>
          <w:sz w:val="24"/>
          <w:szCs w:val="24"/>
          <w:u w:val="none" w:color="auto"/>
          <w:lang w:val="en-US" w:eastAsia="zh-CN" w:bidi="ar-SA"/>
        </w:rPr>
        <w:t>m</w:t>
      </w:r>
      <w:r>
        <w:rPr>
          <w:rFonts w:hint="eastAsia" w:ascii="Times New Roman" w:hAnsi="Times New Roman" w:eastAsia="宋体" w:cs="Times New Roman"/>
          <w:color w:val="auto"/>
          <w:kern w:val="2"/>
          <w:sz w:val="24"/>
          <w:szCs w:val="24"/>
          <w:u w:val="none" w:color="auto"/>
          <w:vertAlign w:val="superscript"/>
          <w:lang w:val="en-US" w:eastAsia="zh-CN" w:bidi="ar-SA"/>
        </w:rPr>
        <w:t>2</w:t>
      </w:r>
      <w:r>
        <w:rPr>
          <w:rFonts w:hint="eastAsia" w:ascii="Times New Roman" w:hAnsi="Times New Roman" w:eastAsia="宋体" w:cs="Times New Roman"/>
          <w:color w:val="auto"/>
          <w:kern w:val="2"/>
          <w:sz w:val="24"/>
          <w:szCs w:val="24"/>
          <w:u w:val="none" w:color="auto"/>
          <w:lang w:val="en-US" w:eastAsia="zh-CN" w:bidi="ar-SA"/>
        </w:rPr>
        <w:t>≤5hm</w:t>
      </w:r>
      <w:r>
        <w:rPr>
          <w:rFonts w:hint="eastAsia" w:ascii="Times New Roman" w:hAnsi="Times New Roman" w:eastAsia="宋体" w:cs="Times New Roman"/>
          <w:color w:val="auto"/>
          <w:kern w:val="2"/>
          <w:sz w:val="24"/>
          <w:szCs w:val="24"/>
          <w:u w:val="none" w:color="auto"/>
          <w:vertAlign w:val="superscript"/>
          <w:lang w:val="en-US" w:eastAsia="zh-CN" w:bidi="ar-SA"/>
        </w:rPr>
        <w:t>2</w:t>
      </w:r>
      <w:r>
        <w:rPr>
          <w:rFonts w:hint="eastAsia" w:ascii="Times New Roman" w:hAnsi="Times New Roman" w:eastAsia="宋体" w:cs="Times New Roman"/>
          <w:color w:val="auto"/>
          <w:kern w:val="2"/>
          <w:sz w:val="24"/>
          <w:szCs w:val="24"/>
          <w:u w:val="none" w:color="auto"/>
          <w:lang w:val="en-US" w:eastAsia="zh-CN" w:bidi="ar-SA"/>
        </w:rPr>
        <w:t>，占地规模属于小型。</w:t>
      </w:r>
    </w:p>
    <w:p w14:paraId="788A2AC2">
      <w:pPr>
        <w:pStyle w:val="21"/>
        <w:ind w:firstLine="480"/>
        <w:rPr>
          <w:rFonts w:hint="eastAsia"/>
          <w:color w:val="auto"/>
          <w:u w:val="none" w:color="auto"/>
        </w:rPr>
      </w:pPr>
      <w:r>
        <w:rPr>
          <w:rFonts w:hint="eastAsia"/>
          <w:color w:val="auto"/>
          <w:u w:val="none" w:color="auto"/>
        </w:rPr>
        <w:t>根据现场调查，根据《环境影响评价技术导则-土壤环境》中表3污染影响型敏感程度分级表，敏感程度为不敏感。</w:t>
      </w:r>
    </w:p>
    <w:p w14:paraId="3FC28AE0">
      <w:pPr>
        <w:pStyle w:val="21"/>
        <w:ind w:firstLine="480"/>
        <w:rPr>
          <w:rFonts w:hint="default" w:ascii="Times New Roman" w:hAnsi="Times New Roman" w:eastAsia="宋体" w:cs="Times New Roman"/>
          <w:color w:val="auto"/>
          <w:u w:val="none" w:color="auto"/>
          <w:lang w:val="en-US" w:eastAsia="zh-CN"/>
        </w:rPr>
      </w:pPr>
      <w:r>
        <w:rPr>
          <w:rFonts w:hint="eastAsia"/>
          <w:color w:val="auto"/>
          <w:u w:val="none" w:color="auto"/>
        </w:rPr>
        <w:t>本项目属于</w:t>
      </w:r>
      <w:r>
        <w:rPr>
          <w:rFonts w:hint="default" w:ascii="Times New Roman" w:hAnsi="Times New Roman" w:eastAsia="宋体" w:cs="Times New Roman"/>
          <w:color w:val="auto"/>
          <w:kern w:val="2"/>
          <w:sz w:val="24"/>
          <w:szCs w:val="24"/>
          <w:u w:val="none" w:color="auto"/>
          <w:lang w:val="en-US" w:eastAsia="zh-CN" w:bidi="ar-SA"/>
        </w:rPr>
        <w:t>Ⅱ</w:t>
      </w:r>
      <w:r>
        <w:rPr>
          <w:rFonts w:hint="eastAsia"/>
          <w:color w:val="auto"/>
          <w:u w:val="none" w:color="auto"/>
        </w:rPr>
        <w:t>类项目，占地面积为小型，占地类型为不</w:t>
      </w:r>
      <w:r>
        <w:rPr>
          <w:rFonts w:hint="eastAsia"/>
          <w:color w:val="auto"/>
          <w:u w:val="none" w:color="auto"/>
          <w:lang w:val="en-US" w:eastAsia="zh-CN"/>
        </w:rPr>
        <w:t>=</w:t>
      </w:r>
      <w:r>
        <w:rPr>
          <w:rFonts w:hint="eastAsia"/>
          <w:color w:val="auto"/>
          <w:u w:val="none" w:color="auto"/>
        </w:rPr>
        <w:t>敏感类型，本项目土壤环境影响评价等级为</w:t>
      </w:r>
      <w:r>
        <w:rPr>
          <w:rFonts w:hint="eastAsia"/>
          <w:color w:val="auto"/>
          <w:u w:val="none" w:color="auto"/>
          <w:lang w:val="en-US" w:eastAsia="zh-CN"/>
        </w:rPr>
        <w:t>二</w:t>
      </w:r>
      <w:r>
        <w:rPr>
          <w:rFonts w:hint="eastAsia"/>
          <w:color w:val="auto"/>
          <w:u w:val="none" w:color="auto"/>
        </w:rPr>
        <w:t>级</w:t>
      </w:r>
      <w:r>
        <w:rPr>
          <w:rFonts w:hint="eastAsia"/>
          <w:color w:val="auto"/>
          <w:u w:val="none" w:color="auto"/>
          <w:lang w:eastAsia="zh-CN"/>
        </w:rPr>
        <w:t>，</w:t>
      </w:r>
      <w:r>
        <w:rPr>
          <w:rFonts w:hint="eastAsia"/>
          <w:color w:val="auto"/>
          <w:u w:val="none" w:color="auto"/>
          <w:lang w:val="en-US" w:eastAsia="zh-CN"/>
        </w:rPr>
        <w:t>本次评价</w:t>
      </w:r>
      <w:r>
        <w:rPr>
          <w:rFonts w:hint="default" w:ascii="Times New Roman" w:hAnsi="Times New Roman" w:eastAsia="宋体" w:cs="Times New Roman"/>
          <w:color w:val="auto"/>
          <w:u w:val="none" w:color="auto"/>
          <w:lang w:eastAsia="zh-CN"/>
        </w:rPr>
        <w:t>委托江苏格林勒斯检测科技有限公司于202</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eastAsia="zh-CN"/>
        </w:rPr>
        <w:t>年</w:t>
      </w:r>
      <w:r>
        <w:rPr>
          <w:rFonts w:hint="eastAsia" w:ascii="Times New Roman" w:hAnsi="Times New Roman" w:eastAsia="宋体" w:cs="Times New Roman"/>
          <w:color w:val="auto"/>
          <w:u w:val="none" w:color="auto"/>
          <w:lang w:val="en-US" w:eastAsia="zh-CN"/>
        </w:rPr>
        <w:t>7</w:t>
      </w:r>
      <w:r>
        <w:rPr>
          <w:rFonts w:hint="default" w:ascii="Times New Roman" w:hAnsi="Times New Roman" w:eastAsia="宋体" w:cs="Times New Roman"/>
          <w:color w:val="auto"/>
          <w:u w:val="none" w:color="auto"/>
          <w:lang w:eastAsia="zh-CN"/>
        </w:rPr>
        <w:t>月</w:t>
      </w:r>
      <w:r>
        <w:rPr>
          <w:rFonts w:hint="eastAsia" w:ascii="Times New Roman" w:hAnsi="Times New Roman" w:eastAsia="宋体" w:cs="Times New Roman"/>
          <w:color w:val="auto"/>
          <w:u w:val="none" w:color="auto"/>
          <w:lang w:val="en-US" w:eastAsia="zh-CN"/>
        </w:rPr>
        <w:t>21</w:t>
      </w:r>
      <w:r>
        <w:rPr>
          <w:rFonts w:hint="default" w:ascii="Times New Roman" w:hAnsi="Times New Roman" w:eastAsia="宋体" w:cs="Times New Roman"/>
          <w:color w:val="auto"/>
          <w:u w:val="none" w:color="auto"/>
          <w:lang w:eastAsia="zh-CN"/>
        </w:rPr>
        <w:t>日对项目区域所在地周边土壤进行了补充监测。监测点位分布及监测项目见下表</w:t>
      </w:r>
      <w:r>
        <w:rPr>
          <w:rFonts w:hint="default" w:ascii="Times New Roman" w:hAnsi="Times New Roman" w:eastAsia="宋体" w:cs="Times New Roman"/>
          <w:color w:val="auto"/>
          <w:u w:val="none" w:color="auto"/>
          <w:lang w:val="en-US" w:eastAsia="zh-CN"/>
        </w:rPr>
        <w:t>。</w:t>
      </w:r>
    </w:p>
    <w:p w14:paraId="351FAD8A">
      <w:pPr>
        <w:pStyle w:val="2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val="en-US" w:eastAsia="zh-CN"/>
        </w:rPr>
        <w:t>9</w:t>
      </w:r>
      <w:r>
        <w:rPr>
          <w:rFonts w:hint="default" w:ascii="Times New Roman" w:hAnsi="Times New Roman" w:eastAsia="宋体" w:cs="Times New Roman"/>
          <w:color w:val="auto"/>
          <w:sz w:val="21"/>
          <w:szCs w:val="21"/>
          <w:u w:val="none" w:color="auto"/>
        </w:rPr>
        <w:t xml:space="preserve"> 土壤监测布点一览表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2"/>
        <w:gridCol w:w="1037"/>
        <w:gridCol w:w="1276"/>
        <w:gridCol w:w="751"/>
        <w:gridCol w:w="4786"/>
      </w:tblGrid>
      <w:tr w14:paraId="11B5F7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6F6EC0D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编号</w:t>
            </w:r>
          </w:p>
        </w:tc>
        <w:tc>
          <w:tcPr>
            <w:tcW w:w="1037" w:type="dxa"/>
            <w:tcBorders>
              <w:tl2br w:val="nil"/>
              <w:tr2bl w:val="nil"/>
            </w:tcBorders>
            <w:noWrap w:val="0"/>
            <w:vAlign w:val="center"/>
          </w:tcPr>
          <w:p w14:paraId="29CDE55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布点位置类别</w:t>
            </w:r>
          </w:p>
        </w:tc>
        <w:tc>
          <w:tcPr>
            <w:tcW w:w="1276" w:type="dxa"/>
            <w:tcBorders>
              <w:tl2br w:val="nil"/>
              <w:tr2bl w:val="nil"/>
            </w:tcBorders>
            <w:noWrap w:val="0"/>
            <w:vAlign w:val="center"/>
          </w:tcPr>
          <w:p w14:paraId="6B1F1F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具体位置</w:t>
            </w:r>
          </w:p>
        </w:tc>
        <w:tc>
          <w:tcPr>
            <w:tcW w:w="751" w:type="dxa"/>
            <w:tcBorders>
              <w:tl2br w:val="nil"/>
              <w:tr2bl w:val="nil"/>
            </w:tcBorders>
            <w:noWrap w:val="0"/>
            <w:vAlign w:val="center"/>
          </w:tcPr>
          <w:p w14:paraId="75C076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布点类型</w:t>
            </w:r>
          </w:p>
        </w:tc>
        <w:tc>
          <w:tcPr>
            <w:tcW w:w="4786" w:type="dxa"/>
            <w:tcBorders>
              <w:tl2br w:val="nil"/>
              <w:tr2bl w:val="nil"/>
            </w:tcBorders>
            <w:noWrap w:val="0"/>
            <w:vAlign w:val="center"/>
          </w:tcPr>
          <w:p w14:paraId="41461B77">
            <w:pPr>
              <w:keepNext w:val="0"/>
              <w:keepLines w:val="0"/>
              <w:pageBreakBefore w:val="0"/>
              <w:widowControl w:val="0"/>
              <w:kinsoku/>
              <w:wordWrap/>
              <w:overflowPunct/>
              <w:topLinePunct w:val="0"/>
              <w:autoSpaceDE/>
              <w:autoSpaceDN/>
              <w:bidi w:val="0"/>
              <w:adjustRightInd/>
              <w:snapToGrid w:val="0"/>
              <w:ind w:firstLine="422" w:firstLineChars="200"/>
              <w:jc w:val="center"/>
              <w:textAlignment w:val="auto"/>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监测因子</w:t>
            </w:r>
          </w:p>
        </w:tc>
      </w:tr>
      <w:tr w14:paraId="56F797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498AF9E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T</w:t>
            </w:r>
            <w:r>
              <w:rPr>
                <w:rFonts w:hint="eastAsia" w:ascii="Times New Roman" w:hAnsi="Times New Roman" w:eastAsia="宋体" w:cs="Times New Roman"/>
                <w:color w:val="auto"/>
                <w:kern w:val="2"/>
                <w:sz w:val="21"/>
                <w:szCs w:val="21"/>
                <w:u w:val="none"/>
                <w:lang w:val="en-US" w:eastAsia="zh-CN" w:bidi="ar-SA"/>
              </w:rPr>
              <w:t>1</w:t>
            </w:r>
          </w:p>
        </w:tc>
        <w:tc>
          <w:tcPr>
            <w:tcW w:w="1037" w:type="dxa"/>
            <w:vMerge w:val="restart"/>
            <w:tcBorders>
              <w:tl2br w:val="nil"/>
              <w:tr2bl w:val="nil"/>
            </w:tcBorders>
            <w:noWrap w:val="0"/>
            <w:vAlign w:val="center"/>
          </w:tcPr>
          <w:p w14:paraId="133D9C06">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项目占地范围</w:t>
            </w:r>
            <w:r>
              <w:rPr>
                <w:rFonts w:hint="eastAsia" w:ascii="Times New Roman" w:hAnsi="Times New Roman" w:eastAsia="宋体" w:cs="Times New Roman"/>
                <w:color w:val="auto"/>
                <w:kern w:val="2"/>
                <w:sz w:val="21"/>
                <w:szCs w:val="21"/>
                <w:u w:val="none"/>
                <w:lang w:val="en-US" w:eastAsia="zh-CN" w:bidi="ar-SA"/>
              </w:rPr>
              <w:t>内</w:t>
            </w:r>
          </w:p>
        </w:tc>
        <w:tc>
          <w:tcPr>
            <w:tcW w:w="1276" w:type="dxa"/>
            <w:tcBorders>
              <w:tl2br w:val="nil"/>
              <w:tr2bl w:val="nil"/>
            </w:tcBorders>
            <w:noWrap w:val="0"/>
            <w:vAlign w:val="center"/>
          </w:tcPr>
          <w:p w14:paraId="0B7B237B">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空地北侧</w:t>
            </w:r>
          </w:p>
        </w:tc>
        <w:tc>
          <w:tcPr>
            <w:tcW w:w="751" w:type="dxa"/>
            <w:vMerge w:val="restart"/>
            <w:tcBorders>
              <w:tl2br w:val="nil"/>
              <w:tr2bl w:val="nil"/>
            </w:tcBorders>
            <w:noWrap w:val="0"/>
            <w:vAlign w:val="center"/>
          </w:tcPr>
          <w:p w14:paraId="3C8BABA1">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柱状</w:t>
            </w:r>
            <w:r>
              <w:rPr>
                <w:rFonts w:hint="default" w:ascii="Times New Roman" w:hAnsi="Times New Roman" w:eastAsia="宋体" w:cs="Times New Roman"/>
                <w:color w:val="auto"/>
                <w:kern w:val="2"/>
                <w:sz w:val="21"/>
                <w:szCs w:val="21"/>
                <w:u w:val="none"/>
                <w:lang w:val="en-US" w:eastAsia="zh-CN" w:bidi="ar-SA"/>
              </w:rPr>
              <w:t>样点</w:t>
            </w:r>
          </w:p>
        </w:tc>
        <w:tc>
          <w:tcPr>
            <w:tcW w:w="4786" w:type="dxa"/>
            <w:vMerge w:val="restart"/>
            <w:tcBorders>
              <w:tl2br w:val="nil"/>
              <w:tr2bl w:val="nil"/>
            </w:tcBorders>
            <w:noWrap w:val="0"/>
            <w:vAlign w:val="center"/>
          </w:tcPr>
          <w:p w14:paraId="5A1F9AAE">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2-氯酚</w:t>
            </w:r>
            <w:r>
              <w:rPr>
                <w:rFonts w:hint="eastAsia" w:ascii="Times New Roman" w:hAnsi="Times New Roman" w:eastAsia="宋体" w:cs="Times New Roman"/>
                <w:color w:val="auto"/>
                <w:kern w:val="2"/>
                <w:sz w:val="21"/>
                <w:szCs w:val="21"/>
                <w:u w:val="none"/>
                <w:lang w:val="en-US" w:eastAsia="zh-CN" w:bidi="ar-SA"/>
              </w:rPr>
              <w:t>、石油烃</w:t>
            </w:r>
          </w:p>
        </w:tc>
      </w:tr>
      <w:tr w14:paraId="1833EF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33D1CD9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T</w:t>
            </w:r>
            <w:r>
              <w:rPr>
                <w:rFonts w:hint="eastAsia" w:ascii="Times New Roman" w:hAnsi="Times New Roman" w:eastAsia="宋体" w:cs="Times New Roman"/>
                <w:color w:val="auto"/>
                <w:kern w:val="2"/>
                <w:sz w:val="21"/>
                <w:szCs w:val="21"/>
                <w:u w:val="none"/>
                <w:lang w:val="en-US" w:eastAsia="zh-CN" w:bidi="ar-SA"/>
              </w:rPr>
              <w:t>2</w:t>
            </w:r>
          </w:p>
        </w:tc>
        <w:tc>
          <w:tcPr>
            <w:tcW w:w="1037" w:type="dxa"/>
            <w:vMerge w:val="continue"/>
            <w:tcBorders>
              <w:tl2br w:val="nil"/>
              <w:tr2bl w:val="nil"/>
            </w:tcBorders>
            <w:noWrap w:val="0"/>
            <w:vAlign w:val="center"/>
          </w:tcPr>
          <w:p w14:paraId="21D03154">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p>
        </w:tc>
        <w:tc>
          <w:tcPr>
            <w:tcW w:w="1276" w:type="dxa"/>
            <w:tcBorders>
              <w:tl2br w:val="nil"/>
              <w:tr2bl w:val="nil"/>
            </w:tcBorders>
            <w:noWrap w:val="0"/>
            <w:vAlign w:val="center"/>
          </w:tcPr>
          <w:p w14:paraId="51154F1A">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空地中心位置</w:t>
            </w:r>
          </w:p>
        </w:tc>
        <w:tc>
          <w:tcPr>
            <w:tcW w:w="751" w:type="dxa"/>
            <w:vMerge w:val="continue"/>
            <w:tcBorders>
              <w:tl2br w:val="nil"/>
              <w:tr2bl w:val="nil"/>
            </w:tcBorders>
            <w:noWrap w:val="0"/>
            <w:vAlign w:val="center"/>
          </w:tcPr>
          <w:p w14:paraId="29C9D2DB">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0"/>
                <w:u w:val="none"/>
                <w:lang w:val="en-US" w:eastAsia="zh-CN" w:bidi="ar-SA"/>
              </w:rPr>
            </w:pPr>
          </w:p>
        </w:tc>
        <w:tc>
          <w:tcPr>
            <w:tcW w:w="4786" w:type="dxa"/>
            <w:vMerge w:val="continue"/>
            <w:tcBorders>
              <w:tl2br w:val="nil"/>
              <w:tr2bl w:val="nil"/>
            </w:tcBorders>
            <w:noWrap w:val="0"/>
            <w:vAlign w:val="center"/>
          </w:tcPr>
          <w:p w14:paraId="53A470F7">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r>
      <w:tr w14:paraId="4638B3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58F5E6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T3</w:t>
            </w:r>
          </w:p>
        </w:tc>
        <w:tc>
          <w:tcPr>
            <w:tcW w:w="1037" w:type="dxa"/>
            <w:vMerge w:val="continue"/>
            <w:tcBorders>
              <w:tl2br w:val="nil"/>
              <w:tr2bl w:val="nil"/>
            </w:tcBorders>
            <w:noWrap w:val="0"/>
            <w:vAlign w:val="center"/>
          </w:tcPr>
          <w:p w14:paraId="508844BA">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p>
        </w:tc>
        <w:tc>
          <w:tcPr>
            <w:tcW w:w="1276" w:type="dxa"/>
            <w:tcBorders>
              <w:tl2br w:val="nil"/>
              <w:tr2bl w:val="nil"/>
            </w:tcBorders>
            <w:noWrap w:val="0"/>
            <w:vAlign w:val="center"/>
          </w:tcPr>
          <w:p w14:paraId="448DC7B2">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空地南侧</w:t>
            </w:r>
          </w:p>
        </w:tc>
        <w:tc>
          <w:tcPr>
            <w:tcW w:w="751" w:type="dxa"/>
            <w:vMerge w:val="continue"/>
            <w:tcBorders>
              <w:tl2br w:val="nil"/>
              <w:tr2bl w:val="nil"/>
            </w:tcBorders>
            <w:noWrap w:val="0"/>
            <w:vAlign w:val="center"/>
          </w:tcPr>
          <w:p w14:paraId="3423206F">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4786" w:type="dxa"/>
            <w:vMerge w:val="continue"/>
            <w:tcBorders>
              <w:tl2br w:val="nil"/>
              <w:tr2bl w:val="nil"/>
            </w:tcBorders>
            <w:noWrap w:val="0"/>
            <w:vAlign w:val="center"/>
          </w:tcPr>
          <w:p w14:paraId="4CEDEE6A">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r>
      <w:tr w14:paraId="3C25FA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69" w:hRule="atLeast"/>
          <w:jc w:val="center"/>
        </w:trPr>
        <w:tc>
          <w:tcPr>
            <w:tcW w:w="672" w:type="dxa"/>
            <w:tcBorders>
              <w:tl2br w:val="nil"/>
              <w:tr2bl w:val="nil"/>
            </w:tcBorders>
            <w:noWrap w:val="0"/>
            <w:vAlign w:val="center"/>
          </w:tcPr>
          <w:p w14:paraId="4040C7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T4</w:t>
            </w:r>
          </w:p>
        </w:tc>
        <w:tc>
          <w:tcPr>
            <w:tcW w:w="1037" w:type="dxa"/>
            <w:vMerge w:val="continue"/>
            <w:tcBorders>
              <w:tl2br w:val="nil"/>
              <w:tr2bl w:val="nil"/>
            </w:tcBorders>
            <w:noWrap w:val="0"/>
            <w:vAlign w:val="center"/>
          </w:tcPr>
          <w:p w14:paraId="279E94B5">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p>
        </w:tc>
        <w:tc>
          <w:tcPr>
            <w:tcW w:w="1276" w:type="dxa"/>
            <w:tcBorders>
              <w:tl2br w:val="nil"/>
              <w:tr2bl w:val="nil"/>
            </w:tcBorders>
            <w:noWrap w:val="0"/>
            <w:vAlign w:val="center"/>
          </w:tcPr>
          <w:p w14:paraId="53B5EF1D">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空地中心位置</w:t>
            </w:r>
          </w:p>
        </w:tc>
        <w:tc>
          <w:tcPr>
            <w:tcW w:w="751" w:type="dxa"/>
            <w:vMerge w:val="restart"/>
            <w:tcBorders>
              <w:tl2br w:val="nil"/>
              <w:tr2bl w:val="nil"/>
            </w:tcBorders>
            <w:noWrap w:val="0"/>
            <w:vAlign w:val="center"/>
          </w:tcPr>
          <w:p w14:paraId="34EF6FE7">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表层样点</w:t>
            </w:r>
          </w:p>
        </w:tc>
        <w:tc>
          <w:tcPr>
            <w:tcW w:w="4786" w:type="dxa"/>
            <w:tcBorders>
              <w:tl2br w:val="nil"/>
              <w:tr2bl w:val="nil"/>
            </w:tcBorders>
            <w:noWrap w:val="0"/>
            <w:vAlign w:val="center"/>
          </w:tcPr>
          <w:p w14:paraId="008E2D60">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pH、铜、铅、镉、铬（六价）、砷、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ascii="Times New Roman" w:hAnsi="Times New Roman" w:eastAsia="宋体"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石油烃共4</w:t>
            </w:r>
            <w:r>
              <w:rPr>
                <w:rFonts w:hint="eastAsia" w:ascii="Times New Roman" w:hAnsi="Times New Roman" w:eastAsia="宋体" w:cs="Times New Roman"/>
                <w:color w:val="auto"/>
                <w:kern w:val="2"/>
                <w:sz w:val="21"/>
                <w:szCs w:val="21"/>
                <w:u w:val="none"/>
                <w:lang w:val="en-US" w:eastAsia="zh-CN" w:bidi="ar-SA"/>
              </w:rPr>
              <w:t>7</w:t>
            </w:r>
            <w:r>
              <w:rPr>
                <w:rFonts w:hint="default" w:ascii="Times New Roman" w:hAnsi="Times New Roman" w:eastAsia="宋体" w:cs="Times New Roman"/>
                <w:color w:val="auto"/>
                <w:kern w:val="2"/>
                <w:sz w:val="21"/>
                <w:szCs w:val="21"/>
                <w:u w:val="none"/>
                <w:lang w:val="en-US" w:eastAsia="zh-CN" w:bidi="ar-SA"/>
              </w:rPr>
              <w:t>项</w:t>
            </w:r>
          </w:p>
        </w:tc>
      </w:tr>
      <w:tr w14:paraId="2E86D7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2BB4961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T5</w:t>
            </w:r>
          </w:p>
        </w:tc>
        <w:tc>
          <w:tcPr>
            <w:tcW w:w="1037" w:type="dxa"/>
            <w:vMerge w:val="restart"/>
            <w:tcBorders>
              <w:tl2br w:val="nil"/>
              <w:tr2bl w:val="nil"/>
            </w:tcBorders>
            <w:noWrap w:val="0"/>
            <w:vAlign w:val="center"/>
          </w:tcPr>
          <w:p w14:paraId="6697F45B">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项目占地范围外</w:t>
            </w:r>
          </w:p>
        </w:tc>
        <w:tc>
          <w:tcPr>
            <w:tcW w:w="1276" w:type="dxa"/>
            <w:tcBorders>
              <w:tl2br w:val="nil"/>
              <w:tr2bl w:val="nil"/>
            </w:tcBorders>
            <w:noWrap w:val="0"/>
            <w:vAlign w:val="center"/>
          </w:tcPr>
          <w:p w14:paraId="124662A5">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东北侧170m处空地</w:t>
            </w:r>
          </w:p>
        </w:tc>
        <w:tc>
          <w:tcPr>
            <w:tcW w:w="751" w:type="dxa"/>
            <w:vMerge w:val="continue"/>
            <w:tcBorders>
              <w:tl2br w:val="nil"/>
              <w:tr2bl w:val="nil"/>
            </w:tcBorders>
            <w:noWrap w:val="0"/>
            <w:vAlign w:val="center"/>
          </w:tcPr>
          <w:p w14:paraId="30E5476B">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4786" w:type="dxa"/>
            <w:vMerge w:val="restart"/>
            <w:tcBorders>
              <w:tl2br w:val="nil"/>
              <w:tr2bl w:val="nil"/>
            </w:tcBorders>
            <w:noWrap w:val="0"/>
            <w:vAlign w:val="center"/>
          </w:tcPr>
          <w:p w14:paraId="5A6B6F72">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2-氯酚</w:t>
            </w:r>
            <w:r>
              <w:rPr>
                <w:rFonts w:hint="eastAsia" w:ascii="Times New Roman" w:hAnsi="Times New Roman" w:eastAsia="宋体" w:cs="Times New Roman"/>
                <w:color w:val="auto"/>
                <w:kern w:val="2"/>
                <w:sz w:val="21"/>
                <w:szCs w:val="21"/>
                <w:u w:val="none"/>
                <w:lang w:val="en-US" w:eastAsia="zh-CN" w:bidi="ar-SA"/>
              </w:rPr>
              <w:t>、石油烃</w:t>
            </w:r>
          </w:p>
        </w:tc>
      </w:tr>
      <w:tr w14:paraId="52D621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72" w:type="dxa"/>
            <w:tcBorders>
              <w:tl2br w:val="nil"/>
              <w:tr2bl w:val="nil"/>
            </w:tcBorders>
            <w:noWrap w:val="0"/>
            <w:vAlign w:val="center"/>
          </w:tcPr>
          <w:p w14:paraId="713C305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T6</w:t>
            </w:r>
          </w:p>
        </w:tc>
        <w:tc>
          <w:tcPr>
            <w:tcW w:w="1037" w:type="dxa"/>
            <w:vMerge w:val="continue"/>
            <w:tcBorders>
              <w:tl2br w:val="nil"/>
              <w:tr2bl w:val="nil"/>
            </w:tcBorders>
            <w:noWrap w:val="0"/>
            <w:vAlign w:val="center"/>
          </w:tcPr>
          <w:p w14:paraId="0A752AEE">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highlight w:val="cyan"/>
                <w:u w:val="none"/>
                <w:lang w:val="en-US" w:eastAsia="zh-CN" w:bidi="ar-SA"/>
              </w:rPr>
            </w:pPr>
          </w:p>
        </w:tc>
        <w:tc>
          <w:tcPr>
            <w:tcW w:w="1276" w:type="dxa"/>
            <w:tcBorders>
              <w:tl2br w:val="nil"/>
              <w:tr2bl w:val="nil"/>
            </w:tcBorders>
            <w:noWrap w:val="0"/>
            <w:vAlign w:val="center"/>
          </w:tcPr>
          <w:p w14:paraId="29036253">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东侧175m处空地</w:t>
            </w:r>
          </w:p>
        </w:tc>
        <w:tc>
          <w:tcPr>
            <w:tcW w:w="751" w:type="dxa"/>
            <w:vMerge w:val="continue"/>
            <w:tcBorders>
              <w:tl2br w:val="nil"/>
              <w:tr2bl w:val="nil"/>
            </w:tcBorders>
            <w:noWrap w:val="0"/>
            <w:vAlign w:val="center"/>
          </w:tcPr>
          <w:p w14:paraId="75949DC3">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c>
          <w:tcPr>
            <w:tcW w:w="4786" w:type="dxa"/>
            <w:vMerge w:val="continue"/>
            <w:tcBorders>
              <w:tl2br w:val="nil"/>
              <w:tr2bl w:val="nil"/>
            </w:tcBorders>
            <w:noWrap w:val="0"/>
            <w:vAlign w:val="center"/>
          </w:tcPr>
          <w:p w14:paraId="6F1D683E">
            <w:pPr>
              <w:keepNext w:val="0"/>
              <w:keepLines w:val="0"/>
              <w:pageBreakBefore w:val="0"/>
              <w:widowControl w:val="0"/>
              <w:kinsoku/>
              <w:wordWrap/>
              <w:overflowPunct/>
              <w:topLinePunct w:val="0"/>
              <w:autoSpaceDE/>
              <w:autoSpaceDN/>
              <w:bidi w:val="0"/>
              <w:adjustRightInd/>
              <w:spacing w:line="0" w:lineRule="atLeast"/>
              <w:jc w:val="center"/>
              <w:textAlignment w:val="auto"/>
              <w:rPr>
                <w:rFonts w:hint="default" w:ascii="Times New Roman" w:hAnsi="Times New Roman" w:eastAsia="宋体" w:cs="Times New Roman"/>
                <w:color w:val="auto"/>
                <w:kern w:val="2"/>
                <w:sz w:val="21"/>
                <w:szCs w:val="21"/>
                <w:u w:val="none"/>
                <w:lang w:val="en-US" w:eastAsia="zh-CN" w:bidi="ar-SA"/>
              </w:rPr>
            </w:pPr>
          </w:p>
        </w:tc>
      </w:tr>
    </w:tbl>
    <w:p w14:paraId="2930B5E3">
      <w:pPr>
        <w:pStyle w:val="21"/>
        <w:ind w:firstLine="480"/>
        <w:rPr>
          <w:rFonts w:hint="default" w:ascii="Times New Roman" w:hAnsi="Times New Roman" w:eastAsia="宋体" w:cs="Times New Roman"/>
          <w:b/>
          <w:color w:val="auto"/>
          <w:sz w:val="21"/>
          <w:szCs w:val="21"/>
          <w:u w:val="none" w:color="auto"/>
          <w:lang w:eastAsia="zh-CN"/>
        </w:rPr>
      </w:pPr>
      <w:r>
        <w:rPr>
          <w:rFonts w:hint="default" w:ascii="Times New Roman" w:hAnsi="Times New Roman" w:eastAsia="宋体" w:cs="Times New Roman"/>
          <w:color w:val="auto"/>
          <w:u w:val="none" w:color="auto"/>
        </w:rPr>
        <w:t>土壤</w:t>
      </w:r>
      <w:r>
        <w:rPr>
          <w:rFonts w:hint="default" w:ascii="Times New Roman" w:hAnsi="Times New Roman" w:eastAsia="宋体" w:cs="Times New Roman"/>
          <w:color w:val="auto"/>
          <w:u w:val="none" w:color="auto"/>
          <w:lang w:eastAsia="zh-CN"/>
        </w:rPr>
        <w:t>理化性质调查结果</w:t>
      </w:r>
      <w:r>
        <w:rPr>
          <w:rFonts w:hint="default" w:ascii="Times New Roman" w:hAnsi="Times New Roman" w:eastAsia="宋体" w:cs="Times New Roman"/>
          <w:color w:val="auto"/>
          <w:u w:val="none" w:color="auto"/>
        </w:rPr>
        <w:t>见表</w:t>
      </w:r>
      <w:r>
        <w:rPr>
          <w:rFonts w:hint="eastAsia"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.3-1</w:t>
      </w:r>
      <w:r>
        <w:rPr>
          <w:rFonts w:hint="eastAsia"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w:t>
      </w:r>
    </w:p>
    <w:p w14:paraId="624FA01E">
      <w:pPr>
        <w:pStyle w:val="29"/>
        <w:rPr>
          <w:rFonts w:hint="default" w:ascii="Times New Roman" w:hAnsi="Times New Roman" w:eastAsia="宋体" w:cs="Times New Roman"/>
          <w:b/>
          <w:color w:val="auto"/>
          <w:sz w:val="21"/>
          <w:szCs w:val="21"/>
          <w:u w:val="none" w:color="auto"/>
          <w:lang w:eastAsia="zh-CN"/>
        </w:rPr>
      </w:pPr>
      <w:r>
        <w:rPr>
          <w:rFonts w:hint="default" w:ascii="Times New Roman" w:hAnsi="Times New Roman" w:eastAsia="宋体" w:cs="Times New Roman"/>
          <w:b/>
          <w:color w:val="auto"/>
          <w:sz w:val="21"/>
          <w:szCs w:val="21"/>
          <w:u w:val="none" w:color="auto"/>
          <w:lang w:eastAsia="zh-CN"/>
        </w:rPr>
        <w:t>表</w:t>
      </w:r>
      <w:r>
        <w:rPr>
          <w:rFonts w:hint="eastAsia" w:ascii="Times New Roman" w:hAnsi="Times New Roman" w:eastAsia="宋体" w:cs="Times New Roman"/>
          <w:b/>
          <w:color w:val="auto"/>
          <w:sz w:val="21"/>
          <w:szCs w:val="21"/>
          <w:u w:val="none" w:color="auto"/>
          <w:lang w:val="en-US" w:eastAsia="zh-CN"/>
        </w:rPr>
        <w:t>4</w:t>
      </w:r>
      <w:r>
        <w:rPr>
          <w:rFonts w:hint="default" w:ascii="Times New Roman" w:hAnsi="Times New Roman" w:eastAsia="宋体" w:cs="Times New Roman"/>
          <w:b/>
          <w:color w:val="auto"/>
          <w:sz w:val="21"/>
          <w:szCs w:val="21"/>
          <w:u w:val="none" w:color="auto"/>
          <w:lang w:eastAsia="zh-CN"/>
        </w:rPr>
        <w:t>.3-1</w:t>
      </w:r>
      <w:r>
        <w:rPr>
          <w:rFonts w:hint="eastAsia" w:ascii="Times New Roman" w:hAnsi="Times New Roman" w:eastAsia="宋体" w:cs="Times New Roman"/>
          <w:b/>
          <w:color w:val="auto"/>
          <w:sz w:val="21"/>
          <w:szCs w:val="21"/>
          <w:u w:val="none" w:color="auto"/>
          <w:lang w:val="en-US" w:eastAsia="zh-CN"/>
        </w:rPr>
        <w:t>0</w:t>
      </w:r>
      <w:r>
        <w:rPr>
          <w:rFonts w:hint="default" w:ascii="Times New Roman" w:hAnsi="Times New Roman" w:eastAsia="宋体" w:cs="Times New Roman"/>
          <w:b/>
          <w:color w:val="auto"/>
          <w:sz w:val="21"/>
          <w:szCs w:val="21"/>
          <w:u w:val="none" w:color="auto"/>
          <w:lang w:eastAsia="zh-CN"/>
        </w:rPr>
        <w:t xml:space="preserve">  理化性质调查结果</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8"/>
        <w:gridCol w:w="1781"/>
        <w:gridCol w:w="1587"/>
        <w:gridCol w:w="1588"/>
        <w:gridCol w:w="1579"/>
        <w:gridCol w:w="1579"/>
      </w:tblGrid>
      <w:tr w14:paraId="008AA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3F2E2C8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1587" w:type="dxa"/>
            <w:tcBorders>
              <w:tl2br w:val="nil"/>
              <w:tr2bl w:val="nil"/>
            </w:tcBorders>
            <w:noWrap w:val="0"/>
            <w:vAlign w:val="center"/>
          </w:tcPr>
          <w:p w14:paraId="70D3AA8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T2-1</w:t>
            </w:r>
          </w:p>
        </w:tc>
        <w:tc>
          <w:tcPr>
            <w:tcW w:w="1588" w:type="dxa"/>
            <w:tcBorders>
              <w:tl2br w:val="nil"/>
              <w:tr2bl w:val="nil"/>
            </w:tcBorders>
            <w:noWrap w:val="0"/>
            <w:vAlign w:val="center"/>
          </w:tcPr>
          <w:p w14:paraId="7D34268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T2-2</w:t>
            </w:r>
          </w:p>
        </w:tc>
        <w:tc>
          <w:tcPr>
            <w:tcW w:w="1579" w:type="dxa"/>
            <w:tcBorders>
              <w:tl2br w:val="nil"/>
              <w:tr2bl w:val="nil"/>
            </w:tcBorders>
            <w:noWrap w:val="0"/>
            <w:vAlign w:val="center"/>
          </w:tcPr>
          <w:p w14:paraId="5AEB41B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T2-3</w:t>
            </w:r>
          </w:p>
        </w:tc>
        <w:tc>
          <w:tcPr>
            <w:tcW w:w="1579" w:type="dxa"/>
            <w:tcBorders>
              <w:tl2br w:val="nil"/>
              <w:tr2bl w:val="nil"/>
            </w:tcBorders>
            <w:noWrap w:val="0"/>
            <w:vAlign w:val="center"/>
          </w:tcPr>
          <w:p w14:paraId="107221E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T5</w:t>
            </w:r>
          </w:p>
        </w:tc>
      </w:tr>
      <w:tr w14:paraId="42DD06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52F3C99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时间</w:t>
            </w:r>
          </w:p>
        </w:tc>
        <w:tc>
          <w:tcPr>
            <w:tcW w:w="6333" w:type="dxa"/>
            <w:gridSpan w:val="4"/>
            <w:tcBorders>
              <w:tl2br w:val="nil"/>
              <w:tr2bl w:val="nil"/>
            </w:tcBorders>
            <w:noWrap w:val="0"/>
            <w:vAlign w:val="center"/>
          </w:tcPr>
          <w:p w14:paraId="4877431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2025.7.21</w:t>
            </w:r>
          </w:p>
        </w:tc>
      </w:tr>
      <w:tr w14:paraId="3E9373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5B89186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经度</w:t>
            </w:r>
          </w:p>
        </w:tc>
        <w:tc>
          <w:tcPr>
            <w:tcW w:w="1587" w:type="dxa"/>
            <w:tcBorders>
              <w:tl2br w:val="nil"/>
              <w:tr2bl w:val="nil"/>
            </w:tcBorders>
            <w:noWrap w:val="0"/>
            <w:vAlign w:val="center"/>
          </w:tcPr>
          <w:p w14:paraId="158D032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113.150629</w:t>
            </w:r>
          </w:p>
        </w:tc>
        <w:tc>
          <w:tcPr>
            <w:tcW w:w="1588" w:type="dxa"/>
            <w:tcBorders>
              <w:tl2br w:val="nil"/>
              <w:tr2bl w:val="nil"/>
            </w:tcBorders>
            <w:noWrap w:val="0"/>
            <w:vAlign w:val="center"/>
          </w:tcPr>
          <w:p w14:paraId="6527D40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113.150629</w:t>
            </w:r>
          </w:p>
        </w:tc>
        <w:tc>
          <w:tcPr>
            <w:tcW w:w="1579" w:type="dxa"/>
            <w:tcBorders>
              <w:tl2br w:val="nil"/>
              <w:tr2bl w:val="nil"/>
            </w:tcBorders>
            <w:noWrap w:val="0"/>
            <w:vAlign w:val="center"/>
          </w:tcPr>
          <w:p w14:paraId="5099E53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113.150629</w:t>
            </w:r>
          </w:p>
        </w:tc>
        <w:tc>
          <w:tcPr>
            <w:tcW w:w="1579" w:type="dxa"/>
            <w:tcBorders>
              <w:tl2br w:val="nil"/>
              <w:tr2bl w:val="nil"/>
            </w:tcBorders>
            <w:noWrap w:val="0"/>
            <w:vAlign w:val="center"/>
          </w:tcPr>
          <w:p w14:paraId="3FBEA91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113.151251</w:t>
            </w:r>
          </w:p>
        </w:tc>
      </w:tr>
      <w:tr w14:paraId="4F99CC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2D3684F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纬度</w:t>
            </w:r>
          </w:p>
        </w:tc>
        <w:tc>
          <w:tcPr>
            <w:tcW w:w="1587" w:type="dxa"/>
            <w:tcBorders>
              <w:tl2br w:val="nil"/>
              <w:tr2bl w:val="nil"/>
            </w:tcBorders>
            <w:noWrap w:val="0"/>
            <w:vAlign w:val="center"/>
          </w:tcPr>
          <w:p w14:paraId="26BF0CB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28.484372</w:t>
            </w:r>
          </w:p>
        </w:tc>
        <w:tc>
          <w:tcPr>
            <w:tcW w:w="1588" w:type="dxa"/>
            <w:tcBorders>
              <w:tl2br w:val="nil"/>
              <w:tr2bl w:val="nil"/>
            </w:tcBorders>
            <w:noWrap w:val="0"/>
            <w:vAlign w:val="center"/>
          </w:tcPr>
          <w:p w14:paraId="406073A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28.484372</w:t>
            </w:r>
          </w:p>
        </w:tc>
        <w:tc>
          <w:tcPr>
            <w:tcW w:w="1579" w:type="dxa"/>
            <w:tcBorders>
              <w:tl2br w:val="nil"/>
              <w:tr2bl w:val="nil"/>
            </w:tcBorders>
            <w:noWrap w:val="0"/>
            <w:vAlign w:val="center"/>
          </w:tcPr>
          <w:p w14:paraId="4C52288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28.484372</w:t>
            </w:r>
          </w:p>
        </w:tc>
        <w:tc>
          <w:tcPr>
            <w:tcW w:w="1579" w:type="dxa"/>
            <w:tcBorders>
              <w:tl2br w:val="nil"/>
              <w:tr2bl w:val="nil"/>
            </w:tcBorders>
            <w:noWrap w:val="0"/>
            <w:vAlign w:val="center"/>
          </w:tcPr>
          <w:p w14:paraId="454E0F5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28.484681</w:t>
            </w:r>
          </w:p>
        </w:tc>
      </w:tr>
      <w:tr w14:paraId="0DD99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0B88435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层次</w:t>
            </w:r>
          </w:p>
        </w:tc>
        <w:tc>
          <w:tcPr>
            <w:tcW w:w="1587" w:type="dxa"/>
            <w:tcBorders>
              <w:tl2br w:val="nil"/>
              <w:tr2bl w:val="nil"/>
            </w:tcBorders>
            <w:noWrap w:val="0"/>
            <w:vAlign w:val="center"/>
          </w:tcPr>
          <w:p w14:paraId="777B9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第一层</w:t>
            </w:r>
          </w:p>
        </w:tc>
        <w:tc>
          <w:tcPr>
            <w:tcW w:w="1588" w:type="dxa"/>
            <w:tcBorders>
              <w:tl2br w:val="nil"/>
              <w:tr2bl w:val="nil"/>
            </w:tcBorders>
            <w:noWrap w:val="0"/>
            <w:vAlign w:val="center"/>
          </w:tcPr>
          <w:p w14:paraId="58116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第二层</w:t>
            </w:r>
          </w:p>
        </w:tc>
        <w:tc>
          <w:tcPr>
            <w:tcW w:w="1579" w:type="dxa"/>
            <w:tcBorders>
              <w:tl2br w:val="nil"/>
              <w:tr2bl w:val="nil"/>
            </w:tcBorders>
            <w:noWrap w:val="0"/>
            <w:vAlign w:val="center"/>
          </w:tcPr>
          <w:p w14:paraId="059E3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w:t>
            </w:r>
            <w:r>
              <w:rPr>
                <w:rFonts w:hint="eastAsia"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层</w:t>
            </w:r>
          </w:p>
        </w:tc>
        <w:tc>
          <w:tcPr>
            <w:tcW w:w="1579" w:type="dxa"/>
            <w:tcBorders>
              <w:tl2br w:val="nil"/>
              <w:tr2bl w:val="nil"/>
            </w:tcBorders>
            <w:noWrap w:val="0"/>
            <w:vAlign w:val="center"/>
          </w:tcPr>
          <w:p w14:paraId="2D4B9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第一层</w:t>
            </w:r>
          </w:p>
        </w:tc>
      </w:tr>
      <w:tr w14:paraId="1EB2F2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189" w:type="dxa"/>
            <w:gridSpan w:val="2"/>
            <w:tcBorders>
              <w:tl2br w:val="nil"/>
              <w:tr2bl w:val="nil"/>
            </w:tcBorders>
            <w:noWrap w:val="0"/>
            <w:vAlign w:val="center"/>
          </w:tcPr>
          <w:p w14:paraId="3B13051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深度（m）</w:t>
            </w:r>
          </w:p>
        </w:tc>
        <w:tc>
          <w:tcPr>
            <w:tcW w:w="1587" w:type="dxa"/>
            <w:tcBorders>
              <w:tl2br w:val="nil"/>
              <w:tr2bl w:val="nil"/>
            </w:tcBorders>
            <w:noWrap w:val="0"/>
            <w:vAlign w:val="center"/>
          </w:tcPr>
          <w:p w14:paraId="577E6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88" w:type="dxa"/>
            <w:tcBorders>
              <w:tl2br w:val="nil"/>
              <w:tr2bl w:val="nil"/>
            </w:tcBorders>
            <w:noWrap w:val="0"/>
            <w:vAlign w:val="center"/>
          </w:tcPr>
          <w:p w14:paraId="1C451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0.5~1.5</w:t>
            </w:r>
          </w:p>
        </w:tc>
        <w:tc>
          <w:tcPr>
            <w:tcW w:w="1579" w:type="dxa"/>
            <w:tcBorders>
              <w:tl2br w:val="nil"/>
              <w:tr2bl w:val="nil"/>
            </w:tcBorders>
            <w:noWrap w:val="0"/>
            <w:vAlign w:val="center"/>
          </w:tcPr>
          <w:p w14:paraId="56B06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w:t>
            </w:r>
          </w:p>
        </w:tc>
        <w:tc>
          <w:tcPr>
            <w:tcW w:w="1579" w:type="dxa"/>
            <w:tcBorders>
              <w:tl2br w:val="nil"/>
              <w:tr2bl w:val="nil"/>
            </w:tcBorders>
            <w:noWrap w:val="0"/>
            <w:vAlign w:val="center"/>
          </w:tcPr>
          <w:p w14:paraId="3B699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699276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restart"/>
            <w:tcBorders>
              <w:tl2br w:val="nil"/>
              <w:tr2bl w:val="nil"/>
            </w:tcBorders>
            <w:noWrap w:val="0"/>
            <w:vAlign w:val="center"/>
          </w:tcPr>
          <w:p w14:paraId="1F6D539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w:t>
            </w:r>
          </w:p>
          <w:p w14:paraId="0C1B8EE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w:t>
            </w:r>
          </w:p>
        </w:tc>
        <w:tc>
          <w:tcPr>
            <w:tcW w:w="1781" w:type="dxa"/>
            <w:tcBorders>
              <w:tl2br w:val="nil"/>
              <w:tr2bl w:val="nil"/>
            </w:tcBorders>
            <w:noWrap w:val="0"/>
            <w:vAlign w:val="center"/>
          </w:tcPr>
          <w:p w14:paraId="420AA0C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w:t>
            </w:r>
          </w:p>
        </w:tc>
        <w:tc>
          <w:tcPr>
            <w:tcW w:w="1587" w:type="dxa"/>
            <w:tcBorders>
              <w:tl2br w:val="nil"/>
              <w:tr2bl w:val="nil"/>
            </w:tcBorders>
            <w:noWrap w:val="0"/>
            <w:vAlign w:val="center"/>
          </w:tcPr>
          <w:p w14:paraId="183F19E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红棕色</w:t>
            </w:r>
          </w:p>
        </w:tc>
        <w:tc>
          <w:tcPr>
            <w:tcW w:w="1588" w:type="dxa"/>
            <w:tcBorders>
              <w:tl2br w:val="nil"/>
              <w:tr2bl w:val="nil"/>
            </w:tcBorders>
            <w:noWrap w:val="0"/>
            <w:vAlign w:val="center"/>
          </w:tcPr>
          <w:p w14:paraId="0A9D6A2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红棕色</w:t>
            </w:r>
          </w:p>
        </w:tc>
        <w:tc>
          <w:tcPr>
            <w:tcW w:w="1579" w:type="dxa"/>
            <w:tcBorders>
              <w:tl2br w:val="nil"/>
              <w:tr2bl w:val="nil"/>
            </w:tcBorders>
            <w:noWrap w:val="0"/>
            <w:vAlign w:val="center"/>
          </w:tcPr>
          <w:p w14:paraId="496743F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红棕色</w:t>
            </w:r>
          </w:p>
        </w:tc>
        <w:tc>
          <w:tcPr>
            <w:tcW w:w="1579" w:type="dxa"/>
            <w:tcBorders>
              <w:tl2br w:val="nil"/>
              <w:tr2bl w:val="nil"/>
            </w:tcBorders>
            <w:noWrap w:val="0"/>
            <w:vAlign w:val="center"/>
          </w:tcPr>
          <w:p w14:paraId="14F69D2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红棕色</w:t>
            </w:r>
          </w:p>
        </w:tc>
      </w:tr>
      <w:tr w14:paraId="46D642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409C08E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81" w:type="dxa"/>
            <w:tcBorders>
              <w:tl2br w:val="nil"/>
              <w:tr2bl w:val="nil"/>
            </w:tcBorders>
            <w:noWrap w:val="0"/>
            <w:vAlign w:val="center"/>
          </w:tcPr>
          <w:p w14:paraId="1862476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结构</w:t>
            </w:r>
          </w:p>
        </w:tc>
        <w:tc>
          <w:tcPr>
            <w:tcW w:w="1587" w:type="dxa"/>
            <w:tcBorders>
              <w:tl2br w:val="nil"/>
              <w:tr2bl w:val="nil"/>
            </w:tcBorders>
            <w:noWrap w:val="0"/>
            <w:vAlign w:val="center"/>
          </w:tcPr>
          <w:p w14:paraId="29553B0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团粒</w:t>
            </w:r>
          </w:p>
        </w:tc>
        <w:tc>
          <w:tcPr>
            <w:tcW w:w="1588" w:type="dxa"/>
            <w:tcBorders>
              <w:tl2br w:val="nil"/>
              <w:tr2bl w:val="nil"/>
            </w:tcBorders>
            <w:noWrap w:val="0"/>
            <w:vAlign w:val="center"/>
          </w:tcPr>
          <w:p w14:paraId="6B23272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团粒</w:t>
            </w:r>
          </w:p>
        </w:tc>
        <w:tc>
          <w:tcPr>
            <w:tcW w:w="1579" w:type="dxa"/>
            <w:tcBorders>
              <w:tl2br w:val="nil"/>
              <w:tr2bl w:val="nil"/>
            </w:tcBorders>
            <w:noWrap w:val="0"/>
            <w:vAlign w:val="center"/>
          </w:tcPr>
          <w:p w14:paraId="5DF3F51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团粒</w:t>
            </w:r>
          </w:p>
        </w:tc>
        <w:tc>
          <w:tcPr>
            <w:tcW w:w="1579" w:type="dxa"/>
            <w:tcBorders>
              <w:tl2br w:val="nil"/>
              <w:tr2bl w:val="nil"/>
            </w:tcBorders>
            <w:noWrap w:val="0"/>
            <w:vAlign w:val="center"/>
          </w:tcPr>
          <w:p w14:paraId="0B21901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团粒</w:t>
            </w:r>
          </w:p>
        </w:tc>
      </w:tr>
      <w:tr w14:paraId="4D552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7EEC4A3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1FB9F19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质地</w:t>
            </w:r>
          </w:p>
        </w:tc>
        <w:tc>
          <w:tcPr>
            <w:tcW w:w="1587" w:type="dxa"/>
            <w:tcBorders>
              <w:tl2br w:val="nil"/>
              <w:tr2bl w:val="nil"/>
            </w:tcBorders>
            <w:noWrap w:val="0"/>
            <w:vAlign w:val="center"/>
          </w:tcPr>
          <w:p w14:paraId="489B2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砂壤土</w:t>
            </w:r>
          </w:p>
        </w:tc>
        <w:tc>
          <w:tcPr>
            <w:tcW w:w="1588" w:type="dxa"/>
            <w:tcBorders>
              <w:tl2br w:val="nil"/>
              <w:tr2bl w:val="nil"/>
            </w:tcBorders>
            <w:noWrap w:val="0"/>
            <w:vAlign w:val="center"/>
          </w:tcPr>
          <w:p w14:paraId="20AAF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砂壤土</w:t>
            </w:r>
          </w:p>
        </w:tc>
        <w:tc>
          <w:tcPr>
            <w:tcW w:w="1579" w:type="dxa"/>
            <w:tcBorders>
              <w:tl2br w:val="nil"/>
              <w:tr2bl w:val="nil"/>
            </w:tcBorders>
            <w:noWrap w:val="0"/>
            <w:vAlign w:val="center"/>
          </w:tcPr>
          <w:p w14:paraId="27199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砂壤土</w:t>
            </w:r>
          </w:p>
        </w:tc>
        <w:tc>
          <w:tcPr>
            <w:tcW w:w="1579" w:type="dxa"/>
            <w:tcBorders>
              <w:tl2br w:val="nil"/>
              <w:tr2bl w:val="nil"/>
            </w:tcBorders>
            <w:noWrap w:val="0"/>
            <w:vAlign w:val="center"/>
          </w:tcPr>
          <w:p w14:paraId="1287A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砂壤土</w:t>
            </w:r>
          </w:p>
        </w:tc>
      </w:tr>
      <w:tr w14:paraId="7EB3B0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21E1873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765A069B">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砂砾含量</w:t>
            </w:r>
            <w:r>
              <w:rPr>
                <w:rFonts w:hint="eastAsia" w:ascii="Times New Roman" w:hAnsi="Times New Roman" w:eastAsia="宋体" w:cs="Times New Roman"/>
                <w:caps w:val="0"/>
                <w:smallCaps w:val="0"/>
                <w:kern w:val="0"/>
                <w:sz w:val="21"/>
                <w:szCs w:val="21"/>
                <w:u w:val="none"/>
              </w:rPr>
              <w:t xml:space="preserve">（砂粒 </w:t>
            </w:r>
            <w:r>
              <w:rPr>
                <w:rFonts w:hint="eastAsia" w:ascii="Times New Roman" w:hAnsi="Times New Roman" w:eastAsia="宋体" w:cs="Times New Roman"/>
                <w:caps w:val="0"/>
                <w:smallCaps w:val="0"/>
                <w:kern w:val="0"/>
                <w:sz w:val="21"/>
                <w:szCs w:val="21"/>
                <w:u w:val="none"/>
                <w:lang w:val="en-US" w:eastAsia="zh-CN"/>
              </w:rPr>
              <w:t>＞</w:t>
            </w:r>
            <w:r>
              <w:rPr>
                <w:rFonts w:hint="eastAsia" w:ascii="Times New Roman" w:hAnsi="Times New Roman" w:eastAsia="宋体" w:cs="Times New Roman"/>
                <w:caps w:val="0"/>
                <w:smallCaps w:val="0"/>
                <w:kern w:val="0"/>
                <w:sz w:val="21"/>
                <w:szCs w:val="21"/>
                <w:u w:val="none"/>
              </w:rPr>
              <w:t>0.075mm）</w:t>
            </w:r>
          </w:p>
        </w:tc>
        <w:tc>
          <w:tcPr>
            <w:tcW w:w="1587" w:type="dxa"/>
            <w:tcBorders>
              <w:tl2br w:val="nil"/>
              <w:tr2bl w:val="nil"/>
            </w:tcBorders>
            <w:noWrap w:val="0"/>
            <w:vAlign w:val="center"/>
          </w:tcPr>
          <w:p w14:paraId="2C189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1588" w:type="dxa"/>
            <w:tcBorders>
              <w:tl2br w:val="nil"/>
              <w:tr2bl w:val="nil"/>
            </w:tcBorders>
            <w:noWrap w:val="0"/>
            <w:vAlign w:val="center"/>
          </w:tcPr>
          <w:p w14:paraId="7507E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1579" w:type="dxa"/>
            <w:tcBorders>
              <w:tl2br w:val="nil"/>
              <w:tr2bl w:val="nil"/>
            </w:tcBorders>
            <w:noWrap w:val="0"/>
            <w:vAlign w:val="center"/>
          </w:tcPr>
          <w:p w14:paraId="0EAE2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19.0</w:t>
            </w:r>
          </w:p>
        </w:tc>
        <w:tc>
          <w:tcPr>
            <w:tcW w:w="1579" w:type="dxa"/>
            <w:tcBorders>
              <w:tl2br w:val="nil"/>
              <w:tr2bl w:val="nil"/>
            </w:tcBorders>
            <w:noWrap w:val="0"/>
            <w:vAlign w:val="center"/>
          </w:tcPr>
          <w:p w14:paraId="280B7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17.3</w:t>
            </w:r>
          </w:p>
        </w:tc>
      </w:tr>
      <w:tr w14:paraId="19D964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229A69D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1DFB606C">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砂砾含量</w:t>
            </w:r>
            <w:r>
              <w:rPr>
                <w:rFonts w:hint="eastAsia" w:ascii="Times New Roman" w:hAnsi="Times New Roman" w:eastAsia="宋体" w:cs="Times New Roman"/>
                <w:caps w:val="0"/>
                <w:smallCaps w:val="0"/>
                <w:kern w:val="0"/>
                <w:sz w:val="21"/>
                <w:szCs w:val="21"/>
                <w:u w:val="none"/>
              </w:rPr>
              <w:t>（粉粒 0.005~0.075mm）</w:t>
            </w:r>
          </w:p>
        </w:tc>
        <w:tc>
          <w:tcPr>
            <w:tcW w:w="1587" w:type="dxa"/>
            <w:tcBorders>
              <w:tl2br w:val="nil"/>
              <w:tr2bl w:val="nil"/>
            </w:tcBorders>
            <w:noWrap w:val="0"/>
            <w:vAlign w:val="center"/>
          </w:tcPr>
          <w:p w14:paraId="10DD0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60.9</w:t>
            </w:r>
          </w:p>
        </w:tc>
        <w:tc>
          <w:tcPr>
            <w:tcW w:w="1588" w:type="dxa"/>
            <w:tcBorders>
              <w:tl2br w:val="nil"/>
              <w:tr2bl w:val="nil"/>
            </w:tcBorders>
            <w:noWrap w:val="0"/>
            <w:vAlign w:val="center"/>
          </w:tcPr>
          <w:p w14:paraId="73134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63.3</w:t>
            </w:r>
          </w:p>
        </w:tc>
        <w:tc>
          <w:tcPr>
            <w:tcW w:w="1579" w:type="dxa"/>
            <w:tcBorders>
              <w:tl2br w:val="nil"/>
              <w:tr2bl w:val="nil"/>
            </w:tcBorders>
            <w:noWrap w:val="0"/>
            <w:vAlign w:val="center"/>
          </w:tcPr>
          <w:p w14:paraId="61F7F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58.4</w:t>
            </w:r>
          </w:p>
        </w:tc>
        <w:tc>
          <w:tcPr>
            <w:tcW w:w="1579" w:type="dxa"/>
            <w:tcBorders>
              <w:tl2br w:val="nil"/>
              <w:tr2bl w:val="nil"/>
            </w:tcBorders>
            <w:noWrap w:val="0"/>
            <w:vAlign w:val="center"/>
          </w:tcPr>
          <w:p w14:paraId="71F5B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59.5</w:t>
            </w:r>
          </w:p>
        </w:tc>
      </w:tr>
      <w:tr w14:paraId="3BB1A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0DB9DA2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39DB5D7F">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砂砾含量</w:t>
            </w:r>
            <w:r>
              <w:rPr>
                <w:rFonts w:hint="eastAsia" w:ascii="Times New Roman" w:hAnsi="Times New Roman" w:eastAsia="宋体" w:cs="Times New Roman"/>
                <w:caps w:val="0"/>
                <w:smallCaps w:val="0"/>
                <w:kern w:val="0"/>
                <w:sz w:val="21"/>
                <w:szCs w:val="21"/>
                <w:u w:val="none"/>
              </w:rPr>
              <w:t>（黏粒＜0.005mm）</w:t>
            </w:r>
          </w:p>
        </w:tc>
        <w:tc>
          <w:tcPr>
            <w:tcW w:w="1587" w:type="dxa"/>
            <w:tcBorders>
              <w:tl2br w:val="nil"/>
              <w:tr2bl w:val="nil"/>
            </w:tcBorders>
            <w:noWrap w:val="0"/>
            <w:vAlign w:val="center"/>
          </w:tcPr>
          <w:p w14:paraId="2BAD17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23.1</w:t>
            </w:r>
          </w:p>
        </w:tc>
        <w:tc>
          <w:tcPr>
            <w:tcW w:w="1588" w:type="dxa"/>
            <w:tcBorders>
              <w:tl2br w:val="nil"/>
              <w:tr2bl w:val="nil"/>
            </w:tcBorders>
            <w:noWrap w:val="0"/>
            <w:vAlign w:val="center"/>
          </w:tcPr>
          <w:p w14:paraId="46CB5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23.7</w:t>
            </w:r>
          </w:p>
        </w:tc>
        <w:tc>
          <w:tcPr>
            <w:tcW w:w="1579" w:type="dxa"/>
            <w:tcBorders>
              <w:tl2br w:val="nil"/>
              <w:tr2bl w:val="nil"/>
            </w:tcBorders>
            <w:noWrap w:val="0"/>
            <w:vAlign w:val="center"/>
          </w:tcPr>
          <w:p w14:paraId="228B9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22.6</w:t>
            </w:r>
          </w:p>
        </w:tc>
        <w:tc>
          <w:tcPr>
            <w:tcW w:w="1579" w:type="dxa"/>
            <w:tcBorders>
              <w:tl2br w:val="nil"/>
              <w:tr2bl w:val="nil"/>
            </w:tcBorders>
            <w:noWrap w:val="0"/>
            <w:vAlign w:val="center"/>
          </w:tcPr>
          <w:p w14:paraId="5FB9C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w:t>
            </w:r>
          </w:p>
        </w:tc>
      </w:tr>
      <w:tr w14:paraId="06D9B5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6AB8A7D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09E11025">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其他异物</w:t>
            </w:r>
          </w:p>
        </w:tc>
        <w:tc>
          <w:tcPr>
            <w:tcW w:w="1587" w:type="dxa"/>
            <w:tcBorders>
              <w:tl2br w:val="nil"/>
              <w:tr2bl w:val="nil"/>
            </w:tcBorders>
            <w:noWrap w:val="0"/>
            <w:vAlign w:val="center"/>
          </w:tcPr>
          <w:p w14:paraId="7CA7B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c>
          <w:tcPr>
            <w:tcW w:w="1588" w:type="dxa"/>
            <w:tcBorders>
              <w:tl2br w:val="nil"/>
              <w:tr2bl w:val="nil"/>
            </w:tcBorders>
            <w:noWrap w:val="0"/>
            <w:vAlign w:val="center"/>
          </w:tcPr>
          <w:p w14:paraId="644B4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c>
          <w:tcPr>
            <w:tcW w:w="1579" w:type="dxa"/>
            <w:tcBorders>
              <w:tl2br w:val="nil"/>
              <w:tr2bl w:val="nil"/>
            </w:tcBorders>
            <w:noWrap w:val="0"/>
            <w:vAlign w:val="center"/>
          </w:tcPr>
          <w:p w14:paraId="4AC73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c>
          <w:tcPr>
            <w:tcW w:w="1579" w:type="dxa"/>
            <w:tcBorders>
              <w:tl2br w:val="nil"/>
              <w:tr2bl w:val="nil"/>
            </w:tcBorders>
            <w:noWrap w:val="0"/>
            <w:vAlign w:val="center"/>
          </w:tcPr>
          <w:p w14:paraId="2D4AAB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r>
      <w:tr w14:paraId="18C4A7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restart"/>
            <w:tcBorders>
              <w:tl2br w:val="nil"/>
              <w:tr2bl w:val="nil"/>
            </w:tcBorders>
            <w:noWrap w:val="0"/>
            <w:vAlign w:val="center"/>
          </w:tcPr>
          <w:p w14:paraId="4C961CF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ascii="Times New Roman" w:hAnsi="Times New Roman" w:eastAsia="宋体" w:cs="Times New Roman"/>
                <w:caps w:val="0"/>
                <w:smallCaps w:val="0"/>
                <w:kern w:val="0"/>
                <w:sz w:val="21"/>
                <w:szCs w:val="21"/>
                <w:u w:val="none"/>
              </w:rPr>
              <w:t>实验室测定</w:t>
            </w:r>
          </w:p>
        </w:tc>
        <w:tc>
          <w:tcPr>
            <w:tcW w:w="1781" w:type="dxa"/>
            <w:tcBorders>
              <w:tl2br w:val="nil"/>
              <w:tr2bl w:val="nil"/>
            </w:tcBorders>
            <w:noWrap w:val="0"/>
            <w:vAlign w:val="center"/>
          </w:tcPr>
          <w:p w14:paraId="74D3E1D2">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pH值</w:t>
            </w:r>
          </w:p>
        </w:tc>
        <w:tc>
          <w:tcPr>
            <w:tcW w:w="1587" w:type="dxa"/>
            <w:tcBorders>
              <w:tl2br w:val="nil"/>
              <w:tr2bl w:val="nil"/>
            </w:tcBorders>
            <w:noWrap w:val="0"/>
            <w:vAlign w:val="center"/>
          </w:tcPr>
          <w:p w14:paraId="7932C8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6.18</w:t>
            </w:r>
          </w:p>
        </w:tc>
        <w:tc>
          <w:tcPr>
            <w:tcW w:w="1588" w:type="dxa"/>
            <w:tcBorders>
              <w:tl2br w:val="nil"/>
              <w:tr2bl w:val="nil"/>
            </w:tcBorders>
            <w:noWrap w:val="0"/>
            <w:vAlign w:val="center"/>
          </w:tcPr>
          <w:p w14:paraId="49F4C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6.12</w:t>
            </w:r>
          </w:p>
        </w:tc>
        <w:tc>
          <w:tcPr>
            <w:tcW w:w="1579" w:type="dxa"/>
            <w:tcBorders>
              <w:tl2br w:val="nil"/>
              <w:tr2bl w:val="nil"/>
            </w:tcBorders>
            <w:noWrap w:val="0"/>
            <w:vAlign w:val="center"/>
          </w:tcPr>
          <w:p w14:paraId="1BA1D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6.27</w:t>
            </w:r>
          </w:p>
        </w:tc>
        <w:tc>
          <w:tcPr>
            <w:tcW w:w="1579" w:type="dxa"/>
            <w:tcBorders>
              <w:tl2br w:val="nil"/>
              <w:tr2bl w:val="nil"/>
            </w:tcBorders>
            <w:noWrap w:val="0"/>
            <w:vAlign w:val="center"/>
          </w:tcPr>
          <w:p w14:paraId="13DCD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6.11</w:t>
            </w:r>
          </w:p>
        </w:tc>
      </w:tr>
      <w:tr w14:paraId="0351ED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1E23263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1A409CD9">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阳离子交换量（</w:t>
            </w:r>
            <w:r>
              <w:rPr>
                <w:rFonts w:ascii="Times New Roman" w:hAnsi="Times New Roman" w:eastAsia="宋体" w:cs="Times New Roman"/>
                <w:bCs/>
                <w:caps w:val="0"/>
                <w:smallCaps w:val="0"/>
                <w:kern w:val="0"/>
                <w:sz w:val="21"/>
                <w:szCs w:val="21"/>
                <w:u w:val="none"/>
              </w:rPr>
              <w:t>cmol+/kg</w:t>
            </w:r>
            <w:r>
              <w:rPr>
                <w:rFonts w:ascii="Times New Roman" w:hAnsi="Times New Roman" w:eastAsia="宋体" w:cs="Times New Roman"/>
                <w:caps w:val="0"/>
                <w:smallCaps w:val="0"/>
                <w:kern w:val="0"/>
                <w:sz w:val="21"/>
                <w:szCs w:val="21"/>
                <w:u w:val="none"/>
              </w:rPr>
              <w:t>）</w:t>
            </w:r>
          </w:p>
        </w:tc>
        <w:tc>
          <w:tcPr>
            <w:tcW w:w="1587" w:type="dxa"/>
            <w:tcBorders>
              <w:tl2br w:val="nil"/>
              <w:tr2bl w:val="nil"/>
            </w:tcBorders>
            <w:noWrap w:val="0"/>
            <w:vAlign w:val="center"/>
          </w:tcPr>
          <w:p w14:paraId="57B56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588" w:type="dxa"/>
            <w:tcBorders>
              <w:tl2br w:val="nil"/>
              <w:tr2bl w:val="nil"/>
            </w:tcBorders>
            <w:noWrap w:val="0"/>
            <w:vAlign w:val="center"/>
          </w:tcPr>
          <w:p w14:paraId="7A7435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1579" w:type="dxa"/>
            <w:tcBorders>
              <w:tl2br w:val="nil"/>
              <w:tr2bl w:val="nil"/>
            </w:tcBorders>
            <w:noWrap w:val="0"/>
            <w:vAlign w:val="center"/>
          </w:tcPr>
          <w:p w14:paraId="3F6B3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579" w:type="dxa"/>
            <w:tcBorders>
              <w:tl2br w:val="nil"/>
              <w:tr2bl w:val="nil"/>
            </w:tcBorders>
            <w:noWrap w:val="0"/>
            <w:vAlign w:val="center"/>
          </w:tcPr>
          <w:p w14:paraId="6E5FE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14:paraId="7157EC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310419D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554957A6">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氧化还原电位（</w:t>
            </w:r>
            <w:r>
              <w:rPr>
                <w:rFonts w:ascii="Times New Roman" w:hAnsi="Times New Roman" w:eastAsia="宋体" w:cs="Times New Roman"/>
                <w:bCs/>
                <w:caps w:val="0"/>
                <w:smallCaps w:val="0"/>
                <w:kern w:val="0"/>
                <w:sz w:val="21"/>
                <w:szCs w:val="21"/>
                <w:u w:val="none"/>
              </w:rPr>
              <w:t>mV</w:t>
            </w:r>
            <w:r>
              <w:rPr>
                <w:rFonts w:ascii="Times New Roman" w:hAnsi="Times New Roman" w:eastAsia="宋体" w:cs="Times New Roman"/>
                <w:caps w:val="0"/>
                <w:smallCaps w:val="0"/>
                <w:kern w:val="0"/>
                <w:sz w:val="21"/>
                <w:szCs w:val="21"/>
                <w:u w:val="none"/>
              </w:rPr>
              <w:t>）</w:t>
            </w:r>
          </w:p>
        </w:tc>
        <w:tc>
          <w:tcPr>
            <w:tcW w:w="1587" w:type="dxa"/>
            <w:tcBorders>
              <w:tl2br w:val="nil"/>
              <w:tr2bl w:val="nil"/>
            </w:tcBorders>
            <w:noWrap w:val="0"/>
            <w:vAlign w:val="center"/>
          </w:tcPr>
          <w:p w14:paraId="6069F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503</w:t>
            </w:r>
          </w:p>
        </w:tc>
        <w:tc>
          <w:tcPr>
            <w:tcW w:w="1588" w:type="dxa"/>
            <w:tcBorders>
              <w:tl2br w:val="nil"/>
              <w:tr2bl w:val="nil"/>
            </w:tcBorders>
            <w:noWrap w:val="0"/>
            <w:vAlign w:val="center"/>
          </w:tcPr>
          <w:p w14:paraId="5ACFF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492</w:t>
            </w:r>
          </w:p>
        </w:tc>
        <w:tc>
          <w:tcPr>
            <w:tcW w:w="1579" w:type="dxa"/>
            <w:tcBorders>
              <w:tl2br w:val="nil"/>
              <w:tr2bl w:val="nil"/>
            </w:tcBorders>
            <w:noWrap w:val="0"/>
            <w:vAlign w:val="center"/>
          </w:tcPr>
          <w:p w14:paraId="250C1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485</w:t>
            </w:r>
          </w:p>
        </w:tc>
        <w:tc>
          <w:tcPr>
            <w:tcW w:w="1579" w:type="dxa"/>
            <w:tcBorders>
              <w:tl2br w:val="nil"/>
              <w:tr2bl w:val="nil"/>
            </w:tcBorders>
            <w:noWrap w:val="0"/>
            <w:vAlign w:val="center"/>
          </w:tcPr>
          <w:p w14:paraId="3CF447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499</w:t>
            </w:r>
          </w:p>
        </w:tc>
      </w:tr>
      <w:tr w14:paraId="28CE1D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5A43766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4020FDF5">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饱和导水率</w:t>
            </w:r>
            <w:r>
              <w:rPr>
                <w:rFonts w:hint="eastAsia" w:ascii="Times New Roman" w:hAnsi="Times New Roman" w:eastAsia="宋体" w:cs="Times New Roman"/>
                <w:caps w:val="0"/>
                <w:smallCaps w:val="0"/>
                <w:kern w:val="0"/>
                <w:sz w:val="21"/>
                <w:szCs w:val="21"/>
                <w:u w:val="none"/>
              </w:rPr>
              <w:t>（垂直）</w:t>
            </w:r>
            <w:r>
              <w:rPr>
                <w:rFonts w:ascii="Times New Roman" w:hAnsi="Times New Roman" w:eastAsia="宋体" w:cs="Times New Roman"/>
                <w:caps w:val="0"/>
                <w:smallCaps w:val="0"/>
                <w:kern w:val="0"/>
                <w:sz w:val="21"/>
                <w:szCs w:val="21"/>
                <w:u w:val="none"/>
              </w:rPr>
              <w:t>/（cm/s）</w:t>
            </w:r>
          </w:p>
        </w:tc>
        <w:tc>
          <w:tcPr>
            <w:tcW w:w="1587" w:type="dxa"/>
            <w:tcBorders>
              <w:tl2br w:val="nil"/>
              <w:tr2bl w:val="nil"/>
            </w:tcBorders>
            <w:noWrap w:val="0"/>
            <w:vAlign w:val="center"/>
          </w:tcPr>
          <w:p w14:paraId="4A734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6.85E-06</w:t>
            </w:r>
          </w:p>
        </w:tc>
        <w:tc>
          <w:tcPr>
            <w:tcW w:w="1588" w:type="dxa"/>
            <w:tcBorders>
              <w:tl2br w:val="nil"/>
              <w:tr2bl w:val="nil"/>
            </w:tcBorders>
            <w:noWrap w:val="0"/>
            <w:vAlign w:val="center"/>
          </w:tcPr>
          <w:p w14:paraId="58032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6.54E-06</w:t>
            </w:r>
          </w:p>
        </w:tc>
        <w:tc>
          <w:tcPr>
            <w:tcW w:w="1579" w:type="dxa"/>
            <w:tcBorders>
              <w:tl2br w:val="nil"/>
              <w:tr2bl w:val="nil"/>
            </w:tcBorders>
            <w:noWrap w:val="0"/>
            <w:vAlign w:val="center"/>
          </w:tcPr>
          <w:p w14:paraId="463B5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7.49E-06</w:t>
            </w:r>
          </w:p>
        </w:tc>
        <w:tc>
          <w:tcPr>
            <w:tcW w:w="1579" w:type="dxa"/>
            <w:tcBorders>
              <w:tl2br w:val="nil"/>
              <w:tr2bl w:val="nil"/>
            </w:tcBorders>
            <w:noWrap w:val="0"/>
            <w:vAlign w:val="center"/>
          </w:tcPr>
          <w:p w14:paraId="309EBE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7.24E-06</w:t>
            </w:r>
          </w:p>
        </w:tc>
      </w:tr>
      <w:tr w14:paraId="0D4001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2A0E1AD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12681DEA">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饱和导水率</w:t>
            </w:r>
            <w:r>
              <w:rPr>
                <w:rFonts w:hint="eastAsia" w:ascii="Times New Roman" w:hAnsi="Times New Roman" w:eastAsia="宋体" w:cs="Times New Roman"/>
                <w:caps w:val="0"/>
                <w:smallCaps w:val="0"/>
                <w:kern w:val="0"/>
                <w:sz w:val="21"/>
                <w:szCs w:val="21"/>
                <w:u w:val="none"/>
              </w:rPr>
              <w:t>（水平）</w:t>
            </w:r>
            <w:r>
              <w:rPr>
                <w:rFonts w:ascii="Times New Roman" w:hAnsi="Times New Roman" w:eastAsia="宋体" w:cs="Times New Roman"/>
                <w:caps w:val="0"/>
                <w:smallCaps w:val="0"/>
                <w:kern w:val="0"/>
                <w:sz w:val="21"/>
                <w:szCs w:val="21"/>
                <w:u w:val="none"/>
              </w:rPr>
              <w:t>/（cm/s）</w:t>
            </w:r>
          </w:p>
        </w:tc>
        <w:tc>
          <w:tcPr>
            <w:tcW w:w="1587" w:type="dxa"/>
            <w:tcBorders>
              <w:tl2br w:val="nil"/>
              <w:tr2bl w:val="nil"/>
            </w:tcBorders>
            <w:noWrap w:val="0"/>
            <w:vAlign w:val="center"/>
          </w:tcPr>
          <w:p w14:paraId="02216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7.63E-06</w:t>
            </w:r>
          </w:p>
        </w:tc>
        <w:tc>
          <w:tcPr>
            <w:tcW w:w="1588" w:type="dxa"/>
            <w:tcBorders>
              <w:tl2br w:val="nil"/>
              <w:tr2bl w:val="nil"/>
            </w:tcBorders>
            <w:noWrap w:val="0"/>
            <w:vAlign w:val="center"/>
          </w:tcPr>
          <w:p w14:paraId="78104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7.21E-06</w:t>
            </w:r>
          </w:p>
        </w:tc>
        <w:tc>
          <w:tcPr>
            <w:tcW w:w="1579" w:type="dxa"/>
            <w:tcBorders>
              <w:tl2br w:val="nil"/>
              <w:tr2bl w:val="nil"/>
            </w:tcBorders>
            <w:noWrap w:val="0"/>
            <w:vAlign w:val="center"/>
          </w:tcPr>
          <w:p w14:paraId="2EE36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8.32E-06</w:t>
            </w:r>
          </w:p>
        </w:tc>
        <w:tc>
          <w:tcPr>
            <w:tcW w:w="1579" w:type="dxa"/>
            <w:tcBorders>
              <w:tl2br w:val="nil"/>
              <w:tr2bl w:val="nil"/>
            </w:tcBorders>
            <w:noWrap w:val="0"/>
            <w:vAlign w:val="center"/>
          </w:tcPr>
          <w:p w14:paraId="0BE5E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8.09E-06</w:t>
            </w:r>
          </w:p>
        </w:tc>
      </w:tr>
      <w:tr w14:paraId="04D905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1E75FF0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5F21A700">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土壤容重/（g/</w:t>
            </w:r>
            <w:r>
              <w:rPr>
                <w:rFonts w:hint="eastAsia" w:ascii="Times New Roman" w:hAnsi="Times New Roman" w:eastAsia="宋体" w:cs="Times New Roman"/>
                <w:caps w:val="0"/>
                <w:smallCaps w:val="0"/>
                <w:kern w:val="0"/>
                <w:sz w:val="21"/>
                <w:szCs w:val="21"/>
                <w:u w:val="none"/>
              </w:rPr>
              <w:t>c</w:t>
            </w:r>
            <w:r>
              <w:rPr>
                <w:rFonts w:ascii="Times New Roman" w:hAnsi="Times New Roman" w:eastAsia="宋体" w:cs="Times New Roman"/>
                <w:caps w:val="0"/>
                <w:smallCaps w:val="0"/>
                <w:kern w:val="0"/>
                <w:sz w:val="21"/>
                <w:szCs w:val="21"/>
                <w:u w:val="none"/>
              </w:rPr>
              <w:t>m</w:t>
            </w:r>
            <w:r>
              <w:rPr>
                <w:rFonts w:ascii="Times New Roman" w:hAnsi="Times New Roman" w:eastAsia="宋体" w:cs="Times New Roman"/>
                <w:caps w:val="0"/>
                <w:smallCaps w:val="0"/>
                <w:kern w:val="0"/>
                <w:sz w:val="21"/>
                <w:szCs w:val="21"/>
                <w:u w:val="none"/>
                <w:vertAlign w:val="superscript"/>
              </w:rPr>
              <w:t>3</w:t>
            </w:r>
            <w:r>
              <w:rPr>
                <w:rFonts w:ascii="Times New Roman" w:hAnsi="Times New Roman" w:eastAsia="宋体" w:cs="Times New Roman"/>
                <w:caps w:val="0"/>
                <w:smallCaps w:val="0"/>
                <w:kern w:val="0"/>
                <w:sz w:val="21"/>
                <w:szCs w:val="21"/>
                <w:u w:val="none"/>
              </w:rPr>
              <w:t>）</w:t>
            </w:r>
          </w:p>
        </w:tc>
        <w:tc>
          <w:tcPr>
            <w:tcW w:w="1587" w:type="dxa"/>
            <w:tcBorders>
              <w:tl2br w:val="nil"/>
              <w:tr2bl w:val="nil"/>
            </w:tcBorders>
            <w:noWrap w:val="0"/>
            <w:vAlign w:val="center"/>
          </w:tcPr>
          <w:p w14:paraId="62A70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1588" w:type="dxa"/>
            <w:tcBorders>
              <w:tl2br w:val="nil"/>
              <w:tr2bl w:val="nil"/>
            </w:tcBorders>
            <w:noWrap w:val="0"/>
            <w:vAlign w:val="center"/>
          </w:tcPr>
          <w:p w14:paraId="1B1AB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w:t>
            </w:r>
          </w:p>
        </w:tc>
        <w:tc>
          <w:tcPr>
            <w:tcW w:w="1579" w:type="dxa"/>
            <w:tcBorders>
              <w:tl2br w:val="nil"/>
              <w:tr2bl w:val="nil"/>
            </w:tcBorders>
            <w:noWrap w:val="0"/>
            <w:vAlign w:val="center"/>
          </w:tcPr>
          <w:p w14:paraId="10F6C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1579" w:type="dxa"/>
            <w:tcBorders>
              <w:tl2br w:val="nil"/>
              <w:tr2bl w:val="nil"/>
            </w:tcBorders>
            <w:noWrap w:val="0"/>
            <w:vAlign w:val="center"/>
          </w:tcPr>
          <w:p w14:paraId="1784D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r>
      <w:tr w14:paraId="0532F1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08" w:type="dxa"/>
            <w:vMerge w:val="continue"/>
            <w:tcBorders>
              <w:tl2br w:val="nil"/>
              <w:tr2bl w:val="nil"/>
            </w:tcBorders>
            <w:noWrap w:val="0"/>
            <w:vAlign w:val="center"/>
          </w:tcPr>
          <w:p w14:paraId="4BBCDE2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81" w:type="dxa"/>
            <w:tcBorders>
              <w:tl2br w:val="nil"/>
              <w:tr2bl w:val="nil"/>
            </w:tcBorders>
            <w:noWrap w:val="0"/>
            <w:vAlign w:val="center"/>
          </w:tcPr>
          <w:p w14:paraId="71908F43">
            <w:pPr>
              <w:spacing w:line="240" w:lineRule="auto"/>
              <w:jc w:val="center"/>
              <w:rPr>
                <w:rFonts w:hint="default" w:ascii="Times New Roman" w:hAnsi="Times New Roman" w:eastAsia="宋体" w:cs="Times New Roman"/>
                <w:caps w:val="0"/>
                <w:smallCaps w:val="0"/>
                <w:kern w:val="0"/>
                <w:sz w:val="21"/>
                <w:szCs w:val="21"/>
                <w:u w:val="none"/>
                <w:lang w:val="en-US" w:eastAsia="zh-CN" w:bidi="ar-SA"/>
              </w:rPr>
            </w:pPr>
            <w:r>
              <w:rPr>
                <w:rFonts w:ascii="Times New Roman" w:hAnsi="Times New Roman" w:eastAsia="宋体" w:cs="Times New Roman"/>
                <w:caps w:val="0"/>
                <w:smallCaps w:val="0"/>
                <w:kern w:val="0"/>
                <w:sz w:val="21"/>
                <w:szCs w:val="21"/>
                <w:u w:val="none"/>
              </w:rPr>
              <w:t>孔隙度（%）</w:t>
            </w:r>
          </w:p>
        </w:tc>
        <w:tc>
          <w:tcPr>
            <w:tcW w:w="1587" w:type="dxa"/>
            <w:tcBorders>
              <w:tl2br w:val="nil"/>
              <w:tr2bl w:val="nil"/>
            </w:tcBorders>
            <w:noWrap w:val="0"/>
            <w:vAlign w:val="center"/>
          </w:tcPr>
          <w:p w14:paraId="0E223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48.5</w:t>
            </w:r>
          </w:p>
        </w:tc>
        <w:tc>
          <w:tcPr>
            <w:tcW w:w="1588" w:type="dxa"/>
            <w:tcBorders>
              <w:tl2br w:val="nil"/>
              <w:tr2bl w:val="nil"/>
            </w:tcBorders>
            <w:noWrap w:val="0"/>
            <w:vAlign w:val="center"/>
          </w:tcPr>
          <w:p w14:paraId="6FBA4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48.6</w:t>
            </w:r>
          </w:p>
        </w:tc>
        <w:tc>
          <w:tcPr>
            <w:tcW w:w="1579" w:type="dxa"/>
            <w:tcBorders>
              <w:tl2br w:val="nil"/>
              <w:tr2bl w:val="nil"/>
            </w:tcBorders>
            <w:noWrap w:val="0"/>
            <w:vAlign w:val="center"/>
          </w:tcPr>
          <w:p w14:paraId="15C30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48.0</w:t>
            </w:r>
          </w:p>
        </w:tc>
        <w:tc>
          <w:tcPr>
            <w:tcW w:w="1579" w:type="dxa"/>
            <w:tcBorders>
              <w:tl2br w:val="nil"/>
              <w:tr2bl w:val="nil"/>
            </w:tcBorders>
            <w:noWrap w:val="0"/>
            <w:vAlign w:val="center"/>
          </w:tcPr>
          <w:p w14:paraId="19C50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49.1</w:t>
            </w:r>
          </w:p>
        </w:tc>
      </w:tr>
    </w:tbl>
    <w:p w14:paraId="5BE3E5F8">
      <w:pPr>
        <w:pStyle w:val="21"/>
        <w:ind w:firstLine="48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u w:val="none" w:color="auto"/>
        </w:rPr>
        <w:t>土壤</w:t>
      </w:r>
      <w:r>
        <w:rPr>
          <w:rFonts w:hint="default" w:ascii="Times New Roman" w:hAnsi="Times New Roman" w:eastAsia="宋体" w:cs="Times New Roman"/>
          <w:color w:val="auto"/>
          <w:u w:val="none" w:color="auto"/>
          <w:lang w:eastAsia="zh-CN"/>
        </w:rPr>
        <w:t>环境质量现状</w:t>
      </w:r>
      <w:r>
        <w:rPr>
          <w:rFonts w:hint="default" w:ascii="Times New Roman" w:hAnsi="Times New Roman" w:eastAsia="宋体" w:cs="Times New Roman"/>
          <w:color w:val="auto"/>
          <w:u w:val="none" w:color="auto"/>
        </w:rPr>
        <w:t>监测结果见表</w:t>
      </w:r>
      <w:r>
        <w:rPr>
          <w:rFonts w:hint="eastAsia"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.3-1</w:t>
      </w:r>
      <w:r>
        <w:rPr>
          <w:rFonts w:hint="eastAsia" w:ascii="Times New Roman" w:hAnsi="Times New Roman" w:eastAsia="宋体" w:cs="Times New Roman"/>
          <w:color w:val="auto"/>
          <w:u w:val="none" w:color="auto"/>
          <w:lang w:val="en-US" w:eastAsia="zh-CN"/>
        </w:rPr>
        <w:t>1、4.3-12</w:t>
      </w:r>
      <w:r>
        <w:rPr>
          <w:rFonts w:hint="default" w:ascii="Times New Roman" w:hAnsi="Times New Roman" w:eastAsia="宋体" w:cs="Times New Roman"/>
          <w:color w:val="auto"/>
          <w:u w:val="none" w:color="auto"/>
        </w:rPr>
        <w:t>。</w:t>
      </w:r>
    </w:p>
    <w:p w14:paraId="6D9AC686">
      <w:pPr>
        <w:pStyle w:val="29"/>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表</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.3-1</w:t>
      </w:r>
      <w:r>
        <w:rPr>
          <w:rFonts w:hint="eastAsia"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 xml:space="preserve"> </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土壤现状监测和评价结果</w:t>
      </w:r>
      <w:r>
        <w:rPr>
          <w:rFonts w:hint="eastAsia" w:ascii="Times New Roman" w:hAnsi="Times New Roman" w:eastAsia="宋体" w:cs="Times New Roman"/>
          <w:color w:val="auto"/>
          <w:sz w:val="21"/>
          <w:szCs w:val="21"/>
          <w:u w:val="none" w:color="auto"/>
          <w:lang w:val="en-US" w:eastAsia="zh-CN"/>
        </w:rPr>
        <w:t>1</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55"/>
        <w:gridCol w:w="2561"/>
        <w:gridCol w:w="1074"/>
        <w:gridCol w:w="2373"/>
        <w:gridCol w:w="1053"/>
        <w:gridCol w:w="906"/>
      </w:tblGrid>
      <w:tr w14:paraId="7DF6FE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vMerge w:val="restart"/>
            <w:tcBorders>
              <w:tl2br w:val="nil"/>
              <w:tr2bl w:val="nil"/>
            </w:tcBorders>
            <w:noWrap w:val="0"/>
            <w:vAlign w:val="center"/>
          </w:tcPr>
          <w:p w14:paraId="0B3AE5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sz w:val="21"/>
                <w:szCs w:val="21"/>
                <w:u w:val="none" w:color="auto"/>
              </w:rPr>
              <w:t>检测项目</w:t>
            </w:r>
          </w:p>
        </w:tc>
        <w:tc>
          <w:tcPr>
            <w:tcW w:w="824" w:type="dxa"/>
            <w:vMerge w:val="restart"/>
            <w:tcBorders>
              <w:tl2br w:val="nil"/>
              <w:tr2bl w:val="nil"/>
            </w:tcBorders>
            <w:noWrap w:val="0"/>
            <w:vAlign w:val="center"/>
          </w:tcPr>
          <w:p w14:paraId="2E50FE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单位</w:t>
            </w:r>
          </w:p>
        </w:tc>
        <w:tc>
          <w:tcPr>
            <w:tcW w:w="1821" w:type="dxa"/>
            <w:tcBorders>
              <w:tl2br w:val="nil"/>
              <w:tr2bl w:val="nil"/>
            </w:tcBorders>
            <w:noWrap w:val="0"/>
            <w:vAlign w:val="center"/>
          </w:tcPr>
          <w:p w14:paraId="5F4B62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w:t>
            </w:r>
          </w:p>
        </w:tc>
        <w:tc>
          <w:tcPr>
            <w:tcW w:w="808" w:type="dxa"/>
            <w:vMerge w:val="restart"/>
            <w:tcBorders>
              <w:tl2br w:val="nil"/>
              <w:tr2bl w:val="nil"/>
            </w:tcBorders>
            <w:noWrap w:val="0"/>
            <w:vAlign w:val="center"/>
          </w:tcPr>
          <w:p w14:paraId="1715AF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标准限值</w:t>
            </w:r>
          </w:p>
        </w:tc>
        <w:tc>
          <w:tcPr>
            <w:tcW w:w="695" w:type="dxa"/>
            <w:vMerge w:val="restart"/>
            <w:tcBorders>
              <w:tl2br w:val="nil"/>
              <w:tr2bl w:val="nil"/>
            </w:tcBorders>
            <w:noWrap w:val="0"/>
            <w:vAlign w:val="center"/>
          </w:tcPr>
          <w:p w14:paraId="63728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是否达标</w:t>
            </w:r>
          </w:p>
        </w:tc>
      </w:tr>
      <w:tr w14:paraId="7C20FE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vMerge w:val="continue"/>
            <w:tcBorders>
              <w:tl2br w:val="nil"/>
              <w:tr2bl w:val="nil"/>
            </w:tcBorders>
            <w:noWrap w:val="0"/>
            <w:vAlign w:val="center"/>
          </w:tcPr>
          <w:p w14:paraId="2EA472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824" w:type="dxa"/>
            <w:vMerge w:val="continue"/>
            <w:tcBorders>
              <w:tl2br w:val="nil"/>
              <w:tr2bl w:val="nil"/>
            </w:tcBorders>
            <w:noWrap w:val="0"/>
            <w:vAlign w:val="center"/>
          </w:tcPr>
          <w:p w14:paraId="22F951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821" w:type="dxa"/>
            <w:tcBorders>
              <w:tl2br w:val="nil"/>
              <w:tr2bl w:val="nil"/>
            </w:tcBorders>
            <w:noWrap w:val="0"/>
            <w:vAlign w:val="center"/>
          </w:tcPr>
          <w:p w14:paraId="404505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T4</w:t>
            </w:r>
          </w:p>
        </w:tc>
        <w:tc>
          <w:tcPr>
            <w:tcW w:w="808" w:type="dxa"/>
            <w:vMerge w:val="continue"/>
            <w:tcBorders>
              <w:tl2br w:val="nil"/>
              <w:tr2bl w:val="nil"/>
            </w:tcBorders>
            <w:noWrap w:val="0"/>
            <w:vAlign w:val="center"/>
          </w:tcPr>
          <w:p w14:paraId="704D46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695" w:type="dxa"/>
            <w:vMerge w:val="continue"/>
            <w:tcBorders>
              <w:tl2br w:val="nil"/>
              <w:tr2bl w:val="nil"/>
            </w:tcBorders>
            <w:noWrap w:val="0"/>
            <w:vAlign w:val="center"/>
          </w:tcPr>
          <w:p w14:paraId="491A1E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r>
      <w:tr w14:paraId="259022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19D783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pH值</w:t>
            </w:r>
          </w:p>
        </w:tc>
        <w:tc>
          <w:tcPr>
            <w:tcW w:w="824" w:type="dxa"/>
            <w:tcBorders>
              <w:tl2br w:val="nil"/>
              <w:tr2bl w:val="nil"/>
            </w:tcBorders>
            <w:noWrap w:val="0"/>
            <w:vAlign w:val="center"/>
          </w:tcPr>
          <w:p w14:paraId="6AA9D1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无量纲</w:t>
            </w:r>
          </w:p>
        </w:tc>
        <w:tc>
          <w:tcPr>
            <w:tcW w:w="1821" w:type="dxa"/>
            <w:tcBorders>
              <w:tl2br w:val="nil"/>
              <w:tr2bl w:val="nil"/>
            </w:tcBorders>
            <w:noWrap w:val="0"/>
            <w:vAlign w:val="center"/>
          </w:tcPr>
          <w:p w14:paraId="657615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6.22</w:t>
            </w:r>
          </w:p>
        </w:tc>
        <w:tc>
          <w:tcPr>
            <w:tcW w:w="808" w:type="dxa"/>
            <w:tcBorders>
              <w:tl2br w:val="nil"/>
              <w:tr2bl w:val="nil"/>
            </w:tcBorders>
            <w:noWrap w:val="0"/>
            <w:vAlign w:val="center"/>
          </w:tcPr>
          <w:p w14:paraId="7CE6CF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695" w:type="dxa"/>
            <w:tcBorders>
              <w:tl2br w:val="nil"/>
              <w:tr2bl w:val="nil"/>
            </w:tcBorders>
            <w:noWrap w:val="0"/>
            <w:vAlign w:val="center"/>
          </w:tcPr>
          <w:p w14:paraId="7C24C3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w:t>
            </w:r>
          </w:p>
        </w:tc>
      </w:tr>
      <w:tr w14:paraId="0C67FE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5DB7A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铜</w:t>
            </w:r>
          </w:p>
        </w:tc>
        <w:tc>
          <w:tcPr>
            <w:tcW w:w="824" w:type="dxa"/>
            <w:tcBorders>
              <w:tl2br w:val="nil"/>
              <w:tr2bl w:val="nil"/>
            </w:tcBorders>
            <w:noWrap w:val="0"/>
            <w:vAlign w:val="center"/>
          </w:tcPr>
          <w:p w14:paraId="71A70E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C5D81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18</w:t>
            </w:r>
          </w:p>
        </w:tc>
        <w:tc>
          <w:tcPr>
            <w:tcW w:w="808" w:type="dxa"/>
            <w:tcBorders>
              <w:tl2br w:val="nil"/>
              <w:tr2bl w:val="nil"/>
            </w:tcBorders>
            <w:noWrap w:val="0"/>
            <w:vAlign w:val="center"/>
          </w:tcPr>
          <w:p w14:paraId="0060A4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18000</w:t>
            </w:r>
          </w:p>
        </w:tc>
        <w:tc>
          <w:tcPr>
            <w:tcW w:w="695" w:type="dxa"/>
            <w:tcBorders>
              <w:tl2br w:val="nil"/>
              <w:tr2bl w:val="nil"/>
            </w:tcBorders>
            <w:noWrap w:val="0"/>
            <w:vAlign w:val="center"/>
          </w:tcPr>
          <w:p w14:paraId="65F747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325884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18084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铅</w:t>
            </w:r>
          </w:p>
        </w:tc>
        <w:tc>
          <w:tcPr>
            <w:tcW w:w="824" w:type="dxa"/>
            <w:tcBorders>
              <w:tl2br w:val="nil"/>
              <w:tr2bl w:val="nil"/>
            </w:tcBorders>
            <w:noWrap w:val="0"/>
            <w:vAlign w:val="center"/>
          </w:tcPr>
          <w:p w14:paraId="7D9EB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B7495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40.1</w:t>
            </w:r>
          </w:p>
        </w:tc>
        <w:tc>
          <w:tcPr>
            <w:tcW w:w="808" w:type="dxa"/>
            <w:tcBorders>
              <w:tl2br w:val="nil"/>
              <w:tr2bl w:val="nil"/>
            </w:tcBorders>
            <w:noWrap w:val="0"/>
            <w:vAlign w:val="center"/>
          </w:tcPr>
          <w:p w14:paraId="4B57E8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800</w:t>
            </w:r>
          </w:p>
        </w:tc>
        <w:tc>
          <w:tcPr>
            <w:tcW w:w="695" w:type="dxa"/>
            <w:tcBorders>
              <w:tl2br w:val="nil"/>
              <w:tr2bl w:val="nil"/>
            </w:tcBorders>
            <w:noWrap w:val="0"/>
            <w:vAlign w:val="center"/>
          </w:tcPr>
          <w:p w14:paraId="7ACB2B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50D352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12F00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镉</w:t>
            </w:r>
          </w:p>
        </w:tc>
        <w:tc>
          <w:tcPr>
            <w:tcW w:w="824" w:type="dxa"/>
            <w:tcBorders>
              <w:tl2br w:val="nil"/>
              <w:tr2bl w:val="nil"/>
            </w:tcBorders>
            <w:noWrap w:val="0"/>
            <w:vAlign w:val="center"/>
          </w:tcPr>
          <w:p w14:paraId="184D62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0769E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0.04</w:t>
            </w:r>
          </w:p>
        </w:tc>
        <w:tc>
          <w:tcPr>
            <w:tcW w:w="808" w:type="dxa"/>
            <w:tcBorders>
              <w:tl2br w:val="nil"/>
              <w:tr2bl w:val="nil"/>
            </w:tcBorders>
            <w:noWrap w:val="0"/>
            <w:vAlign w:val="center"/>
          </w:tcPr>
          <w:p w14:paraId="60E691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65</w:t>
            </w:r>
          </w:p>
        </w:tc>
        <w:tc>
          <w:tcPr>
            <w:tcW w:w="695" w:type="dxa"/>
            <w:tcBorders>
              <w:tl2br w:val="nil"/>
              <w:tr2bl w:val="nil"/>
            </w:tcBorders>
            <w:noWrap w:val="0"/>
            <w:vAlign w:val="center"/>
          </w:tcPr>
          <w:p w14:paraId="789CA9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5C45CF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0D9B6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六价铬</w:t>
            </w:r>
          </w:p>
        </w:tc>
        <w:tc>
          <w:tcPr>
            <w:tcW w:w="824" w:type="dxa"/>
            <w:tcBorders>
              <w:tl2br w:val="nil"/>
              <w:tr2bl w:val="nil"/>
            </w:tcBorders>
            <w:noWrap w:val="0"/>
            <w:vAlign w:val="center"/>
          </w:tcPr>
          <w:p w14:paraId="7FD64B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F3C6C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220BA4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5.7</w:t>
            </w:r>
          </w:p>
        </w:tc>
        <w:tc>
          <w:tcPr>
            <w:tcW w:w="695" w:type="dxa"/>
            <w:tcBorders>
              <w:tl2br w:val="nil"/>
              <w:tr2bl w:val="nil"/>
            </w:tcBorders>
            <w:noWrap w:val="0"/>
            <w:vAlign w:val="center"/>
          </w:tcPr>
          <w:p w14:paraId="371025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1DAF1B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0E841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砷</w:t>
            </w:r>
          </w:p>
        </w:tc>
        <w:tc>
          <w:tcPr>
            <w:tcW w:w="824" w:type="dxa"/>
            <w:tcBorders>
              <w:tl2br w:val="nil"/>
              <w:tr2bl w:val="nil"/>
            </w:tcBorders>
            <w:noWrap w:val="0"/>
            <w:vAlign w:val="center"/>
          </w:tcPr>
          <w:p w14:paraId="7FFD2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635ECB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5.66</w:t>
            </w:r>
          </w:p>
        </w:tc>
        <w:tc>
          <w:tcPr>
            <w:tcW w:w="808" w:type="dxa"/>
            <w:tcBorders>
              <w:tl2br w:val="nil"/>
              <w:tr2bl w:val="nil"/>
            </w:tcBorders>
            <w:noWrap w:val="0"/>
            <w:vAlign w:val="center"/>
          </w:tcPr>
          <w:p w14:paraId="566654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60</w:t>
            </w:r>
          </w:p>
        </w:tc>
        <w:tc>
          <w:tcPr>
            <w:tcW w:w="695" w:type="dxa"/>
            <w:tcBorders>
              <w:tl2br w:val="nil"/>
              <w:tr2bl w:val="nil"/>
            </w:tcBorders>
            <w:noWrap w:val="0"/>
            <w:vAlign w:val="center"/>
          </w:tcPr>
          <w:p w14:paraId="2B8EF4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3403FF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7C4F8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汞</w:t>
            </w:r>
          </w:p>
        </w:tc>
        <w:tc>
          <w:tcPr>
            <w:tcW w:w="824" w:type="dxa"/>
            <w:tcBorders>
              <w:tl2br w:val="nil"/>
              <w:tr2bl w:val="nil"/>
            </w:tcBorders>
            <w:noWrap w:val="0"/>
            <w:vAlign w:val="center"/>
          </w:tcPr>
          <w:p w14:paraId="20D45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61E609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0.036</w:t>
            </w:r>
          </w:p>
        </w:tc>
        <w:tc>
          <w:tcPr>
            <w:tcW w:w="808" w:type="dxa"/>
            <w:tcBorders>
              <w:tl2br w:val="nil"/>
              <w:tr2bl w:val="nil"/>
            </w:tcBorders>
            <w:noWrap w:val="0"/>
            <w:vAlign w:val="center"/>
          </w:tcPr>
          <w:p w14:paraId="4701C7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38</w:t>
            </w:r>
          </w:p>
        </w:tc>
        <w:tc>
          <w:tcPr>
            <w:tcW w:w="695" w:type="dxa"/>
            <w:tcBorders>
              <w:tl2br w:val="nil"/>
              <w:tr2bl w:val="nil"/>
            </w:tcBorders>
            <w:noWrap w:val="0"/>
            <w:vAlign w:val="center"/>
          </w:tcPr>
          <w:p w14:paraId="2DB8A8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6B6893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2391" w:type="dxa"/>
            <w:gridSpan w:val="2"/>
            <w:tcBorders>
              <w:tl2br w:val="nil"/>
              <w:tr2bl w:val="nil"/>
            </w:tcBorders>
            <w:noWrap w:val="0"/>
            <w:vAlign w:val="center"/>
          </w:tcPr>
          <w:p w14:paraId="406B5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镍</w:t>
            </w:r>
          </w:p>
        </w:tc>
        <w:tc>
          <w:tcPr>
            <w:tcW w:w="824" w:type="dxa"/>
            <w:tcBorders>
              <w:tl2br w:val="nil"/>
              <w:tr2bl w:val="nil"/>
            </w:tcBorders>
            <w:noWrap w:val="0"/>
            <w:vAlign w:val="center"/>
          </w:tcPr>
          <w:p w14:paraId="79E6BB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33097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w:t>
            </w:r>
          </w:p>
        </w:tc>
        <w:tc>
          <w:tcPr>
            <w:tcW w:w="808" w:type="dxa"/>
            <w:tcBorders>
              <w:tl2br w:val="nil"/>
              <w:tr2bl w:val="nil"/>
            </w:tcBorders>
            <w:noWrap w:val="0"/>
            <w:vAlign w:val="center"/>
          </w:tcPr>
          <w:p w14:paraId="004544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900</w:t>
            </w:r>
          </w:p>
        </w:tc>
        <w:tc>
          <w:tcPr>
            <w:tcW w:w="695" w:type="dxa"/>
            <w:tcBorders>
              <w:tl2br w:val="nil"/>
              <w:tr2bl w:val="nil"/>
            </w:tcBorders>
            <w:noWrap w:val="0"/>
            <w:vAlign w:val="center"/>
          </w:tcPr>
          <w:p w14:paraId="7B10C6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753FF1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restart"/>
            <w:tcBorders>
              <w:tl2br w:val="nil"/>
              <w:tr2bl w:val="nil"/>
            </w:tcBorders>
            <w:noWrap w:val="0"/>
            <w:vAlign w:val="center"/>
          </w:tcPr>
          <w:p w14:paraId="102E3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挥发性有机物</w:t>
            </w:r>
          </w:p>
        </w:tc>
        <w:tc>
          <w:tcPr>
            <w:tcW w:w="1965" w:type="dxa"/>
            <w:tcBorders>
              <w:tl2br w:val="nil"/>
              <w:tr2bl w:val="nil"/>
            </w:tcBorders>
            <w:noWrap w:val="0"/>
            <w:vAlign w:val="center"/>
          </w:tcPr>
          <w:p w14:paraId="33EBD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氯甲烷</w:t>
            </w:r>
          </w:p>
        </w:tc>
        <w:tc>
          <w:tcPr>
            <w:tcW w:w="824" w:type="dxa"/>
            <w:tcBorders>
              <w:tl2br w:val="nil"/>
              <w:tr2bl w:val="nil"/>
            </w:tcBorders>
            <w:noWrap w:val="0"/>
            <w:vAlign w:val="center"/>
          </w:tcPr>
          <w:p w14:paraId="3728D3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7729D0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29CAE3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37</w:t>
            </w:r>
          </w:p>
        </w:tc>
        <w:tc>
          <w:tcPr>
            <w:tcW w:w="695" w:type="dxa"/>
            <w:tcBorders>
              <w:tl2br w:val="nil"/>
              <w:tr2bl w:val="nil"/>
            </w:tcBorders>
            <w:noWrap w:val="0"/>
            <w:vAlign w:val="center"/>
          </w:tcPr>
          <w:p w14:paraId="766B3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1D42C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719E1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4A8CC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氯乙烯</w:t>
            </w:r>
          </w:p>
        </w:tc>
        <w:tc>
          <w:tcPr>
            <w:tcW w:w="824" w:type="dxa"/>
            <w:tcBorders>
              <w:tl2br w:val="nil"/>
              <w:tr2bl w:val="nil"/>
            </w:tcBorders>
            <w:noWrap w:val="0"/>
            <w:vAlign w:val="center"/>
          </w:tcPr>
          <w:p w14:paraId="0E9CED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CAF35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1FBBF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0.43</w:t>
            </w:r>
          </w:p>
        </w:tc>
        <w:tc>
          <w:tcPr>
            <w:tcW w:w="695" w:type="dxa"/>
            <w:tcBorders>
              <w:tl2br w:val="nil"/>
              <w:tr2bl w:val="nil"/>
            </w:tcBorders>
            <w:noWrap w:val="0"/>
            <w:vAlign w:val="center"/>
          </w:tcPr>
          <w:p w14:paraId="0BD723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2BBF3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1F23A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1AC19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1,1-二氯乙烯</w:t>
            </w:r>
          </w:p>
        </w:tc>
        <w:tc>
          <w:tcPr>
            <w:tcW w:w="824" w:type="dxa"/>
            <w:tcBorders>
              <w:tl2br w:val="nil"/>
              <w:tr2bl w:val="nil"/>
            </w:tcBorders>
            <w:noWrap w:val="0"/>
            <w:vAlign w:val="center"/>
          </w:tcPr>
          <w:p w14:paraId="178508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7711E1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7C0B25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66</w:t>
            </w:r>
          </w:p>
        </w:tc>
        <w:tc>
          <w:tcPr>
            <w:tcW w:w="695" w:type="dxa"/>
            <w:tcBorders>
              <w:tl2br w:val="nil"/>
              <w:tr2bl w:val="nil"/>
            </w:tcBorders>
            <w:noWrap w:val="0"/>
            <w:vAlign w:val="center"/>
          </w:tcPr>
          <w:p w14:paraId="43D2FC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0785E4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30181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E27A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二氯甲烷</w:t>
            </w:r>
          </w:p>
        </w:tc>
        <w:tc>
          <w:tcPr>
            <w:tcW w:w="824" w:type="dxa"/>
            <w:tcBorders>
              <w:tl2br w:val="nil"/>
              <w:tr2bl w:val="nil"/>
            </w:tcBorders>
            <w:noWrap w:val="0"/>
            <w:vAlign w:val="center"/>
          </w:tcPr>
          <w:p w14:paraId="6C3B47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7C907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32B427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616</w:t>
            </w:r>
          </w:p>
        </w:tc>
        <w:tc>
          <w:tcPr>
            <w:tcW w:w="695" w:type="dxa"/>
            <w:tcBorders>
              <w:tl2br w:val="nil"/>
              <w:tr2bl w:val="nil"/>
            </w:tcBorders>
            <w:noWrap w:val="0"/>
            <w:vAlign w:val="center"/>
          </w:tcPr>
          <w:p w14:paraId="6AFD2D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436B8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9A931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759B9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反-1，2-二氯乙烯</w:t>
            </w:r>
          </w:p>
        </w:tc>
        <w:tc>
          <w:tcPr>
            <w:tcW w:w="824" w:type="dxa"/>
            <w:tcBorders>
              <w:tl2br w:val="nil"/>
              <w:tr2bl w:val="nil"/>
            </w:tcBorders>
            <w:noWrap w:val="0"/>
            <w:vAlign w:val="center"/>
          </w:tcPr>
          <w:p w14:paraId="0BD11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95C4D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9ADD4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54</w:t>
            </w:r>
          </w:p>
        </w:tc>
        <w:tc>
          <w:tcPr>
            <w:tcW w:w="695" w:type="dxa"/>
            <w:tcBorders>
              <w:tl2br w:val="nil"/>
              <w:tr2bl w:val="nil"/>
            </w:tcBorders>
            <w:noWrap w:val="0"/>
            <w:vAlign w:val="center"/>
          </w:tcPr>
          <w:p w14:paraId="195614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35C45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0C8900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A469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1，1-二氯乙烷</w:t>
            </w:r>
          </w:p>
        </w:tc>
        <w:tc>
          <w:tcPr>
            <w:tcW w:w="824" w:type="dxa"/>
            <w:tcBorders>
              <w:tl2br w:val="nil"/>
              <w:tr2bl w:val="nil"/>
            </w:tcBorders>
            <w:noWrap w:val="0"/>
            <w:vAlign w:val="center"/>
          </w:tcPr>
          <w:p w14:paraId="459053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EEB81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2F64BC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w:t>
            </w:r>
          </w:p>
        </w:tc>
        <w:tc>
          <w:tcPr>
            <w:tcW w:w="695" w:type="dxa"/>
            <w:tcBorders>
              <w:tl2br w:val="nil"/>
              <w:tr2bl w:val="nil"/>
            </w:tcBorders>
            <w:noWrap w:val="0"/>
            <w:vAlign w:val="center"/>
          </w:tcPr>
          <w:p w14:paraId="3F9A4B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60B1E2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0DE520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4E362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顺-1，2-二氯乙烯</w:t>
            </w:r>
          </w:p>
        </w:tc>
        <w:tc>
          <w:tcPr>
            <w:tcW w:w="824" w:type="dxa"/>
            <w:tcBorders>
              <w:tl2br w:val="nil"/>
              <w:tr2bl w:val="nil"/>
            </w:tcBorders>
            <w:noWrap w:val="0"/>
            <w:vAlign w:val="center"/>
          </w:tcPr>
          <w:p w14:paraId="64B1CF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A235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371F64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596</w:t>
            </w:r>
          </w:p>
        </w:tc>
        <w:tc>
          <w:tcPr>
            <w:tcW w:w="695" w:type="dxa"/>
            <w:tcBorders>
              <w:tl2br w:val="nil"/>
              <w:tr2bl w:val="nil"/>
            </w:tcBorders>
            <w:noWrap w:val="0"/>
            <w:vAlign w:val="center"/>
          </w:tcPr>
          <w:p w14:paraId="26E987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6884A2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627AE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62148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氯仿</w:t>
            </w:r>
          </w:p>
        </w:tc>
        <w:tc>
          <w:tcPr>
            <w:tcW w:w="824" w:type="dxa"/>
            <w:tcBorders>
              <w:tl2br w:val="nil"/>
              <w:tr2bl w:val="nil"/>
            </w:tcBorders>
            <w:noWrap w:val="0"/>
            <w:vAlign w:val="center"/>
          </w:tcPr>
          <w:p w14:paraId="10D8A9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24F78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4EFC7A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w:t>
            </w:r>
          </w:p>
        </w:tc>
        <w:tc>
          <w:tcPr>
            <w:tcW w:w="695" w:type="dxa"/>
            <w:tcBorders>
              <w:tl2br w:val="nil"/>
              <w:tr2bl w:val="nil"/>
            </w:tcBorders>
            <w:noWrap w:val="0"/>
            <w:vAlign w:val="center"/>
          </w:tcPr>
          <w:p w14:paraId="449973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2C0B5C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6A6B3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p>
        </w:tc>
        <w:tc>
          <w:tcPr>
            <w:tcW w:w="1965" w:type="dxa"/>
            <w:tcBorders>
              <w:tl2br w:val="nil"/>
              <w:tr2bl w:val="nil"/>
            </w:tcBorders>
            <w:noWrap w:val="0"/>
            <w:vAlign w:val="center"/>
          </w:tcPr>
          <w:p w14:paraId="0A0E0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1，1，1-三氯乙烷</w:t>
            </w:r>
          </w:p>
        </w:tc>
        <w:tc>
          <w:tcPr>
            <w:tcW w:w="824" w:type="dxa"/>
            <w:tcBorders>
              <w:tl2br w:val="nil"/>
              <w:tr2bl w:val="nil"/>
            </w:tcBorders>
            <w:noWrap w:val="0"/>
            <w:vAlign w:val="center"/>
          </w:tcPr>
          <w:p w14:paraId="4DDAA9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CB6B1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735E6F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840</w:t>
            </w:r>
          </w:p>
        </w:tc>
        <w:tc>
          <w:tcPr>
            <w:tcW w:w="695" w:type="dxa"/>
            <w:tcBorders>
              <w:tl2br w:val="nil"/>
              <w:tr2bl w:val="nil"/>
            </w:tcBorders>
            <w:noWrap w:val="0"/>
            <w:vAlign w:val="center"/>
          </w:tcPr>
          <w:p w14:paraId="11B52D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2EA05E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2C821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3ECC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四氯化碳</w:t>
            </w:r>
          </w:p>
        </w:tc>
        <w:tc>
          <w:tcPr>
            <w:tcW w:w="824" w:type="dxa"/>
            <w:tcBorders>
              <w:tl2br w:val="nil"/>
              <w:tr2bl w:val="nil"/>
            </w:tcBorders>
            <w:noWrap w:val="0"/>
            <w:vAlign w:val="center"/>
          </w:tcPr>
          <w:p w14:paraId="3EC3A7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8DE0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5B196C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w:t>
            </w:r>
          </w:p>
        </w:tc>
        <w:tc>
          <w:tcPr>
            <w:tcW w:w="695" w:type="dxa"/>
            <w:tcBorders>
              <w:tl2br w:val="nil"/>
              <w:tr2bl w:val="nil"/>
            </w:tcBorders>
            <w:noWrap w:val="0"/>
            <w:vAlign w:val="center"/>
          </w:tcPr>
          <w:p w14:paraId="32EBAC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666B1B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6990D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7725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w:t>
            </w:r>
          </w:p>
        </w:tc>
        <w:tc>
          <w:tcPr>
            <w:tcW w:w="824" w:type="dxa"/>
            <w:tcBorders>
              <w:tl2br w:val="nil"/>
              <w:tr2bl w:val="nil"/>
            </w:tcBorders>
            <w:noWrap w:val="0"/>
            <w:vAlign w:val="center"/>
          </w:tcPr>
          <w:p w14:paraId="383BF2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05665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1940F5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w:t>
            </w:r>
          </w:p>
        </w:tc>
        <w:tc>
          <w:tcPr>
            <w:tcW w:w="695" w:type="dxa"/>
            <w:tcBorders>
              <w:tl2br w:val="nil"/>
              <w:tr2bl w:val="nil"/>
            </w:tcBorders>
            <w:noWrap w:val="0"/>
            <w:vAlign w:val="center"/>
          </w:tcPr>
          <w:p w14:paraId="7C5D32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C8F22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15AEC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713C6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1，2-二氯乙烷</w:t>
            </w:r>
          </w:p>
        </w:tc>
        <w:tc>
          <w:tcPr>
            <w:tcW w:w="824" w:type="dxa"/>
            <w:tcBorders>
              <w:tl2br w:val="nil"/>
              <w:tr2bl w:val="nil"/>
            </w:tcBorders>
            <w:noWrap w:val="0"/>
            <w:vAlign w:val="center"/>
          </w:tcPr>
          <w:p w14:paraId="681CA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783052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57F97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w:t>
            </w:r>
          </w:p>
        </w:tc>
        <w:tc>
          <w:tcPr>
            <w:tcW w:w="695" w:type="dxa"/>
            <w:tcBorders>
              <w:tl2br w:val="nil"/>
              <w:tr2bl w:val="nil"/>
            </w:tcBorders>
            <w:noWrap w:val="0"/>
            <w:vAlign w:val="center"/>
          </w:tcPr>
          <w:p w14:paraId="132402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6433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DBCB8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1BA73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三氯乙烯</w:t>
            </w:r>
          </w:p>
        </w:tc>
        <w:tc>
          <w:tcPr>
            <w:tcW w:w="824" w:type="dxa"/>
            <w:tcBorders>
              <w:tl2br w:val="nil"/>
              <w:tr2bl w:val="nil"/>
            </w:tcBorders>
            <w:noWrap w:val="0"/>
            <w:vAlign w:val="center"/>
          </w:tcPr>
          <w:p w14:paraId="3E406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CA5FB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799073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w:t>
            </w:r>
          </w:p>
        </w:tc>
        <w:tc>
          <w:tcPr>
            <w:tcW w:w="695" w:type="dxa"/>
            <w:tcBorders>
              <w:tl2br w:val="nil"/>
              <w:tr2bl w:val="nil"/>
            </w:tcBorders>
            <w:noWrap w:val="0"/>
            <w:vAlign w:val="center"/>
          </w:tcPr>
          <w:p w14:paraId="3ED9BB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31AAA4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94DE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57ECD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1,2-二氯丙烷</w:t>
            </w:r>
          </w:p>
        </w:tc>
        <w:tc>
          <w:tcPr>
            <w:tcW w:w="824" w:type="dxa"/>
            <w:tcBorders>
              <w:tl2br w:val="nil"/>
              <w:tr2bl w:val="nil"/>
            </w:tcBorders>
            <w:noWrap w:val="0"/>
            <w:vAlign w:val="center"/>
          </w:tcPr>
          <w:p w14:paraId="6E780C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0FC684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ADCA3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w:t>
            </w:r>
          </w:p>
        </w:tc>
        <w:tc>
          <w:tcPr>
            <w:tcW w:w="695" w:type="dxa"/>
            <w:tcBorders>
              <w:tl2br w:val="nil"/>
              <w:tr2bl w:val="nil"/>
            </w:tcBorders>
            <w:noWrap w:val="0"/>
            <w:vAlign w:val="center"/>
          </w:tcPr>
          <w:p w14:paraId="7D58C6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2E6D68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42D41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3F1F3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甲苯</w:t>
            </w:r>
          </w:p>
        </w:tc>
        <w:tc>
          <w:tcPr>
            <w:tcW w:w="824" w:type="dxa"/>
            <w:tcBorders>
              <w:tl2br w:val="nil"/>
              <w:tr2bl w:val="nil"/>
            </w:tcBorders>
            <w:noWrap w:val="0"/>
            <w:vAlign w:val="center"/>
          </w:tcPr>
          <w:p w14:paraId="78FFEE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FF129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49DD4C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1200</w:t>
            </w:r>
          </w:p>
        </w:tc>
        <w:tc>
          <w:tcPr>
            <w:tcW w:w="695" w:type="dxa"/>
            <w:tcBorders>
              <w:tl2br w:val="nil"/>
              <w:tr2bl w:val="nil"/>
            </w:tcBorders>
            <w:noWrap w:val="0"/>
            <w:vAlign w:val="center"/>
          </w:tcPr>
          <w:p w14:paraId="68D7BF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5111F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0F0FD1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84B8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1,1,2-三氯乙烷</w:t>
            </w:r>
          </w:p>
        </w:tc>
        <w:tc>
          <w:tcPr>
            <w:tcW w:w="824" w:type="dxa"/>
            <w:tcBorders>
              <w:tl2br w:val="nil"/>
              <w:tr2bl w:val="nil"/>
            </w:tcBorders>
            <w:noWrap w:val="0"/>
            <w:vAlign w:val="center"/>
          </w:tcPr>
          <w:p w14:paraId="25F28A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42D0F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27225A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w:t>
            </w:r>
          </w:p>
        </w:tc>
        <w:tc>
          <w:tcPr>
            <w:tcW w:w="695" w:type="dxa"/>
            <w:tcBorders>
              <w:tl2br w:val="nil"/>
              <w:tr2bl w:val="nil"/>
            </w:tcBorders>
            <w:noWrap w:val="0"/>
            <w:vAlign w:val="center"/>
          </w:tcPr>
          <w:p w14:paraId="1BD52E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8D26F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0C06C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53032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四氯乙烯</w:t>
            </w:r>
          </w:p>
        </w:tc>
        <w:tc>
          <w:tcPr>
            <w:tcW w:w="824" w:type="dxa"/>
            <w:tcBorders>
              <w:tl2br w:val="nil"/>
              <w:tr2bl w:val="nil"/>
            </w:tcBorders>
            <w:noWrap w:val="0"/>
            <w:vAlign w:val="center"/>
          </w:tcPr>
          <w:p w14:paraId="0AAD3C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7C79CF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46750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53</w:t>
            </w:r>
          </w:p>
        </w:tc>
        <w:tc>
          <w:tcPr>
            <w:tcW w:w="695" w:type="dxa"/>
            <w:tcBorders>
              <w:tl2br w:val="nil"/>
              <w:tr2bl w:val="nil"/>
            </w:tcBorders>
            <w:noWrap w:val="0"/>
            <w:vAlign w:val="center"/>
          </w:tcPr>
          <w:p w14:paraId="03395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12AB8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1B2CDB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27C0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氯苯</w:t>
            </w:r>
          </w:p>
        </w:tc>
        <w:tc>
          <w:tcPr>
            <w:tcW w:w="824" w:type="dxa"/>
            <w:tcBorders>
              <w:tl2br w:val="nil"/>
              <w:tr2bl w:val="nil"/>
            </w:tcBorders>
            <w:noWrap w:val="0"/>
            <w:vAlign w:val="center"/>
          </w:tcPr>
          <w:p w14:paraId="0338AB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7D380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12FB62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270</w:t>
            </w:r>
          </w:p>
        </w:tc>
        <w:tc>
          <w:tcPr>
            <w:tcW w:w="695" w:type="dxa"/>
            <w:tcBorders>
              <w:tl2br w:val="nil"/>
              <w:tr2bl w:val="nil"/>
            </w:tcBorders>
            <w:noWrap w:val="0"/>
            <w:vAlign w:val="center"/>
          </w:tcPr>
          <w:p w14:paraId="19086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2350C8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6A267D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7E2E2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1,1,1,2-四氯乙烷</w:t>
            </w:r>
          </w:p>
        </w:tc>
        <w:tc>
          <w:tcPr>
            <w:tcW w:w="824" w:type="dxa"/>
            <w:tcBorders>
              <w:tl2br w:val="nil"/>
              <w:tr2bl w:val="nil"/>
            </w:tcBorders>
            <w:noWrap w:val="0"/>
            <w:vAlign w:val="center"/>
          </w:tcPr>
          <w:p w14:paraId="169189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E2E4E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E790C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695" w:type="dxa"/>
            <w:tcBorders>
              <w:tl2br w:val="nil"/>
              <w:tr2bl w:val="nil"/>
            </w:tcBorders>
            <w:noWrap w:val="0"/>
            <w:vAlign w:val="center"/>
          </w:tcPr>
          <w:p w14:paraId="72FE4F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6546BD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B3EF2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430D3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乙苯</w:t>
            </w:r>
          </w:p>
        </w:tc>
        <w:tc>
          <w:tcPr>
            <w:tcW w:w="824" w:type="dxa"/>
            <w:tcBorders>
              <w:tl2br w:val="nil"/>
              <w:tr2bl w:val="nil"/>
            </w:tcBorders>
            <w:noWrap w:val="0"/>
            <w:vAlign w:val="center"/>
          </w:tcPr>
          <w:p w14:paraId="32D94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810AD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6A36A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w:t>
            </w:r>
          </w:p>
        </w:tc>
        <w:tc>
          <w:tcPr>
            <w:tcW w:w="695" w:type="dxa"/>
            <w:tcBorders>
              <w:tl2br w:val="nil"/>
              <w:tr2bl w:val="nil"/>
            </w:tcBorders>
            <w:noWrap w:val="0"/>
            <w:vAlign w:val="center"/>
          </w:tcPr>
          <w:p w14:paraId="0C440A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0FD21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755E4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2B0D2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间，对-二甲苯</w:t>
            </w:r>
          </w:p>
        </w:tc>
        <w:tc>
          <w:tcPr>
            <w:tcW w:w="824" w:type="dxa"/>
            <w:tcBorders>
              <w:tl2br w:val="nil"/>
              <w:tr2bl w:val="nil"/>
            </w:tcBorders>
            <w:noWrap w:val="0"/>
            <w:vAlign w:val="center"/>
          </w:tcPr>
          <w:p w14:paraId="30C26E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C923B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38AD00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570</w:t>
            </w:r>
          </w:p>
        </w:tc>
        <w:tc>
          <w:tcPr>
            <w:tcW w:w="695" w:type="dxa"/>
            <w:tcBorders>
              <w:tl2br w:val="nil"/>
              <w:tr2bl w:val="nil"/>
            </w:tcBorders>
            <w:noWrap w:val="0"/>
            <w:vAlign w:val="center"/>
          </w:tcPr>
          <w:p w14:paraId="5F60A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3AED7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EAC99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741F1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邻二甲苯</w:t>
            </w:r>
          </w:p>
        </w:tc>
        <w:tc>
          <w:tcPr>
            <w:tcW w:w="824" w:type="dxa"/>
            <w:tcBorders>
              <w:tl2br w:val="nil"/>
              <w:tr2bl w:val="nil"/>
            </w:tcBorders>
            <w:noWrap w:val="0"/>
            <w:vAlign w:val="center"/>
          </w:tcPr>
          <w:p w14:paraId="4133F3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9C25D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73CE0A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640</w:t>
            </w:r>
          </w:p>
        </w:tc>
        <w:tc>
          <w:tcPr>
            <w:tcW w:w="695" w:type="dxa"/>
            <w:tcBorders>
              <w:tl2br w:val="nil"/>
              <w:tr2bl w:val="nil"/>
            </w:tcBorders>
            <w:noWrap w:val="0"/>
            <w:vAlign w:val="center"/>
          </w:tcPr>
          <w:p w14:paraId="77E33A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09823A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135907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36431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苯乙烯</w:t>
            </w:r>
          </w:p>
        </w:tc>
        <w:tc>
          <w:tcPr>
            <w:tcW w:w="824" w:type="dxa"/>
            <w:tcBorders>
              <w:tl2br w:val="nil"/>
              <w:tr2bl w:val="nil"/>
            </w:tcBorders>
            <w:noWrap w:val="0"/>
            <w:vAlign w:val="center"/>
          </w:tcPr>
          <w:p w14:paraId="31844B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E7D1538">
            <w:pPr>
              <w:keepNext w:val="0"/>
              <w:keepLines w:val="0"/>
              <w:pageBreakBefore w:val="0"/>
              <w:suppressLineNumbers w:val="0"/>
              <w:tabs>
                <w:tab w:val="center" w:pos="1189"/>
                <w:tab w:val="right" w:pos="2259"/>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6E7575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1290</w:t>
            </w:r>
          </w:p>
        </w:tc>
        <w:tc>
          <w:tcPr>
            <w:tcW w:w="695" w:type="dxa"/>
            <w:tcBorders>
              <w:tl2br w:val="nil"/>
              <w:tr2bl w:val="nil"/>
            </w:tcBorders>
            <w:noWrap w:val="0"/>
            <w:vAlign w:val="center"/>
          </w:tcPr>
          <w:p w14:paraId="4D31AC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664C48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EB4E6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2C27F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1,2,3-三氯丙烷</w:t>
            </w:r>
          </w:p>
        </w:tc>
        <w:tc>
          <w:tcPr>
            <w:tcW w:w="824" w:type="dxa"/>
            <w:tcBorders>
              <w:tl2br w:val="nil"/>
              <w:tr2bl w:val="nil"/>
            </w:tcBorders>
            <w:noWrap w:val="0"/>
            <w:vAlign w:val="center"/>
          </w:tcPr>
          <w:p w14:paraId="2E4589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405CF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2C2EE4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0.5</w:t>
            </w:r>
          </w:p>
        </w:tc>
        <w:tc>
          <w:tcPr>
            <w:tcW w:w="695" w:type="dxa"/>
            <w:tcBorders>
              <w:tl2br w:val="nil"/>
              <w:tr2bl w:val="nil"/>
            </w:tcBorders>
            <w:noWrap w:val="0"/>
            <w:vAlign w:val="center"/>
          </w:tcPr>
          <w:p w14:paraId="286EA7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89007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7C163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5AD34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1,1,2,2-四氯乙烷</w:t>
            </w:r>
          </w:p>
        </w:tc>
        <w:tc>
          <w:tcPr>
            <w:tcW w:w="824" w:type="dxa"/>
            <w:tcBorders>
              <w:tl2br w:val="nil"/>
              <w:tr2bl w:val="nil"/>
            </w:tcBorders>
            <w:noWrap w:val="0"/>
            <w:vAlign w:val="center"/>
          </w:tcPr>
          <w:p w14:paraId="46AA4D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92A96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6922F5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6.8</w:t>
            </w:r>
          </w:p>
        </w:tc>
        <w:tc>
          <w:tcPr>
            <w:tcW w:w="695" w:type="dxa"/>
            <w:tcBorders>
              <w:tl2br w:val="nil"/>
              <w:tr2bl w:val="nil"/>
            </w:tcBorders>
            <w:noWrap w:val="0"/>
            <w:vAlign w:val="center"/>
          </w:tcPr>
          <w:p w14:paraId="3A185D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618BC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6DCADF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22240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1,2-二氯苯</w:t>
            </w:r>
          </w:p>
        </w:tc>
        <w:tc>
          <w:tcPr>
            <w:tcW w:w="824" w:type="dxa"/>
            <w:tcBorders>
              <w:tl2br w:val="nil"/>
              <w:tr2bl w:val="nil"/>
            </w:tcBorders>
            <w:noWrap w:val="0"/>
            <w:vAlign w:val="center"/>
          </w:tcPr>
          <w:p w14:paraId="5D17EE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93F20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10D42D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560</w:t>
            </w:r>
          </w:p>
        </w:tc>
        <w:tc>
          <w:tcPr>
            <w:tcW w:w="695" w:type="dxa"/>
            <w:tcBorders>
              <w:tl2br w:val="nil"/>
              <w:tr2bl w:val="nil"/>
            </w:tcBorders>
            <w:noWrap w:val="0"/>
            <w:vAlign w:val="center"/>
          </w:tcPr>
          <w:p w14:paraId="420685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349F0F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1782C1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12412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1,4-二氯苯</w:t>
            </w:r>
          </w:p>
        </w:tc>
        <w:tc>
          <w:tcPr>
            <w:tcW w:w="824" w:type="dxa"/>
            <w:tcBorders>
              <w:tl2br w:val="nil"/>
              <w:tr2bl w:val="nil"/>
            </w:tcBorders>
            <w:noWrap w:val="0"/>
            <w:vAlign w:val="center"/>
          </w:tcPr>
          <w:p w14:paraId="3977D2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5BB628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34ED46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695" w:type="dxa"/>
            <w:tcBorders>
              <w:tl2br w:val="nil"/>
              <w:tr2bl w:val="nil"/>
            </w:tcBorders>
            <w:noWrap w:val="0"/>
            <w:vAlign w:val="center"/>
          </w:tcPr>
          <w:p w14:paraId="112242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7A346D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restart"/>
            <w:tcBorders>
              <w:tl2br w:val="nil"/>
              <w:tr2bl w:val="nil"/>
            </w:tcBorders>
            <w:noWrap w:val="0"/>
            <w:vAlign w:val="center"/>
          </w:tcPr>
          <w:p w14:paraId="46F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半挥发性有机物</w:t>
            </w:r>
          </w:p>
          <w:p w14:paraId="3509B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p>
        </w:tc>
        <w:tc>
          <w:tcPr>
            <w:tcW w:w="1965" w:type="dxa"/>
            <w:tcBorders>
              <w:tl2br w:val="nil"/>
              <w:tr2bl w:val="nil"/>
            </w:tcBorders>
            <w:noWrap w:val="0"/>
            <w:vAlign w:val="center"/>
          </w:tcPr>
          <w:p w14:paraId="4DFED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苯胺</w:t>
            </w:r>
          </w:p>
        </w:tc>
        <w:tc>
          <w:tcPr>
            <w:tcW w:w="824" w:type="dxa"/>
            <w:tcBorders>
              <w:tl2br w:val="nil"/>
              <w:tr2bl w:val="nil"/>
            </w:tcBorders>
            <w:noWrap w:val="0"/>
            <w:vAlign w:val="center"/>
          </w:tcPr>
          <w:p w14:paraId="2BF006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46475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A28EE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260</w:t>
            </w:r>
          </w:p>
        </w:tc>
        <w:tc>
          <w:tcPr>
            <w:tcW w:w="695" w:type="dxa"/>
            <w:tcBorders>
              <w:tl2br w:val="nil"/>
              <w:tr2bl w:val="nil"/>
            </w:tcBorders>
            <w:noWrap w:val="0"/>
            <w:vAlign w:val="center"/>
          </w:tcPr>
          <w:p w14:paraId="6485E7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2512D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C57A7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48893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2-氯酚</w:t>
            </w:r>
          </w:p>
        </w:tc>
        <w:tc>
          <w:tcPr>
            <w:tcW w:w="824" w:type="dxa"/>
            <w:tcBorders>
              <w:tl2br w:val="nil"/>
              <w:tr2bl w:val="nil"/>
            </w:tcBorders>
            <w:noWrap w:val="0"/>
            <w:vAlign w:val="center"/>
          </w:tcPr>
          <w:p w14:paraId="445E49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D259A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506C5A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2256</w:t>
            </w:r>
          </w:p>
        </w:tc>
        <w:tc>
          <w:tcPr>
            <w:tcW w:w="695" w:type="dxa"/>
            <w:tcBorders>
              <w:tl2br w:val="nil"/>
              <w:tr2bl w:val="nil"/>
            </w:tcBorders>
            <w:noWrap w:val="0"/>
            <w:vAlign w:val="center"/>
          </w:tcPr>
          <w:p w14:paraId="440986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06114B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B89AB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1AD83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硝基苯</w:t>
            </w:r>
          </w:p>
        </w:tc>
        <w:tc>
          <w:tcPr>
            <w:tcW w:w="824" w:type="dxa"/>
            <w:tcBorders>
              <w:tl2br w:val="nil"/>
              <w:tr2bl w:val="nil"/>
            </w:tcBorders>
            <w:noWrap w:val="0"/>
            <w:vAlign w:val="center"/>
          </w:tcPr>
          <w:p w14:paraId="33B84B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0BB1F3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632CF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76</w:t>
            </w:r>
          </w:p>
        </w:tc>
        <w:tc>
          <w:tcPr>
            <w:tcW w:w="695" w:type="dxa"/>
            <w:tcBorders>
              <w:tl2br w:val="nil"/>
              <w:tr2bl w:val="nil"/>
            </w:tcBorders>
            <w:noWrap w:val="0"/>
            <w:vAlign w:val="center"/>
          </w:tcPr>
          <w:p w14:paraId="0BF25A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55FA64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FB748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24FC4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萘</w:t>
            </w:r>
          </w:p>
        </w:tc>
        <w:tc>
          <w:tcPr>
            <w:tcW w:w="824" w:type="dxa"/>
            <w:tcBorders>
              <w:tl2br w:val="nil"/>
              <w:tr2bl w:val="nil"/>
            </w:tcBorders>
            <w:noWrap w:val="0"/>
            <w:vAlign w:val="center"/>
          </w:tcPr>
          <w:p w14:paraId="6BC1D0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3F356D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769F91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70</w:t>
            </w:r>
          </w:p>
        </w:tc>
        <w:tc>
          <w:tcPr>
            <w:tcW w:w="695" w:type="dxa"/>
            <w:tcBorders>
              <w:tl2br w:val="nil"/>
              <w:tr2bl w:val="nil"/>
            </w:tcBorders>
            <w:noWrap w:val="0"/>
            <w:vAlign w:val="center"/>
          </w:tcPr>
          <w:p w14:paraId="278388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B9F0C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804C6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448D3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苯并（a）蒽</w:t>
            </w:r>
          </w:p>
        </w:tc>
        <w:tc>
          <w:tcPr>
            <w:tcW w:w="824" w:type="dxa"/>
            <w:tcBorders>
              <w:tl2br w:val="nil"/>
              <w:tr2bl w:val="nil"/>
            </w:tcBorders>
            <w:noWrap w:val="0"/>
            <w:vAlign w:val="center"/>
          </w:tcPr>
          <w:p w14:paraId="37B1FF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617976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4F818B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695" w:type="dxa"/>
            <w:tcBorders>
              <w:tl2br w:val="nil"/>
              <w:tr2bl w:val="nil"/>
            </w:tcBorders>
            <w:noWrap w:val="0"/>
            <w:vAlign w:val="center"/>
          </w:tcPr>
          <w:p w14:paraId="7A26E1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B3230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57E2E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p>
        </w:tc>
        <w:tc>
          <w:tcPr>
            <w:tcW w:w="1965" w:type="dxa"/>
            <w:tcBorders>
              <w:tl2br w:val="nil"/>
              <w:tr2bl w:val="nil"/>
            </w:tcBorders>
            <w:noWrap w:val="0"/>
            <w:vAlign w:val="center"/>
          </w:tcPr>
          <w:p w14:paraId="292B0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䓛</w:t>
            </w:r>
          </w:p>
        </w:tc>
        <w:tc>
          <w:tcPr>
            <w:tcW w:w="824" w:type="dxa"/>
            <w:tcBorders>
              <w:tl2br w:val="nil"/>
              <w:tr2bl w:val="nil"/>
            </w:tcBorders>
            <w:noWrap w:val="0"/>
            <w:vAlign w:val="center"/>
          </w:tcPr>
          <w:p w14:paraId="1F5D6D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416EE7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658328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1293</w:t>
            </w:r>
          </w:p>
        </w:tc>
        <w:tc>
          <w:tcPr>
            <w:tcW w:w="695" w:type="dxa"/>
            <w:tcBorders>
              <w:tl2br w:val="nil"/>
              <w:tr2bl w:val="nil"/>
            </w:tcBorders>
            <w:noWrap w:val="0"/>
            <w:vAlign w:val="center"/>
          </w:tcPr>
          <w:p w14:paraId="4ED5E7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02758B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7748FD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7998A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苯并（b）荧蒽</w:t>
            </w:r>
          </w:p>
        </w:tc>
        <w:tc>
          <w:tcPr>
            <w:tcW w:w="824" w:type="dxa"/>
            <w:tcBorders>
              <w:tl2br w:val="nil"/>
              <w:tr2bl w:val="nil"/>
            </w:tcBorders>
            <w:noWrap w:val="0"/>
            <w:vAlign w:val="center"/>
          </w:tcPr>
          <w:p w14:paraId="215E72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9730D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017489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695" w:type="dxa"/>
            <w:tcBorders>
              <w:tl2br w:val="nil"/>
              <w:tr2bl w:val="nil"/>
            </w:tcBorders>
            <w:noWrap w:val="0"/>
            <w:vAlign w:val="center"/>
          </w:tcPr>
          <w:p w14:paraId="6EC8D8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A3DE9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A19A1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58B35E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苯并（k）荧蒽</w:t>
            </w:r>
          </w:p>
        </w:tc>
        <w:tc>
          <w:tcPr>
            <w:tcW w:w="824" w:type="dxa"/>
            <w:tcBorders>
              <w:tl2br w:val="nil"/>
              <w:tr2bl w:val="nil"/>
            </w:tcBorders>
            <w:noWrap w:val="0"/>
            <w:vAlign w:val="center"/>
          </w:tcPr>
          <w:p w14:paraId="5DEF6F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EFDC9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1A5982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w:t>
            </w:r>
          </w:p>
        </w:tc>
        <w:tc>
          <w:tcPr>
            <w:tcW w:w="695" w:type="dxa"/>
            <w:tcBorders>
              <w:tl2br w:val="nil"/>
              <w:tr2bl w:val="nil"/>
            </w:tcBorders>
            <w:noWrap w:val="0"/>
            <w:vAlign w:val="center"/>
          </w:tcPr>
          <w:p w14:paraId="23D54F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35108E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32D86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675B6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苯并（a）芘</w:t>
            </w:r>
          </w:p>
        </w:tc>
        <w:tc>
          <w:tcPr>
            <w:tcW w:w="824" w:type="dxa"/>
            <w:tcBorders>
              <w:tl2br w:val="nil"/>
              <w:tr2bl w:val="nil"/>
            </w:tcBorders>
            <w:noWrap w:val="0"/>
            <w:vAlign w:val="center"/>
          </w:tcPr>
          <w:p w14:paraId="63D459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69FCC6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37BE0A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695" w:type="dxa"/>
            <w:tcBorders>
              <w:tl2br w:val="nil"/>
              <w:tr2bl w:val="nil"/>
            </w:tcBorders>
            <w:noWrap w:val="0"/>
            <w:vAlign w:val="center"/>
          </w:tcPr>
          <w:p w14:paraId="0330DA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EB7EA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2B0255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04D32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茚并（1，2，3-cd）芘</w:t>
            </w:r>
          </w:p>
        </w:tc>
        <w:tc>
          <w:tcPr>
            <w:tcW w:w="824" w:type="dxa"/>
            <w:tcBorders>
              <w:tl2br w:val="nil"/>
              <w:tr2bl w:val="nil"/>
            </w:tcBorders>
            <w:noWrap w:val="0"/>
            <w:vAlign w:val="center"/>
          </w:tcPr>
          <w:p w14:paraId="099BDE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139877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59B50E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695" w:type="dxa"/>
            <w:tcBorders>
              <w:tl2br w:val="nil"/>
              <w:tr2bl w:val="nil"/>
            </w:tcBorders>
            <w:noWrap w:val="0"/>
            <w:vAlign w:val="center"/>
          </w:tcPr>
          <w:p w14:paraId="38EAFF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190826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vMerge w:val="continue"/>
            <w:tcBorders>
              <w:tl2br w:val="nil"/>
              <w:tr2bl w:val="nil"/>
            </w:tcBorders>
            <w:noWrap w:val="0"/>
            <w:vAlign w:val="center"/>
          </w:tcPr>
          <w:p w14:paraId="41B324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965" w:type="dxa"/>
            <w:tcBorders>
              <w:tl2br w:val="nil"/>
              <w:tr2bl w:val="nil"/>
            </w:tcBorders>
            <w:noWrap w:val="0"/>
            <w:vAlign w:val="center"/>
          </w:tcPr>
          <w:p w14:paraId="6437A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二苯并（a,h）蒽</w:t>
            </w:r>
          </w:p>
        </w:tc>
        <w:tc>
          <w:tcPr>
            <w:tcW w:w="824" w:type="dxa"/>
            <w:tcBorders>
              <w:tl2br w:val="nil"/>
              <w:tr2bl w:val="nil"/>
            </w:tcBorders>
            <w:noWrap w:val="0"/>
            <w:vAlign w:val="center"/>
          </w:tcPr>
          <w:p w14:paraId="3A521E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6D063B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8" w:type="dxa"/>
            <w:tcBorders>
              <w:tl2br w:val="nil"/>
              <w:tr2bl w:val="nil"/>
            </w:tcBorders>
            <w:noWrap w:val="0"/>
            <w:vAlign w:val="center"/>
          </w:tcPr>
          <w:p w14:paraId="11850B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695" w:type="dxa"/>
            <w:tcBorders>
              <w:tl2br w:val="nil"/>
              <w:tr2bl w:val="nil"/>
            </w:tcBorders>
            <w:noWrap w:val="0"/>
            <w:vAlign w:val="center"/>
          </w:tcPr>
          <w:p w14:paraId="3B2574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是</w:t>
            </w:r>
          </w:p>
        </w:tc>
      </w:tr>
      <w:tr w14:paraId="4ABD95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26" w:type="dxa"/>
            <w:tcBorders>
              <w:tl2br w:val="nil"/>
              <w:tr2bl w:val="nil"/>
            </w:tcBorders>
            <w:noWrap w:val="0"/>
            <w:vAlign w:val="center"/>
          </w:tcPr>
          <w:p w14:paraId="0E8F83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石油烃类</w:t>
            </w:r>
          </w:p>
        </w:tc>
        <w:tc>
          <w:tcPr>
            <w:tcW w:w="1965" w:type="dxa"/>
            <w:tcBorders>
              <w:tl2br w:val="nil"/>
              <w:tr2bl w:val="nil"/>
            </w:tcBorders>
            <w:noWrap w:val="0"/>
            <w:vAlign w:val="center"/>
          </w:tcPr>
          <w:p w14:paraId="3CF5D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石油烃（C</w:t>
            </w:r>
            <w:r>
              <w:rPr>
                <w:rFonts w:hint="default" w:ascii="Times New Roman" w:hAnsi="Times New Roman" w:eastAsia="宋体" w:cs="Times New Roman"/>
                <w:color w:val="auto"/>
                <w:sz w:val="21"/>
                <w:szCs w:val="21"/>
                <w:u w:val="none" w:color="auto"/>
                <w:vertAlign w:val="subscript"/>
                <w:lang w:val="en-US" w:eastAsia="zh-CN"/>
              </w:rPr>
              <w:t>10</w:t>
            </w:r>
            <w:r>
              <w:rPr>
                <w:rFonts w:hint="default" w:ascii="Times New Roman" w:hAnsi="Times New Roman" w:eastAsia="宋体" w:cs="Times New Roman"/>
                <w:color w:val="auto"/>
                <w:sz w:val="21"/>
                <w:szCs w:val="21"/>
                <w:u w:val="none" w:color="auto"/>
                <w:vertAlign w:val="baseline"/>
                <w:lang w:val="en-US" w:eastAsia="zh-CN"/>
              </w:rPr>
              <w:t>-C</w:t>
            </w:r>
            <w:r>
              <w:rPr>
                <w:rFonts w:hint="default" w:ascii="Times New Roman" w:hAnsi="Times New Roman" w:eastAsia="宋体" w:cs="Times New Roman"/>
                <w:color w:val="auto"/>
                <w:sz w:val="21"/>
                <w:szCs w:val="21"/>
                <w:u w:val="none" w:color="auto"/>
                <w:vertAlign w:val="subscript"/>
                <w:lang w:val="en-US" w:eastAsia="zh-CN"/>
              </w:rPr>
              <w:t>40</w:t>
            </w:r>
            <w:r>
              <w:rPr>
                <w:rFonts w:hint="default" w:ascii="Times New Roman" w:hAnsi="Times New Roman" w:eastAsia="宋体" w:cs="Times New Roman"/>
                <w:color w:val="auto"/>
                <w:sz w:val="21"/>
                <w:szCs w:val="21"/>
                <w:u w:val="none" w:color="auto"/>
                <w:vertAlign w:val="baseline"/>
                <w:lang w:val="en-US" w:eastAsia="zh-CN"/>
              </w:rPr>
              <w:t>）</w:t>
            </w:r>
          </w:p>
        </w:tc>
        <w:tc>
          <w:tcPr>
            <w:tcW w:w="824" w:type="dxa"/>
            <w:tcBorders>
              <w:tl2br w:val="nil"/>
              <w:tr2bl w:val="nil"/>
            </w:tcBorders>
            <w:noWrap w:val="0"/>
            <w:vAlign w:val="center"/>
          </w:tcPr>
          <w:p w14:paraId="640D8D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1821" w:type="dxa"/>
            <w:tcBorders>
              <w:tl2br w:val="nil"/>
              <w:tr2bl w:val="nil"/>
            </w:tcBorders>
            <w:noWrap w:val="0"/>
            <w:vAlign w:val="center"/>
          </w:tcPr>
          <w:p w14:paraId="2C5EF5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w:t>
            </w:r>
          </w:p>
        </w:tc>
        <w:tc>
          <w:tcPr>
            <w:tcW w:w="808" w:type="dxa"/>
            <w:tcBorders>
              <w:tl2br w:val="nil"/>
              <w:tr2bl w:val="nil"/>
            </w:tcBorders>
            <w:noWrap w:val="0"/>
            <w:vAlign w:val="center"/>
          </w:tcPr>
          <w:p w14:paraId="51C25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4500</w:t>
            </w:r>
          </w:p>
        </w:tc>
        <w:tc>
          <w:tcPr>
            <w:tcW w:w="695" w:type="dxa"/>
            <w:tcBorders>
              <w:tl2br w:val="nil"/>
              <w:tr2bl w:val="nil"/>
            </w:tcBorders>
            <w:noWrap w:val="0"/>
            <w:vAlign w:val="center"/>
          </w:tcPr>
          <w:p w14:paraId="652A2E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是</w:t>
            </w:r>
          </w:p>
        </w:tc>
      </w:tr>
    </w:tbl>
    <w:p w14:paraId="68DD2B73">
      <w:pPr>
        <w:pStyle w:val="29"/>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表</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.3-1</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 xml:space="preserve"> </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土壤现状监测和评价结果</w:t>
      </w:r>
      <w:r>
        <w:rPr>
          <w:rFonts w:hint="eastAsia" w:ascii="Times New Roman" w:hAnsi="Times New Roman" w:eastAsia="宋体" w:cs="Times New Roman"/>
          <w:color w:val="auto"/>
          <w:sz w:val="21"/>
          <w:szCs w:val="21"/>
          <w:u w:val="none" w:color="auto"/>
          <w:lang w:val="en-US" w:eastAsia="zh-CN"/>
        </w:rPr>
        <w:t>2</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88"/>
        <w:gridCol w:w="900"/>
        <w:gridCol w:w="795"/>
        <w:gridCol w:w="160"/>
        <w:gridCol w:w="635"/>
        <w:gridCol w:w="320"/>
        <w:gridCol w:w="475"/>
        <w:gridCol w:w="480"/>
        <w:gridCol w:w="315"/>
        <w:gridCol w:w="640"/>
        <w:gridCol w:w="155"/>
        <w:gridCol w:w="800"/>
        <w:gridCol w:w="1053"/>
        <w:gridCol w:w="906"/>
      </w:tblGrid>
      <w:tr w14:paraId="6CA3DE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vMerge w:val="restart"/>
            <w:tcBorders>
              <w:tl2br w:val="nil"/>
              <w:tr2bl w:val="nil"/>
            </w:tcBorders>
            <w:noWrap w:val="0"/>
            <w:vAlign w:val="center"/>
          </w:tcPr>
          <w:p w14:paraId="40BA42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sz w:val="21"/>
                <w:szCs w:val="21"/>
                <w:u w:val="none" w:color="auto"/>
              </w:rPr>
              <w:t>检测项目</w:t>
            </w:r>
          </w:p>
        </w:tc>
        <w:tc>
          <w:tcPr>
            <w:tcW w:w="900" w:type="dxa"/>
            <w:vMerge w:val="restart"/>
            <w:tcBorders>
              <w:tl2br w:val="nil"/>
              <w:tr2bl w:val="nil"/>
            </w:tcBorders>
            <w:noWrap w:val="0"/>
            <w:vAlign w:val="center"/>
          </w:tcPr>
          <w:p w14:paraId="57F94D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单位</w:t>
            </w:r>
          </w:p>
        </w:tc>
        <w:tc>
          <w:tcPr>
            <w:tcW w:w="4775" w:type="dxa"/>
            <w:gridSpan w:val="10"/>
            <w:tcBorders>
              <w:tl2br w:val="nil"/>
              <w:tr2bl w:val="nil"/>
            </w:tcBorders>
            <w:noWrap w:val="0"/>
            <w:vAlign w:val="center"/>
          </w:tcPr>
          <w:p w14:paraId="21B93E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w:t>
            </w:r>
          </w:p>
        </w:tc>
        <w:tc>
          <w:tcPr>
            <w:tcW w:w="1053" w:type="dxa"/>
            <w:vMerge w:val="restart"/>
            <w:tcBorders>
              <w:tl2br w:val="nil"/>
              <w:tr2bl w:val="nil"/>
            </w:tcBorders>
            <w:noWrap w:val="0"/>
            <w:vAlign w:val="center"/>
          </w:tcPr>
          <w:p w14:paraId="14CD50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标准限值</w:t>
            </w:r>
          </w:p>
        </w:tc>
        <w:tc>
          <w:tcPr>
            <w:tcW w:w="906" w:type="dxa"/>
            <w:vMerge w:val="restart"/>
            <w:tcBorders>
              <w:tl2br w:val="nil"/>
              <w:tr2bl w:val="nil"/>
            </w:tcBorders>
            <w:noWrap w:val="0"/>
            <w:vAlign w:val="center"/>
          </w:tcPr>
          <w:p w14:paraId="2D395F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是否达标</w:t>
            </w:r>
          </w:p>
        </w:tc>
      </w:tr>
      <w:tr w14:paraId="2E2D79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vMerge w:val="continue"/>
            <w:tcBorders>
              <w:tl2br w:val="nil"/>
              <w:tr2bl w:val="nil"/>
            </w:tcBorders>
            <w:noWrap w:val="0"/>
            <w:vAlign w:val="center"/>
          </w:tcPr>
          <w:p w14:paraId="6522A7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900" w:type="dxa"/>
            <w:vMerge w:val="continue"/>
            <w:tcBorders>
              <w:tl2br w:val="nil"/>
              <w:tr2bl w:val="nil"/>
            </w:tcBorders>
            <w:noWrap w:val="0"/>
            <w:vAlign w:val="center"/>
          </w:tcPr>
          <w:p w14:paraId="3E02F9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795" w:type="dxa"/>
            <w:tcBorders>
              <w:tl2br w:val="nil"/>
              <w:tr2bl w:val="nil"/>
            </w:tcBorders>
            <w:noWrap w:val="0"/>
            <w:vAlign w:val="center"/>
          </w:tcPr>
          <w:p w14:paraId="2879AA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T1-1</w:t>
            </w:r>
          </w:p>
        </w:tc>
        <w:tc>
          <w:tcPr>
            <w:tcW w:w="795" w:type="dxa"/>
            <w:gridSpan w:val="2"/>
            <w:tcBorders>
              <w:tl2br w:val="nil"/>
              <w:tr2bl w:val="nil"/>
            </w:tcBorders>
            <w:noWrap w:val="0"/>
            <w:vAlign w:val="center"/>
          </w:tcPr>
          <w:p w14:paraId="31F53F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T1-2</w:t>
            </w:r>
          </w:p>
        </w:tc>
        <w:tc>
          <w:tcPr>
            <w:tcW w:w="795" w:type="dxa"/>
            <w:gridSpan w:val="2"/>
            <w:tcBorders>
              <w:tl2br w:val="nil"/>
              <w:tr2bl w:val="nil"/>
            </w:tcBorders>
            <w:noWrap w:val="0"/>
            <w:vAlign w:val="center"/>
          </w:tcPr>
          <w:p w14:paraId="29F606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T1-3</w:t>
            </w:r>
          </w:p>
        </w:tc>
        <w:tc>
          <w:tcPr>
            <w:tcW w:w="795" w:type="dxa"/>
            <w:gridSpan w:val="2"/>
            <w:tcBorders>
              <w:tl2br w:val="nil"/>
              <w:tr2bl w:val="nil"/>
            </w:tcBorders>
            <w:noWrap w:val="0"/>
            <w:vAlign w:val="center"/>
          </w:tcPr>
          <w:p w14:paraId="5B6902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T2-1</w:t>
            </w:r>
          </w:p>
        </w:tc>
        <w:tc>
          <w:tcPr>
            <w:tcW w:w="795" w:type="dxa"/>
            <w:gridSpan w:val="2"/>
            <w:tcBorders>
              <w:tl2br w:val="nil"/>
              <w:tr2bl w:val="nil"/>
            </w:tcBorders>
            <w:noWrap w:val="0"/>
            <w:vAlign w:val="center"/>
          </w:tcPr>
          <w:p w14:paraId="580009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T2-2</w:t>
            </w:r>
          </w:p>
        </w:tc>
        <w:tc>
          <w:tcPr>
            <w:tcW w:w="800" w:type="dxa"/>
            <w:tcBorders>
              <w:tl2br w:val="nil"/>
              <w:tr2bl w:val="nil"/>
            </w:tcBorders>
            <w:noWrap w:val="0"/>
            <w:vAlign w:val="center"/>
          </w:tcPr>
          <w:p w14:paraId="3DC46B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T2-3</w:t>
            </w:r>
          </w:p>
        </w:tc>
        <w:tc>
          <w:tcPr>
            <w:tcW w:w="1053" w:type="dxa"/>
            <w:vMerge w:val="continue"/>
            <w:tcBorders>
              <w:tl2br w:val="nil"/>
              <w:tr2bl w:val="nil"/>
            </w:tcBorders>
            <w:noWrap w:val="0"/>
            <w:vAlign w:val="center"/>
          </w:tcPr>
          <w:p w14:paraId="39DBB9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906" w:type="dxa"/>
            <w:vMerge w:val="continue"/>
            <w:tcBorders>
              <w:tl2br w:val="nil"/>
              <w:tr2bl w:val="nil"/>
            </w:tcBorders>
            <w:noWrap w:val="0"/>
            <w:vAlign w:val="center"/>
          </w:tcPr>
          <w:p w14:paraId="727F8C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p>
        </w:tc>
      </w:tr>
      <w:tr w14:paraId="5095A9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tcBorders>
              <w:tl2br w:val="nil"/>
              <w:tr2bl w:val="nil"/>
            </w:tcBorders>
            <w:noWrap w:val="0"/>
            <w:vAlign w:val="center"/>
          </w:tcPr>
          <w:p w14:paraId="0FFA16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u w:val="none"/>
                <w:lang w:val="en-US" w:eastAsia="zh-CN" w:bidi="ar-SA"/>
              </w:rPr>
              <w:t>2-氯酚</w:t>
            </w:r>
          </w:p>
        </w:tc>
        <w:tc>
          <w:tcPr>
            <w:tcW w:w="900" w:type="dxa"/>
            <w:tcBorders>
              <w:tl2br w:val="nil"/>
              <w:tr2bl w:val="nil"/>
            </w:tcBorders>
            <w:noWrap w:val="0"/>
            <w:vAlign w:val="center"/>
          </w:tcPr>
          <w:p w14:paraId="30B517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795" w:type="dxa"/>
            <w:tcBorders>
              <w:tl2br w:val="nil"/>
              <w:tr2bl w:val="nil"/>
            </w:tcBorders>
            <w:noWrap w:val="0"/>
            <w:vAlign w:val="center"/>
          </w:tcPr>
          <w:p w14:paraId="1D5219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795" w:type="dxa"/>
            <w:gridSpan w:val="2"/>
            <w:tcBorders>
              <w:tl2br w:val="nil"/>
              <w:tr2bl w:val="nil"/>
            </w:tcBorders>
            <w:noWrap w:val="0"/>
            <w:vAlign w:val="center"/>
          </w:tcPr>
          <w:p w14:paraId="3D44C7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795" w:type="dxa"/>
            <w:gridSpan w:val="2"/>
            <w:tcBorders>
              <w:tl2br w:val="nil"/>
              <w:tr2bl w:val="nil"/>
            </w:tcBorders>
            <w:noWrap w:val="0"/>
            <w:vAlign w:val="center"/>
          </w:tcPr>
          <w:p w14:paraId="387549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795" w:type="dxa"/>
            <w:gridSpan w:val="2"/>
            <w:tcBorders>
              <w:tl2br w:val="nil"/>
              <w:tr2bl w:val="nil"/>
            </w:tcBorders>
            <w:noWrap w:val="0"/>
            <w:vAlign w:val="center"/>
          </w:tcPr>
          <w:p w14:paraId="7ED33B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795" w:type="dxa"/>
            <w:gridSpan w:val="2"/>
            <w:tcBorders>
              <w:tl2br w:val="nil"/>
              <w:tr2bl w:val="nil"/>
            </w:tcBorders>
            <w:noWrap w:val="0"/>
            <w:vAlign w:val="center"/>
          </w:tcPr>
          <w:p w14:paraId="0D2521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0" w:type="dxa"/>
            <w:tcBorders>
              <w:tl2br w:val="nil"/>
              <w:tr2bl w:val="nil"/>
            </w:tcBorders>
            <w:noWrap w:val="0"/>
            <w:vAlign w:val="center"/>
          </w:tcPr>
          <w:p w14:paraId="02FAAD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1053" w:type="dxa"/>
            <w:tcBorders>
              <w:tl2br w:val="nil"/>
              <w:tr2bl w:val="nil"/>
            </w:tcBorders>
            <w:noWrap w:val="0"/>
            <w:vAlign w:val="center"/>
          </w:tcPr>
          <w:p w14:paraId="09678E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2256</w:t>
            </w:r>
          </w:p>
        </w:tc>
        <w:tc>
          <w:tcPr>
            <w:tcW w:w="906" w:type="dxa"/>
            <w:tcBorders>
              <w:tl2br w:val="nil"/>
              <w:tr2bl w:val="nil"/>
            </w:tcBorders>
            <w:noWrap w:val="0"/>
            <w:vAlign w:val="center"/>
          </w:tcPr>
          <w:p w14:paraId="461D13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是</w:t>
            </w:r>
          </w:p>
        </w:tc>
      </w:tr>
      <w:tr w14:paraId="3B4567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tcBorders>
              <w:tl2br w:val="nil"/>
              <w:tr2bl w:val="nil"/>
            </w:tcBorders>
            <w:noWrap w:val="0"/>
            <w:vAlign w:val="center"/>
          </w:tcPr>
          <w:p w14:paraId="3E2F9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kern w:val="2"/>
                <w:sz w:val="21"/>
                <w:szCs w:val="21"/>
                <w:u w:val="none"/>
                <w:lang w:val="en-US" w:eastAsia="zh-CN" w:bidi="ar-SA"/>
              </w:rPr>
              <w:t>石油烃</w:t>
            </w:r>
          </w:p>
        </w:tc>
        <w:tc>
          <w:tcPr>
            <w:tcW w:w="900" w:type="dxa"/>
            <w:tcBorders>
              <w:tl2br w:val="nil"/>
              <w:tr2bl w:val="nil"/>
            </w:tcBorders>
            <w:noWrap w:val="0"/>
            <w:vAlign w:val="center"/>
          </w:tcPr>
          <w:p w14:paraId="1FCDE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795" w:type="dxa"/>
            <w:tcBorders>
              <w:tl2br w:val="nil"/>
              <w:tr2bl w:val="nil"/>
            </w:tcBorders>
            <w:noWrap w:val="0"/>
            <w:vAlign w:val="center"/>
          </w:tcPr>
          <w:p w14:paraId="161442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795" w:type="dxa"/>
            <w:gridSpan w:val="2"/>
            <w:tcBorders>
              <w:tl2br w:val="nil"/>
              <w:tr2bl w:val="nil"/>
            </w:tcBorders>
            <w:noWrap w:val="0"/>
            <w:vAlign w:val="center"/>
          </w:tcPr>
          <w:p w14:paraId="3286D8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w:t>
            </w:r>
          </w:p>
        </w:tc>
        <w:tc>
          <w:tcPr>
            <w:tcW w:w="795" w:type="dxa"/>
            <w:gridSpan w:val="2"/>
            <w:tcBorders>
              <w:tl2br w:val="nil"/>
              <w:tr2bl w:val="nil"/>
            </w:tcBorders>
            <w:noWrap w:val="0"/>
            <w:vAlign w:val="center"/>
          </w:tcPr>
          <w:p w14:paraId="6E30F2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11</w:t>
            </w:r>
          </w:p>
        </w:tc>
        <w:tc>
          <w:tcPr>
            <w:tcW w:w="795" w:type="dxa"/>
            <w:gridSpan w:val="2"/>
            <w:tcBorders>
              <w:tl2br w:val="nil"/>
              <w:tr2bl w:val="nil"/>
            </w:tcBorders>
            <w:noWrap w:val="0"/>
            <w:vAlign w:val="center"/>
          </w:tcPr>
          <w:p w14:paraId="027BF151">
            <w:pPr>
              <w:keepNext w:val="0"/>
              <w:keepLines w:val="0"/>
              <w:pageBreakBefore w:val="0"/>
              <w:suppressLineNumbers w:val="0"/>
              <w:tabs>
                <w:tab w:val="left" w:pos="267"/>
              </w:tabs>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ab/>
            </w:r>
            <w:r>
              <w:rPr>
                <w:rFonts w:hint="eastAsia" w:ascii="Times New Roman" w:hAnsi="Times New Roman" w:eastAsia="宋体" w:cs="Times New Roman"/>
                <w:color w:val="auto"/>
                <w:kern w:val="2"/>
                <w:sz w:val="21"/>
                <w:szCs w:val="21"/>
                <w:highlight w:val="none"/>
                <w:u w:val="none" w:color="auto"/>
                <w:lang w:val="en-US" w:eastAsia="zh-CN" w:bidi="ar-SA"/>
              </w:rPr>
              <w:t>19</w:t>
            </w:r>
          </w:p>
        </w:tc>
        <w:tc>
          <w:tcPr>
            <w:tcW w:w="795" w:type="dxa"/>
            <w:gridSpan w:val="2"/>
            <w:tcBorders>
              <w:tl2br w:val="nil"/>
              <w:tr2bl w:val="nil"/>
            </w:tcBorders>
            <w:noWrap w:val="0"/>
            <w:vAlign w:val="center"/>
          </w:tcPr>
          <w:p w14:paraId="0F90F1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800" w:type="dxa"/>
            <w:tcBorders>
              <w:tl2br w:val="nil"/>
              <w:tr2bl w:val="nil"/>
            </w:tcBorders>
            <w:noWrap w:val="0"/>
            <w:vAlign w:val="center"/>
          </w:tcPr>
          <w:p w14:paraId="2A6C19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w:t>
            </w:r>
          </w:p>
        </w:tc>
        <w:tc>
          <w:tcPr>
            <w:tcW w:w="1053" w:type="dxa"/>
            <w:tcBorders>
              <w:tl2br w:val="nil"/>
              <w:tr2bl w:val="nil"/>
            </w:tcBorders>
            <w:noWrap w:val="0"/>
            <w:vAlign w:val="center"/>
          </w:tcPr>
          <w:p w14:paraId="19AD31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4500</w:t>
            </w:r>
          </w:p>
        </w:tc>
        <w:tc>
          <w:tcPr>
            <w:tcW w:w="906" w:type="dxa"/>
            <w:tcBorders>
              <w:tl2br w:val="nil"/>
              <w:tr2bl w:val="nil"/>
            </w:tcBorders>
            <w:noWrap w:val="0"/>
            <w:vAlign w:val="center"/>
          </w:tcPr>
          <w:p w14:paraId="4F7F6D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r w14:paraId="14B0CD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vMerge w:val="restart"/>
            <w:tcBorders>
              <w:tl2br w:val="nil"/>
              <w:tr2bl w:val="nil"/>
            </w:tcBorders>
            <w:noWrap w:val="0"/>
            <w:vAlign w:val="center"/>
          </w:tcPr>
          <w:p w14:paraId="29E39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rPr>
              <w:t>检测项目</w:t>
            </w:r>
          </w:p>
        </w:tc>
        <w:tc>
          <w:tcPr>
            <w:tcW w:w="900" w:type="dxa"/>
            <w:vMerge w:val="restart"/>
            <w:tcBorders>
              <w:tl2br w:val="nil"/>
              <w:tr2bl w:val="nil"/>
            </w:tcBorders>
            <w:noWrap w:val="0"/>
            <w:vAlign w:val="center"/>
          </w:tcPr>
          <w:p w14:paraId="1B6041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单位</w:t>
            </w:r>
          </w:p>
        </w:tc>
        <w:tc>
          <w:tcPr>
            <w:tcW w:w="4775" w:type="dxa"/>
            <w:gridSpan w:val="10"/>
            <w:tcBorders>
              <w:tl2br w:val="nil"/>
              <w:tr2bl w:val="nil"/>
            </w:tcBorders>
            <w:noWrap w:val="0"/>
            <w:vAlign w:val="center"/>
          </w:tcPr>
          <w:p w14:paraId="459351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检测结果</w:t>
            </w:r>
          </w:p>
        </w:tc>
        <w:tc>
          <w:tcPr>
            <w:tcW w:w="1053" w:type="dxa"/>
            <w:vMerge w:val="restart"/>
            <w:tcBorders>
              <w:tl2br w:val="nil"/>
              <w:tr2bl w:val="nil"/>
            </w:tcBorders>
            <w:noWrap w:val="0"/>
            <w:vAlign w:val="center"/>
          </w:tcPr>
          <w:p w14:paraId="59D667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标准限值</w:t>
            </w:r>
          </w:p>
        </w:tc>
        <w:tc>
          <w:tcPr>
            <w:tcW w:w="906" w:type="dxa"/>
            <w:vMerge w:val="restart"/>
            <w:tcBorders>
              <w:tl2br w:val="nil"/>
              <w:tr2bl w:val="nil"/>
            </w:tcBorders>
            <w:noWrap w:val="0"/>
            <w:vAlign w:val="center"/>
          </w:tcPr>
          <w:p w14:paraId="45A5A4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是否达标</w:t>
            </w:r>
          </w:p>
        </w:tc>
      </w:tr>
      <w:tr w14:paraId="09E2B0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vMerge w:val="continue"/>
            <w:tcBorders>
              <w:tl2br w:val="nil"/>
              <w:tr2bl w:val="nil"/>
            </w:tcBorders>
            <w:noWrap w:val="0"/>
            <w:vAlign w:val="center"/>
          </w:tcPr>
          <w:p w14:paraId="5F810D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u w:val="none"/>
                <w:lang w:val="en-US" w:eastAsia="zh-CN" w:bidi="ar-SA"/>
              </w:rPr>
            </w:pPr>
          </w:p>
        </w:tc>
        <w:tc>
          <w:tcPr>
            <w:tcW w:w="900" w:type="dxa"/>
            <w:vMerge w:val="continue"/>
            <w:tcBorders>
              <w:tl2br w:val="nil"/>
              <w:tr2bl w:val="nil"/>
            </w:tcBorders>
            <w:noWrap w:val="0"/>
            <w:vAlign w:val="center"/>
          </w:tcPr>
          <w:p w14:paraId="3A5359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955" w:type="dxa"/>
            <w:gridSpan w:val="2"/>
            <w:tcBorders>
              <w:tl2br w:val="nil"/>
              <w:tr2bl w:val="nil"/>
            </w:tcBorders>
            <w:noWrap w:val="0"/>
            <w:vAlign w:val="center"/>
          </w:tcPr>
          <w:p w14:paraId="699861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T3-1</w:t>
            </w:r>
          </w:p>
        </w:tc>
        <w:tc>
          <w:tcPr>
            <w:tcW w:w="955" w:type="dxa"/>
            <w:gridSpan w:val="2"/>
            <w:tcBorders>
              <w:tl2br w:val="nil"/>
              <w:tr2bl w:val="nil"/>
            </w:tcBorders>
            <w:noWrap w:val="0"/>
            <w:vAlign w:val="center"/>
          </w:tcPr>
          <w:p w14:paraId="7F638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T3-2</w:t>
            </w:r>
          </w:p>
        </w:tc>
        <w:tc>
          <w:tcPr>
            <w:tcW w:w="955" w:type="dxa"/>
            <w:gridSpan w:val="2"/>
            <w:tcBorders>
              <w:tl2br w:val="nil"/>
              <w:tr2bl w:val="nil"/>
            </w:tcBorders>
            <w:noWrap w:val="0"/>
            <w:vAlign w:val="center"/>
          </w:tcPr>
          <w:p w14:paraId="6CD4B8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T3-3</w:t>
            </w:r>
          </w:p>
        </w:tc>
        <w:tc>
          <w:tcPr>
            <w:tcW w:w="955" w:type="dxa"/>
            <w:gridSpan w:val="2"/>
            <w:tcBorders>
              <w:tl2br w:val="nil"/>
              <w:tr2bl w:val="nil"/>
            </w:tcBorders>
            <w:noWrap w:val="0"/>
            <w:vAlign w:val="center"/>
          </w:tcPr>
          <w:p w14:paraId="1879D2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T5</w:t>
            </w:r>
          </w:p>
        </w:tc>
        <w:tc>
          <w:tcPr>
            <w:tcW w:w="955" w:type="dxa"/>
            <w:gridSpan w:val="2"/>
            <w:tcBorders>
              <w:tl2br w:val="nil"/>
              <w:tr2bl w:val="nil"/>
            </w:tcBorders>
            <w:noWrap w:val="0"/>
            <w:vAlign w:val="center"/>
          </w:tcPr>
          <w:p w14:paraId="1B1B09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T6</w:t>
            </w:r>
          </w:p>
        </w:tc>
        <w:tc>
          <w:tcPr>
            <w:tcW w:w="1053" w:type="dxa"/>
            <w:vMerge w:val="continue"/>
            <w:tcBorders>
              <w:tl2br w:val="nil"/>
              <w:tr2bl w:val="nil"/>
            </w:tcBorders>
            <w:noWrap w:val="0"/>
            <w:vAlign w:val="center"/>
          </w:tcPr>
          <w:p w14:paraId="68FD9C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p>
        </w:tc>
        <w:tc>
          <w:tcPr>
            <w:tcW w:w="906" w:type="dxa"/>
            <w:vMerge w:val="continue"/>
            <w:tcBorders>
              <w:tl2br w:val="nil"/>
              <w:tr2bl w:val="nil"/>
            </w:tcBorders>
            <w:noWrap w:val="0"/>
            <w:vAlign w:val="center"/>
          </w:tcPr>
          <w:p w14:paraId="190D45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u w:val="none" w:color="auto"/>
                <w:lang w:val="en-US" w:eastAsia="zh-CN" w:bidi="ar-SA"/>
              </w:rPr>
            </w:pPr>
          </w:p>
        </w:tc>
      </w:tr>
      <w:tr w14:paraId="4FC904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tcBorders>
              <w:tl2br w:val="nil"/>
              <w:tr2bl w:val="nil"/>
            </w:tcBorders>
            <w:noWrap w:val="0"/>
            <w:vAlign w:val="center"/>
          </w:tcPr>
          <w:p w14:paraId="2E14B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lang w:val="en-US" w:eastAsia="zh-CN" w:bidi="ar-SA"/>
              </w:rPr>
              <w:t>2-氯酚</w:t>
            </w:r>
          </w:p>
        </w:tc>
        <w:tc>
          <w:tcPr>
            <w:tcW w:w="900" w:type="dxa"/>
            <w:tcBorders>
              <w:tl2br w:val="nil"/>
              <w:tr2bl w:val="nil"/>
            </w:tcBorders>
            <w:noWrap w:val="0"/>
            <w:vAlign w:val="center"/>
          </w:tcPr>
          <w:p w14:paraId="43AB99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955" w:type="dxa"/>
            <w:gridSpan w:val="2"/>
            <w:tcBorders>
              <w:tl2br w:val="nil"/>
              <w:tr2bl w:val="nil"/>
            </w:tcBorders>
            <w:noWrap w:val="0"/>
            <w:vAlign w:val="center"/>
          </w:tcPr>
          <w:p w14:paraId="74D250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656B68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10C863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5F1A5A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253676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1053" w:type="dxa"/>
            <w:tcBorders>
              <w:tl2br w:val="nil"/>
              <w:tr2bl w:val="nil"/>
            </w:tcBorders>
            <w:noWrap w:val="0"/>
            <w:vAlign w:val="center"/>
          </w:tcPr>
          <w:p w14:paraId="4E9216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2256</w:t>
            </w:r>
          </w:p>
        </w:tc>
        <w:tc>
          <w:tcPr>
            <w:tcW w:w="906" w:type="dxa"/>
            <w:tcBorders>
              <w:tl2br w:val="nil"/>
              <w:tr2bl w:val="nil"/>
            </w:tcBorders>
            <w:noWrap w:val="0"/>
            <w:vAlign w:val="center"/>
          </w:tcPr>
          <w:p w14:paraId="05E657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是</w:t>
            </w:r>
          </w:p>
        </w:tc>
      </w:tr>
      <w:tr w14:paraId="1A5601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88" w:type="dxa"/>
            <w:tcBorders>
              <w:tl2br w:val="nil"/>
              <w:tr2bl w:val="nil"/>
            </w:tcBorders>
            <w:noWrap w:val="0"/>
            <w:vAlign w:val="center"/>
          </w:tcPr>
          <w:p w14:paraId="3C80D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lang w:val="en-US" w:eastAsia="zh-CN" w:bidi="ar-SA"/>
              </w:rPr>
              <w:t>石油烃</w:t>
            </w:r>
          </w:p>
        </w:tc>
        <w:tc>
          <w:tcPr>
            <w:tcW w:w="900" w:type="dxa"/>
            <w:tcBorders>
              <w:tl2br w:val="nil"/>
              <w:tr2bl w:val="nil"/>
            </w:tcBorders>
            <w:noWrap w:val="0"/>
            <w:vAlign w:val="center"/>
          </w:tcPr>
          <w:p w14:paraId="5B9AE4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mg/</w:t>
            </w:r>
            <w:r>
              <w:rPr>
                <w:rFonts w:hint="default" w:ascii="Times New Roman" w:hAnsi="Times New Roman" w:eastAsia="宋体" w:cs="Times New Roman"/>
                <w:color w:val="auto"/>
                <w:sz w:val="21"/>
                <w:szCs w:val="21"/>
                <w:u w:val="none" w:color="auto"/>
                <w:lang w:val="en-US" w:eastAsia="zh-CN"/>
              </w:rPr>
              <w:t>kg</w:t>
            </w:r>
          </w:p>
        </w:tc>
        <w:tc>
          <w:tcPr>
            <w:tcW w:w="955" w:type="dxa"/>
            <w:gridSpan w:val="2"/>
            <w:tcBorders>
              <w:tl2br w:val="nil"/>
              <w:tr2bl w:val="nil"/>
            </w:tcBorders>
            <w:noWrap w:val="0"/>
            <w:vAlign w:val="center"/>
          </w:tcPr>
          <w:p w14:paraId="5FBFAF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5B6A26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50705F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w:t>
            </w:r>
          </w:p>
        </w:tc>
        <w:tc>
          <w:tcPr>
            <w:tcW w:w="955" w:type="dxa"/>
            <w:gridSpan w:val="2"/>
            <w:tcBorders>
              <w:tl2br w:val="nil"/>
              <w:tr2bl w:val="nil"/>
            </w:tcBorders>
            <w:noWrap w:val="0"/>
            <w:vAlign w:val="center"/>
          </w:tcPr>
          <w:p w14:paraId="48EB20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未检出</w:t>
            </w:r>
          </w:p>
        </w:tc>
        <w:tc>
          <w:tcPr>
            <w:tcW w:w="955" w:type="dxa"/>
            <w:gridSpan w:val="2"/>
            <w:tcBorders>
              <w:tl2br w:val="nil"/>
              <w:tr2bl w:val="nil"/>
            </w:tcBorders>
            <w:noWrap w:val="0"/>
            <w:vAlign w:val="center"/>
          </w:tcPr>
          <w:p w14:paraId="50DDFA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w:t>
            </w:r>
          </w:p>
        </w:tc>
        <w:tc>
          <w:tcPr>
            <w:tcW w:w="1053" w:type="dxa"/>
            <w:tcBorders>
              <w:tl2br w:val="nil"/>
              <w:tr2bl w:val="nil"/>
            </w:tcBorders>
            <w:noWrap w:val="0"/>
            <w:vAlign w:val="center"/>
          </w:tcPr>
          <w:p w14:paraId="56C609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4500</w:t>
            </w:r>
          </w:p>
        </w:tc>
        <w:tc>
          <w:tcPr>
            <w:tcW w:w="906" w:type="dxa"/>
            <w:tcBorders>
              <w:tl2br w:val="nil"/>
              <w:tr2bl w:val="nil"/>
            </w:tcBorders>
            <w:noWrap w:val="0"/>
            <w:vAlign w:val="center"/>
          </w:tcPr>
          <w:p w14:paraId="5408F0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是</w:t>
            </w:r>
          </w:p>
        </w:tc>
      </w:tr>
    </w:tbl>
    <w:p w14:paraId="326BFF67">
      <w:pPr>
        <w:pStyle w:val="21"/>
        <w:ind w:firstLine="480"/>
        <w:rPr>
          <w:rFonts w:hint="default"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0"/>
          <w:sz w:val="24"/>
          <w:u w:val="none" w:color="auto"/>
        </w:rPr>
        <w:t>从上表</w:t>
      </w:r>
      <w:r>
        <w:rPr>
          <w:rFonts w:hint="default" w:ascii="Times New Roman" w:hAnsi="Times New Roman" w:eastAsia="宋体" w:cs="Times New Roman"/>
          <w:color w:val="auto"/>
          <w:sz w:val="24"/>
          <w:u w:val="none" w:color="auto"/>
        </w:rPr>
        <w:t>监测结果可知，土壤采样点位的各项监测因子均可以满足</w:t>
      </w:r>
      <w:r>
        <w:rPr>
          <w:rFonts w:hint="default" w:ascii="Times New Roman" w:hAnsi="Times New Roman" w:eastAsia="宋体" w:cs="Times New Roman"/>
          <w:color w:val="auto"/>
          <w:sz w:val="24"/>
          <w:u w:val="none" w:color="auto"/>
          <w:lang w:eastAsia="zh-CN"/>
        </w:rPr>
        <w:t>《土壤环境质量 建设用地土壤污染风险管控标准（试行）》（GB36600-2018）表1中第二类用地筛选值</w:t>
      </w:r>
      <w:r>
        <w:rPr>
          <w:rFonts w:hint="default" w:ascii="Times New Roman" w:hAnsi="Times New Roman" w:eastAsia="宋体" w:cs="Times New Roman"/>
          <w:color w:val="auto"/>
          <w:sz w:val="24"/>
          <w:u w:val="none" w:color="auto"/>
        </w:rPr>
        <w:t>，项目所在区域土壤环境质量现状较好</w:t>
      </w:r>
      <w:r>
        <w:rPr>
          <w:rFonts w:hint="eastAsia"/>
          <w:color w:val="auto"/>
          <w:u w:val="none" w:color="auto"/>
        </w:rPr>
        <w:t>。</w:t>
      </w:r>
    </w:p>
    <w:p w14:paraId="3612E83E">
      <w:pPr>
        <w:pStyle w:val="8"/>
        <w:rPr>
          <w:rFonts w:hint="default" w:ascii="Times New Roman" w:hAnsi="Times New Roman" w:cs="Times New Roman"/>
          <w:color w:val="auto"/>
          <w:u w:val="none" w:color="auto"/>
        </w:rPr>
      </w:pPr>
      <w:bookmarkStart w:id="941" w:name="_Toc383"/>
      <w:bookmarkStart w:id="942" w:name="_Toc23155"/>
      <w:bookmarkStart w:id="943" w:name="_Toc28398"/>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生态</w:t>
      </w:r>
      <w:r>
        <w:rPr>
          <w:rFonts w:hint="default" w:ascii="Times New Roman" w:hAnsi="Times New Roman" w:cs="Times New Roman"/>
          <w:color w:val="auto"/>
          <w:u w:val="none" w:color="auto"/>
        </w:rPr>
        <w:t>环境现状监测与评价</w:t>
      </w:r>
      <w:bookmarkEnd w:id="939"/>
      <w:bookmarkEnd w:id="940"/>
      <w:bookmarkEnd w:id="941"/>
      <w:bookmarkEnd w:id="942"/>
      <w:bookmarkEnd w:id="943"/>
    </w:p>
    <w:p w14:paraId="36AD8245">
      <w:pPr>
        <w:widowControl/>
        <w:spacing w:line="360" w:lineRule="auto"/>
        <w:ind w:firstLine="480" w:firstLineChars="200"/>
        <w:outlineLvl w:val="9"/>
        <w:rPr>
          <w:rFonts w:hint="eastAsia" w:cs="Times New Roman"/>
          <w:color w:val="auto"/>
          <w:sz w:val="24"/>
          <w:szCs w:val="24"/>
          <w:u w:val="none" w:color="auto"/>
          <w:lang w:eastAsia="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944" w:name="_Toc11551"/>
      <w:r>
        <w:rPr>
          <w:rFonts w:hint="default" w:ascii="Times New Roman" w:hAnsi="Times New Roman" w:cs="Times New Roman"/>
          <w:color w:val="auto"/>
          <w:sz w:val="24"/>
          <w:szCs w:val="24"/>
          <w:u w:val="none" w:color="auto"/>
          <w:lang w:val="en-US" w:eastAsia="zh-CN"/>
        </w:rPr>
        <w:t>项目位于工业园区，受人类活动影响较大，根据现场调查，项目选址区域已进行开发平整，项目占地范围目前为闲置空地，地表无植被。项目周边除已开发平整的土地外，总体地表植被仍保持良好，作物生长正常，没受到明显的环境污染影响和生态破坏。区域内有麻雀等一般常见的鸟类和青蛙等动物，据调查未发现国家明文规定的珍稀动、植物群种。由于项目占地已进行平整，项目施工期土方工程量较小，水土流失量不大，不会生产明显水土影响，项目对生态环境影响不大</w:t>
      </w:r>
      <w:r>
        <w:rPr>
          <w:rFonts w:hint="eastAsia" w:cs="Times New Roman"/>
          <w:bCs/>
          <w:color w:val="auto"/>
          <w:sz w:val="24"/>
          <w:u w:val="none" w:color="auto"/>
          <w:lang w:val="en-US" w:eastAsia="zh-CN"/>
        </w:rPr>
        <w:t>。</w:t>
      </w:r>
    </w:p>
    <w:p w14:paraId="6624B565">
      <w:pPr>
        <w:pStyle w:val="7"/>
        <w:bidi w:val="0"/>
        <w:rPr>
          <w:rFonts w:hint="eastAsia"/>
          <w:color w:val="auto"/>
          <w:u w:val="none" w:color="auto"/>
          <w:lang w:val="en-US" w:eastAsia="zh-CN"/>
        </w:rPr>
      </w:pPr>
      <w:bookmarkStart w:id="945" w:name="_Toc16429"/>
      <w:r>
        <w:rPr>
          <w:rFonts w:hint="eastAsia"/>
          <w:color w:val="auto"/>
          <w:u w:val="none" w:color="auto"/>
          <w:lang w:val="en-US" w:eastAsia="zh-CN"/>
        </w:rPr>
        <w:t>4.4区域污染源调查</w:t>
      </w:r>
      <w:bookmarkEnd w:id="945"/>
    </w:p>
    <w:p w14:paraId="7A152FB6">
      <w:pPr>
        <w:pStyle w:val="21"/>
        <w:bidi w:val="0"/>
        <w:rPr>
          <w:rFonts w:hint="eastAsia"/>
          <w:color w:val="auto"/>
          <w:u w:val="none" w:color="auto"/>
          <w:lang w:val="en-US" w:eastAsia="zh-CN"/>
        </w:rPr>
      </w:pPr>
      <w:r>
        <w:rPr>
          <w:rFonts w:hint="default"/>
          <w:color w:val="auto"/>
          <w:u w:val="none" w:color="auto"/>
          <w:lang w:val="en-US" w:eastAsia="zh-CN"/>
        </w:rPr>
        <w:t>本项目选址位于</w:t>
      </w:r>
      <w:r>
        <w:rPr>
          <w:rFonts w:hint="eastAsia"/>
          <w:color w:val="auto"/>
          <w:u w:val="none" w:color="auto"/>
          <w:lang w:val="en-US" w:eastAsia="zh-CN"/>
        </w:rPr>
        <w:t>湖南省岳阳市汨罗市湖南汨罗高新技术产业开发区弼时片区大里塘村立新南路</w:t>
      </w:r>
      <w:r>
        <w:rPr>
          <w:rFonts w:hint="default"/>
          <w:color w:val="auto"/>
          <w:u w:val="none" w:color="auto"/>
          <w:lang w:val="en-US" w:eastAsia="zh-CN"/>
        </w:rPr>
        <w:t>，项目周边主要为工业用地，根据现场调查，汨罗高新技术产业开发区</w:t>
      </w:r>
      <w:r>
        <w:rPr>
          <w:rFonts w:hint="eastAsia"/>
          <w:color w:val="auto"/>
          <w:u w:val="none" w:color="auto"/>
          <w:lang w:val="en-US" w:eastAsia="zh-CN"/>
        </w:rPr>
        <w:t>弼时片区</w:t>
      </w:r>
      <w:r>
        <w:rPr>
          <w:rFonts w:hint="default"/>
          <w:color w:val="auto"/>
          <w:u w:val="none" w:color="auto"/>
          <w:lang w:val="en-US" w:eastAsia="zh-CN"/>
        </w:rPr>
        <w:t>现有主要污染源调查情况</w:t>
      </w:r>
      <w:r>
        <w:rPr>
          <w:rFonts w:hint="eastAsia"/>
          <w:color w:val="auto"/>
          <w:u w:val="none" w:color="auto"/>
          <w:lang w:val="en-US" w:eastAsia="zh-CN"/>
        </w:rPr>
        <w:t>如下。</w:t>
      </w:r>
    </w:p>
    <w:p w14:paraId="104AF81B">
      <w:pPr>
        <w:pStyle w:val="45"/>
        <w:bidi w:val="0"/>
        <w:rPr>
          <w:rFonts w:hint="eastAsia"/>
          <w:color w:val="auto"/>
          <w:u w:val="none" w:color="auto"/>
          <w:lang w:val="en-US" w:eastAsia="zh-CN"/>
        </w:rPr>
      </w:pPr>
      <w:r>
        <w:rPr>
          <w:rFonts w:hint="eastAsia"/>
          <w:color w:val="auto"/>
          <w:u w:val="none" w:color="auto"/>
          <w:lang w:val="en-US" w:eastAsia="zh-CN"/>
        </w:rPr>
        <w:t>表4.4-1 汨罗高新技术产业开发区弼时片区现有企业基本情况表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461"/>
        <w:gridCol w:w="3412"/>
        <w:gridCol w:w="4423"/>
        <w:gridCol w:w="2724"/>
        <w:gridCol w:w="2321"/>
        <w:gridCol w:w="647"/>
      </w:tblGrid>
      <w:tr w14:paraId="7B0E41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3BFB055">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1219" w:type="pct"/>
            <w:tcBorders>
              <w:tl2br w:val="nil"/>
              <w:tr2bl w:val="nil"/>
            </w:tcBorders>
            <w:noWrap w:val="0"/>
            <w:vAlign w:val="center"/>
          </w:tcPr>
          <w:p w14:paraId="141F84B7">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企业名称</w:t>
            </w:r>
          </w:p>
        </w:tc>
        <w:tc>
          <w:tcPr>
            <w:tcW w:w="1580" w:type="pct"/>
            <w:tcBorders>
              <w:tl2br w:val="nil"/>
              <w:tr2bl w:val="nil"/>
            </w:tcBorders>
            <w:noWrap w:val="0"/>
            <w:vAlign w:val="center"/>
          </w:tcPr>
          <w:p w14:paraId="5CEA843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产品及规模</w:t>
            </w:r>
          </w:p>
        </w:tc>
        <w:tc>
          <w:tcPr>
            <w:tcW w:w="973" w:type="pct"/>
            <w:tcBorders>
              <w:tl2br w:val="nil"/>
              <w:tr2bl w:val="nil"/>
            </w:tcBorders>
            <w:noWrap w:val="0"/>
            <w:vAlign w:val="center"/>
          </w:tcPr>
          <w:p w14:paraId="13D8AC7E">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环评情况</w:t>
            </w:r>
          </w:p>
        </w:tc>
        <w:tc>
          <w:tcPr>
            <w:tcW w:w="829" w:type="pct"/>
            <w:tcBorders>
              <w:tl2br w:val="nil"/>
              <w:tr2bl w:val="nil"/>
            </w:tcBorders>
            <w:noWrap w:val="0"/>
            <w:vAlign w:val="center"/>
          </w:tcPr>
          <w:p w14:paraId="441A57A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验收情况</w:t>
            </w:r>
          </w:p>
        </w:tc>
        <w:tc>
          <w:tcPr>
            <w:tcW w:w="231" w:type="pct"/>
            <w:tcBorders>
              <w:tl2br w:val="nil"/>
              <w:tr2bl w:val="nil"/>
            </w:tcBorders>
            <w:noWrap w:val="0"/>
            <w:vAlign w:val="center"/>
          </w:tcPr>
          <w:p w14:paraId="23243D2A">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备注</w:t>
            </w:r>
          </w:p>
        </w:tc>
      </w:tr>
      <w:tr w14:paraId="3496FE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F83FE9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219" w:type="pct"/>
            <w:tcBorders>
              <w:tl2br w:val="nil"/>
              <w:tr2bl w:val="nil"/>
            </w:tcBorders>
            <w:noWrap w:val="0"/>
            <w:vAlign w:val="center"/>
          </w:tcPr>
          <w:p w14:paraId="04A8FF8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湖南优冠体育材料有限公司</w:t>
            </w:r>
          </w:p>
        </w:tc>
        <w:tc>
          <w:tcPr>
            <w:tcW w:w="1580" w:type="pct"/>
            <w:tcBorders>
              <w:tl2br w:val="nil"/>
              <w:tr2bl w:val="nil"/>
            </w:tcBorders>
            <w:noWrap w:val="0"/>
            <w:vAlign w:val="center"/>
          </w:tcPr>
          <w:p w14:paraId="49E4E6C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运动场材料（聚氨酯类产品1500t/a、涂料类产品2305t/a、三元乙丙橡胶颗粒800t/a、环氧地坪材料13000t/a）17605t/a</w:t>
            </w:r>
            <w:r>
              <w:rPr>
                <w:rFonts w:hint="eastAsia" w:ascii="Times New Roman" w:hAnsi="Times New Roman" w:eastAsia="宋体" w:cs="Times New Roman"/>
                <w:i w:val="0"/>
                <w:snapToGrid w:val="0"/>
                <w:color w:val="auto"/>
                <w:kern w:val="0"/>
                <w:sz w:val="21"/>
                <w:szCs w:val="21"/>
                <w:u w:val="none"/>
                <w:lang w:val="en-US" w:eastAsia="zh-CN" w:bidi="ar"/>
              </w:rPr>
              <w:t>，</w:t>
            </w:r>
            <w:r>
              <w:rPr>
                <w:rFonts w:hint="default" w:ascii="Times New Roman" w:hAnsi="Times New Roman" w:eastAsia="宋体" w:cs="Times New Roman"/>
                <w:i w:val="0"/>
                <w:snapToGrid w:val="0"/>
                <w:color w:val="auto"/>
                <w:kern w:val="0"/>
                <w:sz w:val="21"/>
                <w:szCs w:val="21"/>
                <w:u w:val="none"/>
                <w:lang w:val="en-US" w:eastAsia="zh-CN" w:bidi="ar"/>
              </w:rPr>
              <w:t>人造草坪800万m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2</w:t>
            </w:r>
            <w:r>
              <w:rPr>
                <w:rFonts w:hint="default" w:ascii="Times New Roman" w:hAnsi="Times New Roman" w:eastAsia="宋体" w:cs="Times New Roman"/>
                <w:i w:val="0"/>
                <w:snapToGrid w:val="0"/>
                <w:color w:val="auto"/>
                <w:kern w:val="0"/>
                <w:sz w:val="21"/>
                <w:szCs w:val="21"/>
                <w:u w:val="none"/>
                <w:lang w:val="en-US" w:eastAsia="zh-CN" w:bidi="ar"/>
              </w:rPr>
              <w:t>/a</w:t>
            </w:r>
            <w:r>
              <w:rPr>
                <w:rFonts w:hint="eastAsia" w:ascii="Times New Roman" w:hAnsi="Times New Roman" w:eastAsia="宋体" w:cs="Times New Roman"/>
                <w:i w:val="0"/>
                <w:snapToGrid w:val="0"/>
                <w:color w:val="auto"/>
                <w:kern w:val="0"/>
                <w:sz w:val="21"/>
                <w:szCs w:val="21"/>
                <w:u w:val="none"/>
                <w:lang w:val="en-US" w:eastAsia="zh-CN" w:bidi="ar"/>
              </w:rPr>
              <w:t>，</w:t>
            </w:r>
            <w:r>
              <w:rPr>
                <w:rFonts w:hint="default" w:ascii="Times New Roman" w:hAnsi="Times New Roman" w:eastAsia="宋体" w:cs="Times New Roman"/>
                <w:i w:val="0"/>
                <w:snapToGrid w:val="0"/>
                <w:color w:val="auto"/>
                <w:kern w:val="0"/>
                <w:sz w:val="21"/>
                <w:szCs w:val="21"/>
                <w:u w:val="none"/>
                <w:lang w:val="en-US" w:eastAsia="zh-CN" w:bidi="ar"/>
              </w:rPr>
              <w:br w:type="textWrapping"/>
            </w:r>
            <w:r>
              <w:rPr>
                <w:rFonts w:hint="default" w:ascii="Times New Roman" w:hAnsi="Times New Roman" w:eastAsia="宋体" w:cs="Times New Roman"/>
                <w:i w:val="0"/>
                <w:snapToGrid w:val="0"/>
                <w:color w:val="auto"/>
                <w:kern w:val="0"/>
                <w:sz w:val="21"/>
                <w:szCs w:val="21"/>
                <w:u w:val="none"/>
                <w:lang w:val="en-US" w:eastAsia="zh-CN" w:bidi="ar"/>
              </w:rPr>
              <w:t>幼教设备</w:t>
            </w:r>
            <w:r>
              <w:rPr>
                <w:rFonts w:hint="eastAsia" w:ascii="Times New Roman" w:hAnsi="Times New Roman" w:eastAsia="宋体" w:cs="Times New Roman"/>
                <w:i w:val="0"/>
                <w:snapToGrid w:val="0"/>
                <w:color w:val="auto"/>
                <w:kern w:val="0"/>
                <w:sz w:val="21"/>
                <w:szCs w:val="21"/>
                <w:u w:val="none"/>
                <w:lang w:val="en-US" w:eastAsia="zh-CN" w:bidi="ar"/>
              </w:rPr>
              <w:t>（</w:t>
            </w:r>
            <w:r>
              <w:rPr>
                <w:rFonts w:hint="default" w:ascii="Times New Roman" w:hAnsi="Times New Roman" w:eastAsia="宋体" w:cs="Times New Roman"/>
                <w:i w:val="0"/>
                <w:snapToGrid w:val="0"/>
                <w:color w:val="auto"/>
                <w:kern w:val="0"/>
                <w:sz w:val="21"/>
                <w:szCs w:val="21"/>
                <w:u w:val="none"/>
                <w:lang w:val="en-US" w:eastAsia="zh-CN" w:bidi="ar"/>
              </w:rPr>
              <w:t>家具类10万件/a、游艺设施5万件/a）15万件/a，金属包装桶30万个/a</w:t>
            </w:r>
            <w:r>
              <w:rPr>
                <w:rFonts w:hint="eastAsia" w:ascii="Times New Roman" w:hAnsi="Times New Roman" w:eastAsia="宋体" w:cs="Times New Roman"/>
                <w:i w:val="0"/>
                <w:snapToGrid w:val="0"/>
                <w:color w:val="auto"/>
                <w:kern w:val="0"/>
                <w:sz w:val="21"/>
                <w:szCs w:val="21"/>
                <w:u w:val="none"/>
                <w:lang w:val="en-US" w:eastAsia="zh-CN" w:bidi="ar"/>
              </w:rPr>
              <w:t>，塑胶跑道30万m</w:t>
            </w:r>
            <w:r>
              <w:rPr>
                <w:rFonts w:hint="eastAsia" w:ascii="Times New Roman" w:hAnsi="Times New Roman" w:eastAsia="宋体" w:cs="Times New Roman"/>
                <w:i w:val="0"/>
                <w:snapToGrid w:val="0"/>
                <w:color w:val="auto"/>
                <w:kern w:val="0"/>
                <w:sz w:val="21"/>
                <w:szCs w:val="21"/>
                <w:u w:val="none"/>
                <w:vertAlign w:val="superscript"/>
                <w:lang w:val="en-US" w:eastAsia="zh-CN" w:bidi="ar"/>
              </w:rPr>
              <w:t>2</w:t>
            </w:r>
            <w:r>
              <w:rPr>
                <w:rFonts w:hint="eastAsia" w:ascii="Times New Roman" w:hAnsi="Times New Roman" w:eastAsia="宋体" w:cs="Times New Roman"/>
                <w:i w:val="0"/>
                <w:snapToGrid w:val="0"/>
                <w:color w:val="auto"/>
                <w:kern w:val="0"/>
                <w:sz w:val="21"/>
                <w:szCs w:val="21"/>
                <w:u w:val="none"/>
                <w:lang w:val="en-US" w:eastAsia="zh-CN" w:bidi="ar"/>
              </w:rPr>
              <w:t>/a，7000吨/年塑胶跑道颗粒</w:t>
            </w:r>
          </w:p>
        </w:tc>
        <w:tc>
          <w:tcPr>
            <w:tcW w:w="973" w:type="pct"/>
            <w:tcBorders>
              <w:tl2br w:val="nil"/>
              <w:tr2bl w:val="nil"/>
            </w:tcBorders>
            <w:noWrap w:val="0"/>
            <w:vAlign w:val="center"/>
          </w:tcPr>
          <w:p w14:paraId="30797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岳环评[2016]51号、岳环评[2019]127号</w:t>
            </w:r>
            <w:r>
              <w:rPr>
                <w:rFonts w:hint="eastAsia" w:ascii="Times New Roman" w:hAnsi="Times New Roman" w:eastAsia="宋体" w:cs="Times New Roman"/>
                <w:b w:val="0"/>
                <w:bCs/>
                <w:i w:val="0"/>
                <w:snapToGrid w:val="0"/>
                <w:color w:val="auto"/>
                <w:kern w:val="0"/>
                <w:sz w:val="21"/>
                <w:szCs w:val="21"/>
                <w:u w:val="none"/>
                <w:lang w:val="en-US" w:eastAsia="zh-CN" w:bidi="ar"/>
              </w:rPr>
              <w:t>、</w:t>
            </w:r>
            <w:r>
              <w:rPr>
                <w:rFonts w:hint="default" w:ascii="Times New Roman" w:hAnsi="Times New Roman" w:eastAsia="宋体" w:cs="Times New Roman"/>
                <w:b w:val="0"/>
                <w:bCs/>
                <w:i w:val="0"/>
                <w:snapToGrid w:val="0"/>
                <w:color w:val="auto"/>
                <w:kern w:val="0"/>
                <w:sz w:val="21"/>
                <w:szCs w:val="21"/>
                <w:u w:val="none"/>
                <w:lang w:val="en-US" w:eastAsia="zh-CN" w:bidi="ar"/>
              </w:rPr>
              <w:t>岳环评[20</w:t>
            </w:r>
            <w:r>
              <w:rPr>
                <w:rFonts w:hint="eastAsia" w:ascii="Times New Roman" w:hAnsi="Times New Roman" w:eastAsia="宋体" w:cs="Times New Roman"/>
                <w:b w:val="0"/>
                <w:bCs/>
                <w:i w:val="0"/>
                <w:snapToGrid w:val="0"/>
                <w:color w:val="auto"/>
                <w:kern w:val="0"/>
                <w:sz w:val="21"/>
                <w:szCs w:val="21"/>
                <w:u w:val="none"/>
                <w:lang w:val="en-US" w:eastAsia="zh-CN" w:bidi="ar"/>
              </w:rPr>
              <w:t>25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28</w:t>
            </w:r>
            <w:r>
              <w:rPr>
                <w:rFonts w:hint="default" w:ascii="Times New Roman" w:hAnsi="Times New Roman" w:eastAsia="宋体" w:cs="Times New Roman"/>
                <w:b w:val="0"/>
                <w:bCs/>
                <w:i w:val="0"/>
                <w:snapToGrid w:val="0"/>
                <w:color w:val="auto"/>
                <w:kern w:val="0"/>
                <w:sz w:val="21"/>
                <w:szCs w:val="21"/>
                <w:u w:val="none"/>
                <w:lang w:val="en-US" w:eastAsia="zh-CN" w:bidi="ar"/>
              </w:rPr>
              <w:t>号</w:t>
            </w:r>
            <w:r>
              <w:rPr>
                <w:rFonts w:hint="eastAsia" w:ascii="Times New Roman" w:hAnsi="Times New Roman" w:eastAsia="宋体" w:cs="Times New Roman"/>
                <w:b w:val="0"/>
                <w:bCs/>
                <w:i w:val="0"/>
                <w:snapToGrid w:val="0"/>
                <w:color w:val="auto"/>
                <w:kern w:val="0"/>
                <w:sz w:val="21"/>
                <w:szCs w:val="21"/>
                <w:u w:val="none"/>
                <w:lang w:val="en-US" w:eastAsia="zh-CN" w:bidi="ar"/>
              </w:rPr>
              <w:t>、</w:t>
            </w: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]0</w:t>
            </w:r>
            <w:r>
              <w:rPr>
                <w:rFonts w:hint="eastAsia" w:ascii="Times New Roman" w:hAnsi="Times New Roman" w:eastAsia="宋体" w:cs="Times New Roman"/>
                <w:b w:val="0"/>
                <w:bCs/>
                <w:i w:val="0"/>
                <w:snapToGrid w:val="0"/>
                <w:color w:val="auto"/>
                <w:kern w:val="0"/>
                <w:sz w:val="21"/>
                <w:szCs w:val="21"/>
                <w:u w:val="none"/>
                <w:lang w:val="en-US" w:eastAsia="zh-CN" w:bidi="ar"/>
              </w:rPr>
              <w:t>71</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2600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岳环评验[2018]3号，一期已自主验收</w:t>
            </w:r>
          </w:p>
        </w:tc>
        <w:tc>
          <w:tcPr>
            <w:tcW w:w="231" w:type="pct"/>
            <w:tcBorders>
              <w:tl2br w:val="nil"/>
              <w:tr2bl w:val="nil"/>
            </w:tcBorders>
            <w:noWrap w:val="0"/>
            <w:vAlign w:val="center"/>
          </w:tcPr>
          <w:p w14:paraId="1FC77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5AF0E2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A6445D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219" w:type="pct"/>
            <w:tcBorders>
              <w:tl2br w:val="nil"/>
              <w:tr2bl w:val="nil"/>
            </w:tcBorders>
            <w:noWrap w:val="0"/>
            <w:vAlign w:val="center"/>
          </w:tcPr>
          <w:p w14:paraId="1D555AF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湖南乐浦物流有限公司</w:t>
            </w:r>
          </w:p>
        </w:tc>
        <w:tc>
          <w:tcPr>
            <w:tcW w:w="1580" w:type="pct"/>
            <w:tcBorders>
              <w:tl2br w:val="nil"/>
              <w:tr2bl w:val="nil"/>
            </w:tcBorders>
            <w:noWrap w:val="0"/>
            <w:vAlign w:val="center"/>
          </w:tcPr>
          <w:p w14:paraId="2427F93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汽车零配件</w:t>
            </w:r>
          </w:p>
        </w:tc>
        <w:tc>
          <w:tcPr>
            <w:tcW w:w="973" w:type="pct"/>
            <w:tcBorders>
              <w:tl2br w:val="nil"/>
              <w:tr2bl w:val="nil"/>
            </w:tcBorders>
            <w:noWrap w:val="0"/>
            <w:vAlign w:val="center"/>
          </w:tcPr>
          <w:p w14:paraId="621FD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汨环评批[2018]</w:t>
            </w:r>
            <w:r>
              <w:rPr>
                <w:rStyle w:val="47"/>
                <w:rFonts w:hint="default" w:ascii="Times New Roman" w:hAnsi="Times New Roman" w:eastAsia="宋体" w:cs="Times New Roman"/>
                <w:b w:val="0"/>
                <w:bCs/>
                <w:snapToGrid w:val="0"/>
                <w:color w:val="auto"/>
                <w:sz w:val="21"/>
                <w:szCs w:val="21"/>
                <w:u w:val="none"/>
                <w:lang w:val="en-US" w:eastAsia="zh-CN" w:bidi="ar"/>
              </w:rPr>
              <w:t>037</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4FDBA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7A936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03CE38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53CBB6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1219" w:type="pct"/>
            <w:tcBorders>
              <w:tl2br w:val="nil"/>
              <w:tr2bl w:val="nil"/>
            </w:tcBorders>
            <w:noWrap w:val="0"/>
            <w:vAlign w:val="center"/>
          </w:tcPr>
          <w:p w14:paraId="5B0565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岳阳市美建装配式建筑有限公司</w:t>
            </w:r>
          </w:p>
        </w:tc>
        <w:tc>
          <w:tcPr>
            <w:tcW w:w="1580" w:type="pct"/>
            <w:tcBorders>
              <w:tl2br w:val="nil"/>
              <w:tr2bl w:val="nil"/>
            </w:tcBorders>
            <w:noWrap w:val="0"/>
            <w:vAlign w:val="center"/>
          </w:tcPr>
          <w:p w14:paraId="2078657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双层墙150万m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2</w:t>
            </w:r>
            <w:r>
              <w:rPr>
                <w:rFonts w:hint="default" w:ascii="Times New Roman" w:hAnsi="Times New Roman" w:eastAsia="宋体" w:cs="Times New Roman"/>
                <w:i w:val="0"/>
                <w:snapToGrid w:val="0"/>
                <w:color w:val="auto"/>
                <w:kern w:val="0"/>
                <w:sz w:val="21"/>
                <w:szCs w:val="21"/>
                <w:u w:val="none"/>
                <w:lang w:val="en-US" w:eastAsia="zh-CN" w:bidi="ar"/>
              </w:rPr>
              <w:t>/年、叠合楼板100万m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2</w:t>
            </w:r>
            <w:r>
              <w:rPr>
                <w:rFonts w:hint="default" w:ascii="Times New Roman" w:hAnsi="Times New Roman" w:eastAsia="宋体" w:cs="Times New Roman"/>
                <w:i w:val="0"/>
                <w:snapToGrid w:val="0"/>
                <w:color w:val="auto"/>
                <w:kern w:val="0"/>
                <w:sz w:val="21"/>
                <w:szCs w:val="21"/>
                <w:u w:val="none"/>
                <w:lang w:val="en-US" w:eastAsia="zh-CN" w:bidi="ar"/>
              </w:rPr>
              <w:t>/年、异型构件（楼梯、阳台板、空调板）6万m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snapToGrid w:val="0"/>
                <w:color w:val="auto"/>
                <w:kern w:val="0"/>
                <w:sz w:val="21"/>
                <w:szCs w:val="21"/>
                <w:u w:val="none"/>
                <w:lang w:val="en-US" w:eastAsia="zh-CN" w:bidi="ar"/>
              </w:rPr>
              <w:t>/年</w:t>
            </w:r>
          </w:p>
        </w:tc>
        <w:tc>
          <w:tcPr>
            <w:tcW w:w="973" w:type="pct"/>
            <w:tcBorders>
              <w:tl2br w:val="nil"/>
              <w:tr2bl w:val="nil"/>
            </w:tcBorders>
            <w:noWrap w:val="0"/>
            <w:vAlign w:val="center"/>
          </w:tcPr>
          <w:p w14:paraId="16EE1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汨环评批[2018]</w:t>
            </w:r>
            <w:r>
              <w:rPr>
                <w:rStyle w:val="47"/>
                <w:rFonts w:hint="default" w:ascii="Times New Roman" w:hAnsi="Times New Roman" w:eastAsia="宋体" w:cs="Times New Roman"/>
                <w:b w:val="0"/>
                <w:bCs/>
                <w:snapToGrid w:val="0"/>
                <w:color w:val="auto"/>
                <w:sz w:val="21"/>
                <w:szCs w:val="21"/>
                <w:u w:val="none"/>
                <w:lang w:val="en-US" w:eastAsia="zh-CN" w:bidi="ar"/>
              </w:rPr>
              <w:t>046</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317B0E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4CCC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16C19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C7CF8B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1219" w:type="pct"/>
            <w:tcBorders>
              <w:tl2br w:val="nil"/>
              <w:tr2bl w:val="nil"/>
            </w:tcBorders>
            <w:noWrap w:val="0"/>
            <w:vAlign w:val="center"/>
          </w:tcPr>
          <w:p w14:paraId="2310A2C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湖南领建科技有限责任公司</w:t>
            </w:r>
          </w:p>
        </w:tc>
        <w:tc>
          <w:tcPr>
            <w:tcW w:w="1580" w:type="pct"/>
            <w:tcBorders>
              <w:tl2br w:val="nil"/>
              <w:tr2bl w:val="nil"/>
            </w:tcBorders>
            <w:noWrap w:val="0"/>
            <w:vAlign w:val="center"/>
          </w:tcPr>
          <w:p w14:paraId="617D9E9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年产48 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snapToGrid w:val="0"/>
                <w:color w:val="auto"/>
                <w:kern w:val="0"/>
                <w:sz w:val="21"/>
                <w:szCs w:val="21"/>
                <w:u w:val="none"/>
                <w:lang w:val="en-US" w:eastAsia="zh-CN" w:bidi="ar"/>
              </w:rPr>
              <w:t xml:space="preserve"> ALC 砌块板材</w:t>
            </w:r>
          </w:p>
        </w:tc>
        <w:tc>
          <w:tcPr>
            <w:tcW w:w="973" w:type="pct"/>
            <w:tcBorders>
              <w:tl2br w:val="nil"/>
              <w:tr2bl w:val="nil"/>
            </w:tcBorders>
            <w:noWrap w:val="0"/>
            <w:vAlign w:val="center"/>
          </w:tcPr>
          <w:p w14:paraId="63875B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岳环评[2020]31号</w:t>
            </w:r>
          </w:p>
        </w:tc>
        <w:tc>
          <w:tcPr>
            <w:tcW w:w="829" w:type="pct"/>
            <w:tcBorders>
              <w:tl2br w:val="nil"/>
              <w:tr2bl w:val="nil"/>
            </w:tcBorders>
            <w:noWrap w:val="0"/>
            <w:vAlign w:val="center"/>
          </w:tcPr>
          <w:p w14:paraId="39133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251A0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1B4BD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DF9372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1219" w:type="pct"/>
            <w:tcBorders>
              <w:tl2br w:val="nil"/>
              <w:tr2bl w:val="nil"/>
            </w:tcBorders>
            <w:noWrap w:val="0"/>
            <w:vAlign w:val="center"/>
          </w:tcPr>
          <w:p w14:paraId="02B4E49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汨罗市格润德润滑材料科技发展有限公司</w:t>
            </w:r>
          </w:p>
        </w:tc>
        <w:tc>
          <w:tcPr>
            <w:tcW w:w="1580" w:type="pct"/>
            <w:tcBorders>
              <w:tl2br w:val="nil"/>
              <w:tr2bl w:val="nil"/>
            </w:tcBorders>
            <w:noWrap w:val="0"/>
            <w:vAlign w:val="center"/>
          </w:tcPr>
          <w:p w14:paraId="164CCA5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年产润滑油9 万吨、润滑脂1 万吨</w:t>
            </w:r>
          </w:p>
        </w:tc>
        <w:tc>
          <w:tcPr>
            <w:tcW w:w="973" w:type="pct"/>
            <w:tcBorders>
              <w:tl2br w:val="nil"/>
              <w:tr2bl w:val="nil"/>
            </w:tcBorders>
            <w:noWrap w:val="0"/>
            <w:vAlign w:val="center"/>
          </w:tcPr>
          <w:p w14:paraId="3211F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岳环评[2019]65号</w:t>
            </w:r>
          </w:p>
        </w:tc>
        <w:tc>
          <w:tcPr>
            <w:tcW w:w="829" w:type="pct"/>
            <w:tcBorders>
              <w:tl2br w:val="nil"/>
              <w:tr2bl w:val="nil"/>
            </w:tcBorders>
            <w:noWrap w:val="0"/>
            <w:vAlign w:val="center"/>
          </w:tcPr>
          <w:p w14:paraId="6142A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2021.1自主验收（3万吨）</w:t>
            </w:r>
          </w:p>
        </w:tc>
        <w:tc>
          <w:tcPr>
            <w:tcW w:w="231" w:type="pct"/>
            <w:tcBorders>
              <w:tl2br w:val="nil"/>
              <w:tr2bl w:val="nil"/>
            </w:tcBorders>
            <w:noWrap w:val="0"/>
            <w:vAlign w:val="center"/>
          </w:tcPr>
          <w:p w14:paraId="418FB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B0F3D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B949B1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1219" w:type="pct"/>
            <w:tcBorders>
              <w:tl2br w:val="nil"/>
              <w:tr2bl w:val="nil"/>
            </w:tcBorders>
            <w:noWrap w:val="0"/>
            <w:vAlign w:val="center"/>
          </w:tcPr>
          <w:p w14:paraId="311E6A1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湖南精斯诚智能科技有限公司</w:t>
            </w:r>
          </w:p>
        </w:tc>
        <w:tc>
          <w:tcPr>
            <w:tcW w:w="1580" w:type="pct"/>
            <w:tcBorders>
              <w:tl2br w:val="nil"/>
              <w:tr2bl w:val="nil"/>
            </w:tcBorders>
            <w:noWrap w:val="0"/>
            <w:vAlign w:val="center"/>
          </w:tcPr>
          <w:p w14:paraId="7C74698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 4600樘人防门/钢制门、15000 台消防排烟风机、10000m阀门、10000m预埋套管/风管</w:t>
            </w:r>
          </w:p>
        </w:tc>
        <w:tc>
          <w:tcPr>
            <w:tcW w:w="973" w:type="pct"/>
            <w:tcBorders>
              <w:tl2br w:val="nil"/>
              <w:tr2bl w:val="nil"/>
            </w:tcBorders>
            <w:noWrap w:val="0"/>
            <w:vAlign w:val="center"/>
          </w:tcPr>
          <w:p w14:paraId="14DEE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汨环评批[2019]021号</w:t>
            </w:r>
          </w:p>
        </w:tc>
        <w:tc>
          <w:tcPr>
            <w:tcW w:w="829" w:type="pct"/>
            <w:tcBorders>
              <w:tl2br w:val="nil"/>
              <w:tr2bl w:val="nil"/>
            </w:tcBorders>
            <w:noWrap w:val="0"/>
            <w:vAlign w:val="center"/>
          </w:tcPr>
          <w:p w14:paraId="53B360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A8F8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B328A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5E947E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w:t>
            </w:r>
          </w:p>
        </w:tc>
        <w:tc>
          <w:tcPr>
            <w:tcW w:w="1219" w:type="pct"/>
            <w:tcBorders>
              <w:tl2br w:val="nil"/>
              <w:tr2bl w:val="nil"/>
            </w:tcBorders>
            <w:noWrap w:val="0"/>
            <w:vAlign w:val="center"/>
          </w:tcPr>
          <w:p w14:paraId="107876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湖南隆亨新材料有限公司</w:t>
            </w:r>
          </w:p>
        </w:tc>
        <w:tc>
          <w:tcPr>
            <w:tcW w:w="1580" w:type="pct"/>
            <w:tcBorders>
              <w:tl2br w:val="nil"/>
              <w:tr2bl w:val="nil"/>
            </w:tcBorders>
            <w:noWrap w:val="0"/>
            <w:vAlign w:val="center"/>
          </w:tcPr>
          <w:p w14:paraId="36B7019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年产30万吨预拌干混砂浆</w:t>
            </w:r>
            <w:r>
              <w:rPr>
                <w:rFonts w:hint="eastAsia" w:ascii="Times New Roman" w:hAnsi="Times New Roman" w:eastAsia="宋体" w:cs="Times New Roman"/>
                <w:i w:val="0"/>
                <w:snapToGrid w:val="0"/>
                <w:color w:val="auto"/>
                <w:kern w:val="0"/>
                <w:sz w:val="21"/>
                <w:szCs w:val="21"/>
                <w:u w:val="none"/>
                <w:lang w:val="en-US" w:eastAsia="zh-CN" w:bidi="ar"/>
              </w:rPr>
              <w:t>，25.2万t/a原料砂石</w:t>
            </w:r>
          </w:p>
        </w:tc>
        <w:tc>
          <w:tcPr>
            <w:tcW w:w="973" w:type="pct"/>
            <w:tcBorders>
              <w:tl2br w:val="nil"/>
              <w:tr2bl w:val="nil"/>
            </w:tcBorders>
            <w:noWrap w:val="0"/>
            <w:vAlign w:val="center"/>
          </w:tcPr>
          <w:p w14:paraId="543C0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汨环评批[2019]006号</w:t>
            </w:r>
            <w:r>
              <w:rPr>
                <w:rFonts w:hint="eastAsia" w:ascii="Times New Roman" w:hAnsi="Times New Roman" w:eastAsia="宋体" w:cs="Times New Roman"/>
                <w:b w:val="0"/>
                <w:bCs/>
                <w:i w:val="0"/>
                <w:snapToGrid w:val="0"/>
                <w:color w:val="auto"/>
                <w:kern w:val="0"/>
                <w:sz w:val="21"/>
                <w:szCs w:val="21"/>
                <w:u w:val="none"/>
                <w:lang w:val="en-US" w:eastAsia="zh-CN" w:bidi="ar"/>
              </w:rPr>
              <w:t>、</w:t>
            </w: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]0</w:t>
            </w:r>
            <w:r>
              <w:rPr>
                <w:rFonts w:hint="eastAsia" w:ascii="Times New Roman" w:hAnsi="Times New Roman" w:eastAsia="宋体" w:cs="Times New Roman"/>
                <w:b w:val="0"/>
                <w:bCs/>
                <w:i w:val="0"/>
                <w:snapToGrid w:val="0"/>
                <w:color w:val="auto"/>
                <w:kern w:val="0"/>
                <w:sz w:val="21"/>
                <w:szCs w:val="21"/>
                <w:u w:val="none"/>
                <w:lang w:val="en-US" w:eastAsia="zh-CN" w:bidi="ar"/>
              </w:rPr>
              <w:t>01</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FDB7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0E383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B06F9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FD95DE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c>
          <w:tcPr>
            <w:tcW w:w="1219" w:type="pct"/>
            <w:tcBorders>
              <w:tl2br w:val="nil"/>
              <w:tr2bl w:val="nil"/>
            </w:tcBorders>
            <w:noWrap w:val="0"/>
            <w:vAlign w:val="center"/>
          </w:tcPr>
          <w:p w14:paraId="40F2BE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湖南隆洲新材料科技有限公司</w:t>
            </w:r>
          </w:p>
        </w:tc>
        <w:tc>
          <w:tcPr>
            <w:tcW w:w="1580" w:type="pct"/>
            <w:tcBorders>
              <w:tl2br w:val="nil"/>
              <w:tr2bl w:val="nil"/>
            </w:tcBorders>
            <w:noWrap w:val="0"/>
            <w:vAlign w:val="center"/>
          </w:tcPr>
          <w:p w14:paraId="55251AD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年产3500吨PP塑料制品（PP板2625吨、PP管350吨、PP材质喷淋塔525吨）</w:t>
            </w:r>
          </w:p>
        </w:tc>
        <w:tc>
          <w:tcPr>
            <w:tcW w:w="973" w:type="pct"/>
            <w:tcBorders>
              <w:tl2br w:val="nil"/>
              <w:tr2bl w:val="nil"/>
            </w:tcBorders>
            <w:noWrap w:val="0"/>
            <w:vAlign w:val="center"/>
          </w:tcPr>
          <w:p w14:paraId="355B0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岳汨环评[2022]042号</w:t>
            </w:r>
          </w:p>
        </w:tc>
        <w:tc>
          <w:tcPr>
            <w:tcW w:w="829" w:type="pct"/>
            <w:tcBorders>
              <w:tl2br w:val="nil"/>
              <w:tr2bl w:val="nil"/>
            </w:tcBorders>
            <w:noWrap w:val="0"/>
            <w:vAlign w:val="center"/>
          </w:tcPr>
          <w:p w14:paraId="14758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已验收</w:t>
            </w:r>
          </w:p>
        </w:tc>
        <w:tc>
          <w:tcPr>
            <w:tcW w:w="231" w:type="pct"/>
            <w:tcBorders>
              <w:tl2br w:val="nil"/>
              <w:tr2bl w:val="nil"/>
            </w:tcBorders>
            <w:noWrap w:val="0"/>
            <w:vAlign w:val="center"/>
          </w:tcPr>
          <w:p w14:paraId="4485A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D1ED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251A67A">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w w:val="99"/>
                <w:sz w:val="21"/>
                <w:szCs w:val="21"/>
                <w:u w:val="none" w:color="auto"/>
              </w:rPr>
              <w:t>9</w:t>
            </w:r>
          </w:p>
        </w:tc>
        <w:tc>
          <w:tcPr>
            <w:tcW w:w="1219" w:type="pct"/>
            <w:tcBorders>
              <w:tl2br w:val="nil"/>
              <w:tr2bl w:val="nil"/>
            </w:tcBorders>
            <w:noWrap w:val="0"/>
            <w:vAlign w:val="center"/>
          </w:tcPr>
          <w:p w14:paraId="758007C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湖南汇杰重工有限责任公司</w:t>
            </w:r>
          </w:p>
        </w:tc>
        <w:tc>
          <w:tcPr>
            <w:tcW w:w="1580" w:type="pct"/>
            <w:tcBorders>
              <w:tl2br w:val="nil"/>
              <w:tr2bl w:val="nil"/>
            </w:tcBorders>
            <w:noWrap w:val="0"/>
            <w:vAlign w:val="center"/>
          </w:tcPr>
          <w:p w14:paraId="6953F2A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年产400 台机械设备（300台混凝土输送泵、50台水稳站、50台混凝土搅拌站）</w:t>
            </w:r>
          </w:p>
        </w:tc>
        <w:tc>
          <w:tcPr>
            <w:tcW w:w="973" w:type="pct"/>
            <w:tcBorders>
              <w:tl2br w:val="nil"/>
              <w:tr2bl w:val="nil"/>
            </w:tcBorders>
            <w:noWrap w:val="0"/>
            <w:vAlign w:val="center"/>
          </w:tcPr>
          <w:p w14:paraId="74E99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岳环评[2019]158号</w:t>
            </w:r>
          </w:p>
        </w:tc>
        <w:tc>
          <w:tcPr>
            <w:tcW w:w="829" w:type="pct"/>
            <w:tcBorders>
              <w:tl2br w:val="nil"/>
              <w:tr2bl w:val="nil"/>
            </w:tcBorders>
            <w:noWrap w:val="0"/>
            <w:vAlign w:val="center"/>
          </w:tcPr>
          <w:p w14:paraId="74705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2020.10自主验收</w:t>
            </w:r>
          </w:p>
        </w:tc>
        <w:tc>
          <w:tcPr>
            <w:tcW w:w="231" w:type="pct"/>
            <w:tcBorders>
              <w:tl2br w:val="nil"/>
              <w:tr2bl w:val="nil"/>
            </w:tcBorders>
            <w:noWrap w:val="0"/>
            <w:vAlign w:val="center"/>
          </w:tcPr>
          <w:p w14:paraId="2E10E8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A09D0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221084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c>
          <w:tcPr>
            <w:tcW w:w="1219" w:type="pct"/>
            <w:tcBorders>
              <w:tl2br w:val="nil"/>
              <w:tr2bl w:val="nil"/>
            </w:tcBorders>
            <w:noWrap w:val="0"/>
            <w:vAlign w:val="center"/>
          </w:tcPr>
          <w:p w14:paraId="52AABFE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湖南万鼎智能科技有限公司</w:t>
            </w:r>
          </w:p>
        </w:tc>
        <w:tc>
          <w:tcPr>
            <w:tcW w:w="1580" w:type="pct"/>
            <w:tcBorders>
              <w:tl2br w:val="nil"/>
              <w:tr2bl w:val="nil"/>
            </w:tcBorders>
            <w:noWrap w:val="0"/>
            <w:vAlign w:val="center"/>
          </w:tcPr>
          <w:p w14:paraId="121C7F1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年产1000台柴油发电机组</w:t>
            </w:r>
          </w:p>
        </w:tc>
        <w:tc>
          <w:tcPr>
            <w:tcW w:w="973" w:type="pct"/>
            <w:tcBorders>
              <w:tl2br w:val="nil"/>
              <w:tr2bl w:val="nil"/>
            </w:tcBorders>
            <w:noWrap w:val="0"/>
            <w:vAlign w:val="center"/>
          </w:tcPr>
          <w:p w14:paraId="711EF7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汨环评批[2020]002号</w:t>
            </w:r>
          </w:p>
        </w:tc>
        <w:tc>
          <w:tcPr>
            <w:tcW w:w="829" w:type="pct"/>
            <w:tcBorders>
              <w:tl2br w:val="nil"/>
              <w:tr2bl w:val="nil"/>
            </w:tcBorders>
            <w:noWrap w:val="0"/>
            <w:vAlign w:val="center"/>
          </w:tcPr>
          <w:p w14:paraId="77189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C422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248CA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94727B2">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p>
          <w:p w14:paraId="21D6091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w:t>
            </w:r>
          </w:p>
        </w:tc>
        <w:tc>
          <w:tcPr>
            <w:tcW w:w="1219" w:type="pct"/>
            <w:tcBorders>
              <w:tl2br w:val="nil"/>
              <w:tr2bl w:val="nil"/>
            </w:tcBorders>
            <w:noWrap w:val="0"/>
            <w:vAlign w:val="center"/>
          </w:tcPr>
          <w:p w14:paraId="1F567F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岳阳瑞新机械制造有限公司</w:t>
            </w:r>
          </w:p>
        </w:tc>
        <w:tc>
          <w:tcPr>
            <w:tcW w:w="1580" w:type="pct"/>
            <w:tcBorders>
              <w:tl2br w:val="nil"/>
              <w:tr2bl w:val="nil"/>
            </w:tcBorders>
            <w:noWrap w:val="0"/>
            <w:vAlign w:val="center"/>
          </w:tcPr>
          <w:p w14:paraId="7784B4A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年产7000 套泵车零部件</w:t>
            </w:r>
          </w:p>
        </w:tc>
        <w:tc>
          <w:tcPr>
            <w:tcW w:w="973" w:type="pct"/>
            <w:tcBorders>
              <w:tl2br w:val="nil"/>
              <w:tr2bl w:val="nil"/>
            </w:tcBorders>
            <w:noWrap w:val="0"/>
            <w:vAlign w:val="center"/>
          </w:tcPr>
          <w:p w14:paraId="73A7D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岳环评[2019]184号</w:t>
            </w:r>
          </w:p>
        </w:tc>
        <w:tc>
          <w:tcPr>
            <w:tcW w:w="829" w:type="pct"/>
            <w:tcBorders>
              <w:tl2br w:val="nil"/>
              <w:tr2bl w:val="nil"/>
            </w:tcBorders>
            <w:noWrap w:val="0"/>
            <w:vAlign w:val="center"/>
          </w:tcPr>
          <w:p w14:paraId="2135C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60D8D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C1309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624D54D3">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1219" w:type="pct"/>
            <w:tcBorders>
              <w:tl2br w:val="nil"/>
              <w:tr2bl w:val="nil"/>
            </w:tcBorders>
            <w:noWrap w:val="0"/>
            <w:vAlign w:val="center"/>
          </w:tcPr>
          <w:p w14:paraId="7A44A54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湖南浩嘉玻璃有限公司</w:t>
            </w:r>
          </w:p>
        </w:tc>
        <w:tc>
          <w:tcPr>
            <w:tcW w:w="1580" w:type="pct"/>
            <w:tcBorders>
              <w:tl2br w:val="nil"/>
              <w:tr2bl w:val="nil"/>
            </w:tcBorders>
            <w:noWrap w:val="0"/>
            <w:vAlign w:val="center"/>
          </w:tcPr>
          <w:p w14:paraId="3BA7CCE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年产50 万平方米钢化中空玻璃</w:t>
            </w:r>
          </w:p>
        </w:tc>
        <w:tc>
          <w:tcPr>
            <w:tcW w:w="973" w:type="pct"/>
            <w:tcBorders>
              <w:tl2br w:val="nil"/>
              <w:tr2bl w:val="nil"/>
            </w:tcBorders>
            <w:noWrap w:val="0"/>
            <w:vAlign w:val="center"/>
          </w:tcPr>
          <w:p w14:paraId="44940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汨环评批[2019]037号</w:t>
            </w:r>
          </w:p>
        </w:tc>
        <w:tc>
          <w:tcPr>
            <w:tcW w:w="829" w:type="pct"/>
            <w:tcBorders>
              <w:tl2br w:val="nil"/>
              <w:tr2bl w:val="nil"/>
            </w:tcBorders>
            <w:noWrap w:val="0"/>
            <w:vAlign w:val="center"/>
          </w:tcPr>
          <w:p w14:paraId="2BD02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44ACBF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停产</w:t>
            </w:r>
          </w:p>
        </w:tc>
      </w:tr>
      <w:tr w14:paraId="6668B3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F5811BD">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1219" w:type="pct"/>
            <w:tcBorders>
              <w:tl2br w:val="nil"/>
              <w:tr2bl w:val="nil"/>
            </w:tcBorders>
            <w:noWrap w:val="0"/>
            <w:vAlign w:val="center"/>
          </w:tcPr>
          <w:p w14:paraId="4D8CC4A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湖南罗丹莫纳照明科技有限公司</w:t>
            </w:r>
          </w:p>
        </w:tc>
        <w:tc>
          <w:tcPr>
            <w:tcW w:w="1580" w:type="pct"/>
            <w:tcBorders>
              <w:tl2br w:val="nil"/>
              <w:tr2bl w:val="nil"/>
            </w:tcBorders>
            <w:noWrap w:val="0"/>
            <w:vAlign w:val="center"/>
          </w:tcPr>
          <w:p w14:paraId="3189B2D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 1000 吨标示标牌、700 吨广告灯箱、500 吨照明灯具</w:t>
            </w:r>
          </w:p>
        </w:tc>
        <w:tc>
          <w:tcPr>
            <w:tcW w:w="973" w:type="pct"/>
            <w:tcBorders>
              <w:tl2br w:val="nil"/>
              <w:tr2bl w:val="nil"/>
            </w:tcBorders>
            <w:noWrap w:val="0"/>
            <w:vAlign w:val="center"/>
          </w:tcPr>
          <w:p w14:paraId="4AA46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汨环评批[2019]043号</w:t>
            </w:r>
          </w:p>
        </w:tc>
        <w:tc>
          <w:tcPr>
            <w:tcW w:w="829" w:type="pct"/>
            <w:tcBorders>
              <w:tl2br w:val="nil"/>
              <w:tr2bl w:val="nil"/>
            </w:tcBorders>
            <w:noWrap w:val="0"/>
            <w:vAlign w:val="center"/>
          </w:tcPr>
          <w:p w14:paraId="697EA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31FEB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DAEFB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FCFD72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14</w:t>
            </w:r>
          </w:p>
        </w:tc>
        <w:tc>
          <w:tcPr>
            <w:tcW w:w="1219" w:type="pct"/>
            <w:tcBorders>
              <w:tl2br w:val="nil"/>
              <w:tr2bl w:val="nil"/>
            </w:tcBorders>
            <w:noWrap w:val="0"/>
            <w:vAlign w:val="center"/>
          </w:tcPr>
          <w:p w14:paraId="44E561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湖南湘重工程设备有限公司</w:t>
            </w:r>
          </w:p>
        </w:tc>
        <w:tc>
          <w:tcPr>
            <w:tcW w:w="1580" w:type="pct"/>
            <w:tcBorders>
              <w:tl2br w:val="nil"/>
              <w:tr2bl w:val="nil"/>
            </w:tcBorders>
            <w:noWrap w:val="0"/>
            <w:vAlign w:val="center"/>
          </w:tcPr>
          <w:p w14:paraId="1FE3429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年产200台车载隧道湿喷机械手</w:t>
            </w:r>
          </w:p>
        </w:tc>
        <w:tc>
          <w:tcPr>
            <w:tcW w:w="973" w:type="pct"/>
            <w:tcBorders>
              <w:tl2br w:val="nil"/>
              <w:tr2bl w:val="nil"/>
            </w:tcBorders>
            <w:noWrap w:val="0"/>
            <w:vAlign w:val="center"/>
          </w:tcPr>
          <w:p w14:paraId="61DE0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岳环评[2021]47号</w:t>
            </w:r>
          </w:p>
        </w:tc>
        <w:tc>
          <w:tcPr>
            <w:tcW w:w="829" w:type="pct"/>
            <w:tcBorders>
              <w:tl2br w:val="nil"/>
              <w:tr2bl w:val="nil"/>
            </w:tcBorders>
            <w:noWrap w:val="0"/>
            <w:vAlign w:val="center"/>
          </w:tcPr>
          <w:p w14:paraId="5C76C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2023.5自主验收</w:t>
            </w:r>
          </w:p>
        </w:tc>
        <w:tc>
          <w:tcPr>
            <w:tcW w:w="231" w:type="pct"/>
            <w:tcBorders>
              <w:tl2br w:val="nil"/>
              <w:tr2bl w:val="nil"/>
            </w:tcBorders>
            <w:noWrap w:val="0"/>
            <w:vAlign w:val="center"/>
          </w:tcPr>
          <w:p w14:paraId="69278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E571D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A2FB672">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15</w:t>
            </w:r>
          </w:p>
        </w:tc>
        <w:tc>
          <w:tcPr>
            <w:tcW w:w="1219" w:type="pct"/>
            <w:tcBorders>
              <w:tl2br w:val="nil"/>
              <w:tr2bl w:val="nil"/>
            </w:tcBorders>
            <w:noWrap w:val="0"/>
            <w:vAlign w:val="center"/>
          </w:tcPr>
          <w:p w14:paraId="71F5952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湖南体兴建筑材料有限公司</w:t>
            </w:r>
          </w:p>
        </w:tc>
        <w:tc>
          <w:tcPr>
            <w:tcW w:w="1580" w:type="pct"/>
            <w:tcBorders>
              <w:tl2br w:val="nil"/>
              <w:tr2bl w:val="nil"/>
            </w:tcBorders>
            <w:noWrap w:val="0"/>
            <w:vAlign w:val="center"/>
          </w:tcPr>
          <w:p w14:paraId="127FCCA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年生产6 万吨优质各类口径螺旋焊管</w:t>
            </w:r>
          </w:p>
        </w:tc>
        <w:tc>
          <w:tcPr>
            <w:tcW w:w="973" w:type="pct"/>
            <w:tcBorders>
              <w:tl2br w:val="nil"/>
              <w:tr2bl w:val="nil"/>
            </w:tcBorders>
            <w:noWrap w:val="0"/>
            <w:vAlign w:val="center"/>
          </w:tcPr>
          <w:p w14:paraId="7A235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汨环评批[2020]043号</w:t>
            </w:r>
          </w:p>
        </w:tc>
        <w:tc>
          <w:tcPr>
            <w:tcW w:w="829" w:type="pct"/>
            <w:tcBorders>
              <w:tl2br w:val="nil"/>
              <w:tr2bl w:val="nil"/>
            </w:tcBorders>
            <w:noWrap w:val="0"/>
            <w:vAlign w:val="center"/>
          </w:tcPr>
          <w:p w14:paraId="08E47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7F5EDA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54455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621A56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1219" w:type="pct"/>
            <w:tcBorders>
              <w:tl2br w:val="nil"/>
              <w:tr2bl w:val="nil"/>
            </w:tcBorders>
            <w:noWrap w:val="0"/>
            <w:vAlign w:val="center"/>
          </w:tcPr>
          <w:p w14:paraId="5A41FDD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湖南湘一智能工程机械有限公司</w:t>
            </w:r>
          </w:p>
        </w:tc>
        <w:tc>
          <w:tcPr>
            <w:tcW w:w="1580" w:type="pct"/>
            <w:tcBorders>
              <w:tl2br w:val="nil"/>
              <w:tr2bl w:val="nil"/>
            </w:tcBorders>
            <w:noWrap w:val="0"/>
            <w:vAlign w:val="center"/>
          </w:tcPr>
          <w:p w14:paraId="766200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年生产塔机标准节15000件、片式塔吊标准节1000件、塔机配件30000件</w:t>
            </w:r>
          </w:p>
        </w:tc>
        <w:tc>
          <w:tcPr>
            <w:tcW w:w="973" w:type="pct"/>
            <w:tcBorders>
              <w:tl2br w:val="nil"/>
              <w:tr2bl w:val="nil"/>
            </w:tcBorders>
            <w:noWrap w:val="0"/>
            <w:vAlign w:val="center"/>
          </w:tcPr>
          <w:p w14:paraId="3FC5A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岳环评[2021]11号</w:t>
            </w:r>
          </w:p>
        </w:tc>
        <w:tc>
          <w:tcPr>
            <w:tcW w:w="829" w:type="pct"/>
            <w:tcBorders>
              <w:tl2br w:val="nil"/>
              <w:tr2bl w:val="nil"/>
            </w:tcBorders>
            <w:noWrap w:val="0"/>
            <w:vAlign w:val="center"/>
          </w:tcPr>
          <w:p w14:paraId="3B5D4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已验收</w:t>
            </w:r>
          </w:p>
        </w:tc>
        <w:tc>
          <w:tcPr>
            <w:tcW w:w="231" w:type="pct"/>
            <w:tcBorders>
              <w:tl2br w:val="nil"/>
              <w:tr2bl w:val="nil"/>
            </w:tcBorders>
            <w:noWrap w:val="0"/>
            <w:vAlign w:val="center"/>
          </w:tcPr>
          <w:p w14:paraId="06D4F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31FF6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E51F4F7">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17</w:t>
            </w:r>
          </w:p>
        </w:tc>
        <w:tc>
          <w:tcPr>
            <w:tcW w:w="1219" w:type="pct"/>
            <w:tcBorders>
              <w:tl2br w:val="nil"/>
              <w:tr2bl w:val="nil"/>
            </w:tcBorders>
            <w:noWrap w:val="0"/>
            <w:vAlign w:val="center"/>
          </w:tcPr>
          <w:p w14:paraId="04C7DF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湖南赛迈斯智能装备有限公司</w:t>
            </w:r>
          </w:p>
        </w:tc>
        <w:tc>
          <w:tcPr>
            <w:tcW w:w="1580" w:type="pct"/>
            <w:tcBorders>
              <w:tl2br w:val="nil"/>
              <w:tr2bl w:val="nil"/>
            </w:tcBorders>
            <w:noWrap w:val="0"/>
            <w:vAlign w:val="center"/>
          </w:tcPr>
          <w:p w14:paraId="1775037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年产6000 台套旋挖钻机配件（旋挖钻具：3000；旋挖钻杆：1000；全跟进套管：2000）</w:t>
            </w:r>
          </w:p>
        </w:tc>
        <w:tc>
          <w:tcPr>
            <w:tcW w:w="973" w:type="pct"/>
            <w:tcBorders>
              <w:tl2br w:val="nil"/>
              <w:tr2bl w:val="nil"/>
            </w:tcBorders>
            <w:noWrap w:val="0"/>
            <w:vAlign w:val="center"/>
          </w:tcPr>
          <w:p w14:paraId="18A4C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汨环评批[2020]008号</w:t>
            </w:r>
          </w:p>
        </w:tc>
        <w:tc>
          <w:tcPr>
            <w:tcW w:w="829" w:type="pct"/>
            <w:tcBorders>
              <w:tl2br w:val="nil"/>
              <w:tr2bl w:val="nil"/>
            </w:tcBorders>
            <w:noWrap w:val="0"/>
            <w:vAlign w:val="center"/>
          </w:tcPr>
          <w:p w14:paraId="3BAC51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2263E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265BC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4E3B4F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18</w:t>
            </w:r>
          </w:p>
        </w:tc>
        <w:tc>
          <w:tcPr>
            <w:tcW w:w="1219" w:type="pct"/>
            <w:tcBorders>
              <w:tl2br w:val="nil"/>
              <w:tr2bl w:val="nil"/>
            </w:tcBorders>
            <w:noWrap w:val="0"/>
            <w:vAlign w:val="center"/>
          </w:tcPr>
          <w:p w14:paraId="30D18BA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湖南筑睿重工科技股份有限公司（原湖南筑睿重工科技有限公司）</w:t>
            </w:r>
          </w:p>
        </w:tc>
        <w:tc>
          <w:tcPr>
            <w:tcW w:w="1580" w:type="pct"/>
            <w:tcBorders>
              <w:tl2br w:val="nil"/>
              <w:tr2bl w:val="nil"/>
            </w:tcBorders>
            <w:noWrap w:val="0"/>
            <w:vAlign w:val="center"/>
          </w:tcPr>
          <w:p w14:paraId="222418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年产150 台/套干粉砂浆、机制砂站类成套设备</w:t>
            </w:r>
          </w:p>
        </w:tc>
        <w:tc>
          <w:tcPr>
            <w:tcW w:w="973" w:type="pct"/>
            <w:tcBorders>
              <w:tl2br w:val="nil"/>
              <w:tr2bl w:val="nil"/>
            </w:tcBorders>
            <w:noWrap w:val="0"/>
            <w:vAlign w:val="center"/>
          </w:tcPr>
          <w:p w14:paraId="5D10D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汨环评批[2020]072号</w:t>
            </w:r>
          </w:p>
        </w:tc>
        <w:tc>
          <w:tcPr>
            <w:tcW w:w="829" w:type="pct"/>
            <w:tcBorders>
              <w:tl2br w:val="nil"/>
              <w:tr2bl w:val="nil"/>
            </w:tcBorders>
            <w:noWrap w:val="0"/>
            <w:vAlign w:val="center"/>
          </w:tcPr>
          <w:p w14:paraId="33080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2022.6自主验收</w:t>
            </w:r>
          </w:p>
        </w:tc>
        <w:tc>
          <w:tcPr>
            <w:tcW w:w="231" w:type="pct"/>
            <w:tcBorders>
              <w:tl2br w:val="nil"/>
              <w:tr2bl w:val="nil"/>
            </w:tcBorders>
            <w:noWrap w:val="0"/>
            <w:vAlign w:val="center"/>
          </w:tcPr>
          <w:p w14:paraId="775BC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020BD1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F27E0D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19</w:t>
            </w:r>
          </w:p>
        </w:tc>
        <w:tc>
          <w:tcPr>
            <w:tcW w:w="1219" w:type="pct"/>
            <w:tcBorders>
              <w:tl2br w:val="nil"/>
              <w:tr2bl w:val="nil"/>
            </w:tcBorders>
            <w:noWrap w:val="0"/>
            <w:vAlign w:val="center"/>
          </w:tcPr>
          <w:p w14:paraId="52008FE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湖南瑞福莱交通科技有限公司</w:t>
            </w:r>
          </w:p>
        </w:tc>
        <w:tc>
          <w:tcPr>
            <w:tcW w:w="1580" w:type="pct"/>
            <w:tcBorders>
              <w:tl2br w:val="nil"/>
              <w:tr2bl w:val="nil"/>
            </w:tcBorders>
            <w:noWrap w:val="0"/>
            <w:vAlign w:val="center"/>
          </w:tcPr>
          <w:p w14:paraId="1DBC4DF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交通锥420 万个/a、防撞桶/墩100 万个/a、铸钢减速带120 万块/a</w:t>
            </w:r>
          </w:p>
        </w:tc>
        <w:tc>
          <w:tcPr>
            <w:tcW w:w="973" w:type="pct"/>
            <w:tcBorders>
              <w:tl2br w:val="nil"/>
              <w:tr2bl w:val="nil"/>
            </w:tcBorders>
            <w:noWrap w:val="0"/>
            <w:vAlign w:val="center"/>
          </w:tcPr>
          <w:p w14:paraId="4984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汨环评批[2020]078号</w:t>
            </w:r>
          </w:p>
        </w:tc>
        <w:tc>
          <w:tcPr>
            <w:tcW w:w="829" w:type="pct"/>
            <w:tcBorders>
              <w:tl2br w:val="nil"/>
              <w:tr2bl w:val="nil"/>
            </w:tcBorders>
            <w:noWrap w:val="0"/>
            <w:vAlign w:val="center"/>
          </w:tcPr>
          <w:p w14:paraId="4F30C1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2023.6自主验收</w:t>
            </w:r>
          </w:p>
        </w:tc>
        <w:tc>
          <w:tcPr>
            <w:tcW w:w="231" w:type="pct"/>
            <w:tcBorders>
              <w:tl2br w:val="nil"/>
              <w:tr2bl w:val="nil"/>
            </w:tcBorders>
            <w:noWrap w:val="0"/>
            <w:vAlign w:val="center"/>
          </w:tcPr>
          <w:p w14:paraId="31467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80AB3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165" w:type="pct"/>
            <w:tcBorders>
              <w:tl2br w:val="nil"/>
              <w:tr2bl w:val="nil"/>
            </w:tcBorders>
            <w:noWrap w:val="0"/>
            <w:vAlign w:val="center"/>
          </w:tcPr>
          <w:p w14:paraId="7244863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1219" w:type="pct"/>
            <w:tcBorders>
              <w:tl2br w:val="nil"/>
              <w:tr2bl w:val="nil"/>
            </w:tcBorders>
            <w:noWrap w:val="0"/>
            <w:vAlign w:val="center"/>
          </w:tcPr>
          <w:p w14:paraId="46B0833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湖南星通天晟汽车科技有限公司</w:t>
            </w:r>
          </w:p>
        </w:tc>
        <w:tc>
          <w:tcPr>
            <w:tcW w:w="1580" w:type="pct"/>
            <w:tcBorders>
              <w:tl2br w:val="nil"/>
              <w:tr2bl w:val="nil"/>
            </w:tcBorders>
            <w:noWrap w:val="0"/>
            <w:vAlign w:val="center"/>
          </w:tcPr>
          <w:p w14:paraId="1C42C6F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年产200台混凝土搅拌泵车整车组装</w:t>
            </w:r>
          </w:p>
        </w:tc>
        <w:tc>
          <w:tcPr>
            <w:tcW w:w="973" w:type="pct"/>
            <w:tcBorders>
              <w:tl2br w:val="nil"/>
              <w:tr2bl w:val="nil"/>
            </w:tcBorders>
            <w:noWrap w:val="0"/>
            <w:vAlign w:val="center"/>
          </w:tcPr>
          <w:p w14:paraId="2FDFC3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岳汨环评[2021]014号、岳汩环评[2023]028号</w:t>
            </w:r>
          </w:p>
        </w:tc>
        <w:tc>
          <w:tcPr>
            <w:tcW w:w="829" w:type="pct"/>
            <w:tcBorders>
              <w:tl2br w:val="nil"/>
              <w:tr2bl w:val="nil"/>
            </w:tcBorders>
            <w:noWrap w:val="0"/>
            <w:vAlign w:val="center"/>
          </w:tcPr>
          <w:p w14:paraId="35BAB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0E01A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停产</w:t>
            </w:r>
          </w:p>
        </w:tc>
      </w:tr>
      <w:tr w14:paraId="03272D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165" w:type="pct"/>
            <w:tcBorders>
              <w:tl2br w:val="nil"/>
              <w:tr2bl w:val="nil"/>
            </w:tcBorders>
            <w:noWrap w:val="0"/>
            <w:vAlign w:val="center"/>
          </w:tcPr>
          <w:p w14:paraId="6B08AF9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21</w:t>
            </w:r>
          </w:p>
        </w:tc>
        <w:tc>
          <w:tcPr>
            <w:tcW w:w="1219" w:type="pct"/>
            <w:tcBorders>
              <w:tl2br w:val="nil"/>
              <w:tr2bl w:val="nil"/>
            </w:tcBorders>
            <w:noWrap w:val="0"/>
            <w:vAlign w:val="center"/>
          </w:tcPr>
          <w:p w14:paraId="72BA9DD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湖南星通三俊专用汽车制造有限公司</w:t>
            </w:r>
          </w:p>
        </w:tc>
        <w:tc>
          <w:tcPr>
            <w:tcW w:w="1580" w:type="pct"/>
            <w:tcBorders>
              <w:tl2br w:val="nil"/>
              <w:tr2bl w:val="nil"/>
            </w:tcBorders>
            <w:noWrap w:val="0"/>
            <w:vAlign w:val="center"/>
          </w:tcPr>
          <w:p w14:paraId="250FCA7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年生产400台货车车厢及100台随车吊机安装</w:t>
            </w:r>
          </w:p>
        </w:tc>
        <w:tc>
          <w:tcPr>
            <w:tcW w:w="973" w:type="pct"/>
            <w:tcBorders>
              <w:tl2br w:val="nil"/>
              <w:tr2bl w:val="nil"/>
            </w:tcBorders>
            <w:noWrap w:val="0"/>
            <w:vAlign w:val="center"/>
          </w:tcPr>
          <w:p w14:paraId="57142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汨环评批[2020]102号</w:t>
            </w:r>
          </w:p>
        </w:tc>
        <w:tc>
          <w:tcPr>
            <w:tcW w:w="829" w:type="pct"/>
            <w:tcBorders>
              <w:tl2br w:val="nil"/>
              <w:tr2bl w:val="nil"/>
            </w:tcBorders>
            <w:noWrap w:val="0"/>
            <w:vAlign w:val="center"/>
          </w:tcPr>
          <w:p w14:paraId="3F863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已验收</w:t>
            </w:r>
          </w:p>
        </w:tc>
        <w:tc>
          <w:tcPr>
            <w:tcW w:w="231" w:type="pct"/>
            <w:tcBorders>
              <w:tl2br w:val="nil"/>
              <w:tr2bl w:val="nil"/>
            </w:tcBorders>
            <w:noWrap w:val="0"/>
            <w:vAlign w:val="center"/>
          </w:tcPr>
          <w:p w14:paraId="3EC27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B668B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E17716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22</w:t>
            </w:r>
          </w:p>
        </w:tc>
        <w:tc>
          <w:tcPr>
            <w:tcW w:w="1219" w:type="pct"/>
            <w:tcBorders>
              <w:tl2br w:val="nil"/>
              <w:tr2bl w:val="nil"/>
            </w:tcBorders>
            <w:noWrap w:val="0"/>
            <w:vAlign w:val="center"/>
          </w:tcPr>
          <w:p w14:paraId="07DE339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长沙市成诚工程机械租赁有限公司汨罗分公司</w:t>
            </w:r>
          </w:p>
        </w:tc>
        <w:tc>
          <w:tcPr>
            <w:tcW w:w="1580" w:type="pct"/>
            <w:tcBorders>
              <w:tl2br w:val="nil"/>
              <w:tr2bl w:val="nil"/>
            </w:tcBorders>
            <w:noWrap w:val="0"/>
            <w:vAlign w:val="center"/>
          </w:tcPr>
          <w:p w14:paraId="17473C6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年租赁塔吊500台、电梯400台、构件维修2000t/a</w:t>
            </w:r>
          </w:p>
        </w:tc>
        <w:tc>
          <w:tcPr>
            <w:tcW w:w="973" w:type="pct"/>
            <w:tcBorders>
              <w:tl2br w:val="nil"/>
              <w:tr2bl w:val="nil"/>
            </w:tcBorders>
            <w:noWrap w:val="0"/>
            <w:vAlign w:val="center"/>
          </w:tcPr>
          <w:p w14:paraId="40E4E6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w:t>
            </w:r>
            <w:r>
              <w:rPr>
                <w:rFonts w:hint="default" w:ascii="Times New Roman" w:hAnsi="Times New Roman" w:eastAsia="宋体" w:cs="Times New Roman"/>
                <w:b w:val="0"/>
                <w:bCs/>
                <w:i w:val="0"/>
                <w:snapToGrid w:val="0"/>
                <w:color w:val="auto"/>
                <w:kern w:val="0"/>
                <w:sz w:val="21"/>
                <w:szCs w:val="21"/>
                <w:u w:val="none"/>
                <w:lang w:val="en-US" w:eastAsia="zh-CN" w:bidi="ar"/>
              </w:rPr>
              <w:br w:type="textWrapping"/>
            </w:r>
            <w:r>
              <w:rPr>
                <w:rFonts w:hint="default" w:ascii="Times New Roman" w:hAnsi="Times New Roman" w:eastAsia="宋体" w:cs="Times New Roman"/>
                <w:b w:val="0"/>
                <w:bCs/>
                <w:i w:val="0"/>
                <w:snapToGrid w:val="0"/>
                <w:color w:val="auto"/>
                <w:kern w:val="0"/>
                <w:sz w:val="21"/>
                <w:szCs w:val="21"/>
                <w:u w:val="none"/>
                <w:lang w:val="en-US" w:eastAsia="zh-CN" w:bidi="ar"/>
              </w:rPr>
              <w:t>[2021]013号</w:t>
            </w:r>
          </w:p>
        </w:tc>
        <w:tc>
          <w:tcPr>
            <w:tcW w:w="829" w:type="pct"/>
            <w:tcBorders>
              <w:tl2br w:val="nil"/>
              <w:tr2bl w:val="nil"/>
            </w:tcBorders>
            <w:noWrap w:val="0"/>
            <w:vAlign w:val="center"/>
          </w:tcPr>
          <w:p w14:paraId="45D59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2023.5自主验收</w:t>
            </w:r>
          </w:p>
        </w:tc>
        <w:tc>
          <w:tcPr>
            <w:tcW w:w="231" w:type="pct"/>
            <w:tcBorders>
              <w:tl2br w:val="nil"/>
              <w:tr2bl w:val="nil"/>
            </w:tcBorders>
            <w:noWrap w:val="0"/>
            <w:vAlign w:val="center"/>
          </w:tcPr>
          <w:p w14:paraId="2691C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0CF16C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460579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23</w:t>
            </w:r>
          </w:p>
        </w:tc>
        <w:tc>
          <w:tcPr>
            <w:tcW w:w="1219" w:type="pct"/>
            <w:tcBorders>
              <w:tl2br w:val="nil"/>
              <w:tr2bl w:val="nil"/>
            </w:tcBorders>
            <w:noWrap w:val="0"/>
            <w:vAlign w:val="center"/>
          </w:tcPr>
          <w:p w14:paraId="15B4D70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湖南护卫犬金属制品有限公司</w:t>
            </w:r>
          </w:p>
        </w:tc>
        <w:tc>
          <w:tcPr>
            <w:tcW w:w="1580" w:type="pct"/>
            <w:tcBorders>
              <w:tl2br w:val="nil"/>
              <w:tr2bl w:val="nil"/>
            </w:tcBorders>
            <w:noWrap w:val="0"/>
            <w:vAlign w:val="center"/>
          </w:tcPr>
          <w:p w14:paraId="75B67FC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年产200万米锌钢护栏</w:t>
            </w:r>
          </w:p>
        </w:tc>
        <w:tc>
          <w:tcPr>
            <w:tcW w:w="973" w:type="pct"/>
            <w:tcBorders>
              <w:tl2br w:val="nil"/>
              <w:tr2bl w:val="nil"/>
            </w:tcBorders>
            <w:noWrap w:val="0"/>
            <w:vAlign w:val="center"/>
          </w:tcPr>
          <w:p w14:paraId="453C4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汨环评批[2021]002号</w:t>
            </w:r>
          </w:p>
        </w:tc>
        <w:tc>
          <w:tcPr>
            <w:tcW w:w="829" w:type="pct"/>
            <w:tcBorders>
              <w:tl2br w:val="nil"/>
              <w:tr2bl w:val="nil"/>
            </w:tcBorders>
            <w:noWrap w:val="0"/>
            <w:vAlign w:val="center"/>
          </w:tcPr>
          <w:p w14:paraId="62CF3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已验收</w:t>
            </w:r>
          </w:p>
        </w:tc>
        <w:tc>
          <w:tcPr>
            <w:tcW w:w="231" w:type="pct"/>
            <w:tcBorders>
              <w:tl2br w:val="nil"/>
              <w:tr2bl w:val="nil"/>
            </w:tcBorders>
            <w:noWrap w:val="0"/>
            <w:vAlign w:val="center"/>
          </w:tcPr>
          <w:p w14:paraId="5E0837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01850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A6D3F62">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24</w:t>
            </w:r>
          </w:p>
        </w:tc>
        <w:tc>
          <w:tcPr>
            <w:tcW w:w="1219" w:type="pct"/>
            <w:tcBorders>
              <w:tl2br w:val="nil"/>
              <w:tr2bl w:val="nil"/>
            </w:tcBorders>
            <w:noWrap w:val="0"/>
            <w:vAlign w:val="center"/>
          </w:tcPr>
          <w:p w14:paraId="61EA053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岳阳优辅家环保材料有限公司</w:t>
            </w:r>
          </w:p>
        </w:tc>
        <w:tc>
          <w:tcPr>
            <w:tcW w:w="1580" w:type="pct"/>
            <w:tcBorders>
              <w:tl2br w:val="nil"/>
              <w:tr2bl w:val="nil"/>
            </w:tcBorders>
            <w:noWrap w:val="0"/>
            <w:vAlign w:val="center"/>
          </w:tcPr>
          <w:p w14:paraId="6F4DA5D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年产14万吨环保腻子、1万吨轻质石膏</w:t>
            </w:r>
          </w:p>
        </w:tc>
        <w:tc>
          <w:tcPr>
            <w:tcW w:w="973" w:type="pct"/>
            <w:tcBorders>
              <w:tl2br w:val="nil"/>
              <w:tr2bl w:val="nil"/>
            </w:tcBorders>
            <w:noWrap w:val="0"/>
            <w:vAlign w:val="center"/>
          </w:tcPr>
          <w:p w14:paraId="4688C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汨环评批[2021]003号</w:t>
            </w:r>
          </w:p>
        </w:tc>
        <w:tc>
          <w:tcPr>
            <w:tcW w:w="829" w:type="pct"/>
            <w:tcBorders>
              <w:tl2br w:val="nil"/>
              <w:tr2bl w:val="nil"/>
            </w:tcBorders>
            <w:noWrap w:val="0"/>
            <w:vAlign w:val="center"/>
          </w:tcPr>
          <w:p w14:paraId="00728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B14A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15E25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6916C69">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25</w:t>
            </w:r>
          </w:p>
        </w:tc>
        <w:tc>
          <w:tcPr>
            <w:tcW w:w="1219" w:type="pct"/>
            <w:tcBorders>
              <w:tl2br w:val="nil"/>
              <w:tr2bl w:val="nil"/>
            </w:tcBorders>
            <w:noWrap w:val="0"/>
            <w:vAlign w:val="center"/>
          </w:tcPr>
          <w:p w14:paraId="7F38C1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湖南诺沃科技有限公司</w:t>
            </w:r>
          </w:p>
        </w:tc>
        <w:tc>
          <w:tcPr>
            <w:tcW w:w="1580" w:type="pct"/>
            <w:tcBorders>
              <w:tl2br w:val="nil"/>
              <w:tr2bl w:val="nil"/>
            </w:tcBorders>
            <w:noWrap w:val="0"/>
            <w:vAlign w:val="center"/>
          </w:tcPr>
          <w:p w14:paraId="290B8D0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年产50t 碳-碳复合材料</w:t>
            </w:r>
          </w:p>
        </w:tc>
        <w:tc>
          <w:tcPr>
            <w:tcW w:w="973" w:type="pct"/>
            <w:tcBorders>
              <w:tl2br w:val="nil"/>
              <w:tr2bl w:val="nil"/>
            </w:tcBorders>
            <w:noWrap w:val="0"/>
            <w:vAlign w:val="center"/>
          </w:tcPr>
          <w:p w14:paraId="4658F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汨环评批[2020 ]103号</w:t>
            </w:r>
          </w:p>
        </w:tc>
        <w:tc>
          <w:tcPr>
            <w:tcW w:w="829" w:type="pct"/>
            <w:tcBorders>
              <w:tl2br w:val="nil"/>
              <w:tr2bl w:val="nil"/>
            </w:tcBorders>
            <w:noWrap w:val="0"/>
            <w:vAlign w:val="center"/>
          </w:tcPr>
          <w:p w14:paraId="2C690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773AD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07AD1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3A0128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26</w:t>
            </w:r>
          </w:p>
        </w:tc>
        <w:tc>
          <w:tcPr>
            <w:tcW w:w="1219" w:type="pct"/>
            <w:tcBorders>
              <w:tl2br w:val="nil"/>
              <w:tr2bl w:val="nil"/>
            </w:tcBorders>
            <w:noWrap w:val="0"/>
            <w:vAlign w:val="center"/>
          </w:tcPr>
          <w:p w14:paraId="0D32DC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湖南佰力流体科技有限公司</w:t>
            </w:r>
          </w:p>
        </w:tc>
        <w:tc>
          <w:tcPr>
            <w:tcW w:w="1580" w:type="pct"/>
            <w:tcBorders>
              <w:tl2br w:val="nil"/>
              <w:tr2bl w:val="nil"/>
            </w:tcBorders>
            <w:noWrap w:val="0"/>
            <w:vAlign w:val="center"/>
          </w:tcPr>
          <w:p w14:paraId="4049F26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电液系统及元件生产</w:t>
            </w:r>
          </w:p>
        </w:tc>
        <w:tc>
          <w:tcPr>
            <w:tcW w:w="973" w:type="pct"/>
            <w:tcBorders>
              <w:tl2br w:val="nil"/>
              <w:tr2bl w:val="nil"/>
            </w:tcBorders>
            <w:noWrap w:val="0"/>
            <w:vAlign w:val="center"/>
          </w:tcPr>
          <w:p w14:paraId="0D99D6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303F8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5003F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7B626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05FEC0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27</w:t>
            </w:r>
          </w:p>
        </w:tc>
        <w:tc>
          <w:tcPr>
            <w:tcW w:w="1219" w:type="pct"/>
            <w:tcBorders>
              <w:tl2br w:val="nil"/>
              <w:tr2bl w:val="nil"/>
            </w:tcBorders>
            <w:noWrap w:val="0"/>
            <w:vAlign w:val="center"/>
          </w:tcPr>
          <w:p w14:paraId="3ABF397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湖南中立智能科技有限公司</w:t>
            </w:r>
          </w:p>
        </w:tc>
        <w:tc>
          <w:tcPr>
            <w:tcW w:w="1580" w:type="pct"/>
            <w:tcBorders>
              <w:tl2br w:val="nil"/>
              <w:tr2bl w:val="nil"/>
            </w:tcBorders>
            <w:noWrap w:val="0"/>
            <w:vAlign w:val="center"/>
          </w:tcPr>
          <w:p w14:paraId="30B114F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年产9000台套塔机组件</w:t>
            </w:r>
          </w:p>
        </w:tc>
        <w:tc>
          <w:tcPr>
            <w:tcW w:w="973" w:type="pct"/>
            <w:tcBorders>
              <w:tl2br w:val="nil"/>
              <w:tr2bl w:val="nil"/>
            </w:tcBorders>
            <w:noWrap w:val="0"/>
            <w:vAlign w:val="center"/>
          </w:tcPr>
          <w:p w14:paraId="20E8E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岳环评[2022]18号</w:t>
            </w:r>
          </w:p>
        </w:tc>
        <w:tc>
          <w:tcPr>
            <w:tcW w:w="829" w:type="pct"/>
            <w:tcBorders>
              <w:tl2br w:val="nil"/>
              <w:tr2bl w:val="nil"/>
            </w:tcBorders>
            <w:noWrap w:val="0"/>
            <w:vAlign w:val="center"/>
          </w:tcPr>
          <w:p w14:paraId="1985A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2023.8自主验收</w:t>
            </w:r>
          </w:p>
        </w:tc>
        <w:tc>
          <w:tcPr>
            <w:tcW w:w="231" w:type="pct"/>
            <w:tcBorders>
              <w:tl2br w:val="nil"/>
              <w:tr2bl w:val="nil"/>
            </w:tcBorders>
            <w:noWrap w:val="0"/>
            <w:vAlign w:val="center"/>
          </w:tcPr>
          <w:p w14:paraId="6E0DC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A6868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72B5167">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28</w:t>
            </w:r>
          </w:p>
        </w:tc>
        <w:tc>
          <w:tcPr>
            <w:tcW w:w="1219" w:type="pct"/>
            <w:tcBorders>
              <w:tl2br w:val="nil"/>
              <w:tr2bl w:val="nil"/>
            </w:tcBorders>
            <w:noWrap w:val="0"/>
            <w:vAlign w:val="center"/>
          </w:tcPr>
          <w:p w14:paraId="6A3F654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湖南鹏翔致远智能装备有限公司</w:t>
            </w:r>
          </w:p>
        </w:tc>
        <w:tc>
          <w:tcPr>
            <w:tcW w:w="1580" w:type="pct"/>
            <w:tcBorders>
              <w:tl2br w:val="nil"/>
              <w:tr2bl w:val="nil"/>
            </w:tcBorders>
            <w:noWrap w:val="0"/>
            <w:vAlign w:val="center"/>
          </w:tcPr>
          <w:p w14:paraId="0E32F2B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年生产600台隧道智能装备</w:t>
            </w:r>
          </w:p>
        </w:tc>
        <w:tc>
          <w:tcPr>
            <w:tcW w:w="973" w:type="pct"/>
            <w:tcBorders>
              <w:tl2br w:val="nil"/>
              <w:tr2bl w:val="nil"/>
            </w:tcBorders>
            <w:noWrap w:val="0"/>
            <w:vAlign w:val="center"/>
          </w:tcPr>
          <w:p w14:paraId="57A3B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岳环评[2021]43号</w:t>
            </w:r>
          </w:p>
        </w:tc>
        <w:tc>
          <w:tcPr>
            <w:tcW w:w="829" w:type="pct"/>
            <w:tcBorders>
              <w:tl2br w:val="nil"/>
              <w:tr2bl w:val="nil"/>
            </w:tcBorders>
            <w:noWrap w:val="0"/>
            <w:vAlign w:val="center"/>
          </w:tcPr>
          <w:p w14:paraId="35CC9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672395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5C0F7C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6CB7C04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29</w:t>
            </w:r>
          </w:p>
        </w:tc>
        <w:tc>
          <w:tcPr>
            <w:tcW w:w="1219" w:type="pct"/>
            <w:tcBorders>
              <w:tl2br w:val="nil"/>
              <w:tr2bl w:val="nil"/>
            </w:tcBorders>
            <w:noWrap w:val="0"/>
            <w:vAlign w:val="center"/>
          </w:tcPr>
          <w:p w14:paraId="6480A5E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大通宝富（湖南）风机有限公司</w:t>
            </w:r>
          </w:p>
        </w:tc>
        <w:tc>
          <w:tcPr>
            <w:tcW w:w="1580" w:type="pct"/>
            <w:tcBorders>
              <w:tl2br w:val="nil"/>
              <w:tr2bl w:val="nil"/>
            </w:tcBorders>
            <w:noWrap w:val="0"/>
            <w:vAlign w:val="center"/>
          </w:tcPr>
          <w:p w14:paraId="0E6AAB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小风机2500台/年、大机壳/消音器4000吨/年</w:t>
            </w:r>
          </w:p>
        </w:tc>
        <w:tc>
          <w:tcPr>
            <w:tcW w:w="973" w:type="pct"/>
            <w:tcBorders>
              <w:tl2br w:val="nil"/>
              <w:tr2bl w:val="nil"/>
            </w:tcBorders>
            <w:noWrap w:val="0"/>
            <w:vAlign w:val="center"/>
          </w:tcPr>
          <w:p w14:paraId="6D5B1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岳环评[2022]5号</w:t>
            </w:r>
          </w:p>
        </w:tc>
        <w:tc>
          <w:tcPr>
            <w:tcW w:w="829" w:type="pct"/>
            <w:tcBorders>
              <w:tl2br w:val="nil"/>
              <w:tr2bl w:val="nil"/>
            </w:tcBorders>
            <w:noWrap w:val="0"/>
            <w:vAlign w:val="center"/>
          </w:tcPr>
          <w:p w14:paraId="6A1FF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4D393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2304D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220228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30</w:t>
            </w:r>
          </w:p>
        </w:tc>
        <w:tc>
          <w:tcPr>
            <w:tcW w:w="1219" w:type="pct"/>
            <w:tcBorders>
              <w:tl2br w:val="nil"/>
              <w:tr2bl w:val="nil"/>
            </w:tcBorders>
            <w:noWrap w:val="0"/>
            <w:vAlign w:val="center"/>
          </w:tcPr>
          <w:p w14:paraId="164E6F0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湖南贵丰智能装备有限公司</w:t>
            </w:r>
          </w:p>
        </w:tc>
        <w:tc>
          <w:tcPr>
            <w:tcW w:w="1580" w:type="pct"/>
            <w:tcBorders>
              <w:tl2br w:val="nil"/>
              <w:tr2bl w:val="nil"/>
            </w:tcBorders>
            <w:noWrap w:val="0"/>
            <w:vAlign w:val="center"/>
          </w:tcPr>
          <w:p w14:paraId="0CF3DB3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年产2000 台/套工程机械结构件</w:t>
            </w:r>
          </w:p>
        </w:tc>
        <w:tc>
          <w:tcPr>
            <w:tcW w:w="973" w:type="pct"/>
            <w:tcBorders>
              <w:tl2br w:val="nil"/>
              <w:tr2bl w:val="nil"/>
            </w:tcBorders>
            <w:noWrap w:val="0"/>
            <w:vAlign w:val="center"/>
          </w:tcPr>
          <w:p w14:paraId="5EB60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岳汨环评[2022]039号</w:t>
            </w:r>
          </w:p>
        </w:tc>
        <w:tc>
          <w:tcPr>
            <w:tcW w:w="829" w:type="pct"/>
            <w:tcBorders>
              <w:tl2br w:val="nil"/>
              <w:tr2bl w:val="nil"/>
            </w:tcBorders>
            <w:noWrap w:val="0"/>
            <w:vAlign w:val="center"/>
          </w:tcPr>
          <w:p w14:paraId="556B3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2023.4自主验收</w:t>
            </w:r>
          </w:p>
        </w:tc>
        <w:tc>
          <w:tcPr>
            <w:tcW w:w="231" w:type="pct"/>
            <w:tcBorders>
              <w:tl2br w:val="nil"/>
              <w:tr2bl w:val="nil"/>
            </w:tcBorders>
            <w:noWrap w:val="0"/>
            <w:vAlign w:val="center"/>
          </w:tcPr>
          <w:p w14:paraId="1BF95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AC617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362E57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31</w:t>
            </w:r>
          </w:p>
        </w:tc>
        <w:tc>
          <w:tcPr>
            <w:tcW w:w="1219" w:type="pct"/>
            <w:tcBorders>
              <w:tl2br w:val="nil"/>
              <w:tr2bl w:val="nil"/>
            </w:tcBorders>
            <w:noWrap w:val="0"/>
            <w:vAlign w:val="center"/>
          </w:tcPr>
          <w:p w14:paraId="62ABEA4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湖南鑫品标金属科技有限公司</w:t>
            </w:r>
          </w:p>
        </w:tc>
        <w:tc>
          <w:tcPr>
            <w:tcW w:w="1580" w:type="pct"/>
            <w:tcBorders>
              <w:tl2br w:val="nil"/>
              <w:tr2bl w:val="nil"/>
            </w:tcBorders>
            <w:noWrap w:val="0"/>
            <w:vAlign w:val="center"/>
          </w:tcPr>
          <w:p w14:paraId="7AFBB1D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年产3000吨铝合金压铸件</w:t>
            </w:r>
          </w:p>
        </w:tc>
        <w:tc>
          <w:tcPr>
            <w:tcW w:w="973" w:type="pct"/>
            <w:tcBorders>
              <w:tl2br w:val="nil"/>
              <w:tr2bl w:val="nil"/>
            </w:tcBorders>
            <w:noWrap w:val="0"/>
            <w:vAlign w:val="center"/>
          </w:tcPr>
          <w:p w14:paraId="294C4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岳汨环评[2021]004号</w:t>
            </w:r>
          </w:p>
        </w:tc>
        <w:tc>
          <w:tcPr>
            <w:tcW w:w="829" w:type="pct"/>
            <w:tcBorders>
              <w:tl2br w:val="nil"/>
              <w:tr2bl w:val="nil"/>
            </w:tcBorders>
            <w:noWrap w:val="0"/>
            <w:vAlign w:val="center"/>
          </w:tcPr>
          <w:p w14:paraId="779E0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69A97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FF3CB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543993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32</w:t>
            </w:r>
          </w:p>
        </w:tc>
        <w:tc>
          <w:tcPr>
            <w:tcW w:w="1219" w:type="pct"/>
            <w:tcBorders>
              <w:tl2br w:val="nil"/>
              <w:tr2bl w:val="nil"/>
            </w:tcBorders>
            <w:noWrap w:val="0"/>
            <w:vAlign w:val="center"/>
          </w:tcPr>
          <w:p w14:paraId="71032F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岳阳任特机械制造有限公司</w:t>
            </w:r>
          </w:p>
        </w:tc>
        <w:tc>
          <w:tcPr>
            <w:tcW w:w="1580" w:type="pct"/>
            <w:tcBorders>
              <w:tl2br w:val="nil"/>
              <w:tr2bl w:val="nil"/>
            </w:tcBorders>
            <w:noWrap w:val="0"/>
            <w:vAlign w:val="center"/>
          </w:tcPr>
          <w:p w14:paraId="556B898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剪叉式工作平台总成42000套/年，高空平台100000套/年、高空平台护栏100000套/年、臂式高空作业平台3120套/年，结构小件55000套/年，司机室20000套/年、覆盖件25000套/年，挖掘机快换式铲斗24000套/年</w:t>
            </w:r>
          </w:p>
        </w:tc>
        <w:tc>
          <w:tcPr>
            <w:tcW w:w="973" w:type="pct"/>
            <w:tcBorders>
              <w:tl2br w:val="nil"/>
              <w:tr2bl w:val="nil"/>
            </w:tcBorders>
            <w:noWrap w:val="0"/>
            <w:vAlign w:val="center"/>
          </w:tcPr>
          <w:p w14:paraId="270FA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岳环评〔2023〕14号</w:t>
            </w:r>
          </w:p>
        </w:tc>
        <w:tc>
          <w:tcPr>
            <w:tcW w:w="829" w:type="pct"/>
            <w:tcBorders>
              <w:tl2br w:val="nil"/>
              <w:tr2bl w:val="nil"/>
            </w:tcBorders>
            <w:noWrap w:val="0"/>
            <w:vAlign w:val="center"/>
          </w:tcPr>
          <w:p w14:paraId="38B8F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2846C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0759BA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577A57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33</w:t>
            </w:r>
          </w:p>
        </w:tc>
        <w:tc>
          <w:tcPr>
            <w:tcW w:w="1219" w:type="pct"/>
            <w:tcBorders>
              <w:tl2br w:val="nil"/>
              <w:tr2bl w:val="nil"/>
            </w:tcBorders>
            <w:noWrap w:val="0"/>
            <w:vAlign w:val="center"/>
          </w:tcPr>
          <w:p w14:paraId="51E7F90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湖南中湖建筑科技有限公司</w:t>
            </w:r>
          </w:p>
        </w:tc>
        <w:tc>
          <w:tcPr>
            <w:tcW w:w="1580" w:type="pct"/>
            <w:tcBorders>
              <w:tl2br w:val="nil"/>
              <w:tr2bl w:val="nil"/>
            </w:tcBorders>
            <w:noWrap w:val="0"/>
            <w:vAlign w:val="center"/>
          </w:tcPr>
          <w:p w14:paraId="271445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年产打包箱5000个</w:t>
            </w:r>
          </w:p>
        </w:tc>
        <w:tc>
          <w:tcPr>
            <w:tcW w:w="973" w:type="pct"/>
            <w:tcBorders>
              <w:tl2br w:val="nil"/>
              <w:tr2bl w:val="nil"/>
            </w:tcBorders>
            <w:noWrap w:val="0"/>
            <w:vAlign w:val="center"/>
          </w:tcPr>
          <w:p w14:paraId="08BFA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57F8A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4847C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54D7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B09A0F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34</w:t>
            </w:r>
          </w:p>
        </w:tc>
        <w:tc>
          <w:tcPr>
            <w:tcW w:w="1219" w:type="pct"/>
            <w:tcBorders>
              <w:tl2br w:val="nil"/>
              <w:tr2bl w:val="nil"/>
            </w:tcBorders>
            <w:noWrap w:val="0"/>
            <w:vAlign w:val="center"/>
          </w:tcPr>
          <w:p w14:paraId="7FF827E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湖南福海元精密制造有限公司</w:t>
            </w:r>
          </w:p>
        </w:tc>
        <w:tc>
          <w:tcPr>
            <w:tcW w:w="1580" w:type="pct"/>
            <w:tcBorders>
              <w:tl2br w:val="nil"/>
              <w:tr2bl w:val="nil"/>
            </w:tcBorders>
            <w:noWrap w:val="0"/>
            <w:vAlign w:val="center"/>
          </w:tcPr>
          <w:p w14:paraId="552F6CB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年产10万件工程机械配套精密件</w:t>
            </w:r>
          </w:p>
        </w:tc>
        <w:tc>
          <w:tcPr>
            <w:tcW w:w="973" w:type="pct"/>
            <w:tcBorders>
              <w:tl2br w:val="nil"/>
              <w:tr2bl w:val="nil"/>
            </w:tcBorders>
            <w:noWrap w:val="0"/>
            <w:vAlign w:val="center"/>
          </w:tcPr>
          <w:p w14:paraId="650FD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3C502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37982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FCD04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69595A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35</w:t>
            </w:r>
          </w:p>
        </w:tc>
        <w:tc>
          <w:tcPr>
            <w:tcW w:w="1219" w:type="pct"/>
            <w:tcBorders>
              <w:tl2br w:val="nil"/>
              <w:tr2bl w:val="nil"/>
            </w:tcBorders>
            <w:noWrap w:val="0"/>
            <w:vAlign w:val="center"/>
          </w:tcPr>
          <w:p w14:paraId="6E9F03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湖南中智机械有限公司</w:t>
            </w:r>
          </w:p>
        </w:tc>
        <w:tc>
          <w:tcPr>
            <w:tcW w:w="1580" w:type="pct"/>
            <w:tcBorders>
              <w:tl2br w:val="nil"/>
              <w:tr2bl w:val="nil"/>
            </w:tcBorders>
            <w:noWrap w:val="0"/>
            <w:vAlign w:val="bottom"/>
          </w:tcPr>
          <w:p w14:paraId="2172181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机械零部件</w:t>
            </w:r>
          </w:p>
        </w:tc>
        <w:tc>
          <w:tcPr>
            <w:tcW w:w="973" w:type="pct"/>
            <w:tcBorders>
              <w:tl2br w:val="nil"/>
              <w:tr2bl w:val="nil"/>
            </w:tcBorders>
            <w:noWrap w:val="0"/>
            <w:vAlign w:val="center"/>
          </w:tcPr>
          <w:p w14:paraId="7997A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60192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7E4DC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C8B50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189923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36</w:t>
            </w:r>
          </w:p>
        </w:tc>
        <w:tc>
          <w:tcPr>
            <w:tcW w:w="1219" w:type="pct"/>
            <w:tcBorders>
              <w:tl2br w:val="nil"/>
              <w:tr2bl w:val="nil"/>
            </w:tcBorders>
            <w:noWrap w:val="0"/>
            <w:vAlign w:val="center"/>
          </w:tcPr>
          <w:p w14:paraId="0A20D50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湖南纽英其新能源科技有限公司</w:t>
            </w:r>
          </w:p>
        </w:tc>
        <w:tc>
          <w:tcPr>
            <w:tcW w:w="1580" w:type="pct"/>
            <w:tcBorders>
              <w:tl2br w:val="nil"/>
              <w:tr2bl w:val="nil"/>
            </w:tcBorders>
            <w:noWrap w:val="0"/>
            <w:vAlign w:val="center"/>
          </w:tcPr>
          <w:p w14:paraId="7ABF97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年产3000 吨PPH 塑料容器（含搅拌釜）</w:t>
            </w:r>
          </w:p>
        </w:tc>
        <w:tc>
          <w:tcPr>
            <w:tcW w:w="973" w:type="pct"/>
            <w:tcBorders>
              <w:tl2br w:val="nil"/>
              <w:tr2bl w:val="nil"/>
            </w:tcBorders>
            <w:noWrap w:val="0"/>
            <w:vAlign w:val="center"/>
          </w:tcPr>
          <w:p w14:paraId="3C016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岳汨环评[2022]009号</w:t>
            </w:r>
          </w:p>
        </w:tc>
        <w:tc>
          <w:tcPr>
            <w:tcW w:w="829" w:type="pct"/>
            <w:tcBorders>
              <w:tl2br w:val="nil"/>
              <w:tr2bl w:val="nil"/>
            </w:tcBorders>
            <w:noWrap w:val="0"/>
            <w:vAlign w:val="center"/>
          </w:tcPr>
          <w:p w14:paraId="7C1C3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C408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34A9E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3CE479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37</w:t>
            </w:r>
          </w:p>
        </w:tc>
        <w:tc>
          <w:tcPr>
            <w:tcW w:w="1219" w:type="pct"/>
            <w:tcBorders>
              <w:tl2br w:val="nil"/>
              <w:tr2bl w:val="nil"/>
            </w:tcBorders>
            <w:noWrap w:val="0"/>
            <w:vAlign w:val="center"/>
          </w:tcPr>
          <w:p w14:paraId="21F9D02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湖南多稳智能科技有限公司</w:t>
            </w:r>
          </w:p>
        </w:tc>
        <w:tc>
          <w:tcPr>
            <w:tcW w:w="1580" w:type="pct"/>
            <w:tcBorders>
              <w:tl2br w:val="nil"/>
              <w:tr2bl w:val="nil"/>
            </w:tcBorders>
            <w:noWrap w:val="0"/>
            <w:vAlign w:val="center"/>
          </w:tcPr>
          <w:p w14:paraId="7B042AF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 xml:space="preserve"> 电缆卷筒</w:t>
            </w:r>
          </w:p>
        </w:tc>
        <w:tc>
          <w:tcPr>
            <w:tcW w:w="973" w:type="pct"/>
            <w:tcBorders>
              <w:tl2br w:val="nil"/>
              <w:tr2bl w:val="nil"/>
            </w:tcBorders>
            <w:noWrap w:val="0"/>
            <w:vAlign w:val="center"/>
          </w:tcPr>
          <w:p w14:paraId="54C7D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1ADD33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14374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AAD1F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F9804B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38</w:t>
            </w:r>
          </w:p>
        </w:tc>
        <w:tc>
          <w:tcPr>
            <w:tcW w:w="1219" w:type="pct"/>
            <w:tcBorders>
              <w:tl2br w:val="nil"/>
              <w:tr2bl w:val="nil"/>
            </w:tcBorders>
            <w:noWrap w:val="0"/>
            <w:vAlign w:val="center"/>
          </w:tcPr>
          <w:p w14:paraId="32C6E64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湖南鼎成汽车车身制造有限公司</w:t>
            </w:r>
          </w:p>
        </w:tc>
        <w:tc>
          <w:tcPr>
            <w:tcW w:w="1580" w:type="pct"/>
            <w:tcBorders>
              <w:tl2br w:val="nil"/>
              <w:tr2bl w:val="nil"/>
            </w:tcBorders>
            <w:noWrap w:val="0"/>
            <w:vAlign w:val="center"/>
          </w:tcPr>
          <w:p w14:paraId="38D152B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年产60000 台汽车车身</w:t>
            </w:r>
          </w:p>
        </w:tc>
        <w:tc>
          <w:tcPr>
            <w:tcW w:w="973" w:type="pct"/>
            <w:tcBorders>
              <w:tl2br w:val="nil"/>
              <w:tr2bl w:val="nil"/>
            </w:tcBorders>
            <w:noWrap w:val="0"/>
            <w:vAlign w:val="center"/>
          </w:tcPr>
          <w:p w14:paraId="333ED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岳环评[2022]22号</w:t>
            </w:r>
          </w:p>
        </w:tc>
        <w:tc>
          <w:tcPr>
            <w:tcW w:w="829" w:type="pct"/>
            <w:tcBorders>
              <w:tl2br w:val="nil"/>
              <w:tr2bl w:val="nil"/>
            </w:tcBorders>
            <w:noWrap w:val="0"/>
            <w:vAlign w:val="center"/>
          </w:tcPr>
          <w:p w14:paraId="53E30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33BA0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087F0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B42665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39</w:t>
            </w:r>
          </w:p>
        </w:tc>
        <w:tc>
          <w:tcPr>
            <w:tcW w:w="1219" w:type="pct"/>
            <w:tcBorders>
              <w:tl2br w:val="nil"/>
              <w:tr2bl w:val="nil"/>
            </w:tcBorders>
            <w:noWrap w:val="0"/>
            <w:vAlign w:val="center"/>
          </w:tcPr>
          <w:p w14:paraId="2C0F588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湖南坤凯节能科技有限公司</w:t>
            </w:r>
          </w:p>
        </w:tc>
        <w:tc>
          <w:tcPr>
            <w:tcW w:w="1580" w:type="pct"/>
            <w:tcBorders>
              <w:tl2br w:val="nil"/>
              <w:tr2bl w:val="nil"/>
            </w:tcBorders>
            <w:noWrap w:val="0"/>
            <w:vAlign w:val="center"/>
          </w:tcPr>
          <w:p w14:paraId="0D45B48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蒸汽4t/h</w:t>
            </w:r>
          </w:p>
        </w:tc>
        <w:tc>
          <w:tcPr>
            <w:tcW w:w="973" w:type="pct"/>
            <w:tcBorders>
              <w:tl2br w:val="nil"/>
              <w:tr2bl w:val="nil"/>
            </w:tcBorders>
            <w:noWrap w:val="0"/>
            <w:vAlign w:val="center"/>
          </w:tcPr>
          <w:p w14:paraId="59E7B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汨环评批[2020]036号</w:t>
            </w:r>
          </w:p>
        </w:tc>
        <w:tc>
          <w:tcPr>
            <w:tcW w:w="829" w:type="pct"/>
            <w:tcBorders>
              <w:tl2br w:val="nil"/>
              <w:tr2bl w:val="nil"/>
            </w:tcBorders>
            <w:noWrap w:val="0"/>
            <w:vAlign w:val="center"/>
          </w:tcPr>
          <w:p w14:paraId="380E4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3413EA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43E41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DDDC20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40</w:t>
            </w:r>
          </w:p>
        </w:tc>
        <w:tc>
          <w:tcPr>
            <w:tcW w:w="1219" w:type="pct"/>
            <w:tcBorders>
              <w:tl2br w:val="nil"/>
              <w:tr2bl w:val="nil"/>
            </w:tcBorders>
            <w:noWrap w:val="0"/>
            <w:vAlign w:val="center"/>
          </w:tcPr>
          <w:p w14:paraId="0488010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湖南钢泰环保科技有限公司</w:t>
            </w:r>
          </w:p>
        </w:tc>
        <w:tc>
          <w:tcPr>
            <w:tcW w:w="1580" w:type="pct"/>
            <w:tcBorders>
              <w:tl2br w:val="nil"/>
              <w:tr2bl w:val="nil"/>
            </w:tcBorders>
            <w:noWrap w:val="0"/>
            <w:vAlign w:val="center"/>
          </w:tcPr>
          <w:p w14:paraId="6B2637B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金属结构件</w:t>
            </w:r>
          </w:p>
        </w:tc>
        <w:tc>
          <w:tcPr>
            <w:tcW w:w="973" w:type="pct"/>
            <w:tcBorders>
              <w:tl2br w:val="nil"/>
              <w:tr2bl w:val="nil"/>
            </w:tcBorders>
            <w:noWrap w:val="0"/>
            <w:vAlign w:val="center"/>
          </w:tcPr>
          <w:p w14:paraId="44213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717BE5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39E01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7105C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397302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41</w:t>
            </w:r>
          </w:p>
        </w:tc>
        <w:tc>
          <w:tcPr>
            <w:tcW w:w="1219" w:type="pct"/>
            <w:tcBorders>
              <w:tl2br w:val="nil"/>
              <w:tr2bl w:val="nil"/>
            </w:tcBorders>
            <w:noWrap w:val="0"/>
            <w:vAlign w:val="center"/>
          </w:tcPr>
          <w:p w14:paraId="41219B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湖南昊柏隧装机械制造有限公司</w:t>
            </w:r>
          </w:p>
        </w:tc>
        <w:tc>
          <w:tcPr>
            <w:tcW w:w="1580" w:type="pct"/>
            <w:tcBorders>
              <w:tl2br w:val="nil"/>
              <w:tr2bl w:val="nil"/>
            </w:tcBorders>
            <w:noWrap w:val="0"/>
            <w:vAlign w:val="center"/>
          </w:tcPr>
          <w:p w14:paraId="02CE958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隧道装备</w:t>
            </w:r>
          </w:p>
        </w:tc>
        <w:tc>
          <w:tcPr>
            <w:tcW w:w="973" w:type="pct"/>
            <w:tcBorders>
              <w:tl2br w:val="nil"/>
              <w:tr2bl w:val="nil"/>
            </w:tcBorders>
            <w:noWrap w:val="0"/>
            <w:vAlign w:val="center"/>
          </w:tcPr>
          <w:p w14:paraId="4654C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豁免</w:t>
            </w:r>
          </w:p>
        </w:tc>
        <w:tc>
          <w:tcPr>
            <w:tcW w:w="829" w:type="pct"/>
            <w:tcBorders>
              <w:tl2br w:val="nil"/>
              <w:tr2bl w:val="nil"/>
            </w:tcBorders>
            <w:noWrap w:val="0"/>
            <w:vAlign w:val="center"/>
          </w:tcPr>
          <w:p w14:paraId="5422F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1BD95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368B0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014F3CC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42</w:t>
            </w:r>
          </w:p>
        </w:tc>
        <w:tc>
          <w:tcPr>
            <w:tcW w:w="1219" w:type="pct"/>
            <w:tcBorders>
              <w:tl2br w:val="nil"/>
              <w:tr2bl w:val="nil"/>
            </w:tcBorders>
            <w:noWrap w:val="0"/>
            <w:vAlign w:val="center"/>
          </w:tcPr>
          <w:p w14:paraId="4714523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湖南博讯金属制品有限公司</w:t>
            </w:r>
          </w:p>
        </w:tc>
        <w:tc>
          <w:tcPr>
            <w:tcW w:w="1580" w:type="pct"/>
            <w:tcBorders>
              <w:tl2br w:val="nil"/>
              <w:tr2bl w:val="nil"/>
            </w:tcBorders>
            <w:noWrap w:val="0"/>
            <w:vAlign w:val="center"/>
          </w:tcPr>
          <w:p w14:paraId="47A995D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年产10000套网络机柜</w:t>
            </w:r>
          </w:p>
        </w:tc>
        <w:tc>
          <w:tcPr>
            <w:tcW w:w="973" w:type="pct"/>
            <w:tcBorders>
              <w:tl2br w:val="nil"/>
              <w:tr2bl w:val="nil"/>
            </w:tcBorders>
            <w:noWrap w:val="0"/>
            <w:vAlign w:val="center"/>
          </w:tcPr>
          <w:p w14:paraId="6FB2B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岳汨环评[2023]19号</w:t>
            </w:r>
          </w:p>
        </w:tc>
        <w:tc>
          <w:tcPr>
            <w:tcW w:w="829" w:type="pct"/>
            <w:tcBorders>
              <w:tl2br w:val="nil"/>
              <w:tr2bl w:val="nil"/>
            </w:tcBorders>
            <w:noWrap w:val="0"/>
            <w:vAlign w:val="center"/>
          </w:tcPr>
          <w:p w14:paraId="56900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6AD706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4EA9F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7C6917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43</w:t>
            </w:r>
          </w:p>
        </w:tc>
        <w:tc>
          <w:tcPr>
            <w:tcW w:w="1219" w:type="pct"/>
            <w:tcBorders>
              <w:tl2br w:val="nil"/>
              <w:tr2bl w:val="nil"/>
            </w:tcBorders>
            <w:noWrap w:val="0"/>
            <w:vAlign w:val="center"/>
          </w:tcPr>
          <w:p w14:paraId="3AECEAA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湖南正合一管业有限公司</w:t>
            </w:r>
          </w:p>
        </w:tc>
        <w:tc>
          <w:tcPr>
            <w:tcW w:w="1580" w:type="pct"/>
            <w:tcBorders>
              <w:tl2br w:val="nil"/>
              <w:tr2bl w:val="nil"/>
            </w:tcBorders>
            <w:noWrap w:val="0"/>
            <w:vAlign w:val="center"/>
          </w:tcPr>
          <w:p w14:paraId="6889E2A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液压管接头及总成400万件/年、高压胶管和工业软管500万条/年、硬管40万条/年</w:t>
            </w:r>
          </w:p>
        </w:tc>
        <w:tc>
          <w:tcPr>
            <w:tcW w:w="973" w:type="pct"/>
            <w:tcBorders>
              <w:tl2br w:val="nil"/>
              <w:tr2bl w:val="nil"/>
            </w:tcBorders>
            <w:noWrap w:val="0"/>
            <w:vAlign w:val="center"/>
          </w:tcPr>
          <w:p w14:paraId="23D961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岳汨环评〔2023〕010号</w:t>
            </w:r>
          </w:p>
        </w:tc>
        <w:tc>
          <w:tcPr>
            <w:tcW w:w="829" w:type="pct"/>
            <w:tcBorders>
              <w:tl2br w:val="nil"/>
              <w:tr2bl w:val="nil"/>
            </w:tcBorders>
            <w:noWrap w:val="0"/>
            <w:vAlign w:val="center"/>
          </w:tcPr>
          <w:p w14:paraId="40246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7F052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7F38F2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60C531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44</w:t>
            </w:r>
          </w:p>
        </w:tc>
        <w:tc>
          <w:tcPr>
            <w:tcW w:w="1219" w:type="pct"/>
            <w:tcBorders>
              <w:tl2br w:val="nil"/>
              <w:tr2bl w:val="nil"/>
            </w:tcBorders>
            <w:noWrap w:val="0"/>
            <w:vAlign w:val="center"/>
          </w:tcPr>
          <w:p w14:paraId="58C65E9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湖南沃格新材料科技有限公司</w:t>
            </w:r>
          </w:p>
        </w:tc>
        <w:tc>
          <w:tcPr>
            <w:tcW w:w="1580" w:type="pct"/>
            <w:tcBorders>
              <w:tl2br w:val="nil"/>
              <w:tr2bl w:val="nil"/>
            </w:tcBorders>
            <w:noWrap w:val="0"/>
            <w:vAlign w:val="center"/>
          </w:tcPr>
          <w:p w14:paraId="03DAB64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20万吨/年</w:t>
            </w:r>
            <w:r>
              <w:rPr>
                <w:rFonts w:hint="default" w:ascii="Times New Roman" w:hAnsi="Times New Roman" w:eastAsia="宋体" w:cs="Times New Roman"/>
                <w:i w:val="0"/>
                <w:snapToGrid w:val="0"/>
                <w:color w:val="auto"/>
                <w:kern w:val="0"/>
                <w:sz w:val="21"/>
                <w:szCs w:val="21"/>
                <w:u w:val="none"/>
                <w:lang w:val="en-US" w:eastAsia="zh-CN" w:bidi="ar"/>
              </w:rPr>
              <w:t>高性能特异性金属管材</w:t>
            </w:r>
          </w:p>
        </w:tc>
        <w:tc>
          <w:tcPr>
            <w:tcW w:w="973" w:type="pct"/>
            <w:tcBorders>
              <w:tl2br w:val="nil"/>
              <w:tr2bl w:val="nil"/>
            </w:tcBorders>
            <w:noWrap w:val="0"/>
            <w:vAlign w:val="center"/>
          </w:tcPr>
          <w:p w14:paraId="1046B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]0</w:t>
            </w:r>
            <w:r>
              <w:rPr>
                <w:rFonts w:hint="eastAsia" w:ascii="Times New Roman" w:hAnsi="Times New Roman" w:eastAsia="宋体" w:cs="Times New Roman"/>
                <w:b w:val="0"/>
                <w:bCs/>
                <w:i w:val="0"/>
                <w:snapToGrid w:val="0"/>
                <w:color w:val="auto"/>
                <w:kern w:val="0"/>
                <w:sz w:val="21"/>
                <w:szCs w:val="21"/>
                <w:u w:val="none"/>
                <w:lang w:val="en-US" w:eastAsia="zh-CN" w:bidi="ar"/>
              </w:rPr>
              <w:t>08</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16E5D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365BA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D1A1D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529637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45</w:t>
            </w:r>
          </w:p>
        </w:tc>
        <w:tc>
          <w:tcPr>
            <w:tcW w:w="1219" w:type="pct"/>
            <w:tcBorders>
              <w:tl2br w:val="nil"/>
              <w:tr2bl w:val="nil"/>
            </w:tcBorders>
            <w:noWrap w:val="0"/>
            <w:vAlign w:val="center"/>
          </w:tcPr>
          <w:p w14:paraId="4A8CB2E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湖南联力科技有限公司</w:t>
            </w:r>
          </w:p>
        </w:tc>
        <w:tc>
          <w:tcPr>
            <w:tcW w:w="1580" w:type="pct"/>
            <w:tcBorders>
              <w:tl2br w:val="nil"/>
              <w:tr2bl w:val="nil"/>
            </w:tcBorders>
            <w:noWrap w:val="0"/>
            <w:vAlign w:val="center"/>
          </w:tcPr>
          <w:p w14:paraId="204CA8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塔机标准节20000件/a、X架8000件/a、履带梁15000件/a、收尘器8000件/a、模台2000件/a、支腿30000件/a、其他各型结构件16000件，机械零部件100000件/a</w:t>
            </w:r>
          </w:p>
        </w:tc>
        <w:tc>
          <w:tcPr>
            <w:tcW w:w="973" w:type="pct"/>
            <w:tcBorders>
              <w:tl2br w:val="nil"/>
              <w:tr2bl w:val="nil"/>
            </w:tcBorders>
            <w:noWrap w:val="0"/>
            <w:vAlign w:val="center"/>
          </w:tcPr>
          <w:p w14:paraId="6B352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岳环评〔2022〕46号</w:t>
            </w:r>
          </w:p>
        </w:tc>
        <w:tc>
          <w:tcPr>
            <w:tcW w:w="829" w:type="pct"/>
            <w:tcBorders>
              <w:tl2br w:val="nil"/>
              <w:tr2bl w:val="nil"/>
            </w:tcBorders>
            <w:noWrap w:val="0"/>
            <w:vAlign w:val="center"/>
          </w:tcPr>
          <w:p w14:paraId="3E6D9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7F9D3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6923C2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0F7068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46</w:t>
            </w:r>
          </w:p>
        </w:tc>
        <w:tc>
          <w:tcPr>
            <w:tcW w:w="1219" w:type="pct"/>
            <w:tcBorders>
              <w:tl2br w:val="nil"/>
              <w:tr2bl w:val="nil"/>
            </w:tcBorders>
            <w:noWrap w:val="0"/>
            <w:vAlign w:val="center"/>
          </w:tcPr>
          <w:p w14:paraId="021CDF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湖南亿融智能装备有限公司</w:t>
            </w:r>
          </w:p>
        </w:tc>
        <w:tc>
          <w:tcPr>
            <w:tcW w:w="1580" w:type="pct"/>
            <w:tcBorders>
              <w:tl2br w:val="nil"/>
              <w:tr2bl w:val="nil"/>
            </w:tcBorders>
            <w:noWrap w:val="0"/>
            <w:vAlign w:val="center"/>
          </w:tcPr>
          <w:p w14:paraId="447DAB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旋挖钻机结构件1000件/年</w:t>
            </w:r>
          </w:p>
        </w:tc>
        <w:tc>
          <w:tcPr>
            <w:tcW w:w="973" w:type="pct"/>
            <w:tcBorders>
              <w:tl2br w:val="nil"/>
              <w:tr2bl w:val="nil"/>
            </w:tcBorders>
            <w:noWrap w:val="0"/>
            <w:vAlign w:val="center"/>
          </w:tcPr>
          <w:p w14:paraId="28371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岳汨环评〔2023〕038号</w:t>
            </w:r>
          </w:p>
        </w:tc>
        <w:tc>
          <w:tcPr>
            <w:tcW w:w="829" w:type="pct"/>
            <w:tcBorders>
              <w:tl2br w:val="nil"/>
              <w:tr2bl w:val="nil"/>
            </w:tcBorders>
            <w:noWrap w:val="0"/>
            <w:vAlign w:val="center"/>
          </w:tcPr>
          <w:p w14:paraId="72350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678F1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448EBD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0660C4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47</w:t>
            </w:r>
          </w:p>
        </w:tc>
        <w:tc>
          <w:tcPr>
            <w:tcW w:w="1219" w:type="pct"/>
            <w:tcBorders>
              <w:tl2br w:val="nil"/>
              <w:tr2bl w:val="nil"/>
            </w:tcBorders>
            <w:noWrap w:val="0"/>
            <w:vAlign w:val="center"/>
          </w:tcPr>
          <w:p w14:paraId="34ACDE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湖南连研装备制造有限公司</w:t>
            </w:r>
          </w:p>
        </w:tc>
        <w:tc>
          <w:tcPr>
            <w:tcW w:w="1580" w:type="pct"/>
            <w:tcBorders>
              <w:tl2br w:val="nil"/>
              <w:tr2bl w:val="nil"/>
            </w:tcBorders>
            <w:noWrap w:val="0"/>
            <w:vAlign w:val="center"/>
          </w:tcPr>
          <w:p w14:paraId="364279C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工程机械液压缸配件及其他零部件15000台/年</w:t>
            </w:r>
          </w:p>
        </w:tc>
        <w:tc>
          <w:tcPr>
            <w:tcW w:w="973" w:type="pct"/>
            <w:tcBorders>
              <w:tl2br w:val="nil"/>
              <w:tr2bl w:val="nil"/>
            </w:tcBorders>
            <w:noWrap w:val="0"/>
            <w:vAlign w:val="center"/>
          </w:tcPr>
          <w:p w14:paraId="2FA6EA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岳汨环评〔2022〕045号</w:t>
            </w:r>
          </w:p>
        </w:tc>
        <w:tc>
          <w:tcPr>
            <w:tcW w:w="829" w:type="pct"/>
            <w:tcBorders>
              <w:tl2br w:val="nil"/>
              <w:tr2bl w:val="nil"/>
            </w:tcBorders>
            <w:noWrap w:val="0"/>
            <w:vAlign w:val="center"/>
          </w:tcPr>
          <w:p w14:paraId="5C508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37553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4BABD0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C905E6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48</w:t>
            </w:r>
          </w:p>
        </w:tc>
        <w:tc>
          <w:tcPr>
            <w:tcW w:w="1219" w:type="pct"/>
            <w:tcBorders>
              <w:tl2br w:val="nil"/>
              <w:tr2bl w:val="nil"/>
            </w:tcBorders>
            <w:noWrap w:val="0"/>
            <w:vAlign w:val="center"/>
          </w:tcPr>
          <w:p w14:paraId="5F78B25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湖南创美鑫丰建材加工有限公司</w:t>
            </w:r>
          </w:p>
        </w:tc>
        <w:tc>
          <w:tcPr>
            <w:tcW w:w="1580" w:type="pct"/>
            <w:tcBorders>
              <w:tl2br w:val="nil"/>
              <w:tr2bl w:val="nil"/>
            </w:tcBorders>
            <w:noWrap w:val="0"/>
            <w:vAlign w:val="center"/>
          </w:tcPr>
          <w:p w14:paraId="3F7DBC7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300t/a铝扣板</w:t>
            </w:r>
          </w:p>
        </w:tc>
        <w:tc>
          <w:tcPr>
            <w:tcW w:w="973" w:type="pct"/>
            <w:tcBorders>
              <w:tl2br w:val="nil"/>
              <w:tr2bl w:val="nil"/>
            </w:tcBorders>
            <w:noWrap w:val="0"/>
            <w:vAlign w:val="center"/>
          </w:tcPr>
          <w:p w14:paraId="1B4FC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岳汨环评〔2023〕039号</w:t>
            </w:r>
          </w:p>
        </w:tc>
        <w:tc>
          <w:tcPr>
            <w:tcW w:w="829" w:type="pct"/>
            <w:tcBorders>
              <w:tl2br w:val="nil"/>
              <w:tr2bl w:val="nil"/>
            </w:tcBorders>
            <w:noWrap w:val="0"/>
            <w:vAlign w:val="center"/>
          </w:tcPr>
          <w:p w14:paraId="1324E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0F355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55F153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4BB690E">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49</w:t>
            </w:r>
          </w:p>
        </w:tc>
        <w:tc>
          <w:tcPr>
            <w:tcW w:w="1219" w:type="pct"/>
            <w:tcBorders>
              <w:tl2br w:val="nil"/>
              <w:tr2bl w:val="nil"/>
            </w:tcBorders>
            <w:noWrap w:val="0"/>
            <w:vAlign w:val="center"/>
          </w:tcPr>
          <w:p w14:paraId="7E6814A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湖南大耀工程机械有限公司</w:t>
            </w:r>
          </w:p>
        </w:tc>
        <w:tc>
          <w:tcPr>
            <w:tcW w:w="1580" w:type="pct"/>
            <w:tcBorders>
              <w:tl2br w:val="nil"/>
              <w:tr2bl w:val="nil"/>
            </w:tcBorders>
            <w:noWrap w:val="0"/>
            <w:vAlign w:val="center"/>
          </w:tcPr>
          <w:p w14:paraId="7C7BCBB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年产56500 件 混凝土输送泵配件</w:t>
            </w:r>
          </w:p>
        </w:tc>
        <w:tc>
          <w:tcPr>
            <w:tcW w:w="973" w:type="pct"/>
            <w:tcBorders>
              <w:tl2br w:val="nil"/>
              <w:tr2bl w:val="nil"/>
            </w:tcBorders>
            <w:noWrap w:val="0"/>
            <w:vAlign w:val="center"/>
          </w:tcPr>
          <w:p w14:paraId="3F2CF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岳环评[2023]008号</w:t>
            </w:r>
          </w:p>
        </w:tc>
        <w:tc>
          <w:tcPr>
            <w:tcW w:w="829" w:type="pct"/>
            <w:tcBorders>
              <w:tl2br w:val="nil"/>
              <w:tr2bl w:val="nil"/>
            </w:tcBorders>
            <w:noWrap w:val="0"/>
            <w:vAlign w:val="center"/>
          </w:tcPr>
          <w:p w14:paraId="3B35B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44CF8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0AFC9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307D21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50</w:t>
            </w:r>
          </w:p>
        </w:tc>
        <w:tc>
          <w:tcPr>
            <w:tcW w:w="1219" w:type="pct"/>
            <w:tcBorders>
              <w:tl2br w:val="nil"/>
              <w:tr2bl w:val="nil"/>
            </w:tcBorders>
            <w:noWrap w:val="0"/>
            <w:vAlign w:val="center"/>
          </w:tcPr>
          <w:p w14:paraId="6A0B0A5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湖南湘固电子科技有限公司</w:t>
            </w:r>
          </w:p>
        </w:tc>
        <w:tc>
          <w:tcPr>
            <w:tcW w:w="1580" w:type="pct"/>
            <w:tcBorders>
              <w:tl2br w:val="nil"/>
              <w:tr2bl w:val="nil"/>
            </w:tcBorders>
            <w:noWrap w:val="0"/>
            <w:vAlign w:val="center"/>
          </w:tcPr>
          <w:p w14:paraId="4820E34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年产200吨电子线材</w:t>
            </w:r>
          </w:p>
        </w:tc>
        <w:tc>
          <w:tcPr>
            <w:tcW w:w="973" w:type="pct"/>
            <w:tcBorders>
              <w:tl2br w:val="nil"/>
              <w:tr2bl w:val="nil"/>
            </w:tcBorders>
            <w:noWrap w:val="0"/>
            <w:vAlign w:val="center"/>
          </w:tcPr>
          <w:p w14:paraId="4B061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岳汨环评〔2023〕009号</w:t>
            </w:r>
          </w:p>
        </w:tc>
        <w:tc>
          <w:tcPr>
            <w:tcW w:w="829" w:type="pct"/>
            <w:tcBorders>
              <w:tl2br w:val="nil"/>
              <w:tr2bl w:val="nil"/>
            </w:tcBorders>
            <w:noWrap w:val="0"/>
            <w:vAlign w:val="center"/>
          </w:tcPr>
          <w:p w14:paraId="192E1B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5CA67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5FEFD4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232B0BE">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rPr>
              <w:t>51</w:t>
            </w:r>
          </w:p>
        </w:tc>
        <w:tc>
          <w:tcPr>
            <w:tcW w:w="1219" w:type="pct"/>
            <w:tcBorders>
              <w:tl2br w:val="nil"/>
              <w:tr2bl w:val="nil"/>
            </w:tcBorders>
            <w:noWrap w:val="0"/>
            <w:vAlign w:val="center"/>
          </w:tcPr>
          <w:p w14:paraId="369DE1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湖南佳进精密机械有限公司</w:t>
            </w:r>
          </w:p>
        </w:tc>
        <w:tc>
          <w:tcPr>
            <w:tcW w:w="1580" w:type="pct"/>
            <w:tcBorders>
              <w:tl2br w:val="nil"/>
              <w:tr2bl w:val="nil"/>
            </w:tcBorders>
            <w:noWrap w:val="0"/>
            <w:vAlign w:val="center"/>
          </w:tcPr>
          <w:p w14:paraId="2FC0FB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主轴承盖400000件/a、液压元件60000件/a，缸盖缸体120000件/a</w:t>
            </w:r>
          </w:p>
        </w:tc>
        <w:tc>
          <w:tcPr>
            <w:tcW w:w="973" w:type="pct"/>
            <w:tcBorders>
              <w:tl2br w:val="nil"/>
              <w:tr2bl w:val="nil"/>
            </w:tcBorders>
            <w:noWrap w:val="0"/>
            <w:vAlign w:val="center"/>
          </w:tcPr>
          <w:p w14:paraId="3F172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岳环评〔2023〕5号</w:t>
            </w:r>
          </w:p>
        </w:tc>
        <w:tc>
          <w:tcPr>
            <w:tcW w:w="829" w:type="pct"/>
            <w:tcBorders>
              <w:tl2br w:val="nil"/>
              <w:tr2bl w:val="nil"/>
            </w:tcBorders>
            <w:noWrap w:val="0"/>
            <w:vAlign w:val="center"/>
          </w:tcPr>
          <w:p w14:paraId="58BA0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2023.8自主验收</w:t>
            </w:r>
          </w:p>
        </w:tc>
        <w:tc>
          <w:tcPr>
            <w:tcW w:w="231" w:type="pct"/>
            <w:tcBorders>
              <w:tl2br w:val="nil"/>
              <w:tr2bl w:val="nil"/>
            </w:tcBorders>
            <w:noWrap w:val="0"/>
            <w:vAlign w:val="center"/>
          </w:tcPr>
          <w:p w14:paraId="313AA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2C7CC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1A5140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52</w:t>
            </w:r>
          </w:p>
        </w:tc>
        <w:tc>
          <w:tcPr>
            <w:tcW w:w="1219" w:type="pct"/>
            <w:tcBorders>
              <w:tl2br w:val="nil"/>
              <w:tr2bl w:val="nil"/>
            </w:tcBorders>
            <w:noWrap w:val="0"/>
            <w:vAlign w:val="center"/>
          </w:tcPr>
          <w:p w14:paraId="606F273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湖南驰英金属制品有限公司</w:t>
            </w:r>
          </w:p>
        </w:tc>
        <w:tc>
          <w:tcPr>
            <w:tcW w:w="1580" w:type="pct"/>
            <w:tcBorders>
              <w:tl2br w:val="nil"/>
              <w:tr2bl w:val="nil"/>
            </w:tcBorders>
            <w:noWrap w:val="0"/>
            <w:vAlign w:val="center"/>
          </w:tcPr>
          <w:p w14:paraId="7117EBA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机壳、CAP、骨架、上托辊架等汽车零部件和防盗门部件360万件（套），其中机壳70万件、CAP150万件、骨架10万件、上托辊架10万套、其他配件120万套/年，模具200套/年</w:t>
            </w:r>
          </w:p>
        </w:tc>
        <w:tc>
          <w:tcPr>
            <w:tcW w:w="973" w:type="pct"/>
            <w:tcBorders>
              <w:tl2br w:val="nil"/>
              <w:tr2bl w:val="nil"/>
            </w:tcBorders>
            <w:noWrap w:val="0"/>
            <w:vAlign w:val="center"/>
          </w:tcPr>
          <w:p w14:paraId="25F91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岳汨环评〔2023〕017号</w:t>
            </w:r>
          </w:p>
        </w:tc>
        <w:tc>
          <w:tcPr>
            <w:tcW w:w="829" w:type="pct"/>
            <w:tcBorders>
              <w:tl2br w:val="nil"/>
              <w:tr2bl w:val="nil"/>
            </w:tcBorders>
            <w:noWrap w:val="0"/>
            <w:vAlign w:val="center"/>
          </w:tcPr>
          <w:p w14:paraId="4258C4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1E1F9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34CAA0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354721F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53</w:t>
            </w:r>
          </w:p>
        </w:tc>
        <w:tc>
          <w:tcPr>
            <w:tcW w:w="1219" w:type="pct"/>
            <w:tcBorders>
              <w:tl2br w:val="nil"/>
              <w:tr2bl w:val="nil"/>
            </w:tcBorders>
            <w:noWrap w:val="0"/>
            <w:vAlign w:val="center"/>
          </w:tcPr>
          <w:p w14:paraId="30E757F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湖南中鑫顺工程机械有限公司</w:t>
            </w:r>
          </w:p>
        </w:tc>
        <w:tc>
          <w:tcPr>
            <w:tcW w:w="1580" w:type="pct"/>
            <w:tcBorders>
              <w:tl2br w:val="nil"/>
              <w:tr2bl w:val="nil"/>
            </w:tcBorders>
            <w:noWrap w:val="0"/>
            <w:vAlign w:val="center"/>
          </w:tcPr>
          <w:p w14:paraId="452940E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年产5000套平衡臂</w:t>
            </w:r>
          </w:p>
        </w:tc>
        <w:tc>
          <w:tcPr>
            <w:tcW w:w="973" w:type="pct"/>
            <w:tcBorders>
              <w:tl2br w:val="nil"/>
              <w:tr2bl w:val="nil"/>
            </w:tcBorders>
            <w:noWrap w:val="0"/>
            <w:vAlign w:val="center"/>
          </w:tcPr>
          <w:p w14:paraId="6EC66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岳环评[2022]17号</w:t>
            </w:r>
          </w:p>
        </w:tc>
        <w:tc>
          <w:tcPr>
            <w:tcW w:w="829" w:type="pct"/>
            <w:tcBorders>
              <w:tl2br w:val="nil"/>
              <w:tr2bl w:val="nil"/>
            </w:tcBorders>
            <w:noWrap w:val="0"/>
            <w:vAlign w:val="center"/>
          </w:tcPr>
          <w:p w14:paraId="06F18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572D9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2825C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0B66027">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54</w:t>
            </w:r>
          </w:p>
        </w:tc>
        <w:tc>
          <w:tcPr>
            <w:tcW w:w="1219" w:type="pct"/>
            <w:tcBorders>
              <w:tl2br w:val="nil"/>
              <w:tr2bl w:val="nil"/>
            </w:tcBorders>
            <w:noWrap w:val="0"/>
            <w:vAlign w:val="center"/>
          </w:tcPr>
          <w:p w14:paraId="2D8036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三一筑工科技（汨罗）有限公司</w:t>
            </w:r>
          </w:p>
        </w:tc>
        <w:tc>
          <w:tcPr>
            <w:tcW w:w="1580" w:type="pct"/>
            <w:tcBorders>
              <w:tl2br w:val="nil"/>
              <w:tr2bl w:val="nil"/>
            </w:tcBorders>
            <w:noWrap w:val="0"/>
            <w:vAlign w:val="center"/>
          </w:tcPr>
          <w:p w14:paraId="5A65EB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混凝土（C15~C50）40万m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snapToGrid w:val="0"/>
                <w:color w:val="auto"/>
                <w:kern w:val="0"/>
                <w:sz w:val="21"/>
                <w:szCs w:val="21"/>
                <w:u w:val="none"/>
                <w:lang w:val="en-US" w:eastAsia="zh-CN" w:bidi="ar"/>
              </w:rPr>
              <w:t>/a；PC构件5万m</w:t>
            </w:r>
            <w:r>
              <w:rPr>
                <w:rFonts w:hint="default" w:ascii="Times New Roman" w:hAnsi="Times New Roman" w:eastAsia="宋体" w:cs="Times New Roman"/>
                <w:i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snapToGrid w:val="0"/>
                <w:color w:val="auto"/>
                <w:kern w:val="0"/>
                <w:sz w:val="21"/>
                <w:szCs w:val="21"/>
                <w:u w:val="none"/>
                <w:lang w:val="en-US" w:eastAsia="zh-CN" w:bidi="ar"/>
              </w:rPr>
              <w:t>/a；SPCE（生产线装备）80条/a、SACE（生产线装备）40条/a、移动破碎/筛分设备200台/年、SSRE100套/a、模具/模板100套/a。</w:t>
            </w:r>
          </w:p>
        </w:tc>
        <w:tc>
          <w:tcPr>
            <w:tcW w:w="973" w:type="pct"/>
            <w:tcBorders>
              <w:tl2br w:val="nil"/>
              <w:tr2bl w:val="nil"/>
            </w:tcBorders>
            <w:noWrap w:val="0"/>
            <w:vAlign w:val="center"/>
          </w:tcPr>
          <w:p w14:paraId="06395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岳环评[2022]52号</w:t>
            </w:r>
          </w:p>
        </w:tc>
        <w:tc>
          <w:tcPr>
            <w:tcW w:w="829" w:type="pct"/>
            <w:tcBorders>
              <w:tl2br w:val="nil"/>
              <w:tr2bl w:val="nil"/>
            </w:tcBorders>
            <w:noWrap w:val="0"/>
            <w:vAlign w:val="center"/>
          </w:tcPr>
          <w:p w14:paraId="5FEA2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5EE6F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36A925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F9D8B8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55</w:t>
            </w:r>
          </w:p>
        </w:tc>
        <w:tc>
          <w:tcPr>
            <w:tcW w:w="1219" w:type="pct"/>
            <w:tcBorders>
              <w:tl2br w:val="nil"/>
              <w:tr2bl w:val="nil"/>
            </w:tcBorders>
            <w:noWrap w:val="0"/>
            <w:vAlign w:val="center"/>
          </w:tcPr>
          <w:p w14:paraId="61321B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湖南熊博仕密封技术有限公司</w:t>
            </w:r>
          </w:p>
        </w:tc>
        <w:tc>
          <w:tcPr>
            <w:tcW w:w="1580" w:type="pct"/>
            <w:tcBorders>
              <w:tl2br w:val="nil"/>
              <w:tr2bl w:val="nil"/>
            </w:tcBorders>
            <w:noWrap w:val="0"/>
            <w:vAlign w:val="center"/>
          </w:tcPr>
          <w:p w14:paraId="2A3FB32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汽车密封件250t/a，门窗密封件250t/a</w:t>
            </w:r>
          </w:p>
        </w:tc>
        <w:tc>
          <w:tcPr>
            <w:tcW w:w="973" w:type="pct"/>
            <w:tcBorders>
              <w:tl2br w:val="nil"/>
              <w:tr2bl w:val="nil"/>
            </w:tcBorders>
            <w:noWrap w:val="0"/>
            <w:vAlign w:val="center"/>
          </w:tcPr>
          <w:p w14:paraId="25CBC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w:t>
            </w:r>
            <w:r>
              <w:rPr>
                <w:rFonts w:hint="eastAsia" w:ascii="Times New Roman" w:hAnsi="Times New Roman" w:eastAsia="宋体" w:cs="Times New Roman"/>
                <w:b w:val="0"/>
                <w:bCs/>
                <w:i w:val="0"/>
                <w:snapToGrid w:val="0"/>
                <w:color w:val="auto"/>
                <w:kern w:val="0"/>
                <w:sz w:val="21"/>
                <w:szCs w:val="21"/>
                <w:u w:val="none"/>
                <w:lang w:val="en-US" w:eastAsia="zh-CN" w:bidi="ar"/>
              </w:rPr>
              <w:t>63</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3138F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27535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2DD0DF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4F18E12">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56</w:t>
            </w:r>
          </w:p>
        </w:tc>
        <w:tc>
          <w:tcPr>
            <w:tcW w:w="1219" w:type="pct"/>
            <w:tcBorders>
              <w:tl2br w:val="nil"/>
              <w:tr2bl w:val="nil"/>
            </w:tcBorders>
            <w:noWrap w:val="0"/>
            <w:vAlign w:val="center"/>
          </w:tcPr>
          <w:p w14:paraId="3F2307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湖南宏翰新能源科技有限公司</w:t>
            </w:r>
          </w:p>
        </w:tc>
        <w:tc>
          <w:tcPr>
            <w:tcW w:w="1580" w:type="pct"/>
            <w:tcBorders>
              <w:tl2br w:val="nil"/>
              <w:tr2bl w:val="nil"/>
            </w:tcBorders>
            <w:noWrap w:val="0"/>
            <w:vAlign w:val="center"/>
          </w:tcPr>
          <w:p w14:paraId="634BC2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lang w:val="en-US" w:eastAsia="zh-CN"/>
              </w:rPr>
              <w:t>石墨异形件5000t/a，石墨方舟6000t/a，碳纤维预制件500t/a</w:t>
            </w:r>
          </w:p>
        </w:tc>
        <w:tc>
          <w:tcPr>
            <w:tcW w:w="973" w:type="pct"/>
            <w:tcBorders>
              <w:tl2br w:val="nil"/>
              <w:tr2bl w:val="nil"/>
            </w:tcBorders>
            <w:noWrap w:val="0"/>
            <w:vAlign w:val="center"/>
          </w:tcPr>
          <w:p w14:paraId="7BB28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w:t>
            </w:r>
            <w:r>
              <w:rPr>
                <w:rFonts w:hint="eastAsia" w:ascii="Times New Roman" w:hAnsi="Times New Roman" w:eastAsia="宋体" w:cs="Times New Roman"/>
                <w:b w:val="0"/>
                <w:bCs/>
                <w:i w:val="0"/>
                <w:snapToGrid w:val="0"/>
                <w:color w:val="auto"/>
                <w:kern w:val="0"/>
                <w:sz w:val="21"/>
                <w:szCs w:val="21"/>
                <w:u w:val="none"/>
                <w:lang w:val="en-US" w:eastAsia="zh-CN" w:bidi="ar"/>
              </w:rPr>
              <w:t>65</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66569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6887F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702E2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3BEB27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57</w:t>
            </w:r>
          </w:p>
        </w:tc>
        <w:tc>
          <w:tcPr>
            <w:tcW w:w="1219" w:type="pct"/>
            <w:tcBorders>
              <w:tl2br w:val="nil"/>
              <w:tr2bl w:val="nil"/>
            </w:tcBorders>
            <w:noWrap w:val="0"/>
            <w:vAlign w:val="center"/>
          </w:tcPr>
          <w:p w14:paraId="49121D8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湖南美品昕新材料科技有限公司</w:t>
            </w:r>
          </w:p>
        </w:tc>
        <w:tc>
          <w:tcPr>
            <w:tcW w:w="1580" w:type="pct"/>
            <w:tcBorders>
              <w:tl2br w:val="nil"/>
              <w:tr2bl w:val="nil"/>
            </w:tcBorders>
            <w:noWrap w:val="0"/>
            <w:vAlign w:val="center"/>
          </w:tcPr>
          <w:p w14:paraId="795D270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气泡膜1000t/a，缠绕膜600t/a，气泡袋50t/a</w:t>
            </w:r>
          </w:p>
        </w:tc>
        <w:tc>
          <w:tcPr>
            <w:tcW w:w="973" w:type="pct"/>
            <w:tcBorders>
              <w:tl2br w:val="nil"/>
              <w:tr2bl w:val="nil"/>
            </w:tcBorders>
            <w:noWrap w:val="0"/>
            <w:vAlign w:val="center"/>
          </w:tcPr>
          <w:p w14:paraId="23E6B6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w:t>
            </w:r>
            <w:r>
              <w:rPr>
                <w:rFonts w:hint="eastAsia" w:ascii="Times New Roman" w:hAnsi="Times New Roman" w:eastAsia="宋体" w:cs="Times New Roman"/>
                <w:b w:val="0"/>
                <w:bCs/>
                <w:i w:val="0"/>
                <w:snapToGrid w:val="0"/>
                <w:color w:val="auto"/>
                <w:kern w:val="0"/>
                <w:sz w:val="21"/>
                <w:szCs w:val="21"/>
                <w:u w:val="none"/>
                <w:lang w:val="en-US" w:eastAsia="zh-CN" w:bidi="ar"/>
              </w:rPr>
              <w:t>68</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7D39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57F2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0741E2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550F271">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58</w:t>
            </w:r>
          </w:p>
        </w:tc>
        <w:tc>
          <w:tcPr>
            <w:tcW w:w="1219" w:type="pct"/>
            <w:tcBorders>
              <w:tl2br w:val="nil"/>
              <w:tr2bl w:val="nil"/>
            </w:tcBorders>
            <w:noWrap w:val="0"/>
            <w:vAlign w:val="center"/>
          </w:tcPr>
          <w:p w14:paraId="57317ED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湖南锦帆机械制造有限公司</w:t>
            </w:r>
          </w:p>
        </w:tc>
        <w:tc>
          <w:tcPr>
            <w:tcW w:w="1580" w:type="pct"/>
            <w:tcBorders>
              <w:tl2br w:val="nil"/>
              <w:tr2bl w:val="nil"/>
            </w:tcBorders>
            <w:noWrap w:val="0"/>
            <w:vAlign w:val="center"/>
          </w:tcPr>
          <w:p w14:paraId="4D94733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5000t/a桥梁钢模</w:t>
            </w:r>
          </w:p>
        </w:tc>
        <w:tc>
          <w:tcPr>
            <w:tcW w:w="973" w:type="pct"/>
            <w:tcBorders>
              <w:tl2br w:val="nil"/>
              <w:tr2bl w:val="nil"/>
            </w:tcBorders>
            <w:noWrap w:val="0"/>
            <w:vAlign w:val="center"/>
          </w:tcPr>
          <w:p w14:paraId="62B5CB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岳汨环评〔2023〕0</w:t>
            </w:r>
            <w:r>
              <w:rPr>
                <w:rFonts w:hint="eastAsia" w:ascii="Times New Roman" w:hAnsi="Times New Roman" w:eastAsia="宋体" w:cs="Times New Roman"/>
                <w:b w:val="0"/>
                <w:bCs/>
                <w:i w:val="0"/>
                <w:snapToGrid w:val="0"/>
                <w:color w:val="auto"/>
                <w:kern w:val="0"/>
                <w:sz w:val="21"/>
                <w:szCs w:val="21"/>
                <w:u w:val="none"/>
                <w:lang w:val="en-US" w:eastAsia="zh-CN" w:bidi="ar"/>
              </w:rPr>
              <w:t>69</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8768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0243B6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9D245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4E9F0AF">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59</w:t>
            </w:r>
          </w:p>
        </w:tc>
        <w:tc>
          <w:tcPr>
            <w:tcW w:w="1219" w:type="pct"/>
            <w:tcBorders>
              <w:tl2br w:val="nil"/>
              <w:tr2bl w:val="nil"/>
            </w:tcBorders>
            <w:noWrap w:val="0"/>
            <w:vAlign w:val="center"/>
          </w:tcPr>
          <w:p w14:paraId="68DCCB0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湖南锦文交通设施科技有限公司</w:t>
            </w:r>
          </w:p>
        </w:tc>
        <w:tc>
          <w:tcPr>
            <w:tcW w:w="1580" w:type="pct"/>
            <w:tcBorders>
              <w:tl2br w:val="nil"/>
              <w:tr2bl w:val="nil"/>
            </w:tcBorders>
            <w:noWrap w:val="0"/>
            <w:vAlign w:val="center"/>
          </w:tcPr>
          <w:p w14:paraId="6B641E6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吹塑件20万件/年，滚塑件9万件/年</w:t>
            </w:r>
          </w:p>
        </w:tc>
        <w:tc>
          <w:tcPr>
            <w:tcW w:w="973" w:type="pct"/>
            <w:tcBorders>
              <w:tl2br w:val="nil"/>
              <w:tr2bl w:val="nil"/>
            </w:tcBorders>
            <w:noWrap w:val="0"/>
            <w:vAlign w:val="center"/>
          </w:tcPr>
          <w:p w14:paraId="17A6B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w:t>
            </w:r>
            <w:r>
              <w:rPr>
                <w:rFonts w:hint="eastAsia" w:ascii="Times New Roman" w:hAnsi="Times New Roman" w:eastAsia="宋体" w:cs="Times New Roman"/>
                <w:b w:val="0"/>
                <w:bCs/>
                <w:i w:val="0"/>
                <w:snapToGrid w:val="0"/>
                <w:color w:val="auto"/>
                <w:kern w:val="0"/>
                <w:sz w:val="21"/>
                <w:szCs w:val="21"/>
                <w:u w:val="none"/>
                <w:lang w:val="en-US" w:eastAsia="zh-CN" w:bidi="ar"/>
              </w:rPr>
              <w:t>070</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6BF2F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088FA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6B57DE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52B1317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60</w:t>
            </w:r>
          </w:p>
        </w:tc>
        <w:tc>
          <w:tcPr>
            <w:tcW w:w="1219" w:type="pct"/>
            <w:tcBorders>
              <w:tl2br w:val="nil"/>
              <w:tr2bl w:val="nil"/>
            </w:tcBorders>
            <w:noWrap w:val="0"/>
            <w:vAlign w:val="center"/>
          </w:tcPr>
          <w:p w14:paraId="6058EF2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湖南惠众源净化科技有限公司</w:t>
            </w:r>
          </w:p>
        </w:tc>
        <w:tc>
          <w:tcPr>
            <w:tcW w:w="1580" w:type="pct"/>
            <w:tcBorders>
              <w:tl2br w:val="nil"/>
              <w:tr2bl w:val="nil"/>
            </w:tcBorders>
            <w:noWrap w:val="0"/>
            <w:vAlign w:val="center"/>
          </w:tcPr>
          <w:p w14:paraId="07872A5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50万平方米/年彩钢板</w:t>
            </w:r>
          </w:p>
        </w:tc>
        <w:tc>
          <w:tcPr>
            <w:tcW w:w="973" w:type="pct"/>
            <w:tcBorders>
              <w:tl2br w:val="nil"/>
              <w:tr2bl w:val="nil"/>
            </w:tcBorders>
            <w:noWrap w:val="0"/>
            <w:vAlign w:val="center"/>
          </w:tcPr>
          <w:p w14:paraId="7DAD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岳汨环评〔2023〕</w:t>
            </w:r>
            <w:r>
              <w:rPr>
                <w:rFonts w:hint="eastAsia" w:ascii="Times New Roman" w:hAnsi="Times New Roman" w:eastAsia="宋体" w:cs="Times New Roman"/>
                <w:b w:val="0"/>
                <w:bCs/>
                <w:i w:val="0"/>
                <w:snapToGrid w:val="0"/>
                <w:color w:val="auto"/>
                <w:kern w:val="0"/>
                <w:sz w:val="21"/>
                <w:szCs w:val="21"/>
                <w:u w:val="none"/>
                <w:lang w:val="en-US" w:eastAsia="zh-CN" w:bidi="ar"/>
              </w:rPr>
              <w:t>071</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25DA5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B94F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4D7419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4F947C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61</w:t>
            </w:r>
          </w:p>
        </w:tc>
        <w:tc>
          <w:tcPr>
            <w:tcW w:w="1219" w:type="pct"/>
            <w:tcBorders>
              <w:tl2br w:val="nil"/>
              <w:tr2bl w:val="nil"/>
            </w:tcBorders>
            <w:noWrap w:val="0"/>
            <w:vAlign w:val="center"/>
          </w:tcPr>
          <w:p w14:paraId="384EFC4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湖南易得架科技有限公司</w:t>
            </w:r>
          </w:p>
        </w:tc>
        <w:tc>
          <w:tcPr>
            <w:tcW w:w="1580" w:type="pct"/>
            <w:tcBorders>
              <w:tl2br w:val="nil"/>
              <w:tr2bl w:val="nil"/>
            </w:tcBorders>
            <w:noWrap w:val="0"/>
            <w:vAlign w:val="center"/>
          </w:tcPr>
          <w:p w14:paraId="63C3AEB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2万套/年晾衣架</w:t>
            </w:r>
          </w:p>
        </w:tc>
        <w:tc>
          <w:tcPr>
            <w:tcW w:w="973" w:type="pct"/>
            <w:tcBorders>
              <w:tl2br w:val="nil"/>
              <w:tr2bl w:val="nil"/>
            </w:tcBorders>
            <w:noWrap w:val="0"/>
            <w:vAlign w:val="center"/>
          </w:tcPr>
          <w:p w14:paraId="1A804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005</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79FE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7809A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BA1EA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D22A2C4">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62</w:t>
            </w:r>
          </w:p>
        </w:tc>
        <w:tc>
          <w:tcPr>
            <w:tcW w:w="1219" w:type="pct"/>
            <w:tcBorders>
              <w:tl2br w:val="nil"/>
              <w:tr2bl w:val="nil"/>
            </w:tcBorders>
            <w:noWrap w:val="0"/>
            <w:vAlign w:val="center"/>
          </w:tcPr>
          <w:p w14:paraId="1FE440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湖南育英工程机械有限公司</w:t>
            </w:r>
          </w:p>
        </w:tc>
        <w:tc>
          <w:tcPr>
            <w:tcW w:w="1580" w:type="pct"/>
            <w:tcBorders>
              <w:tl2br w:val="nil"/>
              <w:tr2bl w:val="nil"/>
            </w:tcBorders>
            <w:noWrap w:val="0"/>
            <w:vAlign w:val="center"/>
          </w:tcPr>
          <w:p w14:paraId="730C626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5500套/年建筑钢结构件</w:t>
            </w:r>
          </w:p>
        </w:tc>
        <w:tc>
          <w:tcPr>
            <w:tcW w:w="973" w:type="pct"/>
            <w:tcBorders>
              <w:tl2br w:val="nil"/>
              <w:tr2bl w:val="nil"/>
            </w:tcBorders>
            <w:noWrap w:val="0"/>
            <w:vAlign w:val="center"/>
          </w:tcPr>
          <w:p w14:paraId="6E400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010</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4FC6A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eastAsia" w:ascii="Times New Roman" w:hAnsi="Times New Roman" w:eastAsia="宋体" w:cs="Times New Roman"/>
                <w:b w:val="0"/>
                <w:bCs/>
                <w:i w:val="0"/>
                <w:color w:val="auto"/>
                <w:kern w:val="2"/>
                <w:sz w:val="21"/>
                <w:szCs w:val="21"/>
                <w:u w:val="none"/>
                <w:lang w:val="en-US" w:eastAsia="zh-CN" w:bidi="ar-SA"/>
              </w:rPr>
              <w:t>未验收</w:t>
            </w:r>
          </w:p>
        </w:tc>
        <w:tc>
          <w:tcPr>
            <w:tcW w:w="231" w:type="pct"/>
            <w:tcBorders>
              <w:tl2br w:val="nil"/>
              <w:tr2bl w:val="nil"/>
            </w:tcBorders>
            <w:noWrap w:val="0"/>
            <w:vAlign w:val="center"/>
          </w:tcPr>
          <w:p w14:paraId="162C1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eastAsia" w:ascii="Times New Roman" w:hAnsi="Times New Roman" w:eastAsia="宋体" w:cs="Times New Roman"/>
                <w:b w:val="0"/>
                <w:bCs/>
                <w:i w:val="0"/>
                <w:color w:val="auto"/>
                <w:kern w:val="2"/>
                <w:sz w:val="21"/>
                <w:szCs w:val="21"/>
                <w:u w:val="none"/>
                <w:lang w:val="en-US" w:eastAsia="zh-CN" w:bidi="ar-SA"/>
              </w:rPr>
              <w:t>未建</w:t>
            </w:r>
          </w:p>
        </w:tc>
      </w:tr>
      <w:tr w14:paraId="48A781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7ACC26A">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63</w:t>
            </w:r>
          </w:p>
        </w:tc>
        <w:tc>
          <w:tcPr>
            <w:tcW w:w="1219" w:type="pct"/>
            <w:tcBorders>
              <w:tl2br w:val="nil"/>
              <w:tr2bl w:val="nil"/>
            </w:tcBorders>
            <w:noWrap w:val="0"/>
            <w:vAlign w:val="center"/>
          </w:tcPr>
          <w:p w14:paraId="2DFFAC8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湖南卡邑诺智能科技有限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3DB1683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10万套/年钢制柜公寓床</w:t>
            </w:r>
          </w:p>
        </w:tc>
        <w:tc>
          <w:tcPr>
            <w:tcW w:w="973" w:type="pct"/>
            <w:tcBorders>
              <w:tl2br w:val="nil"/>
              <w:tr2bl w:val="nil"/>
            </w:tcBorders>
            <w:noWrap w:val="0"/>
            <w:vAlign w:val="center"/>
          </w:tcPr>
          <w:p w14:paraId="427D7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016</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6A6B8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14A84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3819AB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5B8A6E8">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64</w:t>
            </w:r>
          </w:p>
        </w:tc>
        <w:tc>
          <w:tcPr>
            <w:tcW w:w="1219" w:type="pct"/>
            <w:tcBorders>
              <w:tl2br w:val="nil"/>
              <w:tr2bl w:val="nil"/>
            </w:tcBorders>
            <w:noWrap w:val="0"/>
            <w:vAlign w:val="center"/>
          </w:tcPr>
          <w:p w14:paraId="7C8A863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湖南金来到精密制造有限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4A94F8B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3000吨/年铝合金配件</w:t>
            </w:r>
          </w:p>
        </w:tc>
        <w:tc>
          <w:tcPr>
            <w:tcW w:w="973" w:type="pct"/>
            <w:tcBorders>
              <w:tl2br w:val="nil"/>
              <w:tr2bl w:val="nil"/>
            </w:tcBorders>
            <w:noWrap w:val="0"/>
            <w:vAlign w:val="center"/>
          </w:tcPr>
          <w:p w14:paraId="73265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021</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1E7163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6EEED6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0BF82F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56E47BE">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65</w:t>
            </w:r>
          </w:p>
        </w:tc>
        <w:tc>
          <w:tcPr>
            <w:tcW w:w="1219" w:type="pct"/>
            <w:tcBorders>
              <w:tl2br w:val="nil"/>
              <w:tr2bl w:val="nil"/>
            </w:tcBorders>
            <w:noWrap w:val="0"/>
            <w:vAlign w:val="center"/>
          </w:tcPr>
          <w:p w14:paraId="089607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湖南金佳源新材料科技</w:t>
            </w:r>
            <w:r>
              <w:rPr>
                <w:rFonts w:hint="eastAsia" w:ascii="Times New Roman" w:hAnsi="Times New Roman" w:eastAsia="宋体" w:cs="Times New Roman"/>
                <w:i w:val="0"/>
                <w:snapToGrid w:val="0"/>
                <w:color w:val="auto"/>
                <w:kern w:val="0"/>
                <w:sz w:val="21"/>
                <w:szCs w:val="21"/>
                <w:u w:val="none"/>
                <w:lang w:val="en-US" w:eastAsia="zh-CN" w:bidi="ar"/>
              </w:rPr>
              <w:t>有限公司</w:t>
            </w:r>
          </w:p>
        </w:tc>
        <w:tc>
          <w:tcPr>
            <w:tcW w:w="1580" w:type="pct"/>
            <w:tcBorders>
              <w:tl2br w:val="nil"/>
              <w:tr2bl w:val="nil"/>
            </w:tcBorders>
            <w:noWrap w:val="0"/>
            <w:vAlign w:val="center"/>
          </w:tcPr>
          <w:p w14:paraId="4C7C104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9000吨/年PVC板材</w:t>
            </w:r>
          </w:p>
        </w:tc>
        <w:tc>
          <w:tcPr>
            <w:tcW w:w="973" w:type="pct"/>
            <w:tcBorders>
              <w:tl2br w:val="nil"/>
              <w:tr2bl w:val="nil"/>
            </w:tcBorders>
            <w:noWrap w:val="0"/>
            <w:vAlign w:val="center"/>
          </w:tcPr>
          <w:p w14:paraId="315CC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024</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7393F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eastAsia" w:ascii="Times New Roman" w:hAnsi="Times New Roman" w:eastAsia="宋体" w:cs="Times New Roman"/>
                <w:b w:val="0"/>
                <w:bCs/>
                <w:i w:val="0"/>
                <w:color w:val="auto"/>
                <w:kern w:val="2"/>
                <w:sz w:val="21"/>
                <w:szCs w:val="21"/>
                <w:u w:val="none"/>
                <w:lang w:val="en-US" w:eastAsia="zh-CN" w:bidi="ar-SA"/>
              </w:rPr>
              <w:t>未验收</w:t>
            </w:r>
          </w:p>
        </w:tc>
        <w:tc>
          <w:tcPr>
            <w:tcW w:w="231" w:type="pct"/>
            <w:tcBorders>
              <w:tl2br w:val="nil"/>
              <w:tr2bl w:val="nil"/>
            </w:tcBorders>
            <w:noWrap w:val="0"/>
            <w:vAlign w:val="center"/>
          </w:tcPr>
          <w:p w14:paraId="6C854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eastAsia" w:ascii="Times New Roman" w:hAnsi="Times New Roman" w:eastAsia="宋体" w:cs="Times New Roman"/>
                <w:b w:val="0"/>
                <w:bCs/>
                <w:i w:val="0"/>
                <w:color w:val="auto"/>
                <w:kern w:val="2"/>
                <w:sz w:val="21"/>
                <w:szCs w:val="21"/>
                <w:u w:val="none"/>
                <w:lang w:val="en-US" w:eastAsia="zh-CN" w:bidi="ar-SA"/>
              </w:rPr>
              <w:t>停产</w:t>
            </w:r>
          </w:p>
        </w:tc>
      </w:tr>
      <w:tr w14:paraId="766E4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999F83E">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66</w:t>
            </w:r>
          </w:p>
        </w:tc>
        <w:tc>
          <w:tcPr>
            <w:tcW w:w="1219" w:type="pct"/>
            <w:tcBorders>
              <w:tl2br w:val="nil"/>
              <w:tr2bl w:val="nil"/>
            </w:tcBorders>
            <w:noWrap w:val="0"/>
            <w:vAlign w:val="center"/>
          </w:tcPr>
          <w:p w14:paraId="7CB52F0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湖南环生瑞家建筑装饰</w:t>
            </w:r>
            <w:r>
              <w:rPr>
                <w:rFonts w:hint="eastAsia" w:ascii="Times New Roman" w:hAnsi="Times New Roman" w:eastAsia="宋体" w:cs="Times New Roman"/>
                <w:i w:val="0"/>
                <w:snapToGrid w:val="0"/>
                <w:color w:val="auto"/>
                <w:kern w:val="0"/>
                <w:sz w:val="21"/>
                <w:szCs w:val="21"/>
                <w:u w:val="none"/>
                <w:lang w:val="en-US" w:eastAsia="zh-CN" w:bidi="ar"/>
              </w:rPr>
              <w:t>材料有限公司</w:t>
            </w:r>
          </w:p>
        </w:tc>
        <w:tc>
          <w:tcPr>
            <w:tcW w:w="1580" w:type="pct"/>
            <w:tcBorders>
              <w:tl2br w:val="nil"/>
              <w:tr2bl w:val="nil"/>
            </w:tcBorders>
            <w:noWrap w:val="0"/>
            <w:vAlign w:val="center"/>
          </w:tcPr>
          <w:p w14:paraId="3FFDC1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1500吨/年木塑快装墙板</w:t>
            </w:r>
          </w:p>
        </w:tc>
        <w:tc>
          <w:tcPr>
            <w:tcW w:w="973" w:type="pct"/>
            <w:tcBorders>
              <w:tl2br w:val="nil"/>
              <w:tr2bl w:val="nil"/>
            </w:tcBorders>
            <w:noWrap w:val="0"/>
            <w:vAlign w:val="center"/>
          </w:tcPr>
          <w:p w14:paraId="5F5B3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033</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51F32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325BC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1D6C2B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43F6426">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67</w:t>
            </w:r>
          </w:p>
        </w:tc>
        <w:tc>
          <w:tcPr>
            <w:tcW w:w="1219" w:type="pct"/>
            <w:tcBorders>
              <w:tl2br w:val="nil"/>
              <w:tr2bl w:val="nil"/>
            </w:tcBorders>
            <w:noWrap w:val="0"/>
            <w:vAlign w:val="center"/>
          </w:tcPr>
          <w:p w14:paraId="36839B8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湖南善峰智能装备有限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20AC76C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800吨/年波纹管和200吨/年注塑件</w:t>
            </w:r>
          </w:p>
        </w:tc>
        <w:tc>
          <w:tcPr>
            <w:tcW w:w="973" w:type="pct"/>
            <w:tcBorders>
              <w:tl2br w:val="nil"/>
              <w:tr2bl w:val="nil"/>
            </w:tcBorders>
            <w:noWrap w:val="0"/>
            <w:vAlign w:val="center"/>
          </w:tcPr>
          <w:p w14:paraId="1B79A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034</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6CCE5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243FD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263F0B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16C07379">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68</w:t>
            </w:r>
          </w:p>
        </w:tc>
        <w:tc>
          <w:tcPr>
            <w:tcW w:w="1219" w:type="pct"/>
            <w:tcBorders>
              <w:tl2br w:val="nil"/>
              <w:tr2bl w:val="nil"/>
            </w:tcBorders>
            <w:noWrap w:val="0"/>
            <w:vAlign w:val="center"/>
          </w:tcPr>
          <w:p w14:paraId="16312C8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湖南满恒汽车零部件有限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1A584C4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50万套/年汽车发电机铝金属外壳和汽车驱动机铝金属外壳</w:t>
            </w:r>
          </w:p>
        </w:tc>
        <w:tc>
          <w:tcPr>
            <w:tcW w:w="973" w:type="pct"/>
            <w:tcBorders>
              <w:tl2br w:val="nil"/>
              <w:tr2bl w:val="nil"/>
            </w:tcBorders>
            <w:noWrap w:val="0"/>
            <w:vAlign w:val="center"/>
          </w:tcPr>
          <w:p w14:paraId="62E23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065</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300DE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0C339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615ACE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6F3B3462">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69</w:t>
            </w:r>
          </w:p>
        </w:tc>
        <w:tc>
          <w:tcPr>
            <w:tcW w:w="1219" w:type="pct"/>
            <w:tcBorders>
              <w:tl2br w:val="nil"/>
              <w:tr2bl w:val="nil"/>
            </w:tcBorders>
            <w:noWrap w:val="0"/>
            <w:vAlign w:val="center"/>
          </w:tcPr>
          <w:p w14:paraId="634060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湖南浩权工程机械有限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286ED0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年维修150辆专用汽车</w:t>
            </w:r>
          </w:p>
        </w:tc>
        <w:tc>
          <w:tcPr>
            <w:tcW w:w="973" w:type="pct"/>
            <w:tcBorders>
              <w:tl2br w:val="nil"/>
              <w:tr2bl w:val="nil"/>
            </w:tcBorders>
            <w:noWrap w:val="0"/>
            <w:vAlign w:val="center"/>
          </w:tcPr>
          <w:p w14:paraId="2D1FD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4</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070</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1547AF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自主验收</w:t>
            </w:r>
          </w:p>
        </w:tc>
        <w:tc>
          <w:tcPr>
            <w:tcW w:w="231" w:type="pct"/>
            <w:tcBorders>
              <w:tl2br w:val="nil"/>
              <w:tr2bl w:val="nil"/>
            </w:tcBorders>
            <w:noWrap w:val="0"/>
            <w:vAlign w:val="center"/>
          </w:tcPr>
          <w:p w14:paraId="72662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在产</w:t>
            </w:r>
          </w:p>
        </w:tc>
      </w:tr>
      <w:tr w14:paraId="7F9190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9D89F17">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70</w:t>
            </w:r>
          </w:p>
        </w:tc>
        <w:tc>
          <w:tcPr>
            <w:tcW w:w="1219" w:type="pct"/>
            <w:tcBorders>
              <w:tl2br w:val="nil"/>
              <w:tr2bl w:val="nil"/>
            </w:tcBorders>
            <w:noWrap w:val="0"/>
            <w:vAlign w:val="center"/>
          </w:tcPr>
          <w:p w14:paraId="02C35F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湖南东鸿建设有限公司</w:t>
            </w:r>
          </w:p>
        </w:tc>
        <w:tc>
          <w:tcPr>
            <w:tcW w:w="1580" w:type="pct"/>
            <w:tcBorders>
              <w:tl2br w:val="nil"/>
              <w:tr2bl w:val="nil"/>
            </w:tcBorders>
            <w:noWrap w:val="0"/>
            <w:vAlign w:val="center"/>
          </w:tcPr>
          <w:p w14:paraId="6D74AFB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年产11000套建筑钢结构</w:t>
            </w:r>
            <w:r>
              <w:rPr>
                <w:rFonts w:hint="eastAsia" w:ascii="Times New Roman" w:hAnsi="Times New Roman" w:eastAsia="宋体" w:cs="Times New Roman"/>
                <w:i w:val="0"/>
                <w:snapToGrid w:val="0"/>
                <w:color w:val="auto"/>
                <w:kern w:val="0"/>
                <w:sz w:val="21"/>
                <w:szCs w:val="21"/>
                <w:u w:val="none"/>
                <w:lang w:val="en-US" w:eastAsia="zh-CN" w:bidi="ar"/>
              </w:rPr>
              <w:t>件</w:t>
            </w:r>
          </w:p>
        </w:tc>
        <w:tc>
          <w:tcPr>
            <w:tcW w:w="973" w:type="pct"/>
            <w:tcBorders>
              <w:tl2br w:val="nil"/>
              <w:tr2bl w:val="nil"/>
            </w:tcBorders>
            <w:noWrap w:val="0"/>
            <w:vAlign w:val="center"/>
          </w:tcPr>
          <w:p w14:paraId="22B04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003</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8EE1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55B6B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0B8BE5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EA7F13B">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71</w:t>
            </w:r>
          </w:p>
        </w:tc>
        <w:tc>
          <w:tcPr>
            <w:tcW w:w="1219" w:type="pct"/>
            <w:tcBorders>
              <w:tl2br w:val="nil"/>
              <w:tr2bl w:val="nil"/>
            </w:tcBorders>
            <w:noWrap w:val="0"/>
            <w:vAlign w:val="center"/>
          </w:tcPr>
          <w:p w14:paraId="72DBFE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湖南东鸿消防工程有限公司</w:t>
            </w:r>
          </w:p>
        </w:tc>
        <w:tc>
          <w:tcPr>
            <w:tcW w:w="1580" w:type="pct"/>
            <w:tcBorders>
              <w:tl2br w:val="nil"/>
              <w:tr2bl w:val="nil"/>
            </w:tcBorders>
            <w:noWrap w:val="0"/>
            <w:vAlign w:val="center"/>
          </w:tcPr>
          <w:p w14:paraId="7EC9FAB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年产2万吨钢结构水性防火</w:t>
            </w:r>
            <w:r>
              <w:rPr>
                <w:rFonts w:hint="eastAsia" w:ascii="Times New Roman" w:hAnsi="Times New Roman" w:eastAsia="宋体" w:cs="Times New Roman"/>
                <w:i w:val="0"/>
                <w:snapToGrid w:val="0"/>
                <w:color w:val="auto"/>
                <w:kern w:val="0"/>
                <w:sz w:val="21"/>
                <w:szCs w:val="21"/>
                <w:u w:val="none"/>
                <w:lang w:val="en-US" w:eastAsia="zh-CN" w:bidi="ar"/>
              </w:rPr>
              <w:t>涂料</w:t>
            </w:r>
          </w:p>
        </w:tc>
        <w:tc>
          <w:tcPr>
            <w:tcW w:w="973" w:type="pct"/>
            <w:tcBorders>
              <w:tl2br w:val="nil"/>
              <w:tr2bl w:val="nil"/>
            </w:tcBorders>
            <w:noWrap w:val="0"/>
            <w:vAlign w:val="center"/>
          </w:tcPr>
          <w:p w14:paraId="30931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004</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4EA35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5B38D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046741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67625DF5">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72</w:t>
            </w:r>
          </w:p>
        </w:tc>
        <w:tc>
          <w:tcPr>
            <w:tcW w:w="1219" w:type="pct"/>
            <w:tcBorders>
              <w:tl2br w:val="nil"/>
              <w:tr2bl w:val="nil"/>
            </w:tcBorders>
            <w:noWrap w:val="0"/>
            <w:vAlign w:val="center"/>
          </w:tcPr>
          <w:p w14:paraId="016C51F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湖南佳龙换热器有限公司</w:t>
            </w:r>
          </w:p>
        </w:tc>
        <w:tc>
          <w:tcPr>
            <w:tcW w:w="1580" w:type="pct"/>
            <w:tcBorders>
              <w:tl2br w:val="nil"/>
              <w:tr2bl w:val="nil"/>
            </w:tcBorders>
            <w:noWrap w:val="0"/>
            <w:vAlign w:val="center"/>
          </w:tcPr>
          <w:p w14:paraId="3F60875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3600t/a佳龙换热器</w:t>
            </w:r>
          </w:p>
        </w:tc>
        <w:tc>
          <w:tcPr>
            <w:tcW w:w="973" w:type="pct"/>
            <w:tcBorders>
              <w:tl2br w:val="nil"/>
              <w:tr2bl w:val="nil"/>
            </w:tcBorders>
            <w:noWrap w:val="0"/>
            <w:vAlign w:val="center"/>
          </w:tcPr>
          <w:p w14:paraId="36D937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006</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34489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6D24F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366FFF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4C6883D9">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73</w:t>
            </w:r>
          </w:p>
        </w:tc>
        <w:tc>
          <w:tcPr>
            <w:tcW w:w="1219" w:type="pct"/>
            <w:tcBorders>
              <w:tl2br w:val="nil"/>
              <w:tr2bl w:val="nil"/>
            </w:tcBorders>
            <w:noWrap w:val="0"/>
            <w:vAlign w:val="center"/>
          </w:tcPr>
          <w:p w14:paraId="009B35B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长沙仁胜机械有限公司</w:t>
            </w:r>
            <w:r>
              <w:rPr>
                <w:rFonts w:hint="eastAsia" w:ascii="Times New Roman" w:hAnsi="Times New Roman" w:eastAsia="宋体" w:cs="Times New Roman"/>
                <w:i w:val="0"/>
                <w:snapToGrid w:val="0"/>
                <w:color w:val="auto"/>
                <w:kern w:val="0"/>
                <w:sz w:val="21"/>
                <w:szCs w:val="21"/>
                <w:u w:val="none"/>
                <w:lang w:val="en-US" w:eastAsia="zh-CN" w:bidi="ar"/>
              </w:rPr>
              <w:t>汨罗分公司</w:t>
            </w:r>
          </w:p>
        </w:tc>
        <w:tc>
          <w:tcPr>
            <w:tcW w:w="1580" w:type="pct"/>
            <w:tcBorders>
              <w:tl2br w:val="nil"/>
              <w:tr2bl w:val="nil"/>
            </w:tcBorders>
            <w:noWrap w:val="0"/>
            <w:vAlign w:val="center"/>
          </w:tcPr>
          <w:p w14:paraId="1A9DBBC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12500件/年工程机械配套零部件</w:t>
            </w:r>
          </w:p>
        </w:tc>
        <w:tc>
          <w:tcPr>
            <w:tcW w:w="973" w:type="pct"/>
            <w:tcBorders>
              <w:tl2br w:val="nil"/>
              <w:tr2bl w:val="nil"/>
            </w:tcBorders>
            <w:noWrap w:val="0"/>
            <w:vAlign w:val="center"/>
          </w:tcPr>
          <w:p w14:paraId="04B21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013</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0252D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6DA18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5AC922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7F210540">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74</w:t>
            </w:r>
          </w:p>
        </w:tc>
        <w:tc>
          <w:tcPr>
            <w:tcW w:w="1219" w:type="pct"/>
            <w:tcBorders>
              <w:tl2br w:val="nil"/>
              <w:tr2bl w:val="nil"/>
            </w:tcBorders>
            <w:noWrap w:val="0"/>
            <w:vAlign w:val="center"/>
          </w:tcPr>
          <w:p w14:paraId="2612296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湖南瑞创晟新材料有限公司</w:t>
            </w:r>
          </w:p>
        </w:tc>
        <w:tc>
          <w:tcPr>
            <w:tcW w:w="1580" w:type="pct"/>
            <w:tcBorders>
              <w:tl2br w:val="nil"/>
              <w:tr2bl w:val="nil"/>
            </w:tcBorders>
            <w:noWrap w:val="0"/>
            <w:vAlign w:val="center"/>
          </w:tcPr>
          <w:p w14:paraId="7B01D4B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50万平方米/年</w:t>
            </w:r>
            <w:r>
              <w:rPr>
                <w:rFonts w:hint="eastAsia"/>
                <w:color w:val="auto"/>
                <w:sz w:val="21"/>
                <w:szCs w:val="21"/>
              </w:rPr>
              <w:t>新型保温外墙一体板</w:t>
            </w:r>
          </w:p>
        </w:tc>
        <w:tc>
          <w:tcPr>
            <w:tcW w:w="973" w:type="pct"/>
            <w:tcBorders>
              <w:tl2br w:val="nil"/>
              <w:tr2bl w:val="nil"/>
            </w:tcBorders>
            <w:noWrap w:val="0"/>
            <w:vAlign w:val="center"/>
          </w:tcPr>
          <w:p w14:paraId="76B5A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default" w:ascii="Times New Roman" w:hAnsi="Times New Roman" w:eastAsia="宋体" w:cs="Times New Roman"/>
                <w:b w:val="0"/>
                <w:bCs/>
                <w:i w:val="0"/>
                <w:snapToGrid w:val="0"/>
                <w:color w:val="auto"/>
                <w:kern w:val="0"/>
                <w:sz w:val="21"/>
                <w:szCs w:val="21"/>
                <w:u w:val="none"/>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lang w:val="en-US" w:eastAsia="zh-CN" w:bidi="ar"/>
              </w:rPr>
              <w:t>5</w:t>
            </w:r>
            <w:r>
              <w:rPr>
                <w:rFonts w:hint="default" w:ascii="Times New Roman" w:hAnsi="Times New Roman" w:eastAsia="宋体" w:cs="Times New Roman"/>
                <w:b w:val="0"/>
                <w:bCs/>
                <w:i w:val="0"/>
                <w:snapToGrid w:val="0"/>
                <w:color w:val="auto"/>
                <w:kern w:val="0"/>
                <w:sz w:val="21"/>
                <w:szCs w:val="21"/>
                <w:u w:val="none"/>
                <w:lang w:val="en-US" w:eastAsia="zh-CN" w:bidi="ar"/>
              </w:rPr>
              <w:t>〕</w:t>
            </w:r>
            <w:r>
              <w:rPr>
                <w:rFonts w:hint="eastAsia" w:ascii="Times New Roman" w:hAnsi="Times New Roman" w:eastAsia="宋体" w:cs="Times New Roman"/>
                <w:b w:val="0"/>
                <w:bCs/>
                <w:i w:val="0"/>
                <w:snapToGrid w:val="0"/>
                <w:color w:val="auto"/>
                <w:kern w:val="0"/>
                <w:sz w:val="21"/>
                <w:szCs w:val="21"/>
                <w:u w:val="none"/>
                <w:lang w:val="en-US" w:eastAsia="zh-CN" w:bidi="ar"/>
              </w:rPr>
              <w:t>018</w:t>
            </w:r>
            <w:r>
              <w:rPr>
                <w:rFonts w:hint="default" w:ascii="Times New Roman" w:hAnsi="Times New Roman" w:eastAsia="宋体" w:cs="Times New Roman"/>
                <w:b w:val="0"/>
                <w:bCs/>
                <w:i w:val="0"/>
                <w:snapToGrid w:val="0"/>
                <w:color w:val="auto"/>
                <w:kern w:val="0"/>
                <w:sz w:val="21"/>
                <w:szCs w:val="21"/>
                <w:u w:val="none"/>
                <w:lang w:val="en-US" w:eastAsia="zh-CN" w:bidi="ar"/>
              </w:rPr>
              <w:t>号</w:t>
            </w:r>
          </w:p>
        </w:tc>
        <w:tc>
          <w:tcPr>
            <w:tcW w:w="829" w:type="pct"/>
            <w:tcBorders>
              <w:tl2br w:val="nil"/>
              <w:tr2bl w:val="nil"/>
            </w:tcBorders>
            <w:noWrap w:val="0"/>
            <w:vAlign w:val="center"/>
          </w:tcPr>
          <w:p w14:paraId="192FC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未验收</w:t>
            </w:r>
          </w:p>
        </w:tc>
        <w:tc>
          <w:tcPr>
            <w:tcW w:w="231" w:type="pct"/>
            <w:tcBorders>
              <w:tl2br w:val="nil"/>
              <w:tr2bl w:val="nil"/>
            </w:tcBorders>
            <w:noWrap w:val="0"/>
            <w:vAlign w:val="center"/>
          </w:tcPr>
          <w:p w14:paraId="36F2D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r w14:paraId="039B7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65" w:type="pct"/>
            <w:tcBorders>
              <w:tl2br w:val="nil"/>
              <w:tr2bl w:val="nil"/>
            </w:tcBorders>
            <w:noWrap w:val="0"/>
            <w:vAlign w:val="center"/>
          </w:tcPr>
          <w:p w14:paraId="2DABB83C">
            <w:pPr>
              <w:pStyle w:val="42"/>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75</w:t>
            </w:r>
          </w:p>
        </w:tc>
        <w:tc>
          <w:tcPr>
            <w:tcW w:w="1219" w:type="pct"/>
            <w:tcBorders>
              <w:tl2br w:val="nil"/>
              <w:tr2bl w:val="nil"/>
            </w:tcBorders>
            <w:noWrap w:val="0"/>
            <w:vAlign w:val="center"/>
          </w:tcPr>
          <w:p w14:paraId="2703A19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湖南大耀工程机械有限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1580" w:type="pct"/>
            <w:tcBorders>
              <w:tl2br w:val="nil"/>
              <w:tr2bl w:val="nil"/>
            </w:tcBorders>
            <w:noWrap w:val="0"/>
            <w:vAlign w:val="center"/>
          </w:tcPr>
          <w:p w14:paraId="7FD1544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润滑油999t/a，液压油300t/a，黄油198t/a</w:t>
            </w:r>
          </w:p>
        </w:tc>
        <w:tc>
          <w:tcPr>
            <w:tcW w:w="973" w:type="pct"/>
            <w:tcBorders>
              <w:tl2br w:val="nil"/>
              <w:tr2bl w:val="nil"/>
            </w:tcBorders>
            <w:noWrap w:val="0"/>
            <w:vAlign w:val="center"/>
          </w:tcPr>
          <w:p w14:paraId="737A6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lang w:val="en-US" w:eastAsia="zh-CN" w:bidi="ar"/>
              </w:rPr>
            </w:pPr>
            <w:r>
              <w:rPr>
                <w:rFonts w:hint="eastAsia" w:ascii="Times New Roman" w:hAnsi="Times New Roman" w:eastAsia="宋体" w:cs="Times New Roman"/>
                <w:b w:val="0"/>
                <w:bCs/>
                <w:i w:val="0"/>
                <w:snapToGrid w:val="0"/>
                <w:color w:val="auto"/>
                <w:kern w:val="0"/>
                <w:sz w:val="21"/>
                <w:szCs w:val="21"/>
                <w:u w:val="none"/>
                <w:lang w:val="en-US" w:eastAsia="zh-CN" w:bidi="ar"/>
              </w:rPr>
              <w:t>受理中</w:t>
            </w:r>
          </w:p>
        </w:tc>
        <w:tc>
          <w:tcPr>
            <w:tcW w:w="829" w:type="pct"/>
            <w:tcBorders>
              <w:tl2br w:val="nil"/>
              <w:tr2bl w:val="nil"/>
            </w:tcBorders>
            <w:noWrap w:val="0"/>
            <w:vAlign w:val="center"/>
          </w:tcPr>
          <w:p w14:paraId="545E7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eastAsia" w:ascii="Times New Roman" w:hAnsi="Times New Roman" w:eastAsia="宋体" w:cs="Times New Roman"/>
                <w:b w:val="0"/>
                <w:bCs/>
                <w:i w:val="0"/>
                <w:snapToGrid w:val="0"/>
                <w:color w:val="auto"/>
                <w:kern w:val="0"/>
                <w:sz w:val="21"/>
                <w:szCs w:val="21"/>
                <w:u w:val="none"/>
                <w:lang w:val="en-US" w:eastAsia="zh-CN" w:bidi="ar"/>
              </w:rPr>
              <w:t>/</w:t>
            </w:r>
          </w:p>
        </w:tc>
        <w:tc>
          <w:tcPr>
            <w:tcW w:w="231" w:type="pct"/>
            <w:tcBorders>
              <w:tl2br w:val="nil"/>
              <w:tr2bl w:val="nil"/>
            </w:tcBorders>
            <w:noWrap w:val="0"/>
            <w:vAlign w:val="center"/>
          </w:tcPr>
          <w:p w14:paraId="10BE0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在建</w:t>
            </w:r>
          </w:p>
        </w:tc>
      </w:tr>
    </w:tbl>
    <w:p w14:paraId="0C3D72B7">
      <w:pPr>
        <w:pStyle w:val="29"/>
        <w:keepNext w:val="0"/>
        <w:keepLines w:val="0"/>
        <w:pageBreakBefore w:val="0"/>
        <w:widowControl w:val="0"/>
        <w:shd w:val="clear" w:color="auto" w:fill="auto"/>
        <w:kinsoku/>
        <w:wordWrap/>
        <w:overflowPunct/>
        <w:topLinePunct w:val="0"/>
        <w:autoSpaceDE/>
        <w:autoSpaceDN/>
        <w:bidi w:val="0"/>
        <w:adjustRightInd/>
        <w:snapToGrid/>
        <w:spacing w:before="120"/>
        <w:textAlignment w:val="auto"/>
        <w:rPr>
          <w:rFonts w:hint="default" w:ascii="Times New Roman" w:hAnsi="Times New Roman" w:eastAsia="宋体" w:cs="Times New Roman"/>
          <w:b/>
          <w:color w:val="auto"/>
          <w:sz w:val="21"/>
          <w:szCs w:val="21"/>
          <w:highlight w:val="none"/>
          <w:u w:val="none" w:color="auto"/>
          <w:lang w:val="en-US" w:eastAsia="zh-CN"/>
        </w:rPr>
      </w:pPr>
      <w:r>
        <w:rPr>
          <w:rStyle w:val="48"/>
          <w:rFonts w:hint="default"/>
          <w:b/>
          <w:color w:val="auto"/>
          <w:u w:val="none" w:color="auto"/>
        </w:rPr>
        <w:t>表</w:t>
      </w:r>
      <w:r>
        <w:rPr>
          <w:rStyle w:val="48"/>
          <w:rFonts w:hint="eastAsia"/>
          <w:b/>
          <w:color w:val="auto"/>
          <w:u w:val="none" w:color="auto"/>
          <w:lang w:val="en-US" w:eastAsia="zh-CN"/>
        </w:rPr>
        <w:t>4.4-2</w:t>
      </w:r>
      <w:r>
        <w:rPr>
          <w:rStyle w:val="48"/>
          <w:rFonts w:hint="default"/>
          <w:b/>
          <w:color w:val="auto"/>
          <w:u w:val="none" w:color="auto"/>
        </w:rPr>
        <w:t xml:space="preserve">  汨罗高新技术产业开发区</w:t>
      </w:r>
      <w:r>
        <w:rPr>
          <w:rStyle w:val="48"/>
          <w:rFonts w:hint="eastAsia"/>
          <w:b/>
          <w:color w:val="auto"/>
          <w:u w:val="none" w:color="auto"/>
          <w:lang w:val="en-US" w:eastAsia="zh-CN"/>
        </w:rPr>
        <w:t>弼时</w:t>
      </w:r>
      <w:r>
        <w:rPr>
          <w:rStyle w:val="48"/>
          <w:rFonts w:hint="default"/>
          <w:b/>
          <w:color w:val="auto"/>
          <w:u w:val="none" w:color="auto"/>
        </w:rPr>
        <w:t>主要企业</w:t>
      </w:r>
      <w:r>
        <w:rPr>
          <w:rStyle w:val="48"/>
          <w:rFonts w:hint="default"/>
          <w:b/>
          <w:color w:val="auto"/>
          <w:u w:val="none" w:color="auto"/>
          <w:lang w:val="en-US" w:eastAsia="zh-CN"/>
        </w:rPr>
        <w:t>主要</w:t>
      </w:r>
      <w:r>
        <w:rPr>
          <w:rStyle w:val="48"/>
          <w:rFonts w:hint="default"/>
          <w:b/>
          <w:color w:val="auto"/>
          <w:u w:val="none" w:color="auto"/>
        </w:rPr>
        <w:t>污染物排放情况及采取的环保措施一览表</w:t>
      </w:r>
      <w:r>
        <w:rPr>
          <w:rFonts w:hint="default" w:ascii="Times New Roman" w:hAnsi="Times New Roman" w:eastAsia="宋体" w:cs="Times New Roman"/>
          <w:b/>
          <w:color w:val="auto"/>
          <w:sz w:val="21"/>
          <w:szCs w:val="21"/>
          <w:highlight w:val="none"/>
          <w:u w:val="none" w:color="auto"/>
          <w:lang w:val="en-US" w:eastAsia="zh-CN"/>
        </w:rPr>
        <w:t xml:space="preserve"> </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25"/>
        <w:gridCol w:w="608"/>
        <w:gridCol w:w="750"/>
        <w:gridCol w:w="990"/>
        <w:gridCol w:w="901"/>
        <w:gridCol w:w="1249"/>
        <w:gridCol w:w="2366"/>
        <w:gridCol w:w="1170"/>
        <w:gridCol w:w="1061"/>
        <w:gridCol w:w="952"/>
        <w:gridCol w:w="1861"/>
      </w:tblGrid>
      <w:tr w14:paraId="38D6C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restart"/>
            <w:tcBorders>
              <w:tl2br w:val="nil"/>
              <w:tr2bl w:val="nil"/>
            </w:tcBorders>
            <w:noWrap w:val="0"/>
            <w:tcMar>
              <w:top w:w="15" w:type="dxa"/>
              <w:left w:w="15" w:type="dxa"/>
              <w:right w:w="15" w:type="dxa"/>
            </w:tcMar>
            <w:vAlign w:val="center"/>
          </w:tcPr>
          <w:p w14:paraId="5E0E95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企业编号</w:t>
            </w:r>
          </w:p>
        </w:tc>
        <w:tc>
          <w:tcPr>
            <w:tcW w:w="1525" w:type="dxa"/>
            <w:vMerge w:val="restart"/>
            <w:tcBorders>
              <w:tl2br w:val="nil"/>
              <w:tr2bl w:val="nil"/>
            </w:tcBorders>
            <w:noWrap w:val="0"/>
            <w:tcMar>
              <w:top w:w="15" w:type="dxa"/>
              <w:left w:w="15" w:type="dxa"/>
              <w:right w:w="15" w:type="dxa"/>
            </w:tcMar>
            <w:vAlign w:val="center"/>
          </w:tcPr>
          <w:p w14:paraId="52060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企业名称</w:t>
            </w:r>
          </w:p>
        </w:tc>
        <w:tc>
          <w:tcPr>
            <w:tcW w:w="608" w:type="dxa"/>
            <w:vMerge w:val="restart"/>
            <w:tcBorders>
              <w:tl2br w:val="nil"/>
              <w:tr2bl w:val="nil"/>
            </w:tcBorders>
            <w:noWrap w:val="0"/>
            <w:tcMar>
              <w:top w:w="15" w:type="dxa"/>
              <w:left w:w="15" w:type="dxa"/>
              <w:right w:w="15" w:type="dxa"/>
            </w:tcMar>
            <w:vAlign w:val="center"/>
          </w:tcPr>
          <w:p w14:paraId="29B0C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占地面积</w:t>
            </w:r>
          </w:p>
        </w:tc>
        <w:tc>
          <w:tcPr>
            <w:tcW w:w="6258" w:type="dxa"/>
            <w:gridSpan w:val="5"/>
            <w:tcBorders>
              <w:tl2br w:val="nil"/>
              <w:tr2bl w:val="nil"/>
            </w:tcBorders>
            <w:noWrap/>
            <w:tcMar>
              <w:top w:w="15" w:type="dxa"/>
              <w:left w:w="15" w:type="dxa"/>
              <w:right w:w="15" w:type="dxa"/>
            </w:tcMar>
            <w:vAlign w:val="center"/>
          </w:tcPr>
          <w:p w14:paraId="48155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大气污染物</w:t>
            </w:r>
          </w:p>
        </w:tc>
        <w:tc>
          <w:tcPr>
            <w:tcW w:w="5045" w:type="dxa"/>
            <w:gridSpan w:val="4"/>
            <w:tcBorders>
              <w:tl2br w:val="nil"/>
              <w:tr2bl w:val="nil"/>
            </w:tcBorders>
            <w:noWrap/>
            <w:tcMar>
              <w:top w:w="15" w:type="dxa"/>
              <w:left w:w="15" w:type="dxa"/>
              <w:right w:w="15" w:type="dxa"/>
            </w:tcMar>
            <w:vAlign w:val="center"/>
          </w:tcPr>
          <w:p w14:paraId="65FF2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水污染物</w:t>
            </w:r>
          </w:p>
        </w:tc>
      </w:tr>
      <w:tr w14:paraId="23C95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continue"/>
            <w:tcBorders>
              <w:tl2br w:val="nil"/>
              <w:tr2bl w:val="nil"/>
            </w:tcBorders>
            <w:noWrap w:val="0"/>
            <w:tcMar>
              <w:top w:w="15" w:type="dxa"/>
              <w:left w:w="15" w:type="dxa"/>
              <w:right w:w="15" w:type="dxa"/>
            </w:tcMar>
            <w:vAlign w:val="center"/>
          </w:tcPr>
          <w:p w14:paraId="0DE933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1525" w:type="dxa"/>
            <w:vMerge w:val="continue"/>
            <w:tcBorders>
              <w:tl2br w:val="nil"/>
              <w:tr2bl w:val="nil"/>
            </w:tcBorders>
            <w:noWrap w:val="0"/>
            <w:tcMar>
              <w:top w:w="15" w:type="dxa"/>
              <w:left w:w="15" w:type="dxa"/>
              <w:right w:w="15" w:type="dxa"/>
            </w:tcMar>
            <w:vAlign w:val="center"/>
          </w:tcPr>
          <w:p w14:paraId="1CBB89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608" w:type="dxa"/>
            <w:vMerge w:val="continue"/>
            <w:tcBorders>
              <w:tl2br w:val="nil"/>
              <w:tr2bl w:val="nil"/>
            </w:tcBorders>
            <w:noWrap w:val="0"/>
            <w:tcMar>
              <w:top w:w="15" w:type="dxa"/>
              <w:left w:w="15" w:type="dxa"/>
              <w:right w:w="15" w:type="dxa"/>
            </w:tcMar>
            <w:vAlign w:val="center"/>
          </w:tcPr>
          <w:p w14:paraId="5A215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p>
        </w:tc>
        <w:tc>
          <w:tcPr>
            <w:tcW w:w="750" w:type="dxa"/>
            <w:tcBorders>
              <w:tl2br w:val="nil"/>
              <w:tr2bl w:val="nil"/>
            </w:tcBorders>
            <w:noWrap/>
            <w:tcMar>
              <w:top w:w="15" w:type="dxa"/>
              <w:left w:w="15" w:type="dxa"/>
              <w:right w:w="15" w:type="dxa"/>
            </w:tcMar>
            <w:vAlign w:val="center"/>
          </w:tcPr>
          <w:p w14:paraId="6B6DA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颗粒物</w:t>
            </w:r>
          </w:p>
        </w:tc>
        <w:tc>
          <w:tcPr>
            <w:tcW w:w="991" w:type="dxa"/>
            <w:tcBorders>
              <w:tl2br w:val="nil"/>
              <w:tr2bl w:val="nil"/>
            </w:tcBorders>
            <w:noWrap/>
            <w:tcMar>
              <w:top w:w="15" w:type="dxa"/>
              <w:left w:w="15" w:type="dxa"/>
              <w:right w:w="15" w:type="dxa"/>
            </w:tcMar>
            <w:vAlign w:val="center"/>
          </w:tcPr>
          <w:p w14:paraId="21700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二氧化硫</w:t>
            </w:r>
          </w:p>
        </w:tc>
        <w:tc>
          <w:tcPr>
            <w:tcW w:w="901" w:type="dxa"/>
            <w:tcBorders>
              <w:tl2br w:val="nil"/>
              <w:tr2bl w:val="nil"/>
            </w:tcBorders>
            <w:noWrap/>
            <w:tcMar>
              <w:top w:w="15" w:type="dxa"/>
              <w:left w:w="15" w:type="dxa"/>
              <w:right w:w="15" w:type="dxa"/>
            </w:tcMar>
            <w:vAlign w:val="center"/>
          </w:tcPr>
          <w:p w14:paraId="2CFA88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氮氧化物</w:t>
            </w:r>
          </w:p>
        </w:tc>
        <w:tc>
          <w:tcPr>
            <w:tcW w:w="1249" w:type="dxa"/>
            <w:tcBorders>
              <w:tl2br w:val="nil"/>
              <w:tr2bl w:val="nil"/>
            </w:tcBorders>
            <w:noWrap/>
            <w:tcMar>
              <w:top w:w="15" w:type="dxa"/>
              <w:left w:w="15" w:type="dxa"/>
              <w:right w:w="15" w:type="dxa"/>
            </w:tcMar>
            <w:vAlign w:val="center"/>
          </w:tcPr>
          <w:p w14:paraId="3076B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挥发性有机物</w:t>
            </w:r>
          </w:p>
        </w:tc>
        <w:tc>
          <w:tcPr>
            <w:tcW w:w="2367" w:type="dxa"/>
            <w:tcBorders>
              <w:tl2br w:val="nil"/>
              <w:tr2bl w:val="nil"/>
            </w:tcBorders>
            <w:noWrap w:val="0"/>
            <w:tcMar>
              <w:top w:w="15" w:type="dxa"/>
              <w:left w:w="15" w:type="dxa"/>
              <w:right w:w="15" w:type="dxa"/>
            </w:tcMar>
            <w:vAlign w:val="center"/>
          </w:tcPr>
          <w:p w14:paraId="4ED95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特征污染物</w:t>
            </w:r>
          </w:p>
        </w:tc>
        <w:tc>
          <w:tcPr>
            <w:tcW w:w="1170" w:type="dxa"/>
            <w:tcBorders>
              <w:tl2br w:val="nil"/>
              <w:tr2bl w:val="nil"/>
            </w:tcBorders>
            <w:noWrap/>
            <w:tcMar>
              <w:top w:w="15" w:type="dxa"/>
              <w:left w:w="15" w:type="dxa"/>
              <w:right w:w="15" w:type="dxa"/>
            </w:tcMar>
            <w:vAlign w:val="center"/>
          </w:tcPr>
          <w:p w14:paraId="17BE6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废水量</w:t>
            </w:r>
          </w:p>
        </w:tc>
        <w:tc>
          <w:tcPr>
            <w:tcW w:w="1061" w:type="dxa"/>
            <w:tcBorders>
              <w:tl2br w:val="nil"/>
              <w:tr2bl w:val="nil"/>
            </w:tcBorders>
            <w:noWrap/>
            <w:tcMar>
              <w:top w:w="15" w:type="dxa"/>
              <w:left w:w="15" w:type="dxa"/>
              <w:right w:w="15" w:type="dxa"/>
            </w:tcMar>
            <w:vAlign w:val="center"/>
          </w:tcPr>
          <w:p w14:paraId="0C27C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化学需氧量</w:t>
            </w:r>
          </w:p>
        </w:tc>
        <w:tc>
          <w:tcPr>
            <w:tcW w:w="953" w:type="dxa"/>
            <w:tcBorders>
              <w:tl2br w:val="nil"/>
              <w:tr2bl w:val="nil"/>
            </w:tcBorders>
            <w:noWrap/>
            <w:tcMar>
              <w:top w:w="15" w:type="dxa"/>
              <w:left w:w="15" w:type="dxa"/>
              <w:right w:w="15" w:type="dxa"/>
            </w:tcMar>
            <w:vAlign w:val="center"/>
          </w:tcPr>
          <w:p w14:paraId="2E958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氨氮</w:t>
            </w:r>
          </w:p>
        </w:tc>
        <w:tc>
          <w:tcPr>
            <w:tcW w:w="1861" w:type="dxa"/>
            <w:tcBorders>
              <w:tl2br w:val="nil"/>
              <w:tr2bl w:val="nil"/>
            </w:tcBorders>
            <w:noWrap w:val="0"/>
            <w:tcMar>
              <w:top w:w="15" w:type="dxa"/>
              <w:left w:w="15" w:type="dxa"/>
              <w:right w:w="15" w:type="dxa"/>
            </w:tcMar>
            <w:vAlign w:val="center"/>
          </w:tcPr>
          <w:p w14:paraId="3652D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特征污染物</w:t>
            </w:r>
          </w:p>
        </w:tc>
      </w:tr>
      <w:tr w14:paraId="0E5DA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continue"/>
            <w:tcBorders>
              <w:tl2br w:val="nil"/>
              <w:tr2bl w:val="nil"/>
            </w:tcBorders>
            <w:noWrap w:val="0"/>
            <w:tcMar>
              <w:top w:w="15" w:type="dxa"/>
              <w:left w:w="15" w:type="dxa"/>
              <w:right w:w="15" w:type="dxa"/>
            </w:tcMar>
            <w:vAlign w:val="center"/>
          </w:tcPr>
          <w:p w14:paraId="06B58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1525" w:type="dxa"/>
            <w:vMerge w:val="continue"/>
            <w:tcBorders>
              <w:tl2br w:val="nil"/>
              <w:tr2bl w:val="nil"/>
            </w:tcBorders>
            <w:noWrap w:val="0"/>
            <w:tcMar>
              <w:top w:w="15" w:type="dxa"/>
              <w:left w:w="15" w:type="dxa"/>
              <w:right w:w="15" w:type="dxa"/>
            </w:tcMar>
            <w:vAlign w:val="center"/>
          </w:tcPr>
          <w:p w14:paraId="4E70DD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608" w:type="dxa"/>
            <w:tcBorders>
              <w:tl2br w:val="nil"/>
              <w:tr2bl w:val="nil"/>
            </w:tcBorders>
            <w:noWrap w:val="0"/>
            <w:tcMar>
              <w:top w:w="15" w:type="dxa"/>
              <w:left w:w="15" w:type="dxa"/>
              <w:right w:w="15" w:type="dxa"/>
            </w:tcMar>
            <w:vAlign w:val="center"/>
          </w:tcPr>
          <w:p w14:paraId="421721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w:t>
            </w:r>
            <w:r>
              <w:rPr>
                <w:rStyle w:val="49"/>
                <w:rFonts w:hint="default" w:ascii="Times New Roman" w:hAnsi="Times New Roman" w:eastAsia="宋体" w:cs="Times New Roman"/>
                <w:b/>
                <w:bCs w:val="0"/>
                <w:snapToGrid w:val="0"/>
                <w:color w:val="auto"/>
                <w:sz w:val="21"/>
                <w:szCs w:val="21"/>
                <w:u w:val="none"/>
                <w:lang w:val="en-US" w:eastAsia="zh-CN" w:bidi="ar"/>
              </w:rPr>
              <w:t>m</w:t>
            </w:r>
            <w:r>
              <w:rPr>
                <w:rStyle w:val="50"/>
                <w:rFonts w:hint="default" w:ascii="Times New Roman" w:hAnsi="Times New Roman" w:eastAsia="宋体" w:cs="Times New Roman"/>
                <w:b/>
                <w:bCs w:val="0"/>
                <w:snapToGrid w:val="0"/>
                <w:color w:val="auto"/>
                <w:sz w:val="21"/>
                <w:szCs w:val="21"/>
                <w:u w:val="none"/>
                <w:lang w:val="en-US" w:eastAsia="zh-CN" w:bidi="ar"/>
              </w:rPr>
              <w:t>2</w:t>
            </w:r>
            <w:r>
              <w:rPr>
                <w:rFonts w:hint="default" w:ascii="Times New Roman" w:hAnsi="Times New Roman" w:eastAsia="宋体" w:cs="Times New Roman"/>
                <w:b/>
                <w:bCs w:val="0"/>
                <w:i w:val="0"/>
                <w:snapToGrid w:val="0"/>
                <w:color w:val="auto"/>
                <w:kern w:val="0"/>
                <w:sz w:val="21"/>
                <w:szCs w:val="21"/>
                <w:u w:val="none"/>
                <w:lang w:val="en-US" w:eastAsia="zh-CN" w:bidi="ar"/>
              </w:rPr>
              <w:t>）</w:t>
            </w:r>
          </w:p>
        </w:tc>
        <w:tc>
          <w:tcPr>
            <w:tcW w:w="750" w:type="dxa"/>
            <w:tcBorders>
              <w:tl2br w:val="nil"/>
              <w:tr2bl w:val="nil"/>
            </w:tcBorders>
            <w:noWrap/>
            <w:tcMar>
              <w:top w:w="15" w:type="dxa"/>
              <w:left w:w="15" w:type="dxa"/>
              <w:right w:w="15" w:type="dxa"/>
            </w:tcMar>
            <w:vAlign w:val="center"/>
          </w:tcPr>
          <w:p w14:paraId="5C555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91" w:type="dxa"/>
            <w:tcBorders>
              <w:tl2br w:val="nil"/>
              <w:tr2bl w:val="nil"/>
            </w:tcBorders>
            <w:noWrap/>
            <w:tcMar>
              <w:top w:w="15" w:type="dxa"/>
              <w:left w:w="15" w:type="dxa"/>
              <w:right w:w="15" w:type="dxa"/>
            </w:tcMar>
            <w:vAlign w:val="center"/>
          </w:tcPr>
          <w:p w14:paraId="31CB1F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01" w:type="dxa"/>
            <w:tcBorders>
              <w:tl2br w:val="nil"/>
              <w:tr2bl w:val="nil"/>
            </w:tcBorders>
            <w:noWrap/>
            <w:tcMar>
              <w:top w:w="15" w:type="dxa"/>
              <w:left w:w="15" w:type="dxa"/>
              <w:right w:w="15" w:type="dxa"/>
            </w:tcMar>
            <w:vAlign w:val="center"/>
          </w:tcPr>
          <w:p w14:paraId="31A58D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249" w:type="dxa"/>
            <w:tcBorders>
              <w:tl2br w:val="nil"/>
              <w:tr2bl w:val="nil"/>
            </w:tcBorders>
            <w:noWrap/>
            <w:tcMar>
              <w:top w:w="15" w:type="dxa"/>
              <w:left w:w="15" w:type="dxa"/>
              <w:right w:w="15" w:type="dxa"/>
            </w:tcMar>
            <w:vAlign w:val="center"/>
          </w:tcPr>
          <w:p w14:paraId="4969A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2367" w:type="dxa"/>
            <w:tcBorders>
              <w:tl2br w:val="nil"/>
              <w:tr2bl w:val="nil"/>
            </w:tcBorders>
            <w:noWrap w:val="0"/>
            <w:tcMar>
              <w:top w:w="15" w:type="dxa"/>
              <w:left w:w="15" w:type="dxa"/>
              <w:right w:w="15" w:type="dxa"/>
            </w:tcMar>
            <w:vAlign w:val="center"/>
          </w:tcPr>
          <w:p w14:paraId="51E18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170" w:type="dxa"/>
            <w:tcBorders>
              <w:tl2br w:val="nil"/>
              <w:tr2bl w:val="nil"/>
            </w:tcBorders>
            <w:noWrap/>
            <w:tcMar>
              <w:top w:w="15" w:type="dxa"/>
              <w:left w:w="15" w:type="dxa"/>
              <w:right w:w="15" w:type="dxa"/>
            </w:tcMar>
            <w:vAlign w:val="center"/>
          </w:tcPr>
          <w:p w14:paraId="34A86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m</w:t>
            </w:r>
            <w:r>
              <w:rPr>
                <w:rFonts w:hint="default" w:ascii="Times New Roman" w:hAnsi="Times New Roman" w:eastAsia="宋体" w:cs="Times New Roman"/>
                <w:b/>
                <w:bCs w:val="0"/>
                <w:i w:val="0"/>
                <w:snapToGrid w:val="0"/>
                <w:color w:val="auto"/>
                <w:kern w:val="0"/>
                <w:sz w:val="21"/>
                <w:szCs w:val="21"/>
                <w:u w:val="none"/>
                <w:vertAlign w:val="superscript"/>
                <w:lang w:val="en-US" w:eastAsia="zh-CN" w:bidi="ar"/>
              </w:rPr>
              <w:t>3</w:t>
            </w:r>
            <w:r>
              <w:rPr>
                <w:rFonts w:hint="default" w:ascii="Times New Roman" w:hAnsi="Times New Roman" w:eastAsia="宋体" w:cs="Times New Roman"/>
                <w:b/>
                <w:bCs w:val="0"/>
                <w:i w:val="0"/>
                <w:snapToGrid w:val="0"/>
                <w:color w:val="auto"/>
                <w:kern w:val="0"/>
                <w:sz w:val="21"/>
                <w:szCs w:val="21"/>
                <w:u w:val="none"/>
                <w:lang w:val="en-US" w:eastAsia="zh-CN" w:bidi="ar"/>
              </w:rPr>
              <w:t>/a</w:t>
            </w:r>
          </w:p>
        </w:tc>
        <w:tc>
          <w:tcPr>
            <w:tcW w:w="1061" w:type="dxa"/>
            <w:tcBorders>
              <w:tl2br w:val="nil"/>
              <w:tr2bl w:val="nil"/>
            </w:tcBorders>
            <w:noWrap/>
            <w:tcMar>
              <w:top w:w="15" w:type="dxa"/>
              <w:left w:w="15" w:type="dxa"/>
              <w:right w:w="15" w:type="dxa"/>
            </w:tcMar>
            <w:vAlign w:val="center"/>
          </w:tcPr>
          <w:p w14:paraId="503D1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53" w:type="dxa"/>
            <w:tcBorders>
              <w:tl2br w:val="nil"/>
              <w:tr2bl w:val="nil"/>
            </w:tcBorders>
            <w:noWrap/>
            <w:tcMar>
              <w:top w:w="15" w:type="dxa"/>
              <w:left w:w="15" w:type="dxa"/>
              <w:right w:w="15" w:type="dxa"/>
            </w:tcMar>
            <w:vAlign w:val="center"/>
          </w:tcPr>
          <w:p w14:paraId="2A379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861" w:type="dxa"/>
            <w:tcBorders>
              <w:tl2br w:val="nil"/>
              <w:tr2bl w:val="nil"/>
            </w:tcBorders>
            <w:noWrap w:val="0"/>
            <w:tcMar>
              <w:top w:w="15" w:type="dxa"/>
              <w:left w:w="15" w:type="dxa"/>
              <w:right w:w="15" w:type="dxa"/>
            </w:tcMar>
            <w:vAlign w:val="center"/>
          </w:tcPr>
          <w:p w14:paraId="6B2DA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r>
      <w:tr w14:paraId="041A0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AC659E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w:t>
            </w:r>
          </w:p>
        </w:tc>
        <w:tc>
          <w:tcPr>
            <w:tcW w:w="1525" w:type="dxa"/>
            <w:tcBorders>
              <w:tl2br w:val="nil"/>
              <w:tr2bl w:val="nil"/>
            </w:tcBorders>
            <w:noWrap w:val="0"/>
            <w:tcMar>
              <w:top w:w="15" w:type="dxa"/>
              <w:left w:w="15" w:type="dxa"/>
              <w:right w:w="15" w:type="dxa"/>
            </w:tcMar>
            <w:vAlign w:val="center"/>
          </w:tcPr>
          <w:p w14:paraId="5148A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湖南优冠体育材料有限公司</w:t>
            </w:r>
          </w:p>
        </w:tc>
        <w:tc>
          <w:tcPr>
            <w:tcW w:w="608" w:type="dxa"/>
            <w:tcBorders>
              <w:tl2br w:val="nil"/>
              <w:tr2bl w:val="nil"/>
            </w:tcBorders>
            <w:noWrap w:val="0"/>
            <w:tcMar>
              <w:top w:w="15" w:type="dxa"/>
              <w:left w:w="15" w:type="dxa"/>
              <w:right w:w="15" w:type="dxa"/>
            </w:tcMar>
            <w:vAlign w:val="center"/>
          </w:tcPr>
          <w:p w14:paraId="1012B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80000</w:t>
            </w:r>
          </w:p>
        </w:tc>
        <w:tc>
          <w:tcPr>
            <w:tcW w:w="750" w:type="dxa"/>
            <w:tcBorders>
              <w:tl2br w:val="nil"/>
              <w:tr2bl w:val="nil"/>
            </w:tcBorders>
            <w:noWrap/>
            <w:tcMar>
              <w:top w:w="15" w:type="dxa"/>
              <w:left w:w="15" w:type="dxa"/>
              <w:right w:w="15" w:type="dxa"/>
            </w:tcMar>
            <w:vAlign w:val="center"/>
          </w:tcPr>
          <w:p w14:paraId="6431F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1.479</w:t>
            </w:r>
          </w:p>
        </w:tc>
        <w:tc>
          <w:tcPr>
            <w:tcW w:w="991" w:type="dxa"/>
            <w:tcBorders>
              <w:tl2br w:val="nil"/>
              <w:tr2bl w:val="nil"/>
            </w:tcBorders>
            <w:noWrap/>
            <w:tcMar>
              <w:top w:w="15" w:type="dxa"/>
              <w:left w:w="15" w:type="dxa"/>
              <w:right w:w="15" w:type="dxa"/>
            </w:tcMar>
            <w:vAlign w:val="center"/>
          </w:tcPr>
          <w:p w14:paraId="0D0F1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0.018</w:t>
            </w:r>
          </w:p>
        </w:tc>
        <w:tc>
          <w:tcPr>
            <w:tcW w:w="901" w:type="dxa"/>
            <w:tcBorders>
              <w:tl2br w:val="nil"/>
              <w:tr2bl w:val="nil"/>
            </w:tcBorders>
            <w:noWrap/>
            <w:tcMar>
              <w:top w:w="15" w:type="dxa"/>
              <w:left w:w="15" w:type="dxa"/>
              <w:right w:w="15" w:type="dxa"/>
            </w:tcMar>
            <w:vAlign w:val="center"/>
          </w:tcPr>
          <w:p w14:paraId="694BD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0.34</w:t>
            </w:r>
          </w:p>
        </w:tc>
        <w:tc>
          <w:tcPr>
            <w:tcW w:w="1249" w:type="dxa"/>
            <w:tcBorders>
              <w:tl2br w:val="nil"/>
              <w:tr2bl w:val="nil"/>
            </w:tcBorders>
            <w:noWrap/>
            <w:tcMar>
              <w:top w:w="15" w:type="dxa"/>
              <w:left w:w="15" w:type="dxa"/>
              <w:right w:w="15" w:type="dxa"/>
            </w:tcMar>
            <w:vAlign w:val="center"/>
          </w:tcPr>
          <w:p w14:paraId="1F634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5.773</w:t>
            </w:r>
          </w:p>
        </w:tc>
        <w:tc>
          <w:tcPr>
            <w:tcW w:w="2367" w:type="dxa"/>
            <w:tcBorders>
              <w:tl2br w:val="nil"/>
              <w:tr2bl w:val="nil"/>
            </w:tcBorders>
            <w:noWrap w:val="0"/>
            <w:tcMar>
              <w:top w:w="15" w:type="dxa"/>
              <w:left w:w="15" w:type="dxa"/>
              <w:right w:w="15" w:type="dxa"/>
            </w:tcMar>
            <w:vAlign w:val="center"/>
          </w:tcPr>
          <w:p w14:paraId="69E24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H2S0.0007</w:t>
            </w:r>
            <w:r>
              <w:rPr>
                <w:rFonts w:hint="eastAsia" w:ascii="Times New Roman" w:hAnsi="Times New Roman" w:eastAsia="宋体" w:cs="Times New Roman"/>
                <w:i w:val="0"/>
                <w:snapToGrid w:val="0"/>
                <w:color w:val="auto"/>
                <w:kern w:val="0"/>
                <w:sz w:val="21"/>
                <w:szCs w:val="21"/>
                <w:u w:val="none"/>
                <w:lang w:val="en-US" w:eastAsia="zh-CN" w:bidi="ar"/>
              </w:rPr>
              <w:t>，苯乙烯0.065，MDI0.006</w:t>
            </w:r>
          </w:p>
        </w:tc>
        <w:tc>
          <w:tcPr>
            <w:tcW w:w="1170" w:type="dxa"/>
            <w:tcBorders>
              <w:tl2br w:val="nil"/>
              <w:tr2bl w:val="nil"/>
            </w:tcBorders>
            <w:noWrap/>
            <w:tcMar>
              <w:top w:w="15" w:type="dxa"/>
              <w:left w:w="15" w:type="dxa"/>
              <w:right w:w="15" w:type="dxa"/>
            </w:tcMar>
            <w:vAlign w:val="center"/>
          </w:tcPr>
          <w:p w14:paraId="744177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18969.6</w:t>
            </w:r>
          </w:p>
        </w:tc>
        <w:tc>
          <w:tcPr>
            <w:tcW w:w="1061" w:type="dxa"/>
            <w:tcBorders>
              <w:tl2br w:val="nil"/>
              <w:tr2bl w:val="nil"/>
            </w:tcBorders>
            <w:noWrap/>
            <w:tcMar>
              <w:top w:w="15" w:type="dxa"/>
              <w:left w:w="15" w:type="dxa"/>
              <w:right w:w="15" w:type="dxa"/>
            </w:tcMar>
            <w:vAlign w:val="center"/>
          </w:tcPr>
          <w:p w14:paraId="0E167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0.948</w:t>
            </w:r>
          </w:p>
        </w:tc>
        <w:tc>
          <w:tcPr>
            <w:tcW w:w="953" w:type="dxa"/>
            <w:tcBorders>
              <w:tl2br w:val="nil"/>
              <w:tr2bl w:val="nil"/>
            </w:tcBorders>
            <w:noWrap/>
            <w:tcMar>
              <w:top w:w="15" w:type="dxa"/>
              <w:left w:w="15" w:type="dxa"/>
              <w:right w:w="15" w:type="dxa"/>
            </w:tcMar>
            <w:vAlign w:val="center"/>
          </w:tcPr>
          <w:p w14:paraId="303932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0.0948</w:t>
            </w:r>
          </w:p>
        </w:tc>
        <w:tc>
          <w:tcPr>
            <w:tcW w:w="1861" w:type="dxa"/>
            <w:tcBorders>
              <w:tl2br w:val="nil"/>
              <w:tr2bl w:val="nil"/>
            </w:tcBorders>
            <w:noWrap w:val="0"/>
            <w:tcMar>
              <w:top w:w="15" w:type="dxa"/>
              <w:left w:w="15" w:type="dxa"/>
              <w:right w:w="15" w:type="dxa"/>
            </w:tcMar>
            <w:vAlign w:val="center"/>
          </w:tcPr>
          <w:p w14:paraId="72DBA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2C6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303358D">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w:t>
            </w:r>
          </w:p>
        </w:tc>
        <w:tc>
          <w:tcPr>
            <w:tcW w:w="1525" w:type="dxa"/>
            <w:tcBorders>
              <w:tl2br w:val="nil"/>
              <w:tr2bl w:val="nil"/>
            </w:tcBorders>
            <w:noWrap w:val="0"/>
            <w:tcMar>
              <w:top w:w="15" w:type="dxa"/>
              <w:left w:w="15" w:type="dxa"/>
              <w:right w:w="15" w:type="dxa"/>
            </w:tcMar>
            <w:vAlign w:val="center"/>
          </w:tcPr>
          <w:p w14:paraId="039C0E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湖南乐浦物流有限公司</w:t>
            </w:r>
          </w:p>
        </w:tc>
        <w:tc>
          <w:tcPr>
            <w:tcW w:w="608" w:type="dxa"/>
            <w:tcBorders>
              <w:tl2br w:val="nil"/>
              <w:tr2bl w:val="nil"/>
            </w:tcBorders>
            <w:noWrap w:val="0"/>
            <w:tcMar>
              <w:top w:w="15" w:type="dxa"/>
              <w:left w:w="15" w:type="dxa"/>
              <w:right w:w="15" w:type="dxa"/>
            </w:tcMar>
            <w:vAlign w:val="center"/>
          </w:tcPr>
          <w:p w14:paraId="3B440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72728</w:t>
            </w:r>
          </w:p>
        </w:tc>
        <w:tc>
          <w:tcPr>
            <w:tcW w:w="750" w:type="dxa"/>
            <w:tcBorders>
              <w:tl2br w:val="nil"/>
              <w:tr2bl w:val="nil"/>
            </w:tcBorders>
            <w:noWrap/>
            <w:tcMar>
              <w:top w:w="15" w:type="dxa"/>
              <w:left w:w="15" w:type="dxa"/>
              <w:right w:w="15" w:type="dxa"/>
            </w:tcMar>
            <w:vAlign w:val="center"/>
          </w:tcPr>
          <w:p w14:paraId="2365F0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91" w:type="dxa"/>
            <w:tcBorders>
              <w:tl2br w:val="nil"/>
              <w:tr2bl w:val="nil"/>
            </w:tcBorders>
            <w:noWrap/>
            <w:tcMar>
              <w:top w:w="15" w:type="dxa"/>
              <w:left w:w="15" w:type="dxa"/>
              <w:right w:w="15" w:type="dxa"/>
            </w:tcMar>
            <w:vAlign w:val="center"/>
          </w:tcPr>
          <w:p w14:paraId="02A845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0170B7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DE4E2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val="0"/>
            <w:tcMar>
              <w:top w:w="15" w:type="dxa"/>
              <w:left w:w="15" w:type="dxa"/>
              <w:right w:w="15" w:type="dxa"/>
            </w:tcMar>
            <w:vAlign w:val="center"/>
          </w:tcPr>
          <w:p w14:paraId="24041B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2E4D12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061" w:type="dxa"/>
            <w:tcBorders>
              <w:tl2br w:val="nil"/>
              <w:tr2bl w:val="nil"/>
            </w:tcBorders>
            <w:noWrap/>
            <w:tcMar>
              <w:top w:w="15" w:type="dxa"/>
              <w:left w:w="15" w:type="dxa"/>
              <w:right w:w="15" w:type="dxa"/>
            </w:tcMar>
            <w:vAlign w:val="center"/>
          </w:tcPr>
          <w:p w14:paraId="163DD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0.1944</w:t>
            </w:r>
          </w:p>
        </w:tc>
        <w:tc>
          <w:tcPr>
            <w:tcW w:w="953" w:type="dxa"/>
            <w:tcBorders>
              <w:tl2br w:val="nil"/>
              <w:tr2bl w:val="nil"/>
            </w:tcBorders>
            <w:noWrap/>
            <w:tcMar>
              <w:top w:w="15" w:type="dxa"/>
              <w:left w:w="15" w:type="dxa"/>
              <w:right w:w="15" w:type="dxa"/>
            </w:tcMar>
            <w:vAlign w:val="center"/>
          </w:tcPr>
          <w:p w14:paraId="29360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0.019</w:t>
            </w:r>
          </w:p>
        </w:tc>
        <w:tc>
          <w:tcPr>
            <w:tcW w:w="1861" w:type="dxa"/>
            <w:tcBorders>
              <w:tl2br w:val="nil"/>
              <w:tr2bl w:val="nil"/>
            </w:tcBorders>
            <w:noWrap/>
            <w:tcMar>
              <w:top w:w="15" w:type="dxa"/>
              <w:left w:w="15" w:type="dxa"/>
              <w:right w:w="15" w:type="dxa"/>
            </w:tcMar>
            <w:vAlign w:val="center"/>
          </w:tcPr>
          <w:p w14:paraId="66958B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C7DC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EBA43E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w:t>
            </w:r>
          </w:p>
        </w:tc>
        <w:tc>
          <w:tcPr>
            <w:tcW w:w="1525" w:type="dxa"/>
            <w:tcBorders>
              <w:tl2br w:val="nil"/>
              <w:tr2bl w:val="nil"/>
            </w:tcBorders>
            <w:noWrap w:val="0"/>
            <w:tcMar>
              <w:top w:w="15" w:type="dxa"/>
              <w:left w:w="15" w:type="dxa"/>
              <w:right w:w="15" w:type="dxa"/>
            </w:tcMar>
            <w:vAlign w:val="center"/>
          </w:tcPr>
          <w:p w14:paraId="7532C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岳阳市美建装配式建筑有限公司</w:t>
            </w:r>
          </w:p>
        </w:tc>
        <w:tc>
          <w:tcPr>
            <w:tcW w:w="608" w:type="dxa"/>
            <w:tcBorders>
              <w:tl2br w:val="nil"/>
              <w:tr2bl w:val="nil"/>
            </w:tcBorders>
            <w:noWrap w:val="0"/>
            <w:tcMar>
              <w:top w:w="15" w:type="dxa"/>
              <w:left w:w="15" w:type="dxa"/>
              <w:right w:w="15" w:type="dxa"/>
            </w:tcMar>
            <w:vAlign w:val="center"/>
          </w:tcPr>
          <w:p w14:paraId="497530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92333</w:t>
            </w:r>
          </w:p>
        </w:tc>
        <w:tc>
          <w:tcPr>
            <w:tcW w:w="750" w:type="dxa"/>
            <w:tcBorders>
              <w:tl2br w:val="nil"/>
              <w:tr2bl w:val="nil"/>
            </w:tcBorders>
            <w:noWrap/>
            <w:tcMar>
              <w:top w:w="15" w:type="dxa"/>
              <w:left w:w="15" w:type="dxa"/>
              <w:right w:w="15" w:type="dxa"/>
            </w:tcMar>
            <w:vAlign w:val="center"/>
          </w:tcPr>
          <w:p w14:paraId="416BF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0.82</w:t>
            </w:r>
          </w:p>
        </w:tc>
        <w:tc>
          <w:tcPr>
            <w:tcW w:w="991" w:type="dxa"/>
            <w:tcBorders>
              <w:tl2br w:val="nil"/>
              <w:tr2bl w:val="nil"/>
            </w:tcBorders>
            <w:noWrap/>
            <w:tcMar>
              <w:top w:w="15" w:type="dxa"/>
              <w:left w:w="15" w:type="dxa"/>
              <w:right w:w="15" w:type="dxa"/>
            </w:tcMar>
            <w:vAlign w:val="center"/>
          </w:tcPr>
          <w:p w14:paraId="1DFF3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w:t>
            </w:r>
          </w:p>
        </w:tc>
        <w:tc>
          <w:tcPr>
            <w:tcW w:w="901" w:type="dxa"/>
            <w:tcBorders>
              <w:tl2br w:val="nil"/>
              <w:tr2bl w:val="nil"/>
            </w:tcBorders>
            <w:noWrap/>
            <w:tcMar>
              <w:top w:w="15" w:type="dxa"/>
              <w:left w:w="15" w:type="dxa"/>
              <w:right w:w="15" w:type="dxa"/>
            </w:tcMar>
            <w:vAlign w:val="center"/>
          </w:tcPr>
          <w:p w14:paraId="14459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0.9</w:t>
            </w:r>
          </w:p>
        </w:tc>
        <w:tc>
          <w:tcPr>
            <w:tcW w:w="1249" w:type="dxa"/>
            <w:tcBorders>
              <w:tl2br w:val="nil"/>
              <w:tr2bl w:val="nil"/>
            </w:tcBorders>
            <w:noWrap/>
            <w:tcMar>
              <w:top w:w="15" w:type="dxa"/>
              <w:left w:w="15" w:type="dxa"/>
              <w:right w:w="15" w:type="dxa"/>
            </w:tcMar>
            <w:vAlign w:val="center"/>
          </w:tcPr>
          <w:p w14:paraId="6AC21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2367" w:type="dxa"/>
            <w:tcBorders>
              <w:tl2br w:val="nil"/>
              <w:tr2bl w:val="nil"/>
            </w:tcBorders>
            <w:noWrap w:val="0"/>
            <w:tcMar>
              <w:top w:w="15" w:type="dxa"/>
              <w:left w:w="15" w:type="dxa"/>
              <w:right w:w="15" w:type="dxa"/>
            </w:tcMar>
            <w:vAlign w:val="center"/>
          </w:tcPr>
          <w:p w14:paraId="485A8C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01F67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6600</w:t>
            </w:r>
          </w:p>
        </w:tc>
        <w:tc>
          <w:tcPr>
            <w:tcW w:w="1061" w:type="dxa"/>
            <w:tcBorders>
              <w:tl2br w:val="nil"/>
              <w:tr2bl w:val="nil"/>
            </w:tcBorders>
            <w:noWrap/>
            <w:tcMar>
              <w:top w:w="15" w:type="dxa"/>
              <w:left w:w="15" w:type="dxa"/>
              <w:right w:w="15" w:type="dxa"/>
            </w:tcMar>
            <w:vAlign w:val="center"/>
          </w:tcPr>
          <w:p w14:paraId="619DF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w:t>
            </w:r>
          </w:p>
        </w:tc>
        <w:tc>
          <w:tcPr>
            <w:tcW w:w="953" w:type="dxa"/>
            <w:tcBorders>
              <w:tl2br w:val="nil"/>
              <w:tr2bl w:val="nil"/>
            </w:tcBorders>
            <w:noWrap/>
            <w:tcMar>
              <w:top w:w="15" w:type="dxa"/>
              <w:left w:w="15" w:type="dxa"/>
              <w:right w:w="15" w:type="dxa"/>
            </w:tcMar>
            <w:vAlign w:val="center"/>
          </w:tcPr>
          <w:p w14:paraId="60FD2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0.033</w:t>
            </w:r>
          </w:p>
        </w:tc>
        <w:tc>
          <w:tcPr>
            <w:tcW w:w="1861" w:type="dxa"/>
            <w:tcBorders>
              <w:tl2br w:val="nil"/>
              <w:tr2bl w:val="nil"/>
            </w:tcBorders>
            <w:noWrap/>
            <w:tcMar>
              <w:top w:w="15" w:type="dxa"/>
              <w:left w:w="15" w:type="dxa"/>
              <w:right w:w="15" w:type="dxa"/>
            </w:tcMar>
            <w:vAlign w:val="center"/>
          </w:tcPr>
          <w:p w14:paraId="371DCE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AA89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80DFAB4">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w:t>
            </w:r>
          </w:p>
        </w:tc>
        <w:tc>
          <w:tcPr>
            <w:tcW w:w="1525" w:type="dxa"/>
            <w:tcBorders>
              <w:tl2br w:val="nil"/>
              <w:tr2bl w:val="nil"/>
            </w:tcBorders>
            <w:noWrap w:val="0"/>
            <w:tcMar>
              <w:top w:w="15" w:type="dxa"/>
              <w:left w:w="15" w:type="dxa"/>
              <w:right w:w="15" w:type="dxa"/>
            </w:tcMar>
            <w:vAlign w:val="center"/>
          </w:tcPr>
          <w:p w14:paraId="06540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湖南领建科技有限责任公司</w:t>
            </w:r>
          </w:p>
        </w:tc>
        <w:tc>
          <w:tcPr>
            <w:tcW w:w="608" w:type="dxa"/>
            <w:tcBorders>
              <w:tl2br w:val="nil"/>
              <w:tr2bl w:val="nil"/>
            </w:tcBorders>
            <w:noWrap w:val="0"/>
            <w:tcMar>
              <w:top w:w="15" w:type="dxa"/>
              <w:left w:w="15" w:type="dxa"/>
              <w:right w:w="15" w:type="dxa"/>
            </w:tcMar>
            <w:vAlign w:val="center"/>
          </w:tcPr>
          <w:p w14:paraId="03CA8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47242</w:t>
            </w:r>
          </w:p>
        </w:tc>
        <w:tc>
          <w:tcPr>
            <w:tcW w:w="750" w:type="dxa"/>
            <w:tcBorders>
              <w:tl2br w:val="nil"/>
              <w:tr2bl w:val="nil"/>
            </w:tcBorders>
            <w:noWrap/>
            <w:tcMar>
              <w:top w:w="15" w:type="dxa"/>
              <w:left w:w="15" w:type="dxa"/>
              <w:right w:w="15" w:type="dxa"/>
            </w:tcMar>
            <w:vAlign w:val="center"/>
          </w:tcPr>
          <w:p w14:paraId="1FBC79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6.19</w:t>
            </w:r>
          </w:p>
        </w:tc>
        <w:tc>
          <w:tcPr>
            <w:tcW w:w="991" w:type="dxa"/>
            <w:tcBorders>
              <w:tl2br w:val="nil"/>
              <w:tr2bl w:val="nil"/>
            </w:tcBorders>
            <w:noWrap/>
            <w:tcMar>
              <w:top w:w="15" w:type="dxa"/>
              <w:left w:w="15" w:type="dxa"/>
              <w:right w:w="15" w:type="dxa"/>
            </w:tcMar>
            <w:vAlign w:val="center"/>
          </w:tcPr>
          <w:p w14:paraId="6A3D59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12.885</w:t>
            </w:r>
          </w:p>
        </w:tc>
        <w:tc>
          <w:tcPr>
            <w:tcW w:w="901" w:type="dxa"/>
            <w:tcBorders>
              <w:tl2br w:val="nil"/>
              <w:tr2bl w:val="nil"/>
            </w:tcBorders>
            <w:noWrap/>
            <w:tcMar>
              <w:top w:w="15" w:type="dxa"/>
              <w:left w:w="15" w:type="dxa"/>
              <w:right w:w="15" w:type="dxa"/>
            </w:tcMar>
            <w:vAlign w:val="center"/>
          </w:tcPr>
          <w:p w14:paraId="79F5F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19.325</w:t>
            </w:r>
          </w:p>
        </w:tc>
        <w:tc>
          <w:tcPr>
            <w:tcW w:w="1249" w:type="dxa"/>
            <w:tcBorders>
              <w:tl2br w:val="nil"/>
              <w:tr2bl w:val="nil"/>
            </w:tcBorders>
            <w:noWrap/>
            <w:tcMar>
              <w:top w:w="15" w:type="dxa"/>
              <w:left w:w="15" w:type="dxa"/>
              <w:right w:w="15" w:type="dxa"/>
            </w:tcMar>
            <w:vAlign w:val="center"/>
          </w:tcPr>
          <w:p w14:paraId="598EE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0.072</w:t>
            </w:r>
          </w:p>
        </w:tc>
        <w:tc>
          <w:tcPr>
            <w:tcW w:w="2367" w:type="dxa"/>
            <w:tcBorders>
              <w:tl2br w:val="nil"/>
              <w:tr2bl w:val="nil"/>
            </w:tcBorders>
            <w:noWrap w:val="0"/>
            <w:tcMar>
              <w:top w:w="15" w:type="dxa"/>
              <w:left w:w="15" w:type="dxa"/>
              <w:right w:w="15" w:type="dxa"/>
            </w:tcMar>
            <w:vAlign w:val="center"/>
          </w:tcPr>
          <w:p w14:paraId="0C7DA1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705882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4320</w:t>
            </w:r>
          </w:p>
        </w:tc>
        <w:tc>
          <w:tcPr>
            <w:tcW w:w="1061" w:type="dxa"/>
            <w:tcBorders>
              <w:tl2br w:val="nil"/>
              <w:tr2bl w:val="nil"/>
            </w:tcBorders>
            <w:noWrap/>
            <w:tcMar>
              <w:top w:w="15" w:type="dxa"/>
              <w:left w:w="15" w:type="dxa"/>
              <w:right w:w="15" w:type="dxa"/>
            </w:tcMar>
            <w:vAlign w:val="center"/>
          </w:tcPr>
          <w:p w14:paraId="73B03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0.216</w:t>
            </w:r>
          </w:p>
        </w:tc>
        <w:tc>
          <w:tcPr>
            <w:tcW w:w="953" w:type="dxa"/>
            <w:tcBorders>
              <w:tl2br w:val="nil"/>
              <w:tr2bl w:val="nil"/>
            </w:tcBorders>
            <w:noWrap/>
            <w:tcMar>
              <w:top w:w="15" w:type="dxa"/>
              <w:left w:w="15" w:type="dxa"/>
              <w:right w:w="15" w:type="dxa"/>
            </w:tcMar>
            <w:vAlign w:val="center"/>
          </w:tcPr>
          <w:p w14:paraId="7FDB6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0.0216</w:t>
            </w:r>
          </w:p>
        </w:tc>
        <w:tc>
          <w:tcPr>
            <w:tcW w:w="1861" w:type="dxa"/>
            <w:tcBorders>
              <w:tl2br w:val="nil"/>
              <w:tr2bl w:val="nil"/>
            </w:tcBorders>
            <w:noWrap/>
            <w:tcMar>
              <w:top w:w="15" w:type="dxa"/>
              <w:left w:w="15" w:type="dxa"/>
              <w:right w:w="15" w:type="dxa"/>
            </w:tcMar>
            <w:vAlign w:val="center"/>
          </w:tcPr>
          <w:p w14:paraId="1954C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5A7B2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717BBFB">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w:t>
            </w:r>
          </w:p>
        </w:tc>
        <w:tc>
          <w:tcPr>
            <w:tcW w:w="1525" w:type="dxa"/>
            <w:tcBorders>
              <w:tl2br w:val="nil"/>
              <w:tr2bl w:val="nil"/>
            </w:tcBorders>
            <w:noWrap w:val="0"/>
            <w:tcMar>
              <w:top w:w="15" w:type="dxa"/>
              <w:left w:w="15" w:type="dxa"/>
              <w:right w:w="15" w:type="dxa"/>
            </w:tcMar>
            <w:vAlign w:val="center"/>
          </w:tcPr>
          <w:p w14:paraId="55F933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汨罗市格润德润滑材料科技发展有限公司</w:t>
            </w:r>
          </w:p>
        </w:tc>
        <w:tc>
          <w:tcPr>
            <w:tcW w:w="608" w:type="dxa"/>
            <w:tcBorders>
              <w:tl2br w:val="nil"/>
              <w:tr2bl w:val="nil"/>
            </w:tcBorders>
            <w:noWrap w:val="0"/>
            <w:tcMar>
              <w:top w:w="15" w:type="dxa"/>
              <w:left w:w="15" w:type="dxa"/>
              <w:right w:w="15" w:type="dxa"/>
            </w:tcMar>
            <w:vAlign w:val="center"/>
          </w:tcPr>
          <w:p w14:paraId="799CF6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33333</w:t>
            </w:r>
          </w:p>
        </w:tc>
        <w:tc>
          <w:tcPr>
            <w:tcW w:w="750" w:type="dxa"/>
            <w:tcBorders>
              <w:tl2br w:val="nil"/>
              <w:tr2bl w:val="nil"/>
            </w:tcBorders>
            <w:noWrap/>
            <w:tcMar>
              <w:top w:w="15" w:type="dxa"/>
              <w:left w:w="15" w:type="dxa"/>
              <w:right w:w="15" w:type="dxa"/>
            </w:tcMar>
            <w:vAlign w:val="center"/>
          </w:tcPr>
          <w:p w14:paraId="314D01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91" w:type="dxa"/>
            <w:tcBorders>
              <w:tl2br w:val="nil"/>
              <w:tr2bl w:val="nil"/>
            </w:tcBorders>
            <w:noWrap/>
            <w:tcMar>
              <w:top w:w="15" w:type="dxa"/>
              <w:left w:w="15" w:type="dxa"/>
              <w:right w:w="15" w:type="dxa"/>
            </w:tcMar>
            <w:vAlign w:val="center"/>
          </w:tcPr>
          <w:p w14:paraId="794581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46A49F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76B6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0.816</w:t>
            </w:r>
          </w:p>
        </w:tc>
        <w:tc>
          <w:tcPr>
            <w:tcW w:w="2367" w:type="dxa"/>
            <w:tcBorders>
              <w:tl2br w:val="nil"/>
              <w:tr2bl w:val="nil"/>
            </w:tcBorders>
            <w:noWrap w:val="0"/>
            <w:tcMar>
              <w:top w:w="15" w:type="dxa"/>
              <w:left w:w="15" w:type="dxa"/>
              <w:right w:w="15" w:type="dxa"/>
            </w:tcMar>
            <w:vAlign w:val="center"/>
          </w:tcPr>
          <w:p w14:paraId="25790C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3F503E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kern w:val="2"/>
                <w:sz w:val="21"/>
                <w:szCs w:val="21"/>
                <w:u w:val="none"/>
                <w:lang w:val="en-US" w:eastAsia="zh-CN" w:bidi="ar-SA"/>
              </w:rPr>
            </w:pPr>
            <w:r>
              <w:rPr>
                <w:rFonts w:hint="default" w:ascii="Times New Roman" w:hAnsi="Times New Roman" w:eastAsia="宋体" w:cs="Times New Roman"/>
                <w:b w:val="0"/>
                <w:bCs/>
                <w:i w:val="0"/>
                <w:snapToGrid w:val="0"/>
                <w:color w:val="auto"/>
                <w:kern w:val="0"/>
                <w:sz w:val="21"/>
                <w:szCs w:val="21"/>
                <w:u w:val="none"/>
                <w:lang w:val="en-US" w:eastAsia="zh-CN" w:bidi="ar"/>
              </w:rPr>
              <w:t>6530.58</w:t>
            </w:r>
          </w:p>
        </w:tc>
        <w:tc>
          <w:tcPr>
            <w:tcW w:w="1061" w:type="dxa"/>
            <w:tcBorders>
              <w:tl2br w:val="nil"/>
              <w:tr2bl w:val="nil"/>
            </w:tcBorders>
            <w:noWrap/>
            <w:tcMar>
              <w:top w:w="15" w:type="dxa"/>
              <w:left w:w="15" w:type="dxa"/>
              <w:right w:w="15" w:type="dxa"/>
            </w:tcMar>
            <w:vAlign w:val="center"/>
          </w:tcPr>
          <w:p w14:paraId="251CE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0.3265</w:t>
            </w:r>
          </w:p>
        </w:tc>
        <w:tc>
          <w:tcPr>
            <w:tcW w:w="953" w:type="dxa"/>
            <w:tcBorders>
              <w:tl2br w:val="nil"/>
              <w:tr2bl w:val="nil"/>
            </w:tcBorders>
            <w:noWrap/>
            <w:tcMar>
              <w:top w:w="15" w:type="dxa"/>
              <w:left w:w="15" w:type="dxa"/>
              <w:right w:w="15" w:type="dxa"/>
            </w:tcMar>
            <w:vAlign w:val="center"/>
          </w:tcPr>
          <w:p w14:paraId="39C32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0.0522</w:t>
            </w:r>
          </w:p>
        </w:tc>
        <w:tc>
          <w:tcPr>
            <w:tcW w:w="1861" w:type="dxa"/>
            <w:tcBorders>
              <w:tl2br w:val="nil"/>
              <w:tr2bl w:val="nil"/>
            </w:tcBorders>
            <w:noWrap/>
            <w:tcMar>
              <w:top w:w="15" w:type="dxa"/>
              <w:left w:w="15" w:type="dxa"/>
              <w:right w:w="15" w:type="dxa"/>
            </w:tcMar>
            <w:vAlign w:val="center"/>
          </w:tcPr>
          <w:p w14:paraId="5724FA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4032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BBF71A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6</w:t>
            </w:r>
          </w:p>
        </w:tc>
        <w:tc>
          <w:tcPr>
            <w:tcW w:w="1525" w:type="dxa"/>
            <w:tcBorders>
              <w:tl2br w:val="nil"/>
              <w:tr2bl w:val="nil"/>
            </w:tcBorders>
            <w:noWrap w:val="0"/>
            <w:tcMar>
              <w:top w:w="15" w:type="dxa"/>
              <w:left w:w="15" w:type="dxa"/>
              <w:right w:w="15" w:type="dxa"/>
            </w:tcMar>
            <w:vAlign w:val="center"/>
          </w:tcPr>
          <w:p w14:paraId="2C14B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湖南精斯诚智能科技有限公司</w:t>
            </w:r>
          </w:p>
        </w:tc>
        <w:tc>
          <w:tcPr>
            <w:tcW w:w="608" w:type="dxa"/>
            <w:tcBorders>
              <w:tl2br w:val="nil"/>
              <w:tr2bl w:val="nil"/>
            </w:tcBorders>
            <w:noWrap w:val="0"/>
            <w:tcMar>
              <w:top w:w="15" w:type="dxa"/>
              <w:left w:w="15" w:type="dxa"/>
              <w:right w:w="15" w:type="dxa"/>
            </w:tcMar>
            <w:vAlign w:val="center"/>
          </w:tcPr>
          <w:p w14:paraId="23C7A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23315.05</w:t>
            </w:r>
          </w:p>
        </w:tc>
        <w:tc>
          <w:tcPr>
            <w:tcW w:w="750" w:type="dxa"/>
            <w:tcBorders>
              <w:tl2br w:val="nil"/>
              <w:tr2bl w:val="nil"/>
            </w:tcBorders>
            <w:noWrap/>
            <w:tcMar>
              <w:top w:w="15" w:type="dxa"/>
              <w:left w:w="15" w:type="dxa"/>
              <w:right w:w="15" w:type="dxa"/>
            </w:tcMar>
            <w:vAlign w:val="center"/>
          </w:tcPr>
          <w:p w14:paraId="66C7C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0.4534</w:t>
            </w:r>
          </w:p>
        </w:tc>
        <w:tc>
          <w:tcPr>
            <w:tcW w:w="991" w:type="dxa"/>
            <w:tcBorders>
              <w:tl2br w:val="nil"/>
              <w:tr2bl w:val="nil"/>
            </w:tcBorders>
            <w:noWrap/>
            <w:tcMar>
              <w:top w:w="15" w:type="dxa"/>
              <w:left w:w="15" w:type="dxa"/>
              <w:right w:w="15" w:type="dxa"/>
            </w:tcMar>
            <w:vAlign w:val="center"/>
          </w:tcPr>
          <w:p w14:paraId="7DBE66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639403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626A9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0.016</w:t>
            </w:r>
          </w:p>
        </w:tc>
        <w:tc>
          <w:tcPr>
            <w:tcW w:w="2367" w:type="dxa"/>
            <w:tcBorders>
              <w:tl2br w:val="nil"/>
              <w:tr2bl w:val="nil"/>
            </w:tcBorders>
            <w:noWrap w:val="0"/>
            <w:tcMar>
              <w:top w:w="15" w:type="dxa"/>
              <w:left w:w="15" w:type="dxa"/>
              <w:right w:w="15" w:type="dxa"/>
            </w:tcMar>
            <w:vAlign w:val="center"/>
          </w:tcPr>
          <w:p w14:paraId="47E242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59E06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4140</w:t>
            </w:r>
          </w:p>
        </w:tc>
        <w:tc>
          <w:tcPr>
            <w:tcW w:w="1061" w:type="dxa"/>
            <w:tcBorders>
              <w:tl2br w:val="nil"/>
              <w:tr2bl w:val="nil"/>
            </w:tcBorders>
            <w:noWrap/>
            <w:tcMar>
              <w:top w:w="15" w:type="dxa"/>
              <w:left w:w="15" w:type="dxa"/>
              <w:right w:w="15" w:type="dxa"/>
            </w:tcMar>
            <w:vAlign w:val="center"/>
          </w:tcPr>
          <w:p w14:paraId="252BF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0.207</w:t>
            </w:r>
          </w:p>
        </w:tc>
        <w:tc>
          <w:tcPr>
            <w:tcW w:w="953" w:type="dxa"/>
            <w:tcBorders>
              <w:tl2br w:val="nil"/>
              <w:tr2bl w:val="nil"/>
            </w:tcBorders>
            <w:noWrap/>
            <w:tcMar>
              <w:top w:w="15" w:type="dxa"/>
              <w:left w:w="15" w:type="dxa"/>
              <w:right w:w="15" w:type="dxa"/>
            </w:tcMar>
            <w:vAlign w:val="center"/>
          </w:tcPr>
          <w:p w14:paraId="55250F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0.0331</w:t>
            </w:r>
          </w:p>
        </w:tc>
        <w:tc>
          <w:tcPr>
            <w:tcW w:w="1861" w:type="dxa"/>
            <w:tcBorders>
              <w:tl2br w:val="nil"/>
              <w:tr2bl w:val="nil"/>
            </w:tcBorders>
            <w:noWrap/>
            <w:tcMar>
              <w:top w:w="15" w:type="dxa"/>
              <w:left w:w="15" w:type="dxa"/>
              <w:right w:w="15" w:type="dxa"/>
            </w:tcMar>
            <w:vAlign w:val="center"/>
          </w:tcPr>
          <w:p w14:paraId="33D99E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C581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1FAEB6C">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7</w:t>
            </w:r>
          </w:p>
        </w:tc>
        <w:tc>
          <w:tcPr>
            <w:tcW w:w="1525" w:type="dxa"/>
            <w:tcBorders>
              <w:tl2br w:val="nil"/>
              <w:tr2bl w:val="nil"/>
            </w:tcBorders>
            <w:noWrap w:val="0"/>
            <w:tcMar>
              <w:top w:w="15" w:type="dxa"/>
              <w:left w:w="15" w:type="dxa"/>
              <w:right w:w="15" w:type="dxa"/>
            </w:tcMar>
            <w:vAlign w:val="center"/>
          </w:tcPr>
          <w:p w14:paraId="3D0AA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湖南隆亨新材料有限公司</w:t>
            </w:r>
          </w:p>
        </w:tc>
        <w:tc>
          <w:tcPr>
            <w:tcW w:w="608" w:type="dxa"/>
            <w:tcBorders>
              <w:tl2br w:val="nil"/>
              <w:tr2bl w:val="nil"/>
            </w:tcBorders>
            <w:noWrap w:val="0"/>
            <w:tcMar>
              <w:top w:w="15" w:type="dxa"/>
              <w:left w:w="15" w:type="dxa"/>
              <w:right w:w="15" w:type="dxa"/>
            </w:tcMar>
            <w:vAlign w:val="center"/>
          </w:tcPr>
          <w:p w14:paraId="1C2D5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16666.7</w:t>
            </w:r>
          </w:p>
        </w:tc>
        <w:tc>
          <w:tcPr>
            <w:tcW w:w="750" w:type="dxa"/>
            <w:tcBorders>
              <w:tl2br w:val="nil"/>
              <w:tr2bl w:val="nil"/>
            </w:tcBorders>
            <w:noWrap/>
            <w:tcMar>
              <w:top w:w="15" w:type="dxa"/>
              <w:left w:w="15" w:type="dxa"/>
              <w:right w:w="15" w:type="dxa"/>
            </w:tcMar>
            <w:vAlign w:val="center"/>
          </w:tcPr>
          <w:p w14:paraId="33674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5.745</w:t>
            </w:r>
          </w:p>
        </w:tc>
        <w:tc>
          <w:tcPr>
            <w:tcW w:w="991" w:type="dxa"/>
            <w:tcBorders>
              <w:tl2br w:val="nil"/>
              <w:tr2bl w:val="nil"/>
            </w:tcBorders>
            <w:noWrap/>
            <w:tcMar>
              <w:top w:w="15" w:type="dxa"/>
              <w:left w:w="15" w:type="dxa"/>
              <w:right w:w="15" w:type="dxa"/>
            </w:tcMar>
            <w:vAlign w:val="center"/>
          </w:tcPr>
          <w:p w14:paraId="6B1AC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0EEEBF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6A244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p>
        </w:tc>
        <w:tc>
          <w:tcPr>
            <w:tcW w:w="2367" w:type="dxa"/>
            <w:tcBorders>
              <w:tl2br w:val="nil"/>
              <w:tr2bl w:val="nil"/>
            </w:tcBorders>
            <w:noWrap/>
            <w:tcMar>
              <w:top w:w="15" w:type="dxa"/>
              <w:left w:w="15" w:type="dxa"/>
              <w:right w:w="15" w:type="dxa"/>
            </w:tcMar>
            <w:vAlign w:val="center"/>
          </w:tcPr>
          <w:p w14:paraId="0DA70D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43040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1752</w:t>
            </w:r>
          </w:p>
        </w:tc>
        <w:tc>
          <w:tcPr>
            <w:tcW w:w="1061" w:type="dxa"/>
            <w:tcBorders>
              <w:tl2br w:val="nil"/>
              <w:tr2bl w:val="nil"/>
            </w:tcBorders>
            <w:noWrap/>
            <w:tcMar>
              <w:top w:w="15" w:type="dxa"/>
              <w:left w:w="15" w:type="dxa"/>
              <w:right w:w="15" w:type="dxa"/>
            </w:tcMar>
            <w:vAlign w:val="center"/>
          </w:tcPr>
          <w:p w14:paraId="45A64C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0.0876</w:t>
            </w:r>
          </w:p>
        </w:tc>
        <w:tc>
          <w:tcPr>
            <w:tcW w:w="953" w:type="dxa"/>
            <w:tcBorders>
              <w:tl2br w:val="nil"/>
              <w:tr2bl w:val="nil"/>
            </w:tcBorders>
            <w:noWrap/>
            <w:tcMar>
              <w:top w:w="15" w:type="dxa"/>
              <w:left w:w="15" w:type="dxa"/>
              <w:right w:w="15" w:type="dxa"/>
            </w:tcMar>
            <w:vAlign w:val="center"/>
          </w:tcPr>
          <w:p w14:paraId="17A76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0.014</w:t>
            </w:r>
          </w:p>
        </w:tc>
        <w:tc>
          <w:tcPr>
            <w:tcW w:w="1861" w:type="dxa"/>
            <w:tcBorders>
              <w:tl2br w:val="nil"/>
              <w:tr2bl w:val="nil"/>
            </w:tcBorders>
            <w:noWrap/>
            <w:tcMar>
              <w:top w:w="15" w:type="dxa"/>
              <w:left w:w="15" w:type="dxa"/>
              <w:right w:w="15" w:type="dxa"/>
            </w:tcMar>
            <w:vAlign w:val="center"/>
          </w:tcPr>
          <w:p w14:paraId="138F6A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4E9A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5895753">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8</w:t>
            </w:r>
          </w:p>
        </w:tc>
        <w:tc>
          <w:tcPr>
            <w:tcW w:w="1525" w:type="dxa"/>
            <w:tcBorders>
              <w:tl2br w:val="nil"/>
              <w:tr2bl w:val="nil"/>
            </w:tcBorders>
            <w:noWrap w:val="0"/>
            <w:tcMar>
              <w:top w:w="15" w:type="dxa"/>
              <w:left w:w="15" w:type="dxa"/>
              <w:right w:w="15" w:type="dxa"/>
            </w:tcMar>
            <w:vAlign w:val="center"/>
          </w:tcPr>
          <w:p w14:paraId="15BED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湖南隆洲新材料科技有限公司</w:t>
            </w:r>
          </w:p>
        </w:tc>
        <w:tc>
          <w:tcPr>
            <w:tcW w:w="608" w:type="dxa"/>
            <w:tcBorders>
              <w:tl2br w:val="nil"/>
              <w:tr2bl w:val="nil"/>
            </w:tcBorders>
            <w:noWrap w:val="0"/>
            <w:tcMar>
              <w:top w:w="15" w:type="dxa"/>
              <w:left w:w="15" w:type="dxa"/>
              <w:right w:w="15" w:type="dxa"/>
            </w:tcMar>
            <w:vAlign w:val="center"/>
          </w:tcPr>
          <w:p w14:paraId="7D2D2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3728.2</w:t>
            </w:r>
          </w:p>
        </w:tc>
        <w:tc>
          <w:tcPr>
            <w:tcW w:w="750" w:type="dxa"/>
            <w:tcBorders>
              <w:tl2br w:val="nil"/>
              <w:tr2bl w:val="nil"/>
            </w:tcBorders>
            <w:noWrap/>
            <w:tcMar>
              <w:top w:w="15" w:type="dxa"/>
              <w:left w:w="15" w:type="dxa"/>
              <w:right w:w="15" w:type="dxa"/>
            </w:tcMar>
            <w:vAlign w:val="center"/>
          </w:tcPr>
          <w:p w14:paraId="51C06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2.446</w:t>
            </w:r>
          </w:p>
        </w:tc>
        <w:tc>
          <w:tcPr>
            <w:tcW w:w="991" w:type="dxa"/>
            <w:tcBorders>
              <w:tl2br w:val="nil"/>
              <w:tr2bl w:val="nil"/>
            </w:tcBorders>
            <w:noWrap/>
            <w:tcMar>
              <w:top w:w="15" w:type="dxa"/>
              <w:left w:w="15" w:type="dxa"/>
              <w:right w:w="15" w:type="dxa"/>
            </w:tcMar>
            <w:vAlign w:val="center"/>
          </w:tcPr>
          <w:p w14:paraId="2744A2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43C228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BD4B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1.705</w:t>
            </w:r>
          </w:p>
        </w:tc>
        <w:tc>
          <w:tcPr>
            <w:tcW w:w="2367" w:type="dxa"/>
            <w:tcBorders>
              <w:tl2br w:val="nil"/>
              <w:tr2bl w:val="nil"/>
            </w:tcBorders>
            <w:noWrap w:val="0"/>
            <w:tcMar>
              <w:top w:w="15" w:type="dxa"/>
              <w:left w:w="15" w:type="dxa"/>
              <w:right w:w="15" w:type="dxa"/>
            </w:tcMar>
            <w:vAlign w:val="center"/>
          </w:tcPr>
          <w:p w14:paraId="001A1E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3E1B50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696</w:t>
            </w:r>
          </w:p>
        </w:tc>
        <w:tc>
          <w:tcPr>
            <w:tcW w:w="1061" w:type="dxa"/>
            <w:tcBorders>
              <w:tl2br w:val="nil"/>
              <w:tr2bl w:val="nil"/>
            </w:tcBorders>
            <w:noWrap/>
            <w:tcMar>
              <w:top w:w="15" w:type="dxa"/>
              <w:left w:w="15" w:type="dxa"/>
              <w:right w:w="15" w:type="dxa"/>
            </w:tcMar>
            <w:vAlign w:val="center"/>
          </w:tcPr>
          <w:p w14:paraId="2A9E5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0.035</w:t>
            </w:r>
          </w:p>
        </w:tc>
        <w:tc>
          <w:tcPr>
            <w:tcW w:w="953" w:type="dxa"/>
            <w:tcBorders>
              <w:tl2br w:val="nil"/>
              <w:tr2bl w:val="nil"/>
            </w:tcBorders>
            <w:noWrap/>
            <w:tcMar>
              <w:top w:w="15" w:type="dxa"/>
              <w:left w:w="15" w:type="dxa"/>
              <w:right w:w="15" w:type="dxa"/>
            </w:tcMar>
            <w:vAlign w:val="center"/>
          </w:tcPr>
          <w:p w14:paraId="2CA9F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0.004</w:t>
            </w:r>
          </w:p>
        </w:tc>
        <w:tc>
          <w:tcPr>
            <w:tcW w:w="1861" w:type="dxa"/>
            <w:tcBorders>
              <w:tl2br w:val="nil"/>
              <w:tr2bl w:val="nil"/>
            </w:tcBorders>
            <w:noWrap/>
            <w:tcMar>
              <w:top w:w="15" w:type="dxa"/>
              <w:left w:w="15" w:type="dxa"/>
              <w:right w:w="15" w:type="dxa"/>
            </w:tcMar>
            <w:vAlign w:val="center"/>
          </w:tcPr>
          <w:p w14:paraId="30CC69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24C5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A295C09">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w w:val="99"/>
                <w:sz w:val="21"/>
                <w:szCs w:val="21"/>
                <w:u w:val="none" w:color="auto"/>
              </w:rPr>
              <w:t>9</w:t>
            </w:r>
          </w:p>
        </w:tc>
        <w:tc>
          <w:tcPr>
            <w:tcW w:w="1525" w:type="dxa"/>
            <w:tcBorders>
              <w:tl2br w:val="nil"/>
              <w:tr2bl w:val="nil"/>
            </w:tcBorders>
            <w:noWrap w:val="0"/>
            <w:tcMar>
              <w:top w:w="15" w:type="dxa"/>
              <w:left w:w="15" w:type="dxa"/>
              <w:right w:w="15" w:type="dxa"/>
            </w:tcMar>
            <w:vAlign w:val="center"/>
          </w:tcPr>
          <w:p w14:paraId="32F85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湖南汇杰重工有限责任公司</w:t>
            </w:r>
          </w:p>
        </w:tc>
        <w:tc>
          <w:tcPr>
            <w:tcW w:w="608" w:type="dxa"/>
            <w:tcBorders>
              <w:tl2br w:val="nil"/>
              <w:tr2bl w:val="nil"/>
            </w:tcBorders>
            <w:noWrap w:val="0"/>
            <w:tcMar>
              <w:top w:w="15" w:type="dxa"/>
              <w:left w:w="15" w:type="dxa"/>
              <w:right w:w="15" w:type="dxa"/>
            </w:tcMar>
            <w:vAlign w:val="center"/>
          </w:tcPr>
          <w:p w14:paraId="7ED9E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26812.57</w:t>
            </w:r>
          </w:p>
        </w:tc>
        <w:tc>
          <w:tcPr>
            <w:tcW w:w="750" w:type="dxa"/>
            <w:tcBorders>
              <w:tl2br w:val="nil"/>
              <w:tr2bl w:val="nil"/>
            </w:tcBorders>
            <w:noWrap/>
            <w:tcMar>
              <w:top w:w="15" w:type="dxa"/>
              <w:left w:w="15" w:type="dxa"/>
              <w:right w:w="15" w:type="dxa"/>
            </w:tcMar>
            <w:vAlign w:val="center"/>
          </w:tcPr>
          <w:p w14:paraId="38904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0.3508</w:t>
            </w:r>
          </w:p>
        </w:tc>
        <w:tc>
          <w:tcPr>
            <w:tcW w:w="991" w:type="dxa"/>
            <w:tcBorders>
              <w:tl2br w:val="nil"/>
              <w:tr2bl w:val="nil"/>
            </w:tcBorders>
            <w:noWrap/>
            <w:tcMar>
              <w:top w:w="15" w:type="dxa"/>
              <w:left w:w="15" w:type="dxa"/>
              <w:right w:w="15" w:type="dxa"/>
            </w:tcMar>
            <w:vAlign w:val="center"/>
          </w:tcPr>
          <w:p w14:paraId="118DDF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04A011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4C9DD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2.7144</w:t>
            </w:r>
          </w:p>
        </w:tc>
        <w:tc>
          <w:tcPr>
            <w:tcW w:w="2367" w:type="dxa"/>
            <w:tcBorders>
              <w:tl2br w:val="nil"/>
              <w:tr2bl w:val="nil"/>
            </w:tcBorders>
            <w:noWrap w:val="0"/>
            <w:tcMar>
              <w:top w:w="15" w:type="dxa"/>
              <w:left w:w="15" w:type="dxa"/>
              <w:right w:w="15" w:type="dxa"/>
            </w:tcMar>
            <w:vAlign w:val="center"/>
          </w:tcPr>
          <w:p w14:paraId="4C1F5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35103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1464</w:t>
            </w:r>
          </w:p>
        </w:tc>
        <w:tc>
          <w:tcPr>
            <w:tcW w:w="1061" w:type="dxa"/>
            <w:tcBorders>
              <w:tl2br w:val="nil"/>
              <w:tr2bl w:val="nil"/>
            </w:tcBorders>
            <w:noWrap/>
            <w:tcMar>
              <w:top w:w="15" w:type="dxa"/>
              <w:left w:w="15" w:type="dxa"/>
              <w:right w:w="15" w:type="dxa"/>
            </w:tcMar>
            <w:vAlign w:val="center"/>
          </w:tcPr>
          <w:p w14:paraId="6328E7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0.0732</w:t>
            </w:r>
          </w:p>
        </w:tc>
        <w:tc>
          <w:tcPr>
            <w:tcW w:w="953" w:type="dxa"/>
            <w:tcBorders>
              <w:tl2br w:val="nil"/>
              <w:tr2bl w:val="nil"/>
            </w:tcBorders>
            <w:noWrap/>
            <w:tcMar>
              <w:top w:w="15" w:type="dxa"/>
              <w:left w:w="15" w:type="dxa"/>
              <w:right w:w="15" w:type="dxa"/>
            </w:tcMar>
            <w:vAlign w:val="center"/>
          </w:tcPr>
          <w:p w14:paraId="75C7D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0.0117</w:t>
            </w:r>
          </w:p>
        </w:tc>
        <w:tc>
          <w:tcPr>
            <w:tcW w:w="1861" w:type="dxa"/>
            <w:tcBorders>
              <w:tl2br w:val="nil"/>
              <w:tr2bl w:val="nil"/>
            </w:tcBorders>
            <w:noWrap/>
            <w:tcMar>
              <w:top w:w="15" w:type="dxa"/>
              <w:left w:w="15" w:type="dxa"/>
              <w:right w:w="15" w:type="dxa"/>
            </w:tcMar>
            <w:vAlign w:val="center"/>
          </w:tcPr>
          <w:p w14:paraId="7492C0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08230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855C4B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10</w:t>
            </w:r>
          </w:p>
        </w:tc>
        <w:tc>
          <w:tcPr>
            <w:tcW w:w="1525" w:type="dxa"/>
            <w:tcBorders>
              <w:tl2br w:val="nil"/>
              <w:tr2bl w:val="nil"/>
            </w:tcBorders>
            <w:noWrap w:val="0"/>
            <w:tcMar>
              <w:top w:w="15" w:type="dxa"/>
              <w:left w:w="15" w:type="dxa"/>
              <w:right w:w="15" w:type="dxa"/>
            </w:tcMar>
            <w:vAlign w:val="center"/>
          </w:tcPr>
          <w:p w14:paraId="07D71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湖南万鼎智能科技有限公司</w:t>
            </w:r>
          </w:p>
        </w:tc>
        <w:tc>
          <w:tcPr>
            <w:tcW w:w="608" w:type="dxa"/>
            <w:tcBorders>
              <w:tl2br w:val="nil"/>
              <w:tr2bl w:val="nil"/>
            </w:tcBorders>
            <w:noWrap w:val="0"/>
            <w:tcMar>
              <w:top w:w="15" w:type="dxa"/>
              <w:left w:w="15" w:type="dxa"/>
              <w:right w:w="15" w:type="dxa"/>
            </w:tcMar>
            <w:vAlign w:val="center"/>
          </w:tcPr>
          <w:p w14:paraId="1510F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13333.33</w:t>
            </w:r>
          </w:p>
        </w:tc>
        <w:tc>
          <w:tcPr>
            <w:tcW w:w="750" w:type="dxa"/>
            <w:tcBorders>
              <w:tl2br w:val="nil"/>
              <w:tr2bl w:val="nil"/>
            </w:tcBorders>
            <w:noWrap/>
            <w:tcMar>
              <w:top w:w="15" w:type="dxa"/>
              <w:left w:w="15" w:type="dxa"/>
              <w:right w:w="15" w:type="dxa"/>
            </w:tcMar>
            <w:vAlign w:val="center"/>
          </w:tcPr>
          <w:p w14:paraId="1E3EF9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0.1049</w:t>
            </w:r>
          </w:p>
        </w:tc>
        <w:tc>
          <w:tcPr>
            <w:tcW w:w="991" w:type="dxa"/>
            <w:tcBorders>
              <w:tl2br w:val="nil"/>
              <w:tr2bl w:val="nil"/>
            </w:tcBorders>
            <w:noWrap/>
            <w:tcMar>
              <w:top w:w="15" w:type="dxa"/>
              <w:left w:w="15" w:type="dxa"/>
              <w:right w:w="15" w:type="dxa"/>
            </w:tcMar>
            <w:vAlign w:val="center"/>
          </w:tcPr>
          <w:p w14:paraId="00C11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5AF50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247D92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0.113</w:t>
            </w:r>
          </w:p>
        </w:tc>
        <w:tc>
          <w:tcPr>
            <w:tcW w:w="2367" w:type="dxa"/>
            <w:tcBorders>
              <w:tl2br w:val="nil"/>
              <w:tr2bl w:val="nil"/>
            </w:tcBorders>
            <w:noWrap/>
            <w:tcMar>
              <w:top w:w="15" w:type="dxa"/>
              <w:left w:w="15" w:type="dxa"/>
              <w:right w:w="15" w:type="dxa"/>
            </w:tcMar>
            <w:vAlign w:val="center"/>
          </w:tcPr>
          <w:p w14:paraId="58F37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二甲苯0.051</w:t>
            </w:r>
          </w:p>
        </w:tc>
        <w:tc>
          <w:tcPr>
            <w:tcW w:w="1170" w:type="dxa"/>
            <w:tcBorders>
              <w:tl2br w:val="nil"/>
              <w:tr2bl w:val="nil"/>
            </w:tcBorders>
            <w:noWrap/>
            <w:tcMar>
              <w:top w:w="15" w:type="dxa"/>
              <w:left w:w="15" w:type="dxa"/>
              <w:right w:w="15" w:type="dxa"/>
            </w:tcMar>
            <w:vAlign w:val="center"/>
          </w:tcPr>
          <w:p w14:paraId="35937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840</w:t>
            </w:r>
          </w:p>
        </w:tc>
        <w:tc>
          <w:tcPr>
            <w:tcW w:w="1061" w:type="dxa"/>
            <w:tcBorders>
              <w:tl2br w:val="nil"/>
              <w:tr2bl w:val="nil"/>
            </w:tcBorders>
            <w:noWrap/>
            <w:tcMar>
              <w:top w:w="15" w:type="dxa"/>
              <w:left w:w="15" w:type="dxa"/>
              <w:right w:w="15" w:type="dxa"/>
            </w:tcMar>
            <w:vAlign w:val="center"/>
          </w:tcPr>
          <w:p w14:paraId="5D278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0.042</w:t>
            </w:r>
          </w:p>
        </w:tc>
        <w:tc>
          <w:tcPr>
            <w:tcW w:w="953" w:type="dxa"/>
            <w:tcBorders>
              <w:tl2br w:val="nil"/>
              <w:tr2bl w:val="nil"/>
            </w:tcBorders>
            <w:noWrap/>
            <w:tcMar>
              <w:top w:w="15" w:type="dxa"/>
              <w:left w:w="15" w:type="dxa"/>
              <w:right w:w="15" w:type="dxa"/>
            </w:tcMar>
            <w:vAlign w:val="center"/>
          </w:tcPr>
          <w:p w14:paraId="3F982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0.0067</w:t>
            </w:r>
          </w:p>
        </w:tc>
        <w:tc>
          <w:tcPr>
            <w:tcW w:w="1861" w:type="dxa"/>
            <w:tcBorders>
              <w:tl2br w:val="nil"/>
              <w:tr2bl w:val="nil"/>
            </w:tcBorders>
            <w:noWrap/>
            <w:tcMar>
              <w:top w:w="15" w:type="dxa"/>
              <w:left w:w="15" w:type="dxa"/>
              <w:right w:w="15" w:type="dxa"/>
            </w:tcMar>
            <w:vAlign w:val="center"/>
          </w:tcPr>
          <w:p w14:paraId="50C59B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A03D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4AE7D9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cs="Times New Roman"/>
                <w:i w:val="0"/>
                <w:color w:val="auto"/>
                <w:sz w:val="21"/>
                <w:szCs w:val="21"/>
                <w:u w:val="none"/>
                <w:lang w:val="en-US" w:eastAsia="zh-CN"/>
              </w:rPr>
              <w:t>11</w:t>
            </w:r>
          </w:p>
        </w:tc>
        <w:tc>
          <w:tcPr>
            <w:tcW w:w="1525" w:type="dxa"/>
            <w:tcBorders>
              <w:tl2br w:val="nil"/>
              <w:tr2bl w:val="nil"/>
            </w:tcBorders>
            <w:noWrap w:val="0"/>
            <w:tcMar>
              <w:top w:w="15" w:type="dxa"/>
              <w:left w:w="15" w:type="dxa"/>
              <w:right w:w="15" w:type="dxa"/>
            </w:tcMar>
            <w:vAlign w:val="center"/>
          </w:tcPr>
          <w:p w14:paraId="7AA4D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岳阳瑞新机械制造有限公司</w:t>
            </w:r>
          </w:p>
        </w:tc>
        <w:tc>
          <w:tcPr>
            <w:tcW w:w="608" w:type="dxa"/>
            <w:tcBorders>
              <w:tl2br w:val="nil"/>
              <w:tr2bl w:val="nil"/>
            </w:tcBorders>
            <w:noWrap w:val="0"/>
            <w:tcMar>
              <w:top w:w="15" w:type="dxa"/>
              <w:left w:w="15" w:type="dxa"/>
              <w:right w:w="15" w:type="dxa"/>
            </w:tcMar>
            <w:vAlign w:val="center"/>
          </w:tcPr>
          <w:p w14:paraId="53809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3938</w:t>
            </w:r>
          </w:p>
        </w:tc>
        <w:tc>
          <w:tcPr>
            <w:tcW w:w="750" w:type="dxa"/>
            <w:tcBorders>
              <w:tl2br w:val="nil"/>
              <w:tr2bl w:val="nil"/>
            </w:tcBorders>
            <w:noWrap/>
            <w:tcMar>
              <w:top w:w="15" w:type="dxa"/>
              <w:left w:w="15" w:type="dxa"/>
              <w:right w:w="15" w:type="dxa"/>
            </w:tcMar>
            <w:vAlign w:val="center"/>
          </w:tcPr>
          <w:p w14:paraId="5D61C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2.748</w:t>
            </w:r>
          </w:p>
        </w:tc>
        <w:tc>
          <w:tcPr>
            <w:tcW w:w="991" w:type="dxa"/>
            <w:tcBorders>
              <w:tl2br w:val="nil"/>
              <w:tr2bl w:val="nil"/>
            </w:tcBorders>
            <w:noWrap/>
            <w:tcMar>
              <w:top w:w="15" w:type="dxa"/>
              <w:left w:w="15" w:type="dxa"/>
              <w:right w:w="15" w:type="dxa"/>
            </w:tcMar>
            <w:vAlign w:val="center"/>
          </w:tcPr>
          <w:p w14:paraId="740853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1082B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3CAB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4.281</w:t>
            </w:r>
          </w:p>
        </w:tc>
        <w:tc>
          <w:tcPr>
            <w:tcW w:w="2367" w:type="dxa"/>
            <w:tcBorders>
              <w:tl2br w:val="nil"/>
              <w:tr2bl w:val="nil"/>
            </w:tcBorders>
            <w:noWrap w:val="0"/>
            <w:tcMar>
              <w:top w:w="15" w:type="dxa"/>
              <w:left w:w="15" w:type="dxa"/>
              <w:right w:w="15" w:type="dxa"/>
            </w:tcMar>
            <w:vAlign w:val="center"/>
          </w:tcPr>
          <w:p w14:paraId="73DEA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二甲苯1.592</w:t>
            </w:r>
          </w:p>
        </w:tc>
        <w:tc>
          <w:tcPr>
            <w:tcW w:w="1170" w:type="dxa"/>
            <w:tcBorders>
              <w:tl2br w:val="nil"/>
              <w:tr2bl w:val="nil"/>
            </w:tcBorders>
            <w:noWrap/>
            <w:tcMar>
              <w:top w:w="15" w:type="dxa"/>
              <w:left w:w="15" w:type="dxa"/>
              <w:right w:w="15" w:type="dxa"/>
            </w:tcMar>
            <w:vAlign w:val="center"/>
          </w:tcPr>
          <w:p w14:paraId="553754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1598.75</w:t>
            </w:r>
          </w:p>
        </w:tc>
        <w:tc>
          <w:tcPr>
            <w:tcW w:w="1061" w:type="dxa"/>
            <w:tcBorders>
              <w:tl2br w:val="nil"/>
              <w:tr2bl w:val="nil"/>
            </w:tcBorders>
            <w:noWrap/>
            <w:tcMar>
              <w:top w:w="15" w:type="dxa"/>
              <w:left w:w="15" w:type="dxa"/>
              <w:right w:w="15" w:type="dxa"/>
            </w:tcMar>
            <w:vAlign w:val="center"/>
          </w:tcPr>
          <w:p w14:paraId="1CF8F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w:t>
            </w:r>
          </w:p>
        </w:tc>
        <w:tc>
          <w:tcPr>
            <w:tcW w:w="953" w:type="dxa"/>
            <w:tcBorders>
              <w:tl2br w:val="nil"/>
              <w:tr2bl w:val="nil"/>
            </w:tcBorders>
            <w:noWrap/>
            <w:tcMar>
              <w:top w:w="15" w:type="dxa"/>
              <w:left w:w="15" w:type="dxa"/>
              <w:right w:w="15" w:type="dxa"/>
            </w:tcMar>
            <w:vAlign w:val="center"/>
          </w:tcPr>
          <w:p w14:paraId="3CBF8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0.007</w:t>
            </w:r>
          </w:p>
        </w:tc>
        <w:tc>
          <w:tcPr>
            <w:tcW w:w="1861" w:type="dxa"/>
            <w:tcBorders>
              <w:tl2br w:val="nil"/>
              <w:tr2bl w:val="nil"/>
            </w:tcBorders>
            <w:noWrap/>
            <w:tcMar>
              <w:top w:w="15" w:type="dxa"/>
              <w:left w:w="15" w:type="dxa"/>
              <w:right w:w="15" w:type="dxa"/>
            </w:tcMar>
            <w:vAlign w:val="center"/>
          </w:tcPr>
          <w:p w14:paraId="666A74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C3B0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3E9A577">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12</w:t>
            </w:r>
          </w:p>
        </w:tc>
        <w:tc>
          <w:tcPr>
            <w:tcW w:w="1525" w:type="dxa"/>
            <w:tcBorders>
              <w:tl2br w:val="nil"/>
              <w:tr2bl w:val="nil"/>
            </w:tcBorders>
            <w:noWrap w:val="0"/>
            <w:tcMar>
              <w:top w:w="15" w:type="dxa"/>
              <w:left w:w="15" w:type="dxa"/>
              <w:right w:w="15" w:type="dxa"/>
            </w:tcMar>
            <w:vAlign w:val="center"/>
          </w:tcPr>
          <w:p w14:paraId="58AC3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湖南浩嘉玻璃有限公司</w:t>
            </w:r>
          </w:p>
        </w:tc>
        <w:tc>
          <w:tcPr>
            <w:tcW w:w="608" w:type="dxa"/>
            <w:tcBorders>
              <w:tl2br w:val="nil"/>
              <w:tr2bl w:val="nil"/>
            </w:tcBorders>
            <w:noWrap w:val="0"/>
            <w:tcMar>
              <w:top w:w="15" w:type="dxa"/>
              <w:left w:w="15" w:type="dxa"/>
              <w:right w:w="15" w:type="dxa"/>
            </w:tcMar>
            <w:vAlign w:val="center"/>
          </w:tcPr>
          <w:p w14:paraId="64BC1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3983.97</w:t>
            </w:r>
          </w:p>
        </w:tc>
        <w:tc>
          <w:tcPr>
            <w:tcW w:w="750" w:type="dxa"/>
            <w:tcBorders>
              <w:tl2br w:val="nil"/>
              <w:tr2bl w:val="nil"/>
            </w:tcBorders>
            <w:noWrap/>
            <w:tcMar>
              <w:top w:w="15" w:type="dxa"/>
              <w:left w:w="15" w:type="dxa"/>
              <w:right w:w="15" w:type="dxa"/>
            </w:tcMar>
            <w:vAlign w:val="center"/>
          </w:tcPr>
          <w:p w14:paraId="0251FC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91" w:type="dxa"/>
            <w:tcBorders>
              <w:tl2br w:val="nil"/>
              <w:tr2bl w:val="nil"/>
            </w:tcBorders>
            <w:noWrap/>
            <w:tcMar>
              <w:top w:w="15" w:type="dxa"/>
              <w:left w:w="15" w:type="dxa"/>
              <w:right w:w="15" w:type="dxa"/>
            </w:tcMar>
            <w:vAlign w:val="center"/>
          </w:tcPr>
          <w:p w14:paraId="24D87D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1C94C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498E1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0.0192</w:t>
            </w:r>
          </w:p>
        </w:tc>
        <w:tc>
          <w:tcPr>
            <w:tcW w:w="2367" w:type="dxa"/>
            <w:tcBorders>
              <w:tl2br w:val="nil"/>
              <w:tr2bl w:val="nil"/>
            </w:tcBorders>
            <w:noWrap/>
            <w:tcMar>
              <w:top w:w="15" w:type="dxa"/>
              <w:left w:w="15" w:type="dxa"/>
              <w:right w:w="15" w:type="dxa"/>
            </w:tcMar>
            <w:vAlign w:val="center"/>
          </w:tcPr>
          <w:p w14:paraId="5867D8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445FC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358.4</w:t>
            </w:r>
          </w:p>
        </w:tc>
        <w:tc>
          <w:tcPr>
            <w:tcW w:w="1061" w:type="dxa"/>
            <w:tcBorders>
              <w:tl2br w:val="nil"/>
              <w:tr2bl w:val="nil"/>
            </w:tcBorders>
            <w:noWrap/>
            <w:tcMar>
              <w:top w:w="15" w:type="dxa"/>
              <w:left w:w="15" w:type="dxa"/>
              <w:right w:w="15" w:type="dxa"/>
            </w:tcMar>
            <w:vAlign w:val="center"/>
          </w:tcPr>
          <w:p w14:paraId="192DF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0.0179</w:t>
            </w:r>
          </w:p>
        </w:tc>
        <w:tc>
          <w:tcPr>
            <w:tcW w:w="953" w:type="dxa"/>
            <w:tcBorders>
              <w:tl2br w:val="nil"/>
              <w:tr2bl w:val="nil"/>
            </w:tcBorders>
            <w:noWrap/>
            <w:tcMar>
              <w:top w:w="15" w:type="dxa"/>
              <w:left w:w="15" w:type="dxa"/>
              <w:right w:w="15" w:type="dxa"/>
            </w:tcMar>
            <w:vAlign w:val="center"/>
          </w:tcPr>
          <w:p w14:paraId="1CD06D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0.0029</w:t>
            </w:r>
          </w:p>
        </w:tc>
        <w:tc>
          <w:tcPr>
            <w:tcW w:w="1861" w:type="dxa"/>
            <w:tcBorders>
              <w:tl2br w:val="nil"/>
              <w:tr2bl w:val="nil"/>
            </w:tcBorders>
            <w:noWrap/>
            <w:tcMar>
              <w:top w:w="15" w:type="dxa"/>
              <w:left w:w="15" w:type="dxa"/>
              <w:right w:w="15" w:type="dxa"/>
            </w:tcMar>
            <w:vAlign w:val="center"/>
          </w:tcPr>
          <w:p w14:paraId="2EAFF4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4ED1B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D4EF15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13</w:t>
            </w:r>
          </w:p>
        </w:tc>
        <w:tc>
          <w:tcPr>
            <w:tcW w:w="1525" w:type="dxa"/>
            <w:tcBorders>
              <w:tl2br w:val="nil"/>
              <w:tr2bl w:val="nil"/>
            </w:tcBorders>
            <w:noWrap w:val="0"/>
            <w:tcMar>
              <w:top w:w="15" w:type="dxa"/>
              <w:left w:w="15" w:type="dxa"/>
              <w:right w:w="15" w:type="dxa"/>
            </w:tcMar>
            <w:vAlign w:val="center"/>
          </w:tcPr>
          <w:p w14:paraId="7390B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湖南罗丹莫纳照明科技有限公司</w:t>
            </w:r>
          </w:p>
        </w:tc>
        <w:tc>
          <w:tcPr>
            <w:tcW w:w="608" w:type="dxa"/>
            <w:tcBorders>
              <w:tl2br w:val="nil"/>
              <w:tr2bl w:val="nil"/>
            </w:tcBorders>
            <w:noWrap w:val="0"/>
            <w:tcMar>
              <w:top w:w="15" w:type="dxa"/>
              <w:left w:w="15" w:type="dxa"/>
              <w:right w:w="15" w:type="dxa"/>
            </w:tcMar>
            <w:vAlign w:val="center"/>
          </w:tcPr>
          <w:p w14:paraId="2140B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19905</w:t>
            </w:r>
          </w:p>
        </w:tc>
        <w:tc>
          <w:tcPr>
            <w:tcW w:w="750" w:type="dxa"/>
            <w:tcBorders>
              <w:tl2br w:val="nil"/>
              <w:tr2bl w:val="nil"/>
            </w:tcBorders>
            <w:noWrap/>
            <w:tcMar>
              <w:top w:w="15" w:type="dxa"/>
              <w:left w:w="15" w:type="dxa"/>
              <w:right w:w="15" w:type="dxa"/>
            </w:tcMar>
            <w:vAlign w:val="center"/>
          </w:tcPr>
          <w:p w14:paraId="2A699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0.2088</w:t>
            </w:r>
          </w:p>
        </w:tc>
        <w:tc>
          <w:tcPr>
            <w:tcW w:w="991" w:type="dxa"/>
            <w:tcBorders>
              <w:tl2br w:val="nil"/>
              <w:tr2bl w:val="nil"/>
            </w:tcBorders>
            <w:noWrap/>
            <w:tcMar>
              <w:top w:w="15" w:type="dxa"/>
              <w:left w:w="15" w:type="dxa"/>
              <w:right w:w="15" w:type="dxa"/>
            </w:tcMar>
            <w:vAlign w:val="center"/>
          </w:tcPr>
          <w:p w14:paraId="509687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B2319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1FD4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0.1609</w:t>
            </w:r>
          </w:p>
        </w:tc>
        <w:tc>
          <w:tcPr>
            <w:tcW w:w="2367" w:type="dxa"/>
            <w:tcBorders>
              <w:tl2br w:val="nil"/>
              <w:tr2bl w:val="nil"/>
            </w:tcBorders>
            <w:noWrap/>
            <w:tcMar>
              <w:top w:w="15" w:type="dxa"/>
              <w:left w:w="15" w:type="dxa"/>
              <w:right w:w="15" w:type="dxa"/>
            </w:tcMar>
            <w:vAlign w:val="center"/>
          </w:tcPr>
          <w:p w14:paraId="41B10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甲苯0.034、二甲苯0.033t、锡及其化合物0.0004</w:t>
            </w:r>
          </w:p>
        </w:tc>
        <w:tc>
          <w:tcPr>
            <w:tcW w:w="1170" w:type="dxa"/>
            <w:tcBorders>
              <w:tl2br w:val="nil"/>
              <w:tr2bl w:val="nil"/>
            </w:tcBorders>
            <w:noWrap/>
            <w:tcMar>
              <w:top w:w="15" w:type="dxa"/>
              <w:left w:w="15" w:type="dxa"/>
              <w:right w:w="15" w:type="dxa"/>
            </w:tcMar>
            <w:vAlign w:val="center"/>
          </w:tcPr>
          <w:p w14:paraId="30851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6960</w:t>
            </w:r>
          </w:p>
        </w:tc>
        <w:tc>
          <w:tcPr>
            <w:tcW w:w="1061" w:type="dxa"/>
            <w:tcBorders>
              <w:tl2br w:val="nil"/>
              <w:tr2bl w:val="nil"/>
            </w:tcBorders>
            <w:noWrap/>
            <w:tcMar>
              <w:top w:w="15" w:type="dxa"/>
              <w:left w:w="15" w:type="dxa"/>
              <w:right w:w="15" w:type="dxa"/>
            </w:tcMar>
            <w:vAlign w:val="center"/>
          </w:tcPr>
          <w:p w14:paraId="7DB36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0.348</w:t>
            </w:r>
          </w:p>
        </w:tc>
        <w:tc>
          <w:tcPr>
            <w:tcW w:w="953" w:type="dxa"/>
            <w:tcBorders>
              <w:tl2br w:val="nil"/>
              <w:tr2bl w:val="nil"/>
            </w:tcBorders>
            <w:noWrap/>
            <w:tcMar>
              <w:top w:w="15" w:type="dxa"/>
              <w:left w:w="15" w:type="dxa"/>
              <w:right w:w="15" w:type="dxa"/>
            </w:tcMar>
            <w:vAlign w:val="center"/>
          </w:tcPr>
          <w:p w14:paraId="48C8D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0.0557</w:t>
            </w:r>
          </w:p>
        </w:tc>
        <w:tc>
          <w:tcPr>
            <w:tcW w:w="1861" w:type="dxa"/>
            <w:tcBorders>
              <w:tl2br w:val="nil"/>
              <w:tr2bl w:val="nil"/>
            </w:tcBorders>
            <w:noWrap/>
            <w:tcMar>
              <w:top w:w="15" w:type="dxa"/>
              <w:left w:w="15" w:type="dxa"/>
              <w:right w:w="15" w:type="dxa"/>
            </w:tcMar>
            <w:vAlign w:val="center"/>
          </w:tcPr>
          <w:p w14:paraId="64C7E5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508C1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8EF7EB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14</w:t>
            </w:r>
          </w:p>
        </w:tc>
        <w:tc>
          <w:tcPr>
            <w:tcW w:w="1525" w:type="dxa"/>
            <w:tcBorders>
              <w:tl2br w:val="nil"/>
              <w:tr2bl w:val="nil"/>
            </w:tcBorders>
            <w:noWrap w:val="0"/>
            <w:tcMar>
              <w:top w:w="15" w:type="dxa"/>
              <w:left w:w="15" w:type="dxa"/>
              <w:right w:w="15" w:type="dxa"/>
            </w:tcMar>
            <w:vAlign w:val="center"/>
          </w:tcPr>
          <w:p w14:paraId="2CAEF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湖南湘重工程设备有限公司</w:t>
            </w:r>
          </w:p>
        </w:tc>
        <w:tc>
          <w:tcPr>
            <w:tcW w:w="608" w:type="dxa"/>
            <w:tcBorders>
              <w:tl2br w:val="nil"/>
              <w:tr2bl w:val="nil"/>
            </w:tcBorders>
            <w:noWrap w:val="0"/>
            <w:tcMar>
              <w:top w:w="15" w:type="dxa"/>
              <w:left w:w="15" w:type="dxa"/>
              <w:right w:w="15" w:type="dxa"/>
            </w:tcMar>
            <w:vAlign w:val="center"/>
          </w:tcPr>
          <w:p w14:paraId="3822A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27929.59</w:t>
            </w:r>
          </w:p>
        </w:tc>
        <w:tc>
          <w:tcPr>
            <w:tcW w:w="750" w:type="dxa"/>
            <w:tcBorders>
              <w:tl2br w:val="nil"/>
              <w:tr2bl w:val="nil"/>
            </w:tcBorders>
            <w:noWrap/>
            <w:tcMar>
              <w:top w:w="15" w:type="dxa"/>
              <w:left w:w="15" w:type="dxa"/>
              <w:right w:w="15" w:type="dxa"/>
            </w:tcMar>
            <w:vAlign w:val="center"/>
          </w:tcPr>
          <w:p w14:paraId="41A4F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0.514</w:t>
            </w:r>
          </w:p>
        </w:tc>
        <w:tc>
          <w:tcPr>
            <w:tcW w:w="991" w:type="dxa"/>
            <w:tcBorders>
              <w:tl2br w:val="nil"/>
              <w:tr2bl w:val="nil"/>
            </w:tcBorders>
            <w:noWrap/>
            <w:tcMar>
              <w:top w:w="15" w:type="dxa"/>
              <w:left w:w="15" w:type="dxa"/>
              <w:right w:w="15" w:type="dxa"/>
            </w:tcMar>
            <w:vAlign w:val="center"/>
          </w:tcPr>
          <w:p w14:paraId="2E0DCB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881D8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38A13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1.015</w:t>
            </w:r>
          </w:p>
        </w:tc>
        <w:tc>
          <w:tcPr>
            <w:tcW w:w="2367" w:type="dxa"/>
            <w:tcBorders>
              <w:tl2br w:val="nil"/>
              <w:tr2bl w:val="nil"/>
            </w:tcBorders>
            <w:noWrap w:val="0"/>
            <w:tcMar>
              <w:top w:w="15" w:type="dxa"/>
              <w:left w:w="15" w:type="dxa"/>
              <w:right w:w="15" w:type="dxa"/>
            </w:tcMar>
            <w:vAlign w:val="center"/>
          </w:tcPr>
          <w:p w14:paraId="0D69E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二甲苯0.441</w:t>
            </w:r>
          </w:p>
        </w:tc>
        <w:tc>
          <w:tcPr>
            <w:tcW w:w="1170" w:type="dxa"/>
            <w:tcBorders>
              <w:tl2br w:val="nil"/>
              <w:tr2bl w:val="nil"/>
            </w:tcBorders>
            <w:noWrap/>
            <w:tcMar>
              <w:top w:w="15" w:type="dxa"/>
              <w:left w:w="15" w:type="dxa"/>
              <w:right w:w="15" w:type="dxa"/>
            </w:tcMar>
            <w:vAlign w:val="center"/>
          </w:tcPr>
          <w:p w14:paraId="52100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15926</w:t>
            </w:r>
          </w:p>
        </w:tc>
        <w:tc>
          <w:tcPr>
            <w:tcW w:w="1061" w:type="dxa"/>
            <w:tcBorders>
              <w:tl2br w:val="nil"/>
              <w:tr2bl w:val="nil"/>
            </w:tcBorders>
            <w:noWrap/>
            <w:tcMar>
              <w:top w:w="15" w:type="dxa"/>
              <w:left w:w="15" w:type="dxa"/>
              <w:right w:w="15" w:type="dxa"/>
            </w:tcMar>
            <w:vAlign w:val="center"/>
          </w:tcPr>
          <w:p w14:paraId="133873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0.7963</w:t>
            </w:r>
          </w:p>
        </w:tc>
        <w:tc>
          <w:tcPr>
            <w:tcW w:w="953" w:type="dxa"/>
            <w:tcBorders>
              <w:tl2br w:val="nil"/>
              <w:tr2bl w:val="nil"/>
            </w:tcBorders>
            <w:noWrap/>
            <w:tcMar>
              <w:top w:w="15" w:type="dxa"/>
              <w:left w:w="15" w:type="dxa"/>
              <w:right w:w="15" w:type="dxa"/>
            </w:tcMar>
            <w:vAlign w:val="center"/>
          </w:tcPr>
          <w:p w14:paraId="17FE0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0.1274</w:t>
            </w:r>
          </w:p>
        </w:tc>
        <w:tc>
          <w:tcPr>
            <w:tcW w:w="1861" w:type="dxa"/>
            <w:tcBorders>
              <w:tl2br w:val="nil"/>
              <w:tr2bl w:val="nil"/>
            </w:tcBorders>
            <w:noWrap/>
            <w:tcMar>
              <w:top w:w="15" w:type="dxa"/>
              <w:left w:w="15" w:type="dxa"/>
              <w:right w:w="15" w:type="dxa"/>
            </w:tcMar>
            <w:vAlign w:val="center"/>
          </w:tcPr>
          <w:p w14:paraId="1F655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D0BD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F83F02B">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15</w:t>
            </w:r>
          </w:p>
        </w:tc>
        <w:tc>
          <w:tcPr>
            <w:tcW w:w="1525" w:type="dxa"/>
            <w:tcBorders>
              <w:tl2br w:val="nil"/>
              <w:tr2bl w:val="nil"/>
            </w:tcBorders>
            <w:noWrap w:val="0"/>
            <w:tcMar>
              <w:top w:w="15" w:type="dxa"/>
              <w:left w:w="15" w:type="dxa"/>
              <w:right w:w="15" w:type="dxa"/>
            </w:tcMar>
            <w:vAlign w:val="center"/>
          </w:tcPr>
          <w:p w14:paraId="4274E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湖南体兴建筑材料有限公司</w:t>
            </w:r>
          </w:p>
        </w:tc>
        <w:tc>
          <w:tcPr>
            <w:tcW w:w="608" w:type="dxa"/>
            <w:tcBorders>
              <w:tl2br w:val="nil"/>
              <w:tr2bl w:val="nil"/>
            </w:tcBorders>
            <w:noWrap w:val="0"/>
            <w:tcMar>
              <w:top w:w="15" w:type="dxa"/>
              <w:left w:w="15" w:type="dxa"/>
              <w:right w:w="15" w:type="dxa"/>
            </w:tcMar>
            <w:vAlign w:val="center"/>
          </w:tcPr>
          <w:p w14:paraId="6DA35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20000</w:t>
            </w:r>
          </w:p>
        </w:tc>
        <w:tc>
          <w:tcPr>
            <w:tcW w:w="750" w:type="dxa"/>
            <w:tcBorders>
              <w:tl2br w:val="nil"/>
              <w:tr2bl w:val="nil"/>
            </w:tcBorders>
            <w:noWrap/>
            <w:tcMar>
              <w:top w:w="15" w:type="dxa"/>
              <w:left w:w="15" w:type="dxa"/>
              <w:right w:w="15" w:type="dxa"/>
            </w:tcMar>
            <w:vAlign w:val="center"/>
          </w:tcPr>
          <w:p w14:paraId="01905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0.0093</w:t>
            </w:r>
          </w:p>
        </w:tc>
        <w:tc>
          <w:tcPr>
            <w:tcW w:w="991" w:type="dxa"/>
            <w:tcBorders>
              <w:tl2br w:val="nil"/>
              <w:tr2bl w:val="nil"/>
            </w:tcBorders>
            <w:noWrap/>
            <w:tcMar>
              <w:top w:w="15" w:type="dxa"/>
              <w:left w:w="15" w:type="dxa"/>
              <w:right w:w="15" w:type="dxa"/>
            </w:tcMar>
            <w:vAlign w:val="center"/>
          </w:tcPr>
          <w:p w14:paraId="34BBC7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185AA3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3DEF3C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p>
        </w:tc>
        <w:tc>
          <w:tcPr>
            <w:tcW w:w="2367" w:type="dxa"/>
            <w:tcBorders>
              <w:tl2br w:val="nil"/>
              <w:tr2bl w:val="nil"/>
            </w:tcBorders>
            <w:noWrap/>
            <w:tcMar>
              <w:top w:w="15" w:type="dxa"/>
              <w:left w:w="15" w:type="dxa"/>
              <w:right w:w="15" w:type="dxa"/>
            </w:tcMar>
            <w:vAlign w:val="center"/>
          </w:tcPr>
          <w:p w14:paraId="28D422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6E0BF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1047</w:t>
            </w:r>
          </w:p>
        </w:tc>
        <w:tc>
          <w:tcPr>
            <w:tcW w:w="1061" w:type="dxa"/>
            <w:tcBorders>
              <w:tl2br w:val="nil"/>
              <w:tr2bl w:val="nil"/>
            </w:tcBorders>
            <w:noWrap/>
            <w:tcMar>
              <w:top w:w="15" w:type="dxa"/>
              <w:left w:w="15" w:type="dxa"/>
              <w:right w:w="15" w:type="dxa"/>
            </w:tcMar>
            <w:vAlign w:val="center"/>
          </w:tcPr>
          <w:p w14:paraId="52C59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0.0524</w:t>
            </w:r>
          </w:p>
        </w:tc>
        <w:tc>
          <w:tcPr>
            <w:tcW w:w="953" w:type="dxa"/>
            <w:tcBorders>
              <w:tl2br w:val="nil"/>
              <w:tr2bl w:val="nil"/>
            </w:tcBorders>
            <w:noWrap/>
            <w:tcMar>
              <w:top w:w="15" w:type="dxa"/>
              <w:left w:w="15" w:type="dxa"/>
              <w:right w:w="15" w:type="dxa"/>
            </w:tcMar>
            <w:vAlign w:val="center"/>
          </w:tcPr>
          <w:p w14:paraId="43E05B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0.0084</w:t>
            </w:r>
          </w:p>
        </w:tc>
        <w:tc>
          <w:tcPr>
            <w:tcW w:w="1861" w:type="dxa"/>
            <w:tcBorders>
              <w:tl2br w:val="nil"/>
              <w:tr2bl w:val="nil"/>
            </w:tcBorders>
            <w:noWrap/>
            <w:tcMar>
              <w:top w:w="15" w:type="dxa"/>
              <w:left w:w="15" w:type="dxa"/>
              <w:right w:w="15" w:type="dxa"/>
            </w:tcMar>
            <w:vAlign w:val="center"/>
          </w:tcPr>
          <w:p w14:paraId="490523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F182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F091AC8">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16</w:t>
            </w:r>
          </w:p>
        </w:tc>
        <w:tc>
          <w:tcPr>
            <w:tcW w:w="1525" w:type="dxa"/>
            <w:tcBorders>
              <w:tl2br w:val="nil"/>
              <w:tr2bl w:val="nil"/>
            </w:tcBorders>
            <w:noWrap w:val="0"/>
            <w:tcMar>
              <w:top w:w="15" w:type="dxa"/>
              <w:left w:w="15" w:type="dxa"/>
              <w:right w:w="15" w:type="dxa"/>
            </w:tcMar>
            <w:vAlign w:val="center"/>
          </w:tcPr>
          <w:p w14:paraId="14F9B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湖南湘一智能工程机械有限公司</w:t>
            </w:r>
          </w:p>
        </w:tc>
        <w:tc>
          <w:tcPr>
            <w:tcW w:w="608" w:type="dxa"/>
            <w:tcBorders>
              <w:tl2br w:val="nil"/>
              <w:tr2bl w:val="nil"/>
            </w:tcBorders>
            <w:noWrap w:val="0"/>
            <w:tcMar>
              <w:top w:w="15" w:type="dxa"/>
              <w:left w:w="15" w:type="dxa"/>
              <w:right w:w="15" w:type="dxa"/>
            </w:tcMar>
            <w:vAlign w:val="center"/>
          </w:tcPr>
          <w:p w14:paraId="7CD57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29115</w:t>
            </w:r>
          </w:p>
        </w:tc>
        <w:tc>
          <w:tcPr>
            <w:tcW w:w="750" w:type="dxa"/>
            <w:tcBorders>
              <w:tl2br w:val="nil"/>
              <w:tr2bl w:val="nil"/>
            </w:tcBorders>
            <w:noWrap/>
            <w:tcMar>
              <w:top w:w="15" w:type="dxa"/>
              <w:left w:w="15" w:type="dxa"/>
              <w:right w:w="15" w:type="dxa"/>
            </w:tcMar>
            <w:vAlign w:val="center"/>
          </w:tcPr>
          <w:p w14:paraId="0502D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0.774</w:t>
            </w:r>
          </w:p>
        </w:tc>
        <w:tc>
          <w:tcPr>
            <w:tcW w:w="991" w:type="dxa"/>
            <w:tcBorders>
              <w:tl2br w:val="nil"/>
              <w:tr2bl w:val="nil"/>
            </w:tcBorders>
            <w:noWrap/>
            <w:tcMar>
              <w:top w:w="15" w:type="dxa"/>
              <w:left w:w="15" w:type="dxa"/>
              <w:right w:w="15" w:type="dxa"/>
            </w:tcMar>
            <w:vAlign w:val="center"/>
          </w:tcPr>
          <w:p w14:paraId="028040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8D179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0E5DA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2.2</w:t>
            </w:r>
          </w:p>
        </w:tc>
        <w:tc>
          <w:tcPr>
            <w:tcW w:w="2367" w:type="dxa"/>
            <w:tcBorders>
              <w:tl2br w:val="nil"/>
              <w:tr2bl w:val="nil"/>
            </w:tcBorders>
            <w:noWrap w:val="0"/>
            <w:tcMar>
              <w:top w:w="15" w:type="dxa"/>
              <w:left w:w="15" w:type="dxa"/>
              <w:right w:w="15" w:type="dxa"/>
            </w:tcMar>
            <w:vAlign w:val="center"/>
          </w:tcPr>
          <w:p w14:paraId="3B65E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甲苯0.072、二甲苯0.1136</w:t>
            </w:r>
          </w:p>
        </w:tc>
        <w:tc>
          <w:tcPr>
            <w:tcW w:w="1170" w:type="dxa"/>
            <w:tcBorders>
              <w:tl2br w:val="nil"/>
              <w:tr2bl w:val="nil"/>
            </w:tcBorders>
            <w:noWrap/>
            <w:tcMar>
              <w:top w:w="15" w:type="dxa"/>
              <w:left w:w="15" w:type="dxa"/>
              <w:right w:w="15" w:type="dxa"/>
            </w:tcMar>
            <w:vAlign w:val="center"/>
          </w:tcPr>
          <w:p w14:paraId="4F3F3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14754.75</w:t>
            </w:r>
          </w:p>
        </w:tc>
        <w:tc>
          <w:tcPr>
            <w:tcW w:w="1061" w:type="dxa"/>
            <w:tcBorders>
              <w:tl2br w:val="nil"/>
              <w:tr2bl w:val="nil"/>
            </w:tcBorders>
            <w:noWrap/>
            <w:tcMar>
              <w:top w:w="15" w:type="dxa"/>
              <w:left w:w="15" w:type="dxa"/>
              <w:right w:w="15" w:type="dxa"/>
            </w:tcMar>
            <w:vAlign w:val="center"/>
          </w:tcPr>
          <w:p w14:paraId="1BF3D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0.738</w:t>
            </w:r>
          </w:p>
        </w:tc>
        <w:tc>
          <w:tcPr>
            <w:tcW w:w="953" w:type="dxa"/>
            <w:tcBorders>
              <w:tl2br w:val="nil"/>
              <w:tr2bl w:val="nil"/>
            </w:tcBorders>
            <w:noWrap/>
            <w:tcMar>
              <w:top w:w="15" w:type="dxa"/>
              <w:left w:w="15" w:type="dxa"/>
              <w:right w:w="15" w:type="dxa"/>
            </w:tcMar>
            <w:vAlign w:val="center"/>
          </w:tcPr>
          <w:p w14:paraId="26B71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0.0738</w:t>
            </w:r>
          </w:p>
        </w:tc>
        <w:tc>
          <w:tcPr>
            <w:tcW w:w="1861" w:type="dxa"/>
            <w:tcBorders>
              <w:tl2br w:val="nil"/>
              <w:tr2bl w:val="nil"/>
            </w:tcBorders>
            <w:noWrap/>
            <w:tcMar>
              <w:top w:w="15" w:type="dxa"/>
              <w:left w:w="15" w:type="dxa"/>
              <w:right w:w="15" w:type="dxa"/>
            </w:tcMar>
            <w:vAlign w:val="center"/>
          </w:tcPr>
          <w:p w14:paraId="547105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F7D6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CAE007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17</w:t>
            </w:r>
          </w:p>
        </w:tc>
        <w:tc>
          <w:tcPr>
            <w:tcW w:w="1525" w:type="dxa"/>
            <w:tcBorders>
              <w:tl2br w:val="nil"/>
              <w:tr2bl w:val="nil"/>
            </w:tcBorders>
            <w:noWrap w:val="0"/>
            <w:tcMar>
              <w:top w:w="15" w:type="dxa"/>
              <w:left w:w="15" w:type="dxa"/>
              <w:right w:w="15" w:type="dxa"/>
            </w:tcMar>
            <w:vAlign w:val="center"/>
          </w:tcPr>
          <w:p w14:paraId="371DD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湖南赛迈斯智能装备有限公司</w:t>
            </w:r>
          </w:p>
        </w:tc>
        <w:tc>
          <w:tcPr>
            <w:tcW w:w="608" w:type="dxa"/>
            <w:tcBorders>
              <w:tl2br w:val="nil"/>
              <w:tr2bl w:val="nil"/>
            </w:tcBorders>
            <w:noWrap w:val="0"/>
            <w:tcMar>
              <w:top w:w="15" w:type="dxa"/>
              <w:left w:w="15" w:type="dxa"/>
              <w:right w:w="15" w:type="dxa"/>
            </w:tcMar>
            <w:vAlign w:val="center"/>
          </w:tcPr>
          <w:p w14:paraId="516D6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20000</w:t>
            </w:r>
          </w:p>
        </w:tc>
        <w:tc>
          <w:tcPr>
            <w:tcW w:w="750" w:type="dxa"/>
            <w:tcBorders>
              <w:tl2br w:val="nil"/>
              <w:tr2bl w:val="nil"/>
            </w:tcBorders>
            <w:noWrap/>
            <w:tcMar>
              <w:top w:w="15" w:type="dxa"/>
              <w:left w:w="15" w:type="dxa"/>
              <w:right w:w="15" w:type="dxa"/>
            </w:tcMar>
            <w:vAlign w:val="center"/>
          </w:tcPr>
          <w:p w14:paraId="36390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0.388</w:t>
            </w:r>
          </w:p>
        </w:tc>
        <w:tc>
          <w:tcPr>
            <w:tcW w:w="991" w:type="dxa"/>
            <w:tcBorders>
              <w:tl2br w:val="nil"/>
              <w:tr2bl w:val="nil"/>
            </w:tcBorders>
            <w:noWrap/>
            <w:tcMar>
              <w:top w:w="15" w:type="dxa"/>
              <w:left w:w="15" w:type="dxa"/>
              <w:right w:w="15" w:type="dxa"/>
            </w:tcMar>
            <w:vAlign w:val="center"/>
          </w:tcPr>
          <w:p w14:paraId="220025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601A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2584D6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kern w:val="2"/>
                <w:sz w:val="21"/>
                <w:szCs w:val="21"/>
                <w:u w:val="none"/>
                <w:lang w:val="en-US" w:eastAsia="zh-CN" w:bidi="ar-SA"/>
              </w:rPr>
            </w:pPr>
          </w:p>
        </w:tc>
        <w:tc>
          <w:tcPr>
            <w:tcW w:w="2367" w:type="dxa"/>
            <w:tcBorders>
              <w:tl2br w:val="nil"/>
              <w:tr2bl w:val="nil"/>
            </w:tcBorders>
            <w:noWrap/>
            <w:tcMar>
              <w:top w:w="15" w:type="dxa"/>
              <w:left w:w="15" w:type="dxa"/>
              <w:right w:w="15" w:type="dxa"/>
            </w:tcMar>
            <w:vAlign w:val="center"/>
          </w:tcPr>
          <w:p w14:paraId="409BE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440D8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540</w:t>
            </w:r>
          </w:p>
        </w:tc>
        <w:tc>
          <w:tcPr>
            <w:tcW w:w="1061" w:type="dxa"/>
            <w:tcBorders>
              <w:tl2br w:val="nil"/>
              <w:tr2bl w:val="nil"/>
            </w:tcBorders>
            <w:noWrap/>
            <w:tcMar>
              <w:top w:w="15" w:type="dxa"/>
              <w:left w:w="15" w:type="dxa"/>
              <w:right w:w="15" w:type="dxa"/>
            </w:tcMar>
            <w:vAlign w:val="center"/>
          </w:tcPr>
          <w:p w14:paraId="1C4470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53" w:type="dxa"/>
            <w:tcBorders>
              <w:tl2br w:val="nil"/>
              <w:tr2bl w:val="nil"/>
            </w:tcBorders>
            <w:noWrap/>
            <w:tcMar>
              <w:top w:w="15" w:type="dxa"/>
              <w:left w:w="15" w:type="dxa"/>
              <w:right w:w="15" w:type="dxa"/>
            </w:tcMar>
            <w:vAlign w:val="center"/>
          </w:tcPr>
          <w:p w14:paraId="765999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861" w:type="dxa"/>
            <w:tcBorders>
              <w:tl2br w:val="nil"/>
              <w:tr2bl w:val="nil"/>
            </w:tcBorders>
            <w:noWrap/>
            <w:tcMar>
              <w:top w:w="15" w:type="dxa"/>
              <w:left w:w="15" w:type="dxa"/>
              <w:right w:w="15" w:type="dxa"/>
            </w:tcMar>
            <w:vAlign w:val="center"/>
          </w:tcPr>
          <w:p w14:paraId="1B4990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53B2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14D7B44">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18</w:t>
            </w:r>
          </w:p>
        </w:tc>
        <w:tc>
          <w:tcPr>
            <w:tcW w:w="1525" w:type="dxa"/>
            <w:tcBorders>
              <w:tl2br w:val="nil"/>
              <w:tr2bl w:val="nil"/>
            </w:tcBorders>
            <w:noWrap w:val="0"/>
            <w:tcMar>
              <w:top w:w="15" w:type="dxa"/>
              <w:left w:w="15" w:type="dxa"/>
              <w:right w:w="15" w:type="dxa"/>
            </w:tcMar>
            <w:vAlign w:val="center"/>
          </w:tcPr>
          <w:p w14:paraId="65E72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湖南筑睿重工科技股份有限公司（原湖南筑睿重工科技有限公司）</w:t>
            </w:r>
          </w:p>
        </w:tc>
        <w:tc>
          <w:tcPr>
            <w:tcW w:w="608" w:type="dxa"/>
            <w:tcBorders>
              <w:tl2br w:val="nil"/>
              <w:tr2bl w:val="nil"/>
            </w:tcBorders>
            <w:noWrap w:val="0"/>
            <w:tcMar>
              <w:top w:w="15" w:type="dxa"/>
              <w:left w:w="15" w:type="dxa"/>
              <w:right w:w="15" w:type="dxa"/>
            </w:tcMar>
            <w:vAlign w:val="center"/>
          </w:tcPr>
          <w:p w14:paraId="2D894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24773</w:t>
            </w:r>
          </w:p>
        </w:tc>
        <w:tc>
          <w:tcPr>
            <w:tcW w:w="750" w:type="dxa"/>
            <w:tcBorders>
              <w:tl2br w:val="nil"/>
              <w:tr2bl w:val="nil"/>
            </w:tcBorders>
            <w:noWrap/>
            <w:tcMar>
              <w:top w:w="15" w:type="dxa"/>
              <w:left w:w="15" w:type="dxa"/>
              <w:right w:w="15" w:type="dxa"/>
            </w:tcMar>
            <w:vAlign w:val="center"/>
          </w:tcPr>
          <w:p w14:paraId="34482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0.8713</w:t>
            </w:r>
          </w:p>
        </w:tc>
        <w:tc>
          <w:tcPr>
            <w:tcW w:w="991" w:type="dxa"/>
            <w:tcBorders>
              <w:tl2br w:val="nil"/>
              <w:tr2bl w:val="nil"/>
            </w:tcBorders>
            <w:noWrap/>
            <w:tcMar>
              <w:top w:w="15" w:type="dxa"/>
              <w:left w:w="15" w:type="dxa"/>
              <w:right w:w="15" w:type="dxa"/>
            </w:tcMar>
            <w:vAlign w:val="center"/>
          </w:tcPr>
          <w:p w14:paraId="789507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2C1588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17F15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0.189</w:t>
            </w:r>
          </w:p>
        </w:tc>
        <w:tc>
          <w:tcPr>
            <w:tcW w:w="2367" w:type="dxa"/>
            <w:tcBorders>
              <w:tl2br w:val="nil"/>
              <w:tr2bl w:val="nil"/>
            </w:tcBorders>
            <w:noWrap/>
            <w:tcMar>
              <w:top w:w="15" w:type="dxa"/>
              <w:left w:w="15" w:type="dxa"/>
              <w:right w:w="15" w:type="dxa"/>
            </w:tcMar>
            <w:vAlign w:val="center"/>
          </w:tcPr>
          <w:p w14:paraId="3EAED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二甲苯0.0684</w:t>
            </w:r>
          </w:p>
        </w:tc>
        <w:tc>
          <w:tcPr>
            <w:tcW w:w="1170" w:type="dxa"/>
            <w:tcBorders>
              <w:tl2br w:val="nil"/>
              <w:tr2bl w:val="nil"/>
            </w:tcBorders>
            <w:noWrap/>
            <w:tcMar>
              <w:top w:w="15" w:type="dxa"/>
              <w:left w:w="15" w:type="dxa"/>
              <w:right w:w="15" w:type="dxa"/>
            </w:tcMar>
            <w:vAlign w:val="center"/>
          </w:tcPr>
          <w:p w14:paraId="1B209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1536</w:t>
            </w:r>
          </w:p>
        </w:tc>
        <w:tc>
          <w:tcPr>
            <w:tcW w:w="1061" w:type="dxa"/>
            <w:tcBorders>
              <w:tl2br w:val="nil"/>
              <w:tr2bl w:val="nil"/>
            </w:tcBorders>
            <w:noWrap/>
            <w:tcMar>
              <w:top w:w="15" w:type="dxa"/>
              <w:left w:w="15" w:type="dxa"/>
              <w:right w:w="15" w:type="dxa"/>
            </w:tcMar>
            <w:vAlign w:val="center"/>
          </w:tcPr>
          <w:p w14:paraId="31C61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0.0768</w:t>
            </w:r>
          </w:p>
        </w:tc>
        <w:tc>
          <w:tcPr>
            <w:tcW w:w="953" w:type="dxa"/>
            <w:tcBorders>
              <w:tl2br w:val="nil"/>
              <w:tr2bl w:val="nil"/>
            </w:tcBorders>
            <w:noWrap/>
            <w:tcMar>
              <w:top w:w="15" w:type="dxa"/>
              <w:left w:w="15" w:type="dxa"/>
              <w:right w:w="15" w:type="dxa"/>
            </w:tcMar>
            <w:vAlign w:val="center"/>
          </w:tcPr>
          <w:p w14:paraId="2C5FC4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0.0123</w:t>
            </w:r>
          </w:p>
        </w:tc>
        <w:tc>
          <w:tcPr>
            <w:tcW w:w="1861" w:type="dxa"/>
            <w:tcBorders>
              <w:tl2br w:val="nil"/>
              <w:tr2bl w:val="nil"/>
            </w:tcBorders>
            <w:noWrap/>
            <w:tcMar>
              <w:top w:w="15" w:type="dxa"/>
              <w:left w:w="15" w:type="dxa"/>
              <w:right w:w="15" w:type="dxa"/>
            </w:tcMar>
            <w:vAlign w:val="center"/>
          </w:tcPr>
          <w:p w14:paraId="33F707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031E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E912D2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19</w:t>
            </w:r>
          </w:p>
        </w:tc>
        <w:tc>
          <w:tcPr>
            <w:tcW w:w="1525" w:type="dxa"/>
            <w:tcBorders>
              <w:tl2br w:val="nil"/>
              <w:tr2bl w:val="nil"/>
            </w:tcBorders>
            <w:noWrap w:val="0"/>
            <w:tcMar>
              <w:top w:w="15" w:type="dxa"/>
              <w:left w:w="15" w:type="dxa"/>
              <w:right w:w="15" w:type="dxa"/>
            </w:tcMar>
            <w:vAlign w:val="center"/>
          </w:tcPr>
          <w:p w14:paraId="0FC6A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湖南瑞福莱交通科技有限公司</w:t>
            </w:r>
          </w:p>
        </w:tc>
        <w:tc>
          <w:tcPr>
            <w:tcW w:w="608" w:type="dxa"/>
            <w:tcBorders>
              <w:tl2br w:val="nil"/>
              <w:tr2bl w:val="nil"/>
            </w:tcBorders>
            <w:noWrap w:val="0"/>
            <w:tcMar>
              <w:top w:w="15" w:type="dxa"/>
              <w:left w:w="15" w:type="dxa"/>
              <w:right w:w="15" w:type="dxa"/>
            </w:tcMar>
            <w:vAlign w:val="center"/>
          </w:tcPr>
          <w:p w14:paraId="45831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47106.24</w:t>
            </w:r>
          </w:p>
        </w:tc>
        <w:tc>
          <w:tcPr>
            <w:tcW w:w="750" w:type="dxa"/>
            <w:tcBorders>
              <w:tl2br w:val="nil"/>
              <w:tr2bl w:val="nil"/>
            </w:tcBorders>
            <w:noWrap/>
            <w:tcMar>
              <w:top w:w="15" w:type="dxa"/>
              <w:left w:w="15" w:type="dxa"/>
              <w:right w:w="15" w:type="dxa"/>
            </w:tcMar>
            <w:vAlign w:val="center"/>
          </w:tcPr>
          <w:p w14:paraId="1B8BB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1.3264</w:t>
            </w:r>
          </w:p>
        </w:tc>
        <w:tc>
          <w:tcPr>
            <w:tcW w:w="991" w:type="dxa"/>
            <w:tcBorders>
              <w:tl2br w:val="nil"/>
              <w:tr2bl w:val="nil"/>
            </w:tcBorders>
            <w:noWrap/>
            <w:tcMar>
              <w:top w:w="15" w:type="dxa"/>
              <w:left w:w="15" w:type="dxa"/>
              <w:right w:w="15" w:type="dxa"/>
            </w:tcMar>
            <w:vAlign w:val="center"/>
          </w:tcPr>
          <w:p w14:paraId="0489C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0.071</w:t>
            </w:r>
          </w:p>
        </w:tc>
        <w:tc>
          <w:tcPr>
            <w:tcW w:w="901" w:type="dxa"/>
            <w:tcBorders>
              <w:tl2br w:val="nil"/>
              <w:tr2bl w:val="nil"/>
            </w:tcBorders>
            <w:noWrap/>
            <w:tcMar>
              <w:top w:w="15" w:type="dxa"/>
              <w:left w:w="15" w:type="dxa"/>
              <w:right w:w="15" w:type="dxa"/>
            </w:tcMar>
            <w:vAlign w:val="center"/>
          </w:tcPr>
          <w:p w14:paraId="00D8E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w:t>
            </w:r>
          </w:p>
        </w:tc>
        <w:tc>
          <w:tcPr>
            <w:tcW w:w="1249" w:type="dxa"/>
            <w:tcBorders>
              <w:tl2br w:val="nil"/>
              <w:tr2bl w:val="nil"/>
            </w:tcBorders>
            <w:noWrap/>
            <w:tcMar>
              <w:top w:w="15" w:type="dxa"/>
              <w:left w:w="15" w:type="dxa"/>
              <w:right w:w="15" w:type="dxa"/>
            </w:tcMar>
            <w:vAlign w:val="center"/>
          </w:tcPr>
          <w:p w14:paraId="074A14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1.206</w:t>
            </w:r>
          </w:p>
        </w:tc>
        <w:tc>
          <w:tcPr>
            <w:tcW w:w="2367" w:type="dxa"/>
            <w:tcBorders>
              <w:tl2br w:val="nil"/>
              <w:tr2bl w:val="nil"/>
            </w:tcBorders>
            <w:noWrap w:val="0"/>
            <w:tcMar>
              <w:top w:w="15" w:type="dxa"/>
              <w:left w:w="15" w:type="dxa"/>
              <w:right w:w="15" w:type="dxa"/>
            </w:tcMar>
            <w:vAlign w:val="center"/>
          </w:tcPr>
          <w:p w14:paraId="6B45E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氯化氢0.243kg/a</w:t>
            </w:r>
          </w:p>
        </w:tc>
        <w:tc>
          <w:tcPr>
            <w:tcW w:w="1170" w:type="dxa"/>
            <w:tcBorders>
              <w:tl2br w:val="nil"/>
              <w:tr2bl w:val="nil"/>
            </w:tcBorders>
            <w:noWrap/>
            <w:tcMar>
              <w:top w:w="15" w:type="dxa"/>
              <w:left w:w="15" w:type="dxa"/>
              <w:right w:w="15" w:type="dxa"/>
            </w:tcMar>
            <w:vAlign w:val="center"/>
          </w:tcPr>
          <w:p w14:paraId="2A4B0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4825.6</w:t>
            </w:r>
          </w:p>
        </w:tc>
        <w:tc>
          <w:tcPr>
            <w:tcW w:w="1061" w:type="dxa"/>
            <w:tcBorders>
              <w:tl2br w:val="nil"/>
              <w:tr2bl w:val="nil"/>
            </w:tcBorders>
            <w:noWrap/>
            <w:tcMar>
              <w:top w:w="15" w:type="dxa"/>
              <w:left w:w="15" w:type="dxa"/>
              <w:right w:w="15" w:type="dxa"/>
            </w:tcMar>
            <w:vAlign w:val="center"/>
          </w:tcPr>
          <w:p w14:paraId="0C813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1.45</w:t>
            </w:r>
          </w:p>
        </w:tc>
        <w:tc>
          <w:tcPr>
            <w:tcW w:w="953" w:type="dxa"/>
            <w:tcBorders>
              <w:tl2br w:val="nil"/>
              <w:tr2bl w:val="nil"/>
            </w:tcBorders>
            <w:noWrap/>
            <w:tcMar>
              <w:top w:w="15" w:type="dxa"/>
              <w:left w:w="15" w:type="dxa"/>
              <w:right w:w="15" w:type="dxa"/>
            </w:tcMar>
            <w:vAlign w:val="center"/>
          </w:tcPr>
          <w:p w14:paraId="71B46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0.145</w:t>
            </w:r>
          </w:p>
        </w:tc>
        <w:tc>
          <w:tcPr>
            <w:tcW w:w="1861" w:type="dxa"/>
            <w:tcBorders>
              <w:tl2br w:val="nil"/>
              <w:tr2bl w:val="nil"/>
            </w:tcBorders>
            <w:noWrap/>
            <w:tcMar>
              <w:top w:w="15" w:type="dxa"/>
              <w:left w:w="15" w:type="dxa"/>
              <w:right w:w="15" w:type="dxa"/>
            </w:tcMar>
            <w:vAlign w:val="center"/>
          </w:tcPr>
          <w:p w14:paraId="56E19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2279B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07598A3">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20</w:t>
            </w:r>
          </w:p>
        </w:tc>
        <w:tc>
          <w:tcPr>
            <w:tcW w:w="1525" w:type="dxa"/>
            <w:tcBorders>
              <w:tl2br w:val="nil"/>
              <w:tr2bl w:val="nil"/>
            </w:tcBorders>
            <w:noWrap w:val="0"/>
            <w:tcMar>
              <w:top w:w="15" w:type="dxa"/>
              <w:left w:w="15" w:type="dxa"/>
              <w:right w:w="15" w:type="dxa"/>
            </w:tcMar>
            <w:vAlign w:val="center"/>
          </w:tcPr>
          <w:p w14:paraId="3D2A4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湖南星通天晟汽车科技有限公司</w:t>
            </w:r>
          </w:p>
        </w:tc>
        <w:tc>
          <w:tcPr>
            <w:tcW w:w="608" w:type="dxa"/>
            <w:tcBorders>
              <w:tl2br w:val="nil"/>
              <w:tr2bl w:val="nil"/>
            </w:tcBorders>
            <w:noWrap w:val="0"/>
            <w:tcMar>
              <w:top w:w="15" w:type="dxa"/>
              <w:left w:w="15" w:type="dxa"/>
              <w:right w:w="15" w:type="dxa"/>
            </w:tcMar>
            <w:vAlign w:val="center"/>
          </w:tcPr>
          <w:p w14:paraId="3FB31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39755.23</w:t>
            </w:r>
          </w:p>
        </w:tc>
        <w:tc>
          <w:tcPr>
            <w:tcW w:w="750" w:type="dxa"/>
            <w:tcBorders>
              <w:tl2br w:val="nil"/>
              <w:tr2bl w:val="nil"/>
            </w:tcBorders>
            <w:noWrap/>
            <w:tcMar>
              <w:top w:w="15" w:type="dxa"/>
              <w:left w:w="15" w:type="dxa"/>
              <w:right w:w="15" w:type="dxa"/>
            </w:tcMar>
            <w:vAlign w:val="center"/>
          </w:tcPr>
          <w:p w14:paraId="36574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0.895</w:t>
            </w:r>
          </w:p>
        </w:tc>
        <w:tc>
          <w:tcPr>
            <w:tcW w:w="991" w:type="dxa"/>
            <w:tcBorders>
              <w:tl2br w:val="nil"/>
              <w:tr2bl w:val="nil"/>
            </w:tcBorders>
            <w:noWrap/>
            <w:tcMar>
              <w:top w:w="15" w:type="dxa"/>
              <w:left w:w="15" w:type="dxa"/>
              <w:right w:w="15" w:type="dxa"/>
            </w:tcMar>
            <w:vAlign w:val="center"/>
          </w:tcPr>
          <w:p w14:paraId="004D1F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778518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600E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0.715</w:t>
            </w:r>
          </w:p>
        </w:tc>
        <w:tc>
          <w:tcPr>
            <w:tcW w:w="2367" w:type="dxa"/>
            <w:tcBorders>
              <w:tl2br w:val="nil"/>
              <w:tr2bl w:val="nil"/>
            </w:tcBorders>
            <w:noWrap w:val="0"/>
            <w:tcMar>
              <w:top w:w="15" w:type="dxa"/>
              <w:left w:w="15" w:type="dxa"/>
              <w:right w:w="15" w:type="dxa"/>
            </w:tcMar>
            <w:vAlign w:val="center"/>
          </w:tcPr>
          <w:p w14:paraId="0B78FE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二甲苯0.141</w:t>
            </w:r>
          </w:p>
        </w:tc>
        <w:tc>
          <w:tcPr>
            <w:tcW w:w="1170" w:type="dxa"/>
            <w:tcBorders>
              <w:tl2br w:val="nil"/>
              <w:tr2bl w:val="nil"/>
            </w:tcBorders>
            <w:noWrap/>
            <w:tcMar>
              <w:top w:w="15" w:type="dxa"/>
              <w:left w:w="15" w:type="dxa"/>
              <w:right w:w="15" w:type="dxa"/>
            </w:tcMar>
            <w:vAlign w:val="center"/>
          </w:tcPr>
          <w:p w14:paraId="536B2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4176</w:t>
            </w:r>
          </w:p>
        </w:tc>
        <w:tc>
          <w:tcPr>
            <w:tcW w:w="1061" w:type="dxa"/>
            <w:tcBorders>
              <w:tl2br w:val="nil"/>
              <w:tr2bl w:val="nil"/>
            </w:tcBorders>
            <w:noWrap/>
            <w:tcMar>
              <w:top w:w="15" w:type="dxa"/>
              <w:left w:w="15" w:type="dxa"/>
              <w:right w:w="15" w:type="dxa"/>
            </w:tcMar>
            <w:vAlign w:val="center"/>
          </w:tcPr>
          <w:p w14:paraId="10187D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0.2088</w:t>
            </w:r>
          </w:p>
        </w:tc>
        <w:tc>
          <w:tcPr>
            <w:tcW w:w="953" w:type="dxa"/>
            <w:tcBorders>
              <w:tl2br w:val="nil"/>
              <w:tr2bl w:val="nil"/>
            </w:tcBorders>
            <w:noWrap/>
            <w:tcMar>
              <w:top w:w="15" w:type="dxa"/>
              <w:left w:w="15" w:type="dxa"/>
              <w:right w:w="15" w:type="dxa"/>
            </w:tcMar>
            <w:vAlign w:val="center"/>
          </w:tcPr>
          <w:p w14:paraId="7C315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0.0334</w:t>
            </w:r>
          </w:p>
        </w:tc>
        <w:tc>
          <w:tcPr>
            <w:tcW w:w="1861" w:type="dxa"/>
            <w:tcBorders>
              <w:tl2br w:val="nil"/>
              <w:tr2bl w:val="nil"/>
            </w:tcBorders>
            <w:noWrap/>
            <w:tcMar>
              <w:top w:w="15" w:type="dxa"/>
              <w:left w:w="15" w:type="dxa"/>
              <w:right w:w="15" w:type="dxa"/>
            </w:tcMar>
            <w:vAlign w:val="center"/>
          </w:tcPr>
          <w:p w14:paraId="06692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D100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8ED866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21</w:t>
            </w:r>
          </w:p>
        </w:tc>
        <w:tc>
          <w:tcPr>
            <w:tcW w:w="1525" w:type="dxa"/>
            <w:tcBorders>
              <w:tl2br w:val="nil"/>
              <w:tr2bl w:val="nil"/>
            </w:tcBorders>
            <w:noWrap w:val="0"/>
            <w:tcMar>
              <w:top w:w="15" w:type="dxa"/>
              <w:left w:w="15" w:type="dxa"/>
              <w:right w:w="15" w:type="dxa"/>
            </w:tcMar>
            <w:vAlign w:val="center"/>
          </w:tcPr>
          <w:p w14:paraId="18D13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湖南星通三俊专用汽车制造有限公司</w:t>
            </w:r>
          </w:p>
        </w:tc>
        <w:tc>
          <w:tcPr>
            <w:tcW w:w="608" w:type="dxa"/>
            <w:tcBorders>
              <w:tl2br w:val="nil"/>
              <w:tr2bl w:val="nil"/>
            </w:tcBorders>
            <w:noWrap w:val="0"/>
            <w:tcMar>
              <w:top w:w="15" w:type="dxa"/>
              <w:left w:w="15" w:type="dxa"/>
              <w:right w:w="15" w:type="dxa"/>
            </w:tcMar>
            <w:vAlign w:val="center"/>
          </w:tcPr>
          <w:p w14:paraId="5498E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2845</w:t>
            </w:r>
          </w:p>
        </w:tc>
        <w:tc>
          <w:tcPr>
            <w:tcW w:w="750" w:type="dxa"/>
            <w:tcBorders>
              <w:tl2br w:val="nil"/>
              <w:tr2bl w:val="nil"/>
            </w:tcBorders>
            <w:noWrap/>
            <w:tcMar>
              <w:top w:w="15" w:type="dxa"/>
              <w:left w:w="15" w:type="dxa"/>
              <w:right w:w="15" w:type="dxa"/>
            </w:tcMar>
            <w:vAlign w:val="center"/>
          </w:tcPr>
          <w:p w14:paraId="4B548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0.0473</w:t>
            </w:r>
          </w:p>
        </w:tc>
        <w:tc>
          <w:tcPr>
            <w:tcW w:w="991" w:type="dxa"/>
            <w:tcBorders>
              <w:tl2br w:val="nil"/>
              <w:tr2bl w:val="nil"/>
            </w:tcBorders>
            <w:noWrap/>
            <w:tcMar>
              <w:top w:w="15" w:type="dxa"/>
              <w:left w:w="15" w:type="dxa"/>
              <w:right w:w="15" w:type="dxa"/>
            </w:tcMar>
            <w:vAlign w:val="center"/>
          </w:tcPr>
          <w:p w14:paraId="763947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2E43AF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2F73F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0.406</w:t>
            </w:r>
          </w:p>
        </w:tc>
        <w:tc>
          <w:tcPr>
            <w:tcW w:w="2367" w:type="dxa"/>
            <w:tcBorders>
              <w:tl2br w:val="nil"/>
              <w:tr2bl w:val="nil"/>
            </w:tcBorders>
            <w:noWrap w:val="0"/>
            <w:tcMar>
              <w:top w:w="15" w:type="dxa"/>
              <w:left w:w="15" w:type="dxa"/>
              <w:right w:w="15" w:type="dxa"/>
            </w:tcMar>
            <w:vAlign w:val="center"/>
          </w:tcPr>
          <w:p w14:paraId="3A7BC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二甲苯0.191</w:t>
            </w:r>
          </w:p>
        </w:tc>
        <w:tc>
          <w:tcPr>
            <w:tcW w:w="1170" w:type="dxa"/>
            <w:tcBorders>
              <w:tl2br w:val="nil"/>
              <w:tr2bl w:val="nil"/>
            </w:tcBorders>
            <w:noWrap/>
            <w:tcMar>
              <w:top w:w="15" w:type="dxa"/>
              <w:left w:w="15" w:type="dxa"/>
              <w:right w:w="15" w:type="dxa"/>
            </w:tcMar>
            <w:vAlign w:val="center"/>
          </w:tcPr>
          <w:p w14:paraId="48038C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381..6</w:t>
            </w:r>
          </w:p>
        </w:tc>
        <w:tc>
          <w:tcPr>
            <w:tcW w:w="1061" w:type="dxa"/>
            <w:tcBorders>
              <w:tl2br w:val="nil"/>
              <w:tr2bl w:val="nil"/>
            </w:tcBorders>
            <w:noWrap/>
            <w:tcMar>
              <w:top w:w="15" w:type="dxa"/>
              <w:left w:w="15" w:type="dxa"/>
              <w:right w:w="15" w:type="dxa"/>
            </w:tcMar>
            <w:vAlign w:val="center"/>
          </w:tcPr>
          <w:p w14:paraId="6A5A2A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0.019</w:t>
            </w:r>
          </w:p>
        </w:tc>
        <w:tc>
          <w:tcPr>
            <w:tcW w:w="953" w:type="dxa"/>
            <w:tcBorders>
              <w:tl2br w:val="nil"/>
              <w:tr2bl w:val="nil"/>
            </w:tcBorders>
            <w:noWrap/>
            <w:tcMar>
              <w:top w:w="15" w:type="dxa"/>
              <w:left w:w="15" w:type="dxa"/>
              <w:right w:w="15" w:type="dxa"/>
            </w:tcMar>
            <w:vAlign w:val="center"/>
          </w:tcPr>
          <w:p w14:paraId="1513BF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0.002</w:t>
            </w:r>
          </w:p>
        </w:tc>
        <w:tc>
          <w:tcPr>
            <w:tcW w:w="1861" w:type="dxa"/>
            <w:tcBorders>
              <w:tl2br w:val="nil"/>
              <w:tr2bl w:val="nil"/>
            </w:tcBorders>
            <w:noWrap/>
            <w:tcMar>
              <w:top w:w="15" w:type="dxa"/>
              <w:left w:w="15" w:type="dxa"/>
              <w:right w:w="15" w:type="dxa"/>
            </w:tcMar>
            <w:vAlign w:val="center"/>
          </w:tcPr>
          <w:p w14:paraId="39D28B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9F57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549A853">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22</w:t>
            </w:r>
          </w:p>
        </w:tc>
        <w:tc>
          <w:tcPr>
            <w:tcW w:w="1525" w:type="dxa"/>
            <w:tcBorders>
              <w:tl2br w:val="nil"/>
              <w:tr2bl w:val="nil"/>
            </w:tcBorders>
            <w:noWrap w:val="0"/>
            <w:tcMar>
              <w:top w:w="15" w:type="dxa"/>
              <w:left w:w="15" w:type="dxa"/>
              <w:right w:w="15" w:type="dxa"/>
            </w:tcMar>
            <w:vAlign w:val="center"/>
          </w:tcPr>
          <w:p w14:paraId="50C19E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长沙市成诚工程机械租赁有限公司汨罗分公司</w:t>
            </w:r>
          </w:p>
        </w:tc>
        <w:tc>
          <w:tcPr>
            <w:tcW w:w="608" w:type="dxa"/>
            <w:tcBorders>
              <w:tl2br w:val="nil"/>
              <w:tr2bl w:val="nil"/>
            </w:tcBorders>
            <w:noWrap w:val="0"/>
            <w:tcMar>
              <w:top w:w="15" w:type="dxa"/>
              <w:left w:w="15" w:type="dxa"/>
              <w:right w:w="15" w:type="dxa"/>
            </w:tcMar>
            <w:vAlign w:val="center"/>
          </w:tcPr>
          <w:p w14:paraId="0529B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53462</w:t>
            </w:r>
          </w:p>
        </w:tc>
        <w:tc>
          <w:tcPr>
            <w:tcW w:w="750" w:type="dxa"/>
            <w:tcBorders>
              <w:tl2br w:val="nil"/>
              <w:tr2bl w:val="nil"/>
            </w:tcBorders>
            <w:noWrap/>
            <w:tcMar>
              <w:top w:w="15" w:type="dxa"/>
              <w:left w:w="15" w:type="dxa"/>
              <w:right w:w="15" w:type="dxa"/>
            </w:tcMar>
            <w:vAlign w:val="center"/>
          </w:tcPr>
          <w:p w14:paraId="62C122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0.13</w:t>
            </w:r>
          </w:p>
        </w:tc>
        <w:tc>
          <w:tcPr>
            <w:tcW w:w="991" w:type="dxa"/>
            <w:tcBorders>
              <w:tl2br w:val="nil"/>
              <w:tr2bl w:val="nil"/>
            </w:tcBorders>
            <w:noWrap/>
            <w:tcMar>
              <w:top w:w="15" w:type="dxa"/>
              <w:left w:w="15" w:type="dxa"/>
              <w:right w:w="15" w:type="dxa"/>
            </w:tcMar>
            <w:vAlign w:val="center"/>
          </w:tcPr>
          <w:p w14:paraId="1AC49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901" w:type="dxa"/>
            <w:tcBorders>
              <w:tl2br w:val="nil"/>
              <w:tr2bl w:val="nil"/>
            </w:tcBorders>
            <w:noWrap/>
            <w:tcMar>
              <w:top w:w="15" w:type="dxa"/>
              <w:left w:w="15" w:type="dxa"/>
              <w:right w:w="15" w:type="dxa"/>
            </w:tcMar>
            <w:vAlign w:val="center"/>
          </w:tcPr>
          <w:p w14:paraId="4CFB5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0.004</w:t>
            </w:r>
          </w:p>
        </w:tc>
        <w:tc>
          <w:tcPr>
            <w:tcW w:w="1249" w:type="dxa"/>
            <w:tcBorders>
              <w:tl2br w:val="nil"/>
              <w:tr2bl w:val="nil"/>
            </w:tcBorders>
            <w:noWrap/>
            <w:tcMar>
              <w:top w:w="15" w:type="dxa"/>
              <w:left w:w="15" w:type="dxa"/>
              <w:right w:w="15" w:type="dxa"/>
            </w:tcMar>
            <w:vAlign w:val="center"/>
          </w:tcPr>
          <w:p w14:paraId="0875D4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0.23</w:t>
            </w:r>
          </w:p>
        </w:tc>
        <w:tc>
          <w:tcPr>
            <w:tcW w:w="2367" w:type="dxa"/>
            <w:tcBorders>
              <w:tl2br w:val="nil"/>
              <w:tr2bl w:val="nil"/>
            </w:tcBorders>
            <w:noWrap w:val="0"/>
            <w:tcMar>
              <w:top w:w="15" w:type="dxa"/>
              <w:left w:w="15" w:type="dxa"/>
              <w:right w:w="15" w:type="dxa"/>
            </w:tcMar>
            <w:vAlign w:val="center"/>
          </w:tcPr>
          <w:p w14:paraId="236401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35684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1972</w:t>
            </w:r>
          </w:p>
        </w:tc>
        <w:tc>
          <w:tcPr>
            <w:tcW w:w="1061" w:type="dxa"/>
            <w:tcBorders>
              <w:tl2br w:val="nil"/>
              <w:tr2bl w:val="nil"/>
            </w:tcBorders>
            <w:noWrap/>
            <w:tcMar>
              <w:top w:w="15" w:type="dxa"/>
              <w:left w:w="15" w:type="dxa"/>
              <w:right w:w="15" w:type="dxa"/>
            </w:tcMar>
            <w:vAlign w:val="center"/>
          </w:tcPr>
          <w:p w14:paraId="40E5BF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953" w:type="dxa"/>
            <w:tcBorders>
              <w:tl2br w:val="nil"/>
              <w:tr2bl w:val="nil"/>
            </w:tcBorders>
            <w:noWrap/>
            <w:tcMar>
              <w:top w:w="15" w:type="dxa"/>
              <w:left w:w="15" w:type="dxa"/>
              <w:right w:w="15" w:type="dxa"/>
            </w:tcMar>
            <w:vAlign w:val="center"/>
          </w:tcPr>
          <w:p w14:paraId="4E381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0.016</w:t>
            </w:r>
          </w:p>
        </w:tc>
        <w:tc>
          <w:tcPr>
            <w:tcW w:w="1861" w:type="dxa"/>
            <w:tcBorders>
              <w:tl2br w:val="nil"/>
              <w:tr2bl w:val="nil"/>
            </w:tcBorders>
            <w:noWrap/>
            <w:tcMar>
              <w:top w:w="15" w:type="dxa"/>
              <w:left w:w="15" w:type="dxa"/>
              <w:right w:w="15" w:type="dxa"/>
            </w:tcMar>
            <w:vAlign w:val="center"/>
          </w:tcPr>
          <w:p w14:paraId="45420E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16C16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2DD19A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23</w:t>
            </w:r>
          </w:p>
        </w:tc>
        <w:tc>
          <w:tcPr>
            <w:tcW w:w="1525" w:type="dxa"/>
            <w:tcBorders>
              <w:tl2br w:val="nil"/>
              <w:tr2bl w:val="nil"/>
            </w:tcBorders>
            <w:noWrap w:val="0"/>
            <w:tcMar>
              <w:top w:w="15" w:type="dxa"/>
              <w:left w:w="15" w:type="dxa"/>
              <w:right w:w="15" w:type="dxa"/>
            </w:tcMar>
            <w:vAlign w:val="center"/>
          </w:tcPr>
          <w:p w14:paraId="45DF8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湖南护卫犬金属制品有限公司</w:t>
            </w:r>
          </w:p>
        </w:tc>
        <w:tc>
          <w:tcPr>
            <w:tcW w:w="608" w:type="dxa"/>
            <w:tcBorders>
              <w:tl2br w:val="nil"/>
              <w:tr2bl w:val="nil"/>
            </w:tcBorders>
            <w:noWrap w:val="0"/>
            <w:tcMar>
              <w:top w:w="15" w:type="dxa"/>
              <w:left w:w="15" w:type="dxa"/>
              <w:right w:w="15" w:type="dxa"/>
            </w:tcMar>
            <w:vAlign w:val="center"/>
          </w:tcPr>
          <w:p w14:paraId="25148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19136.61</w:t>
            </w:r>
          </w:p>
        </w:tc>
        <w:tc>
          <w:tcPr>
            <w:tcW w:w="750" w:type="dxa"/>
            <w:tcBorders>
              <w:tl2br w:val="nil"/>
              <w:tr2bl w:val="nil"/>
            </w:tcBorders>
            <w:noWrap/>
            <w:tcMar>
              <w:top w:w="15" w:type="dxa"/>
              <w:left w:w="15" w:type="dxa"/>
              <w:right w:w="15" w:type="dxa"/>
            </w:tcMar>
            <w:vAlign w:val="center"/>
          </w:tcPr>
          <w:p w14:paraId="0381A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1.2</w:t>
            </w:r>
          </w:p>
        </w:tc>
        <w:tc>
          <w:tcPr>
            <w:tcW w:w="991" w:type="dxa"/>
            <w:tcBorders>
              <w:tl2br w:val="nil"/>
              <w:tr2bl w:val="nil"/>
            </w:tcBorders>
            <w:noWrap/>
            <w:tcMar>
              <w:top w:w="15" w:type="dxa"/>
              <w:left w:w="15" w:type="dxa"/>
              <w:right w:w="15" w:type="dxa"/>
            </w:tcMar>
            <w:vAlign w:val="center"/>
          </w:tcPr>
          <w:p w14:paraId="490FC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0.004</w:t>
            </w:r>
          </w:p>
        </w:tc>
        <w:tc>
          <w:tcPr>
            <w:tcW w:w="901" w:type="dxa"/>
            <w:tcBorders>
              <w:tl2br w:val="nil"/>
              <w:tr2bl w:val="nil"/>
            </w:tcBorders>
            <w:noWrap/>
            <w:tcMar>
              <w:top w:w="15" w:type="dxa"/>
              <w:left w:w="15" w:type="dxa"/>
              <w:right w:w="15" w:type="dxa"/>
            </w:tcMar>
            <w:vAlign w:val="center"/>
          </w:tcPr>
          <w:p w14:paraId="55D14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0.037</w:t>
            </w:r>
          </w:p>
        </w:tc>
        <w:tc>
          <w:tcPr>
            <w:tcW w:w="1249" w:type="dxa"/>
            <w:tcBorders>
              <w:tl2br w:val="nil"/>
              <w:tr2bl w:val="nil"/>
            </w:tcBorders>
            <w:noWrap/>
            <w:tcMar>
              <w:top w:w="15" w:type="dxa"/>
              <w:left w:w="15" w:type="dxa"/>
              <w:right w:w="15" w:type="dxa"/>
            </w:tcMar>
            <w:vAlign w:val="center"/>
          </w:tcPr>
          <w:p w14:paraId="0943B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0.354</w:t>
            </w:r>
          </w:p>
        </w:tc>
        <w:tc>
          <w:tcPr>
            <w:tcW w:w="2367" w:type="dxa"/>
            <w:tcBorders>
              <w:tl2br w:val="nil"/>
              <w:tr2bl w:val="nil"/>
            </w:tcBorders>
            <w:noWrap/>
            <w:tcMar>
              <w:top w:w="15" w:type="dxa"/>
              <w:left w:w="15" w:type="dxa"/>
              <w:right w:w="15" w:type="dxa"/>
            </w:tcMar>
            <w:vAlign w:val="center"/>
          </w:tcPr>
          <w:p w14:paraId="4E494E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4384F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556.8</w:t>
            </w:r>
          </w:p>
        </w:tc>
        <w:tc>
          <w:tcPr>
            <w:tcW w:w="1061" w:type="dxa"/>
            <w:tcBorders>
              <w:tl2br w:val="nil"/>
              <w:tr2bl w:val="nil"/>
            </w:tcBorders>
            <w:noWrap/>
            <w:tcMar>
              <w:top w:w="15" w:type="dxa"/>
              <w:left w:w="15" w:type="dxa"/>
              <w:right w:w="15" w:type="dxa"/>
            </w:tcMar>
            <w:vAlign w:val="center"/>
          </w:tcPr>
          <w:p w14:paraId="0CF68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0.139</w:t>
            </w:r>
          </w:p>
        </w:tc>
        <w:tc>
          <w:tcPr>
            <w:tcW w:w="953" w:type="dxa"/>
            <w:tcBorders>
              <w:tl2br w:val="nil"/>
              <w:tr2bl w:val="nil"/>
            </w:tcBorders>
            <w:noWrap/>
            <w:tcMar>
              <w:top w:w="15" w:type="dxa"/>
              <w:left w:w="15" w:type="dxa"/>
              <w:right w:w="15" w:type="dxa"/>
            </w:tcMar>
            <w:vAlign w:val="center"/>
          </w:tcPr>
          <w:p w14:paraId="0D06B1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0.014</w:t>
            </w:r>
          </w:p>
        </w:tc>
        <w:tc>
          <w:tcPr>
            <w:tcW w:w="1861" w:type="dxa"/>
            <w:tcBorders>
              <w:tl2br w:val="nil"/>
              <w:tr2bl w:val="nil"/>
            </w:tcBorders>
            <w:noWrap/>
            <w:tcMar>
              <w:top w:w="15" w:type="dxa"/>
              <w:left w:w="15" w:type="dxa"/>
              <w:right w:w="15" w:type="dxa"/>
            </w:tcMar>
            <w:vAlign w:val="center"/>
          </w:tcPr>
          <w:p w14:paraId="735226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9B4E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B0A611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24</w:t>
            </w:r>
          </w:p>
        </w:tc>
        <w:tc>
          <w:tcPr>
            <w:tcW w:w="1525" w:type="dxa"/>
            <w:tcBorders>
              <w:tl2br w:val="nil"/>
              <w:tr2bl w:val="nil"/>
            </w:tcBorders>
            <w:noWrap w:val="0"/>
            <w:tcMar>
              <w:top w:w="15" w:type="dxa"/>
              <w:left w:w="15" w:type="dxa"/>
              <w:right w:w="15" w:type="dxa"/>
            </w:tcMar>
            <w:vAlign w:val="center"/>
          </w:tcPr>
          <w:p w14:paraId="0C074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岳阳优辅家环保材料有限公司</w:t>
            </w:r>
          </w:p>
        </w:tc>
        <w:tc>
          <w:tcPr>
            <w:tcW w:w="608" w:type="dxa"/>
            <w:tcBorders>
              <w:tl2br w:val="nil"/>
              <w:tr2bl w:val="nil"/>
            </w:tcBorders>
            <w:noWrap w:val="0"/>
            <w:tcMar>
              <w:top w:w="15" w:type="dxa"/>
              <w:left w:w="15" w:type="dxa"/>
              <w:right w:w="15" w:type="dxa"/>
            </w:tcMar>
            <w:vAlign w:val="center"/>
          </w:tcPr>
          <w:p w14:paraId="447F5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6068.77</w:t>
            </w:r>
          </w:p>
        </w:tc>
        <w:tc>
          <w:tcPr>
            <w:tcW w:w="750" w:type="dxa"/>
            <w:tcBorders>
              <w:tl2br w:val="nil"/>
              <w:tr2bl w:val="nil"/>
            </w:tcBorders>
            <w:noWrap/>
            <w:tcMar>
              <w:top w:w="15" w:type="dxa"/>
              <w:left w:w="15" w:type="dxa"/>
              <w:right w:w="15" w:type="dxa"/>
            </w:tcMar>
            <w:vAlign w:val="center"/>
          </w:tcPr>
          <w:p w14:paraId="286B4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1.072</w:t>
            </w:r>
          </w:p>
        </w:tc>
        <w:tc>
          <w:tcPr>
            <w:tcW w:w="991" w:type="dxa"/>
            <w:tcBorders>
              <w:tl2br w:val="nil"/>
              <w:tr2bl w:val="nil"/>
            </w:tcBorders>
            <w:noWrap/>
            <w:tcMar>
              <w:top w:w="15" w:type="dxa"/>
              <w:left w:w="15" w:type="dxa"/>
              <w:right w:w="15" w:type="dxa"/>
            </w:tcMar>
            <w:vAlign w:val="center"/>
          </w:tcPr>
          <w:p w14:paraId="4F7474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D4ABA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F289A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tcMar>
              <w:top w:w="15" w:type="dxa"/>
              <w:left w:w="15" w:type="dxa"/>
              <w:right w:w="15" w:type="dxa"/>
            </w:tcMar>
            <w:vAlign w:val="center"/>
          </w:tcPr>
          <w:p w14:paraId="505E4A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5A972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522</w:t>
            </w:r>
          </w:p>
        </w:tc>
        <w:tc>
          <w:tcPr>
            <w:tcW w:w="1061" w:type="dxa"/>
            <w:tcBorders>
              <w:tl2br w:val="nil"/>
              <w:tr2bl w:val="nil"/>
            </w:tcBorders>
            <w:noWrap/>
            <w:tcMar>
              <w:top w:w="15" w:type="dxa"/>
              <w:left w:w="15" w:type="dxa"/>
              <w:right w:w="15" w:type="dxa"/>
            </w:tcMar>
            <w:vAlign w:val="center"/>
          </w:tcPr>
          <w:p w14:paraId="0856D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0.026</w:t>
            </w:r>
          </w:p>
        </w:tc>
        <w:tc>
          <w:tcPr>
            <w:tcW w:w="953" w:type="dxa"/>
            <w:tcBorders>
              <w:tl2br w:val="nil"/>
              <w:tr2bl w:val="nil"/>
            </w:tcBorders>
            <w:noWrap/>
            <w:tcMar>
              <w:top w:w="15" w:type="dxa"/>
              <w:left w:w="15" w:type="dxa"/>
              <w:right w:w="15" w:type="dxa"/>
            </w:tcMar>
            <w:vAlign w:val="center"/>
          </w:tcPr>
          <w:p w14:paraId="36FCB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0.003</w:t>
            </w:r>
          </w:p>
        </w:tc>
        <w:tc>
          <w:tcPr>
            <w:tcW w:w="1861" w:type="dxa"/>
            <w:tcBorders>
              <w:tl2br w:val="nil"/>
              <w:tr2bl w:val="nil"/>
            </w:tcBorders>
            <w:noWrap/>
            <w:tcMar>
              <w:top w:w="15" w:type="dxa"/>
              <w:left w:w="15" w:type="dxa"/>
              <w:right w:w="15" w:type="dxa"/>
            </w:tcMar>
            <w:vAlign w:val="center"/>
          </w:tcPr>
          <w:p w14:paraId="2E2088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E03F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92E7AE3">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25</w:t>
            </w:r>
          </w:p>
        </w:tc>
        <w:tc>
          <w:tcPr>
            <w:tcW w:w="1525" w:type="dxa"/>
            <w:tcBorders>
              <w:tl2br w:val="nil"/>
              <w:tr2bl w:val="nil"/>
            </w:tcBorders>
            <w:noWrap w:val="0"/>
            <w:tcMar>
              <w:top w:w="15" w:type="dxa"/>
              <w:left w:w="15" w:type="dxa"/>
              <w:right w:w="15" w:type="dxa"/>
            </w:tcMar>
            <w:vAlign w:val="center"/>
          </w:tcPr>
          <w:p w14:paraId="2CB06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湖南诺沃科技有限公司</w:t>
            </w:r>
          </w:p>
        </w:tc>
        <w:tc>
          <w:tcPr>
            <w:tcW w:w="608" w:type="dxa"/>
            <w:tcBorders>
              <w:tl2br w:val="nil"/>
              <w:tr2bl w:val="nil"/>
            </w:tcBorders>
            <w:noWrap w:val="0"/>
            <w:tcMar>
              <w:top w:w="15" w:type="dxa"/>
              <w:left w:w="15" w:type="dxa"/>
              <w:right w:w="15" w:type="dxa"/>
            </w:tcMar>
            <w:vAlign w:val="center"/>
          </w:tcPr>
          <w:p w14:paraId="74280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1500</w:t>
            </w:r>
          </w:p>
        </w:tc>
        <w:tc>
          <w:tcPr>
            <w:tcW w:w="750" w:type="dxa"/>
            <w:tcBorders>
              <w:tl2br w:val="nil"/>
              <w:tr2bl w:val="nil"/>
            </w:tcBorders>
            <w:noWrap/>
            <w:tcMar>
              <w:top w:w="15" w:type="dxa"/>
              <w:left w:w="15" w:type="dxa"/>
              <w:right w:w="15" w:type="dxa"/>
            </w:tcMar>
            <w:vAlign w:val="center"/>
          </w:tcPr>
          <w:p w14:paraId="02FF1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0.00725</w:t>
            </w:r>
          </w:p>
        </w:tc>
        <w:tc>
          <w:tcPr>
            <w:tcW w:w="991" w:type="dxa"/>
            <w:tcBorders>
              <w:tl2br w:val="nil"/>
              <w:tr2bl w:val="nil"/>
            </w:tcBorders>
            <w:noWrap/>
            <w:tcMar>
              <w:top w:w="15" w:type="dxa"/>
              <w:left w:w="15" w:type="dxa"/>
              <w:right w:w="15" w:type="dxa"/>
            </w:tcMar>
            <w:vAlign w:val="center"/>
          </w:tcPr>
          <w:p w14:paraId="1A57EB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789668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F7A6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0.0028</w:t>
            </w:r>
          </w:p>
        </w:tc>
        <w:tc>
          <w:tcPr>
            <w:tcW w:w="2367" w:type="dxa"/>
            <w:tcBorders>
              <w:tl2br w:val="nil"/>
              <w:tr2bl w:val="nil"/>
            </w:tcBorders>
            <w:noWrap/>
            <w:tcMar>
              <w:top w:w="15" w:type="dxa"/>
              <w:left w:w="15" w:type="dxa"/>
              <w:right w:w="15" w:type="dxa"/>
            </w:tcMar>
            <w:vAlign w:val="center"/>
          </w:tcPr>
          <w:p w14:paraId="6343A7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7462D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170.1</w:t>
            </w:r>
          </w:p>
        </w:tc>
        <w:tc>
          <w:tcPr>
            <w:tcW w:w="1061" w:type="dxa"/>
            <w:tcBorders>
              <w:tl2br w:val="nil"/>
              <w:tr2bl w:val="nil"/>
            </w:tcBorders>
            <w:noWrap/>
            <w:tcMar>
              <w:top w:w="15" w:type="dxa"/>
              <w:left w:w="15" w:type="dxa"/>
              <w:right w:w="15" w:type="dxa"/>
            </w:tcMar>
            <w:vAlign w:val="center"/>
          </w:tcPr>
          <w:p w14:paraId="18CEB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0.0085</w:t>
            </w:r>
          </w:p>
        </w:tc>
        <w:tc>
          <w:tcPr>
            <w:tcW w:w="953" w:type="dxa"/>
            <w:tcBorders>
              <w:tl2br w:val="nil"/>
              <w:tr2bl w:val="nil"/>
            </w:tcBorders>
            <w:noWrap/>
            <w:tcMar>
              <w:top w:w="15" w:type="dxa"/>
              <w:left w:w="15" w:type="dxa"/>
              <w:right w:w="15" w:type="dxa"/>
            </w:tcMar>
            <w:vAlign w:val="center"/>
          </w:tcPr>
          <w:p w14:paraId="2F3BE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0.0014</w:t>
            </w:r>
          </w:p>
        </w:tc>
        <w:tc>
          <w:tcPr>
            <w:tcW w:w="1861" w:type="dxa"/>
            <w:tcBorders>
              <w:tl2br w:val="nil"/>
              <w:tr2bl w:val="nil"/>
            </w:tcBorders>
            <w:noWrap/>
            <w:tcMar>
              <w:top w:w="15" w:type="dxa"/>
              <w:left w:w="15" w:type="dxa"/>
              <w:right w:w="15" w:type="dxa"/>
            </w:tcMar>
            <w:vAlign w:val="center"/>
          </w:tcPr>
          <w:p w14:paraId="439290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1F482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8F60C11">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26</w:t>
            </w:r>
          </w:p>
        </w:tc>
        <w:tc>
          <w:tcPr>
            <w:tcW w:w="1525" w:type="dxa"/>
            <w:tcBorders>
              <w:tl2br w:val="nil"/>
              <w:tr2bl w:val="nil"/>
            </w:tcBorders>
            <w:noWrap w:val="0"/>
            <w:tcMar>
              <w:top w:w="15" w:type="dxa"/>
              <w:left w:w="15" w:type="dxa"/>
              <w:right w:w="15" w:type="dxa"/>
            </w:tcMar>
            <w:vAlign w:val="center"/>
          </w:tcPr>
          <w:p w14:paraId="3D86E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湖南佰力流体科技有限公司</w:t>
            </w:r>
          </w:p>
        </w:tc>
        <w:tc>
          <w:tcPr>
            <w:tcW w:w="608" w:type="dxa"/>
            <w:tcBorders>
              <w:tl2br w:val="nil"/>
              <w:tr2bl w:val="nil"/>
            </w:tcBorders>
            <w:noWrap w:val="0"/>
            <w:tcMar>
              <w:top w:w="15" w:type="dxa"/>
              <w:left w:w="15" w:type="dxa"/>
              <w:right w:w="15" w:type="dxa"/>
            </w:tcMar>
            <w:vAlign w:val="center"/>
          </w:tcPr>
          <w:p w14:paraId="27148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1827</w:t>
            </w:r>
          </w:p>
        </w:tc>
        <w:tc>
          <w:tcPr>
            <w:tcW w:w="750" w:type="dxa"/>
            <w:tcBorders>
              <w:tl2br w:val="nil"/>
              <w:tr2bl w:val="nil"/>
            </w:tcBorders>
            <w:noWrap/>
            <w:tcMar>
              <w:top w:w="15" w:type="dxa"/>
              <w:left w:w="15" w:type="dxa"/>
              <w:right w:w="15" w:type="dxa"/>
            </w:tcMar>
            <w:vAlign w:val="center"/>
          </w:tcPr>
          <w:p w14:paraId="4E91F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1" w:type="dxa"/>
            <w:tcBorders>
              <w:tl2br w:val="nil"/>
              <w:tr2bl w:val="nil"/>
            </w:tcBorders>
            <w:noWrap/>
            <w:tcMar>
              <w:top w:w="15" w:type="dxa"/>
              <w:left w:w="15" w:type="dxa"/>
              <w:right w:w="15" w:type="dxa"/>
            </w:tcMar>
            <w:vAlign w:val="center"/>
          </w:tcPr>
          <w:p w14:paraId="4C5CB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29D60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49" w:type="dxa"/>
            <w:tcBorders>
              <w:tl2br w:val="nil"/>
              <w:tr2bl w:val="nil"/>
            </w:tcBorders>
            <w:noWrap/>
            <w:tcMar>
              <w:top w:w="15" w:type="dxa"/>
              <w:left w:w="15" w:type="dxa"/>
              <w:right w:w="15" w:type="dxa"/>
            </w:tcMar>
            <w:vAlign w:val="center"/>
          </w:tcPr>
          <w:p w14:paraId="5360F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6FC74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681B5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0660D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4B996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77CE1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5D44E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6259D3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27</w:t>
            </w:r>
          </w:p>
        </w:tc>
        <w:tc>
          <w:tcPr>
            <w:tcW w:w="1525" w:type="dxa"/>
            <w:tcBorders>
              <w:tl2br w:val="nil"/>
              <w:tr2bl w:val="nil"/>
            </w:tcBorders>
            <w:noWrap w:val="0"/>
            <w:tcMar>
              <w:top w:w="15" w:type="dxa"/>
              <w:left w:w="15" w:type="dxa"/>
              <w:right w:w="15" w:type="dxa"/>
            </w:tcMar>
            <w:vAlign w:val="center"/>
          </w:tcPr>
          <w:p w14:paraId="38547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湖南中立智能科技有限公司</w:t>
            </w:r>
          </w:p>
        </w:tc>
        <w:tc>
          <w:tcPr>
            <w:tcW w:w="608" w:type="dxa"/>
            <w:tcBorders>
              <w:tl2br w:val="nil"/>
              <w:tr2bl w:val="nil"/>
            </w:tcBorders>
            <w:noWrap w:val="0"/>
            <w:tcMar>
              <w:top w:w="15" w:type="dxa"/>
              <w:left w:w="15" w:type="dxa"/>
              <w:right w:w="15" w:type="dxa"/>
            </w:tcMar>
            <w:vAlign w:val="center"/>
          </w:tcPr>
          <w:p w14:paraId="6079C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202745</w:t>
            </w:r>
          </w:p>
        </w:tc>
        <w:tc>
          <w:tcPr>
            <w:tcW w:w="750" w:type="dxa"/>
            <w:tcBorders>
              <w:tl2br w:val="nil"/>
              <w:tr2bl w:val="nil"/>
            </w:tcBorders>
            <w:noWrap/>
            <w:tcMar>
              <w:top w:w="15" w:type="dxa"/>
              <w:left w:w="15" w:type="dxa"/>
              <w:right w:w="15" w:type="dxa"/>
            </w:tcMar>
            <w:vAlign w:val="center"/>
          </w:tcPr>
          <w:p w14:paraId="54E714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15.1029</w:t>
            </w:r>
          </w:p>
        </w:tc>
        <w:tc>
          <w:tcPr>
            <w:tcW w:w="991" w:type="dxa"/>
            <w:tcBorders>
              <w:tl2br w:val="nil"/>
              <w:tr2bl w:val="nil"/>
            </w:tcBorders>
            <w:noWrap/>
            <w:tcMar>
              <w:top w:w="15" w:type="dxa"/>
              <w:left w:w="15" w:type="dxa"/>
              <w:right w:w="15" w:type="dxa"/>
            </w:tcMar>
            <w:vAlign w:val="center"/>
          </w:tcPr>
          <w:p w14:paraId="32B47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w:t>
            </w:r>
          </w:p>
        </w:tc>
        <w:tc>
          <w:tcPr>
            <w:tcW w:w="901" w:type="dxa"/>
            <w:tcBorders>
              <w:tl2br w:val="nil"/>
              <w:tr2bl w:val="nil"/>
            </w:tcBorders>
            <w:noWrap/>
            <w:tcMar>
              <w:top w:w="15" w:type="dxa"/>
              <w:left w:w="15" w:type="dxa"/>
              <w:right w:w="15" w:type="dxa"/>
            </w:tcMar>
            <w:vAlign w:val="center"/>
          </w:tcPr>
          <w:p w14:paraId="276AF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4.68</w:t>
            </w:r>
          </w:p>
        </w:tc>
        <w:tc>
          <w:tcPr>
            <w:tcW w:w="1249" w:type="dxa"/>
            <w:tcBorders>
              <w:tl2br w:val="nil"/>
              <w:tr2bl w:val="nil"/>
            </w:tcBorders>
            <w:noWrap/>
            <w:tcMar>
              <w:top w:w="15" w:type="dxa"/>
              <w:left w:w="15" w:type="dxa"/>
              <w:right w:w="15" w:type="dxa"/>
            </w:tcMar>
            <w:vAlign w:val="center"/>
          </w:tcPr>
          <w:p w14:paraId="279593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5.37</w:t>
            </w:r>
          </w:p>
        </w:tc>
        <w:tc>
          <w:tcPr>
            <w:tcW w:w="2367" w:type="dxa"/>
            <w:tcBorders>
              <w:tl2br w:val="nil"/>
              <w:tr2bl w:val="nil"/>
            </w:tcBorders>
            <w:noWrap/>
            <w:tcMar>
              <w:top w:w="15" w:type="dxa"/>
              <w:left w:w="15" w:type="dxa"/>
              <w:right w:w="15" w:type="dxa"/>
            </w:tcMar>
            <w:vAlign w:val="center"/>
          </w:tcPr>
          <w:p w14:paraId="570A8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二甲苯1.023，甲苯0.0025</w:t>
            </w:r>
          </w:p>
        </w:tc>
        <w:tc>
          <w:tcPr>
            <w:tcW w:w="1170" w:type="dxa"/>
            <w:tcBorders>
              <w:tl2br w:val="nil"/>
              <w:tr2bl w:val="nil"/>
            </w:tcBorders>
            <w:noWrap/>
            <w:tcMar>
              <w:top w:w="15" w:type="dxa"/>
              <w:left w:w="15" w:type="dxa"/>
              <w:right w:w="15" w:type="dxa"/>
            </w:tcMar>
            <w:vAlign w:val="center"/>
          </w:tcPr>
          <w:p w14:paraId="373E0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49466.4</w:t>
            </w:r>
          </w:p>
        </w:tc>
        <w:tc>
          <w:tcPr>
            <w:tcW w:w="1061" w:type="dxa"/>
            <w:tcBorders>
              <w:tl2br w:val="nil"/>
              <w:tr2bl w:val="nil"/>
            </w:tcBorders>
            <w:noWrap/>
            <w:tcMar>
              <w:top w:w="15" w:type="dxa"/>
              <w:left w:w="15" w:type="dxa"/>
              <w:right w:w="15" w:type="dxa"/>
            </w:tcMar>
            <w:vAlign w:val="center"/>
          </w:tcPr>
          <w:p w14:paraId="6C7DD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2.5</w:t>
            </w:r>
          </w:p>
        </w:tc>
        <w:tc>
          <w:tcPr>
            <w:tcW w:w="953" w:type="dxa"/>
            <w:tcBorders>
              <w:tl2br w:val="nil"/>
              <w:tr2bl w:val="nil"/>
            </w:tcBorders>
            <w:noWrap/>
            <w:tcMar>
              <w:top w:w="15" w:type="dxa"/>
              <w:left w:w="15" w:type="dxa"/>
              <w:right w:w="15" w:type="dxa"/>
            </w:tcMar>
            <w:vAlign w:val="center"/>
          </w:tcPr>
          <w:p w14:paraId="303B4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w:t>
            </w:r>
          </w:p>
        </w:tc>
        <w:tc>
          <w:tcPr>
            <w:tcW w:w="1861" w:type="dxa"/>
            <w:tcBorders>
              <w:tl2br w:val="nil"/>
              <w:tr2bl w:val="nil"/>
            </w:tcBorders>
            <w:noWrap/>
            <w:tcMar>
              <w:top w:w="15" w:type="dxa"/>
              <w:left w:w="15" w:type="dxa"/>
              <w:right w:w="15" w:type="dxa"/>
            </w:tcMar>
            <w:vAlign w:val="center"/>
          </w:tcPr>
          <w:p w14:paraId="43B73E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4ADB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4F93D0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28</w:t>
            </w:r>
          </w:p>
        </w:tc>
        <w:tc>
          <w:tcPr>
            <w:tcW w:w="1525" w:type="dxa"/>
            <w:tcBorders>
              <w:tl2br w:val="nil"/>
              <w:tr2bl w:val="nil"/>
            </w:tcBorders>
            <w:noWrap w:val="0"/>
            <w:tcMar>
              <w:top w:w="15" w:type="dxa"/>
              <w:left w:w="15" w:type="dxa"/>
              <w:right w:w="15" w:type="dxa"/>
            </w:tcMar>
            <w:vAlign w:val="center"/>
          </w:tcPr>
          <w:p w14:paraId="017EF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湖南鹏翔致远智能装备有限公司</w:t>
            </w:r>
          </w:p>
        </w:tc>
        <w:tc>
          <w:tcPr>
            <w:tcW w:w="608" w:type="dxa"/>
            <w:tcBorders>
              <w:tl2br w:val="nil"/>
              <w:tr2bl w:val="nil"/>
            </w:tcBorders>
            <w:noWrap w:val="0"/>
            <w:tcMar>
              <w:top w:w="15" w:type="dxa"/>
              <w:left w:w="15" w:type="dxa"/>
              <w:right w:w="15" w:type="dxa"/>
            </w:tcMar>
            <w:vAlign w:val="center"/>
          </w:tcPr>
          <w:p w14:paraId="7D234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66684</w:t>
            </w:r>
          </w:p>
        </w:tc>
        <w:tc>
          <w:tcPr>
            <w:tcW w:w="750" w:type="dxa"/>
            <w:tcBorders>
              <w:tl2br w:val="nil"/>
              <w:tr2bl w:val="nil"/>
            </w:tcBorders>
            <w:noWrap/>
            <w:tcMar>
              <w:top w:w="15" w:type="dxa"/>
              <w:left w:w="15" w:type="dxa"/>
              <w:right w:w="15" w:type="dxa"/>
            </w:tcMar>
            <w:vAlign w:val="center"/>
          </w:tcPr>
          <w:p w14:paraId="519679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1.5624</w:t>
            </w:r>
          </w:p>
        </w:tc>
        <w:tc>
          <w:tcPr>
            <w:tcW w:w="991" w:type="dxa"/>
            <w:tcBorders>
              <w:tl2br w:val="nil"/>
              <w:tr2bl w:val="nil"/>
            </w:tcBorders>
            <w:noWrap/>
            <w:tcMar>
              <w:top w:w="15" w:type="dxa"/>
              <w:left w:w="15" w:type="dxa"/>
              <w:right w:w="15" w:type="dxa"/>
            </w:tcMar>
            <w:vAlign w:val="center"/>
          </w:tcPr>
          <w:p w14:paraId="285483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199809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43587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0.366</w:t>
            </w:r>
          </w:p>
        </w:tc>
        <w:tc>
          <w:tcPr>
            <w:tcW w:w="2367" w:type="dxa"/>
            <w:tcBorders>
              <w:tl2br w:val="nil"/>
              <w:tr2bl w:val="nil"/>
            </w:tcBorders>
            <w:noWrap/>
            <w:tcMar>
              <w:top w:w="15" w:type="dxa"/>
              <w:left w:w="15" w:type="dxa"/>
              <w:right w:w="15" w:type="dxa"/>
            </w:tcMar>
            <w:vAlign w:val="center"/>
          </w:tcPr>
          <w:p w14:paraId="3D01BD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二甲苯0.058</w:t>
            </w:r>
          </w:p>
        </w:tc>
        <w:tc>
          <w:tcPr>
            <w:tcW w:w="1170" w:type="dxa"/>
            <w:tcBorders>
              <w:tl2br w:val="nil"/>
              <w:tr2bl w:val="nil"/>
            </w:tcBorders>
            <w:noWrap/>
            <w:tcMar>
              <w:top w:w="15" w:type="dxa"/>
              <w:left w:w="15" w:type="dxa"/>
              <w:right w:w="15" w:type="dxa"/>
            </w:tcMar>
            <w:vAlign w:val="center"/>
          </w:tcPr>
          <w:p w14:paraId="50DF2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3930</w:t>
            </w:r>
          </w:p>
        </w:tc>
        <w:tc>
          <w:tcPr>
            <w:tcW w:w="1061" w:type="dxa"/>
            <w:tcBorders>
              <w:tl2br w:val="nil"/>
              <w:tr2bl w:val="nil"/>
            </w:tcBorders>
            <w:noWrap/>
            <w:tcMar>
              <w:top w:w="15" w:type="dxa"/>
              <w:left w:w="15" w:type="dxa"/>
              <w:right w:w="15" w:type="dxa"/>
            </w:tcMar>
            <w:vAlign w:val="center"/>
          </w:tcPr>
          <w:p w14:paraId="721F9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0.196</w:t>
            </w:r>
          </w:p>
        </w:tc>
        <w:tc>
          <w:tcPr>
            <w:tcW w:w="953" w:type="dxa"/>
            <w:tcBorders>
              <w:tl2br w:val="nil"/>
              <w:tr2bl w:val="nil"/>
            </w:tcBorders>
            <w:noWrap/>
            <w:tcMar>
              <w:top w:w="15" w:type="dxa"/>
              <w:left w:w="15" w:type="dxa"/>
              <w:right w:w="15" w:type="dxa"/>
            </w:tcMar>
            <w:vAlign w:val="center"/>
          </w:tcPr>
          <w:p w14:paraId="2E30F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w:t>
            </w:r>
          </w:p>
        </w:tc>
        <w:tc>
          <w:tcPr>
            <w:tcW w:w="1861" w:type="dxa"/>
            <w:tcBorders>
              <w:tl2br w:val="nil"/>
              <w:tr2bl w:val="nil"/>
            </w:tcBorders>
            <w:noWrap/>
            <w:tcMar>
              <w:top w:w="15" w:type="dxa"/>
              <w:left w:w="15" w:type="dxa"/>
              <w:right w:w="15" w:type="dxa"/>
            </w:tcMar>
            <w:vAlign w:val="center"/>
          </w:tcPr>
          <w:p w14:paraId="7D1DD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B486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8CA1A6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29</w:t>
            </w:r>
          </w:p>
        </w:tc>
        <w:tc>
          <w:tcPr>
            <w:tcW w:w="1525" w:type="dxa"/>
            <w:tcBorders>
              <w:tl2br w:val="nil"/>
              <w:tr2bl w:val="nil"/>
            </w:tcBorders>
            <w:noWrap w:val="0"/>
            <w:tcMar>
              <w:top w:w="15" w:type="dxa"/>
              <w:left w:w="15" w:type="dxa"/>
              <w:right w:w="15" w:type="dxa"/>
            </w:tcMar>
            <w:vAlign w:val="center"/>
          </w:tcPr>
          <w:p w14:paraId="4F2B52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大通宝富（湖南）风机有限公司</w:t>
            </w:r>
          </w:p>
        </w:tc>
        <w:tc>
          <w:tcPr>
            <w:tcW w:w="608" w:type="dxa"/>
            <w:tcBorders>
              <w:tl2br w:val="nil"/>
              <w:tr2bl w:val="nil"/>
            </w:tcBorders>
            <w:noWrap w:val="0"/>
            <w:tcMar>
              <w:top w:w="15" w:type="dxa"/>
              <w:left w:w="15" w:type="dxa"/>
              <w:right w:w="15" w:type="dxa"/>
            </w:tcMar>
            <w:vAlign w:val="center"/>
          </w:tcPr>
          <w:p w14:paraId="089DE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29307</w:t>
            </w:r>
          </w:p>
        </w:tc>
        <w:tc>
          <w:tcPr>
            <w:tcW w:w="750" w:type="dxa"/>
            <w:tcBorders>
              <w:tl2br w:val="nil"/>
              <w:tr2bl w:val="nil"/>
            </w:tcBorders>
            <w:noWrap/>
            <w:tcMar>
              <w:top w:w="15" w:type="dxa"/>
              <w:left w:w="15" w:type="dxa"/>
              <w:right w:w="15" w:type="dxa"/>
            </w:tcMar>
            <w:vAlign w:val="center"/>
          </w:tcPr>
          <w:p w14:paraId="5959E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0.9</w:t>
            </w:r>
          </w:p>
        </w:tc>
        <w:tc>
          <w:tcPr>
            <w:tcW w:w="991" w:type="dxa"/>
            <w:tcBorders>
              <w:tl2br w:val="nil"/>
              <w:tr2bl w:val="nil"/>
            </w:tcBorders>
            <w:noWrap/>
            <w:tcMar>
              <w:top w:w="15" w:type="dxa"/>
              <w:left w:w="15" w:type="dxa"/>
              <w:right w:w="15" w:type="dxa"/>
            </w:tcMar>
            <w:vAlign w:val="center"/>
          </w:tcPr>
          <w:p w14:paraId="6C77A7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723D9D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7762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0.78</w:t>
            </w:r>
          </w:p>
        </w:tc>
        <w:tc>
          <w:tcPr>
            <w:tcW w:w="2367" w:type="dxa"/>
            <w:tcBorders>
              <w:tl2br w:val="nil"/>
              <w:tr2bl w:val="nil"/>
            </w:tcBorders>
            <w:noWrap/>
            <w:tcMar>
              <w:top w:w="15" w:type="dxa"/>
              <w:left w:w="15" w:type="dxa"/>
              <w:right w:w="15" w:type="dxa"/>
            </w:tcMar>
            <w:vAlign w:val="center"/>
          </w:tcPr>
          <w:p w14:paraId="281E13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0FF42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2880</w:t>
            </w:r>
          </w:p>
        </w:tc>
        <w:tc>
          <w:tcPr>
            <w:tcW w:w="1061" w:type="dxa"/>
            <w:tcBorders>
              <w:tl2br w:val="nil"/>
              <w:tr2bl w:val="nil"/>
            </w:tcBorders>
            <w:noWrap/>
            <w:tcMar>
              <w:top w:w="15" w:type="dxa"/>
              <w:left w:w="15" w:type="dxa"/>
              <w:right w:w="15" w:type="dxa"/>
            </w:tcMar>
            <w:vAlign w:val="center"/>
          </w:tcPr>
          <w:p w14:paraId="00F20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0.14</w:t>
            </w:r>
          </w:p>
        </w:tc>
        <w:tc>
          <w:tcPr>
            <w:tcW w:w="953" w:type="dxa"/>
            <w:tcBorders>
              <w:tl2br w:val="nil"/>
              <w:tr2bl w:val="nil"/>
            </w:tcBorders>
            <w:noWrap/>
            <w:tcMar>
              <w:top w:w="15" w:type="dxa"/>
              <w:left w:w="15" w:type="dxa"/>
              <w:right w:w="15" w:type="dxa"/>
            </w:tcMar>
            <w:vAlign w:val="center"/>
          </w:tcPr>
          <w:p w14:paraId="00392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0.023</w:t>
            </w:r>
          </w:p>
        </w:tc>
        <w:tc>
          <w:tcPr>
            <w:tcW w:w="1861" w:type="dxa"/>
            <w:tcBorders>
              <w:tl2br w:val="nil"/>
              <w:tr2bl w:val="nil"/>
            </w:tcBorders>
            <w:noWrap/>
            <w:tcMar>
              <w:top w:w="15" w:type="dxa"/>
              <w:left w:w="15" w:type="dxa"/>
              <w:right w:w="15" w:type="dxa"/>
            </w:tcMar>
            <w:vAlign w:val="center"/>
          </w:tcPr>
          <w:p w14:paraId="37073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5E0E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198FA6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30</w:t>
            </w:r>
          </w:p>
        </w:tc>
        <w:tc>
          <w:tcPr>
            <w:tcW w:w="1525" w:type="dxa"/>
            <w:tcBorders>
              <w:tl2br w:val="nil"/>
              <w:tr2bl w:val="nil"/>
            </w:tcBorders>
            <w:noWrap w:val="0"/>
            <w:tcMar>
              <w:top w:w="15" w:type="dxa"/>
              <w:left w:w="15" w:type="dxa"/>
              <w:right w:w="15" w:type="dxa"/>
            </w:tcMar>
            <w:vAlign w:val="center"/>
          </w:tcPr>
          <w:p w14:paraId="16F0A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湖南贵丰智能装备有限公司</w:t>
            </w:r>
          </w:p>
        </w:tc>
        <w:tc>
          <w:tcPr>
            <w:tcW w:w="608" w:type="dxa"/>
            <w:tcBorders>
              <w:tl2br w:val="nil"/>
              <w:tr2bl w:val="nil"/>
            </w:tcBorders>
            <w:noWrap w:val="0"/>
            <w:tcMar>
              <w:top w:w="15" w:type="dxa"/>
              <w:left w:w="15" w:type="dxa"/>
              <w:right w:w="15" w:type="dxa"/>
            </w:tcMar>
            <w:vAlign w:val="center"/>
          </w:tcPr>
          <w:p w14:paraId="51399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6800</w:t>
            </w:r>
          </w:p>
        </w:tc>
        <w:tc>
          <w:tcPr>
            <w:tcW w:w="750" w:type="dxa"/>
            <w:tcBorders>
              <w:tl2br w:val="nil"/>
              <w:tr2bl w:val="nil"/>
            </w:tcBorders>
            <w:noWrap/>
            <w:tcMar>
              <w:top w:w="15" w:type="dxa"/>
              <w:left w:w="15" w:type="dxa"/>
              <w:right w:w="15" w:type="dxa"/>
            </w:tcMar>
            <w:vAlign w:val="center"/>
          </w:tcPr>
          <w:p w14:paraId="727B39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1.316</w:t>
            </w:r>
          </w:p>
        </w:tc>
        <w:tc>
          <w:tcPr>
            <w:tcW w:w="991" w:type="dxa"/>
            <w:tcBorders>
              <w:tl2br w:val="nil"/>
              <w:tr2bl w:val="nil"/>
            </w:tcBorders>
            <w:noWrap/>
            <w:tcMar>
              <w:top w:w="15" w:type="dxa"/>
              <w:left w:w="15" w:type="dxa"/>
              <w:right w:w="15" w:type="dxa"/>
            </w:tcMar>
            <w:vAlign w:val="center"/>
          </w:tcPr>
          <w:p w14:paraId="48FF2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41439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61C86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0.9</w:t>
            </w:r>
          </w:p>
        </w:tc>
        <w:tc>
          <w:tcPr>
            <w:tcW w:w="2367" w:type="dxa"/>
            <w:tcBorders>
              <w:tl2br w:val="nil"/>
              <w:tr2bl w:val="nil"/>
            </w:tcBorders>
            <w:noWrap/>
            <w:tcMar>
              <w:top w:w="15" w:type="dxa"/>
              <w:left w:w="15" w:type="dxa"/>
              <w:right w:w="15" w:type="dxa"/>
            </w:tcMar>
            <w:vAlign w:val="center"/>
          </w:tcPr>
          <w:p w14:paraId="1C9C40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二甲苯0.007</w:t>
            </w:r>
          </w:p>
        </w:tc>
        <w:tc>
          <w:tcPr>
            <w:tcW w:w="1170" w:type="dxa"/>
            <w:tcBorders>
              <w:tl2br w:val="nil"/>
              <w:tr2bl w:val="nil"/>
            </w:tcBorders>
            <w:noWrap/>
            <w:tcMar>
              <w:top w:w="15" w:type="dxa"/>
              <w:left w:w="15" w:type="dxa"/>
              <w:right w:w="15" w:type="dxa"/>
            </w:tcMar>
            <w:vAlign w:val="center"/>
          </w:tcPr>
          <w:p w14:paraId="50C5C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288</w:t>
            </w:r>
          </w:p>
        </w:tc>
        <w:tc>
          <w:tcPr>
            <w:tcW w:w="1061" w:type="dxa"/>
            <w:tcBorders>
              <w:tl2br w:val="nil"/>
              <w:tr2bl w:val="nil"/>
            </w:tcBorders>
            <w:noWrap/>
            <w:tcMar>
              <w:top w:w="15" w:type="dxa"/>
              <w:left w:w="15" w:type="dxa"/>
              <w:right w:w="15" w:type="dxa"/>
            </w:tcMar>
            <w:vAlign w:val="center"/>
          </w:tcPr>
          <w:p w14:paraId="22DA6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0.0144</w:t>
            </w:r>
          </w:p>
        </w:tc>
        <w:tc>
          <w:tcPr>
            <w:tcW w:w="953" w:type="dxa"/>
            <w:tcBorders>
              <w:tl2br w:val="nil"/>
              <w:tr2bl w:val="nil"/>
            </w:tcBorders>
            <w:noWrap/>
            <w:tcMar>
              <w:top w:w="15" w:type="dxa"/>
              <w:left w:w="15" w:type="dxa"/>
              <w:right w:w="15" w:type="dxa"/>
            </w:tcMar>
            <w:vAlign w:val="center"/>
          </w:tcPr>
          <w:p w14:paraId="7F336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0.0023</w:t>
            </w:r>
          </w:p>
        </w:tc>
        <w:tc>
          <w:tcPr>
            <w:tcW w:w="1861" w:type="dxa"/>
            <w:tcBorders>
              <w:tl2br w:val="nil"/>
              <w:tr2bl w:val="nil"/>
            </w:tcBorders>
            <w:noWrap/>
            <w:tcMar>
              <w:top w:w="15" w:type="dxa"/>
              <w:left w:w="15" w:type="dxa"/>
              <w:right w:w="15" w:type="dxa"/>
            </w:tcMar>
            <w:vAlign w:val="center"/>
          </w:tcPr>
          <w:p w14:paraId="528610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428A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32F3E2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31</w:t>
            </w:r>
          </w:p>
        </w:tc>
        <w:tc>
          <w:tcPr>
            <w:tcW w:w="1525" w:type="dxa"/>
            <w:tcBorders>
              <w:tl2br w:val="nil"/>
              <w:tr2bl w:val="nil"/>
            </w:tcBorders>
            <w:noWrap w:val="0"/>
            <w:tcMar>
              <w:top w:w="15" w:type="dxa"/>
              <w:left w:w="15" w:type="dxa"/>
              <w:right w:w="15" w:type="dxa"/>
            </w:tcMar>
            <w:vAlign w:val="center"/>
          </w:tcPr>
          <w:p w14:paraId="6E89B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湖南鑫品标金属科技有限公司</w:t>
            </w:r>
          </w:p>
        </w:tc>
        <w:tc>
          <w:tcPr>
            <w:tcW w:w="608" w:type="dxa"/>
            <w:tcBorders>
              <w:tl2br w:val="nil"/>
              <w:tr2bl w:val="nil"/>
            </w:tcBorders>
            <w:noWrap w:val="0"/>
            <w:tcMar>
              <w:top w:w="15" w:type="dxa"/>
              <w:left w:w="15" w:type="dxa"/>
              <w:right w:w="15" w:type="dxa"/>
            </w:tcMar>
            <w:vAlign w:val="center"/>
          </w:tcPr>
          <w:p w14:paraId="55435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2317</w:t>
            </w:r>
          </w:p>
        </w:tc>
        <w:tc>
          <w:tcPr>
            <w:tcW w:w="750" w:type="dxa"/>
            <w:tcBorders>
              <w:tl2br w:val="nil"/>
              <w:tr2bl w:val="nil"/>
            </w:tcBorders>
            <w:noWrap/>
            <w:tcMar>
              <w:top w:w="15" w:type="dxa"/>
              <w:left w:w="15" w:type="dxa"/>
              <w:right w:w="15" w:type="dxa"/>
            </w:tcMar>
            <w:vAlign w:val="center"/>
          </w:tcPr>
          <w:p w14:paraId="770A3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0.839</w:t>
            </w:r>
          </w:p>
        </w:tc>
        <w:tc>
          <w:tcPr>
            <w:tcW w:w="991" w:type="dxa"/>
            <w:tcBorders>
              <w:tl2br w:val="nil"/>
              <w:tr2bl w:val="nil"/>
            </w:tcBorders>
            <w:noWrap/>
            <w:tcMar>
              <w:top w:w="15" w:type="dxa"/>
              <w:left w:w="15" w:type="dxa"/>
              <w:right w:w="15" w:type="dxa"/>
            </w:tcMar>
            <w:vAlign w:val="center"/>
          </w:tcPr>
          <w:p w14:paraId="21C898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8C21C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F9FA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0.075</w:t>
            </w:r>
          </w:p>
        </w:tc>
        <w:tc>
          <w:tcPr>
            <w:tcW w:w="2367" w:type="dxa"/>
            <w:tcBorders>
              <w:tl2br w:val="nil"/>
              <w:tr2bl w:val="nil"/>
            </w:tcBorders>
            <w:noWrap/>
            <w:tcMar>
              <w:top w:w="15" w:type="dxa"/>
              <w:left w:w="15" w:type="dxa"/>
              <w:right w:w="15" w:type="dxa"/>
            </w:tcMar>
            <w:vAlign w:val="center"/>
          </w:tcPr>
          <w:p w14:paraId="3C792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7ABCA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270</w:t>
            </w:r>
          </w:p>
        </w:tc>
        <w:tc>
          <w:tcPr>
            <w:tcW w:w="1061" w:type="dxa"/>
            <w:tcBorders>
              <w:tl2br w:val="nil"/>
              <w:tr2bl w:val="nil"/>
            </w:tcBorders>
            <w:noWrap/>
            <w:tcMar>
              <w:top w:w="15" w:type="dxa"/>
              <w:left w:w="15" w:type="dxa"/>
              <w:right w:w="15" w:type="dxa"/>
            </w:tcMar>
            <w:vAlign w:val="center"/>
          </w:tcPr>
          <w:p w14:paraId="18586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w:t>
            </w:r>
          </w:p>
        </w:tc>
        <w:tc>
          <w:tcPr>
            <w:tcW w:w="953" w:type="dxa"/>
            <w:tcBorders>
              <w:tl2br w:val="nil"/>
              <w:tr2bl w:val="nil"/>
            </w:tcBorders>
            <w:noWrap/>
            <w:tcMar>
              <w:top w:w="15" w:type="dxa"/>
              <w:left w:w="15" w:type="dxa"/>
              <w:right w:w="15" w:type="dxa"/>
            </w:tcMar>
            <w:vAlign w:val="center"/>
          </w:tcPr>
          <w:p w14:paraId="5FFBA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1861" w:type="dxa"/>
            <w:tcBorders>
              <w:tl2br w:val="nil"/>
              <w:tr2bl w:val="nil"/>
            </w:tcBorders>
            <w:noWrap/>
            <w:tcMar>
              <w:top w:w="15" w:type="dxa"/>
              <w:left w:w="15" w:type="dxa"/>
              <w:right w:w="15" w:type="dxa"/>
            </w:tcMar>
            <w:vAlign w:val="center"/>
          </w:tcPr>
          <w:p w14:paraId="7BF506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19FE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71BE6B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32</w:t>
            </w:r>
          </w:p>
        </w:tc>
        <w:tc>
          <w:tcPr>
            <w:tcW w:w="1525" w:type="dxa"/>
            <w:tcBorders>
              <w:tl2br w:val="nil"/>
              <w:tr2bl w:val="nil"/>
            </w:tcBorders>
            <w:noWrap w:val="0"/>
            <w:tcMar>
              <w:top w:w="15" w:type="dxa"/>
              <w:left w:w="15" w:type="dxa"/>
              <w:right w:w="15" w:type="dxa"/>
            </w:tcMar>
            <w:vAlign w:val="center"/>
          </w:tcPr>
          <w:p w14:paraId="0F92F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岳阳任特机械制造有限公司</w:t>
            </w:r>
          </w:p>
        </w:tc>
        <w:tc>
          <w:tcPr>
            <w:tcW w:w="608" w:type="dxa"/>
            <w:tcBorders>
              <w:tl2br w:val="nil"/>
              <w:tr2bl w:val="nil"/>
            </w:tcBorders>
            <w:noWrap w:val="0"/>
            <w:tcMar>
              <w:top w:w="15" w:type="dxa"/>
              <w:left w:w="15" w:type="dxa"/>
              <w:right w:w="15" w:type="dxa"/>
            </w:tcMar>
            <w:vAlign w:val="center"/>
          </w:tcPr>
          <w:p w14:paraId="5665B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56101</w:t>
            </w:r>
          </w:p>
        </w:tc>
        <w:tc>
          <w:tcPr>
            <w:tcW w:w="750" w:type="dxa"/>
            <w:tcBorders>
              <w:tl2br w:val="nil"/>
              <w:tr2bl w:val="nil"/>
            </w:tcBorders>
            <w:noWrap/>
            <w:tcMar>
              <w:top w:w="15" w:type="dxa"/>
              <w:left w:w="15" w:type="dxa"/>
              <w:right w:w="15" w:type="dxa"/>
            </w:tcMar>
            <w:vAlign w:val="center"/>
          </w:tcPr>
          <w:p w14:paraId="16AD38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6.678</w:t>
            </w:r>
          </w:p>
        </w:tc>
        <w:tc>
          <w:tcPr>
            <w:tcW w:w="991" w:type="dxa"/>
            <w:tcBorders>
              <w:tl2br w:val="nil"/>
              <w:tr2bl w:val="nil"/>
            </w:tcBorders>
            <w:noWrap/>
            <w:tcMar>
              <w:top w:w="15" w:type="dxa"/>
              <w:left w:w="15" w:type="dxa"/>
              <w:right w:w="15" w:type="dxa"/>
            </w:tcMar>
            <w:vAlign w:val="center"/>
          </w:tcPr>
          <w:p w14:paraId="7084E8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0.51</w:t>
            </w:r>
          </w:p>
        </w:tc>
        <w:tc>
          <w:tcPr>
            <w:tcW w:w="901" w:type="dxa"/>
            <w:tcBorders>
              <w:tl2br w:val="nil"/>
              <w:tr2bl w:val="nil"/>
            </w:tcBorders>
            <w:noWrap/>
            <w:tcMar>
              <w:top w:w="15" w:type="dxa"/>
              <w:left w:w="15" w:type="dxa"/>
              <w:right w:w="15" w:type="dxa"/>
            </w:tcMar>
            <w:vAlign w:val="center"/>
          </w:tcPr>
          <w:p w14:paraId="69C87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4.4</w:t>
            </w:r>
          </w:p>
        </w:tc>
        <w:tc>
          <w:tcPr>
            <w:tcW w:w="1249" w:type="dxa"/>
            <w:tcBorders>
              <w:tl2br w:val="nil"/>
              <w:tr2bl w:val="nil"/>
            </w:tcBorders>
            <w:noWrap/>
            <w:tcMar>
              <w:top w:w="15" w:type="dxa"/>
              <w:left w:w="15" w:type="dxa"/>
              <w:right w:w="15" w:type="dxa"/>
            </w:tcMar>
            <w:vAlign w:val="center"/>
          </w:tcPr>
          <w:p w14:paraId="3B08F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7.816</w:t>
            </w:r>
          </w:p>
        </w:tc>
        <w:tc>
          <w:tcPr>
            <w:tcW w:w="2367" w:type="dxa"/>
            <w:tcBorders>
              <w:tl2br w:val="nil"/>
              <w:tr2bl w:val="nil"/>
            </w:tcBorders>
            <w:noWrap/>
            <w:tcMar>
              <w:top w:w="15" w:type="dxa"/>
              <w:left w:w="15" w:type="dxa"/>
              <w:right w:w="15" w:type="dxa"/>
            </w:tcMar>
            <w:vAlign w:val="center"/>
          </w:tcPr>
          <w:p w14:paraId="334D8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二甲苯1.54、甲苯0.23、氯化氢0.389</w:t>
            </w:r>
          </w:p>
        </w:tc>
        <w:tc>
          <w:tcPr>
            <w:tcW w:w="1170" w:type="dxa"/>
            <w:tcBorders>
              <w:tl2br w:val="nil"/>
              <w:tr2bl w:val="nil"/>
            </w:tcBorders>
            <w:noWrap/>
            <w:tcMar>
              <w:top w:w="15" w:type="dxa"/>
              <w:left w:w="15" w:type="dxa"/>
              <w:right w:w="15" w:type="dxa"/>
            </w:tcMar>
            <w:vAlign w:val="center"/>
          </w:tcPr>
          <w:p w14:paraId="13C80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10998.4</w:t>
            </w:r>
          </w:p>
        </w:tc>
        <w:tc>
          <w:tcPr>
            <w:tcW w:w="1061" w:type="dxa"/>
            <w:tcBorders>
              <w:tl2br w:val="nil"/>
              <w:tr2bl w:val="nil"/>
            </w:tcBorders>
            <w:noWrap/>
            <w:tcMar>
              <w:top w:w="15" w:type="dxa"/>
              <w:left w:w="15" w:type="dxa"/>
              <w:right w:w="15" w:type="dxa"/>
            </w:tcMar>
            <w:vAlign w:val="center"/>
          </w:tcPr>
          <w:p w14:paraId="511D9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2.6134</w:t>
            </w:r>
          </w:p>
        </w:tc>
        <w:tc>
          <w:tcPr>
            <w:tcW w:w="953" w:type="dxa"/>
            <w:tcBorders>
              <w:tl2br w:val="nil"/>
              <w:tr2bl w:val="nil"/>
            </w:tcBorders>
            <w:noWrap/>
            <w:tcMar>
              <w:top w:w="15" w:type="dxa"/>
              <w:left w:w="15" w:type="dxa"/>
              <w:right w:w="15" w:type="dxa"/>
            </w:tcMar>
            <w:vAlign w:val="center"/>
          </w:tcPr>
          <w:p w14:paraId="0BAE65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659B4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石油类0.0017，总磷0.0027，总氮0.0013</w:t>
            </w:r>
          </w:p>
        </w:tc>
      </w:tr>
      <w:tr w14:paraId="37B7C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347C4A8">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33</w:t>
            </w:r>
          </w:p>
        </w:tc>
        <w:tc>
          <w:tcPr>
            <w:tcW w:w="1525" w:type="dxa"/>
            <w:tcBorders>
              <w:tl2br w:val="nil"/>
              <w:tr2bl w:val="nil"/>
            </w:tcBorders>
            <w:noWrap w:val="0"/>
            <w:tcMar>
              <w:top w:w="15" w:type="dxa"/>
              <w:left w:w="15" w:type="dxa"/>
              <w:right w:w="15" w:type="dxa"/>
            </w:tcMar>
            <w:vAlign w:val="center"/>
          </w:tcPr>
          <w:p w14:paraId="3826A8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湖南中湖建筑科技有限公司</w:t>
            </w:r>
          </w:p>
        </w:tc>
        <w:tc>
          <w:tcPr>
            <w:tcW w:w="608" w:type="dxa"/>
            <w:tcBorders>
              <w:tl2br w:val="nil"/>
              <w:tr2bl w:val="nil"/>
            </w:tcBorders>
            <w:noWrap w:val="0"/>
            <w:tcMar>
              <w:top w:w="15" w:type="dxa"/>
              <w:left w:w="15" w:type="dxa"/>
              <w:right w:w="15" w:type="dxa"/>
            </w:tcMar>
            <w:vAlign w:val="center"/>
          </w:tcPr>
          <w:p w14:paraId="63EA6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4300</w:t>
            </w:r>
          </w:p>
        </w:tc>
        <w:tc>
          <w:tcPr>
            <w:tcW w:w="750" w:type="dxa"/>
            <w:tcBorders>
              <w:tl2br w:val="nil"/>
              <w:tr2bl w:val="nil"/>
            </w:tcBorders>
            <w:noWrap/>
            <w:tcMar>
              <w:top w:w="15" w:type="dxa"/>
              <w:left w:w="15" w:type="dxa"/>
              <w:right w:w="15" w:type="dxa"/>
            </w:tcMar>
            <w:vAlign w:val="center"/>
          </w:tcPr>
          <w:p w14:paraId="5B0929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1" w:type="dxa"/>
            <w:tcBorders>
              <w:tl2br w:val="nil"/>
              <w:tr2bl w:val="nil"/>
            </w:tcBorders>
            <w:noWrap/>
            <w:tcMar>
              <w:top w:w="15" w:type="dxa"/>
              <w:left w:w="15" w:type="dxa"/>
              <w:right w:w="15" w:type="dxa"/>
            </w:tcMar>
            <w:vAlign w:val="center"/>
          </w:tcPr>
          <w:p w14:paraId="1974A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2FEDEC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0D298E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2367" w:type="dxa"/>
            <w:tcBorders>
              <w:tl2br w:val="nil"/>
              <w:tr2bl w:val="nil"/>
            </w:tcBorders>
            <w:noWrap/>
            <w:tcMar>
              <w:top w:w="15" w:type="dxa"/>
              <w:left w:w="15" w:type="dxa"/>
              <w:right w:w="15" w:type="dxa"/>
            </w:tcMar>
            <w:vAlign w:val="center"/>
          </w:tcPr>
          <w:p w14:paraId="1780E9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677CD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67A95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69C05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355D2E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0CC16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A9D5B5F">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34</w:t>
            </w:r>
          </w:p>
        </w:tc>
        <w:tc>
          <w:tcPr>
            <w:tcW w:w="1525" w:type="dxa"/>
            <w:tcBorders>
              <w:tl2br w:val="nil"/>
              <w:tr2bl w:val="nil"/>
            </w:tcBorders>
            <w:noWrap w:val="0"/>
            <w:tcMar>
              <w:top w:w="15" w:type="dxa"/>
              <w:left w:w="15" w:type="dxa"/>
              <w:right w:w="15" w:type="dxa"/>
            </w:tcMar>
            <w:vAlign w:val="center"/>
          </w:tcPr>
          <w:p w14:paraId="2D2B2F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湖南福海元精密制造有限公司</w:t>
            </w:r>
          </w:p>
        </w:tc>
        <w:tc>
          <w:tcPr>
            <w:tcW w:w="608" w:type="dxa"/>
            <w:tcBorders>
              <w:tl2br w:val="nil"/>
              <w:tr2bl w:val="nil"/>
            </w:tcBorders>
            <w:noWrap w:val="0"/>
            <w:tcMar>
              <w:top w:w="15" w:type="dxa"/>
              <w:left w:w="15" w:type="dxa"/>
              <w:right w:w="15" w:type="dxa"/>
            </w:tcMar>
            <w:vAlign w:val="center"/>
          </w:tcPr>
          <w:p w14:paraId="7E7DF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1400</w:t>
            </w:r>
          </w:p>
        </w:tc>
        <w:tc>
          <w:tcPr>
            <w:tcW w:w="750" w:type="dxa"/>
            <w:tcBorders>
              <w:tl2br w:val="nil"/>
              <w:tr2bl w:val="nil"/>
            </w:tcBorders>
            <w:noWrap w:val="0"/>
            <w:tcMar>
              <w:top w:w="15" w:type="dxa"/>
              <w:left w:w="15" w:type="dxa"/>
              <w:right w:w="15" w:type="dxa"/>
            </w:tcMar>
            <w:vAlign w:val="center"/>
          </w:tcPr>
          <w:p w14:paraId="084046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91" w:type="dxa"/>
            <w:tcBorders>
              <w:tl2br w:val="nil"/>
              <w:tr2bl w:val="nil"/>
            </w:tcBorders>
            <w:noWrap w:val="0"/>
            <w:tcMar>
              <w:top w:w="15" w:type="dxa"/>
              <w:left w:w="15" w:type="dxa"/>
              <w:right w:w="15" w:type="dxa"/>
            </w:tcMar>
            <w:vAlign w:val="center"/>
          </w:tcPr>
          <w:p w14:paraId="55382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val="0"/>
            <w:tcMar>
              <w:top w:w="15" w:type="dxa"/>
              <w:left w:w="15" w:type="dxa"/>
              <w:right w:w="15" w:type="dxa"/>
            </w:tcMar>
            <w:vAlign w:val="center"/>
          </w:tcPr>
          <w:p w14:paraId="49EFD3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val="0"/>
            <w:tcMar>
              <w:top w:w="15" w:type="dxa"/>
              <w:left w:w="15" w:type="dxa"/>
              <w:right w:w="15" w:type="dxa"/>
            </w:tcMar>
            <w:vAlign w:val="center"/>
          </w:tcPr>
          <w:p w14:paraId="3EC4E4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val="0"/>
            <w:tcMar>
              <w:top w:w="15" w:type="dxa"/>
              <w:left w:w="15" w:type="dxa"/>
              <w:right w:w="15" w:type="dxa"/>
            </w:tcMar>
            <w:vAlign w:val="center"/>
          </w:tcPr>
          <w:p w14:paraId="6E180D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val="0"/>
            <w:tcMar>
              <w:top w:w="15" w:type="dxa"/>
              <w:left w:w="15" w:type="dxa"/>
              <w:right w:w="15" w:type="dxa"/>
            </w:tcMar>
            <w:vAlign w:val="center"/>
          </w:tcPr>
          <w:p w14:paraId="1DE01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val="0"/>
            <w:tcMar>
              <w:top w:w="15" w:type="dxa"/>
              <w:left w:w="15" w:type="dxa"/>
              <w:right w:w="15" w:type="dxa"/>
            </w:tcMar>
            <w:vAlign w:val="center"/>
          </w:tcPr>
          <w:p w14:paraId="71311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val="0"/>
            <w:tcMar>
              <w:top w:w="15" w:type="dxa"/>
              <w:left w:w="15" w:type="dxa"/>
              <w:right w:w="15" w:type="dxa"/>
            </w:tcMar>
            <w:vAlign w:val="center"/>
          </w:tcPr>
          <w:p w14:paraId="1C4B0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val="0"/>
            <w:tcMar>
              <w:top w:w="15" w:type="dxa"/>
              <w:left w:w="15" w:type="dxa"/>
              <w:right w:w="15" w:type="dxa"/>
            </w:tcMar>
            <w:vAlign w:val="center"/>
          </w:tcPr>
          <w:p w14:paraId="564956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B46F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18E2C7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35</w:t>
            </w:r>
          </w:p>
        </w:tc>
        <w:tc>
          <w:tcPr>
            <w:tcW w:w="1525" w:type="dxa"/>
            <w:tcBorders>
              <w:tl2br w:val="nil"/>
              <w:tr2bl w:val="nil"/>
            </w:tcBorders>
            <w:noWrap w:val="0"/>
            <w:tcMar>
              <w:top w:w="15" w:type="dxa"/>
              <w:left w:w="15" w:type="dxa"/>
              <w:right w:w="15" w:type="dxa"/>
            </w:tcMar>
            <w:vAlign w:val="center"/>
          </w:tcPr>
          <w:p w14:paraId="4E0BC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湖南中智机械有限公司</w:t>
            </w:r>
          </w:p>
        </w:tc>
        <w:tc>
          <w:tcPr>
            <w:tcW w:w="608" w:type="dxa"/>
            <w:tcBorders>
              <w:tl2br w:val="nil"/>
              <w:tr2bl w:val="nil"/>
            </w:tcBorders>
            <w:noWrap w:val="0"/>
            <w:tcMar>
              <w:top w:w="15" w:type="dxa"/>
              <w:left w:w="15" w:type="dxa"/>
              <w:right w:w="15" w:type="dxa"/>
            </w:tcMar>
            <w:vAlign w:val="center"/>
          </w:tcPr>
          <w:p w14:paraId="6512A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4000</w:t>
            </w:r>
          </w:p>
        </w:tc>
        <w:tc>
          <w:tcPr>
            <w:tcW w:w="750" w:type="dxa"/>
            <w:tcBorders>
              <w:tl2br w:val="nil"/>
              <w:tr2bl w:val="nil"/>
            </w:tcBorders>
            <w:noWrap/>
            <w:tcMar>
              <w:top w:w="15" w:type="dxa"/>
              <w:left w:w="15" w:type="dxa"/>
              <w:right w:w="15" w:type="dxa"/>
            </w:tcMar>
            <w:vAlign w:val="center"/>
          </w:tcPr>
          <w:p w14:paraId="3183D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1" w:type="dxa"/>
            <w:tcBorders>
              <w:tl2br w:val="nil"/>
              <w:tr2bl w:val="nil"/>
            </w:tcBorders>
            <w:noWrap/>
            <w:tcMar>
              <w:top w:w="15" w:type="dxa"/>
              <w:left w:w="15" w:type="dxa"/>
              <w:right w:w="15" w:type="dxa"/>
            </w:tcMar>
            <w:vAlign w:val="center"/>
          </w:tcPr>
          <w:p w14:paraId="3BE198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0AC29A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2D8A2D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val="0"/>
            <w:tcMar>
              <w:top w:w="15" w:type="dxa"/>
              <w:left w:w="15" w:type="dxa"/>
              <w:right w:w="15" w:type="dxa"/>
            </w:tcMar>
            <w:vAlign w:val="center"/>
          </w:tcPr>
          <w:p w14:paraId="6625A7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5C421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78210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0A23F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6CA87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10E6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DB8B2FB">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36</w:t>
            </w:r>
          </w:p>
        </w:tc>
        <w:tc>
          <w:tcPr>
            <w:tcW w:w="1525" w:type="dxa"/>
            <w:tcBorders>
              <w:tl2br w:val="nil"/>
              <w:tr2bl w:val="nil"/>
            </w:tcBorders>
            <w:noWrap w:val="0"/>
            <w:tcMar>
              <w:top w:w="15" w:type="dxa"/>
              <w:left w:w="15" w:type="dxa"/>
              <w:right w:w="15" w:type="dxa"/>
            </w:tcMar>
            <w:vAlign w:val="center"/>
          </w:tcPr>
          <w:p w14:paraId="39DD5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湖南纽英其新能源科技有限公司</w:t>
            </w:r>
          </w:p>
        </w:tc>
        <w:tc>
          <w:tcPr>
            <w:tcW w:w="608" w:type="dxa"/>
            <w:tcBorders>
              <w:tl2br w:val="nil"/>
              <w:tr2bl w:val="nil"/>
            </w:tcBorders>
            <w:noWrap w:val="0"/>
            <w:tcMar>
              <w:top w:w="15" w:type="dxa"/>
              <w:left w:w="15" w:type="dxa"/>
              <w:right w:w="15" w:type="dxa"/>
            </w:tcMar>
            <w:vAlign w:val="center"/>
          </w:tcPr>
          <w:p w14:paraId="0CE48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5460</w:t>
            </w:r>
          </w:p>
        </w:tc>
        <w:tc>
          <w:tcPr>
            <w:tcW w:w="750" w:type="dxa"/>
            <w:tcBorders>
              <w:tl2br w:val="nil"/>
              <w:tr2bl w:val="nil"/>
            </w:tcBorders>
            <w:noWrap w:val="0"/>
            <w:tcMar>
              <w:top w:w="15" w:type="dxa"/>
              <w:left w:w="15" w:type="dxa"/>
              <w:right w:w="15" w:type="dxa"/>
            </w:tcMar>
            <w:vAlign w:val="center"/>
          </w:tcPr>
          <w:p w14:paraId="60B14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2.843</w:t>
            </w:r>
          </w:p>
        </w:tc>
        <w:tc>
          <w:tcPr>
            <w:tcW w:w="991" w:type="dxa"/>
            <w:tcBorders>
              <w:tl2br w:val="nil"/>
              <w:tr2bl w:val="nil"/>
            </w:tcBorders>
            <w:noWrap w:val="0"/>
            <w:tcMar>
              <w:top w:w="15" w:type="dxa"/>
              <w:left w:w="15" w:type="dxa"/>
              <w:right w:w="15" w:type="dxa"/>
            </w:tcMar>
            <w:vAlign w:val="center"/>
          </w:tcPr>
          <w:p w14:paraId="49C82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0.087</w:t>
            </w:r>
          </w:p>
        </w:tc>
        <w:tc>
          <w:tcPr>
            <w:tcW w:w="901" w:type="dxa"/>
            <w:tcBorders>
              <w:tl2br w:val="nil"/>
              <w:tr2bl w:val="nil"/>
            </w:tcBorders>
            <w:noWrap w:val="0"/>
            <w:tcMar>
              <w:top w:w="15" w:type="dxa"/>
              <w:left w:w="15" w:type="dxa"/>
              <w:right w:w="15" w:type="dxa"/>
            </w:tcMar>
            <w:vAlign w:val="center"/>
          </w:tcPr>
          <w:p w14:paraId="5A3EE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0.813</w:t>
            </w:r>
          </w:p>
        </w:tc>
        <w:tc>
          <w:tcPr>
            <w:tcW w:w="1249" w:type="dxa"/>
            <w:tcBorders>
              <w:tl2br w:val="nil"/>
              <w:tr2bl w:val="nil"/>
            </w:tcBorders>
            <w:noWrap w:val="0"/>
            <w:tcMar>
              <w:top w:w="15" w:type="dxa"/>
              <w:left w:w="15" w:type="dxa"/>
              <w:right w:w="15" w:type="dxa"/>
            </w:tcMar>
            <w:vAlign w:val="center"/>
          </w:tcPr>
          <w:p w14:paraId="0EB72D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1.397</w:t>
            </w:r>
          </w:p>
        </w:tc>
        <w:tc>
          <w:tcPr>
            <w:tcW w:w="2367" w:type="dxa"/>
            <w:tcBorders>
              <w:tl2br w:val="nil"/>
              <w:tr2bl w:val="nil"/>
            </w:tcBorders>
            <w:noWrap w:val="0"/>
            <w:tcMar>
              <w:top w:w="15" w:type="dxa"/>
              <w:left w:w="15" w:type="dxa"/>
              <w:right w:w="15" w:type="dxa"/>
            </w:tcMar>
            <w:vAlign w:val="center"/>
          </w:tcPr>
          <w:p w14:paraId="5344C7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val="0"/>
            <w:tcMar>
              <w:top w:w="15" w:type="dxa"/>
              <w:left w:w="15" w:type="dxa"/>
              <w:right w:w="15" w:type="dxa"/>
            </w:tcMar>
            <w:vAlign w:val="center"/>
          </w:tcPr>
          <w:p w14:paraId="19ADD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121.6</w:t>
            </w:r>
          </w:p>
        </w:tc>
        <w:tc>
          <w:tcPr>
            <w:tcW w:w="1061" w:type="dxa"/>
            <w:tcBorders>
              <w:tl2br w:val="nil"/>
              <w:tr2bl w:val="nil"/>
            </w:tcBorders>
            <w:noWrap w:val="0"/>
            <w:tcMar>
              <w:top w:w="15" w:type="dxa"/>
              <w:left w:w="15" w:type="dxa"/>
              <w:right w:w="15" w:type="dxa"/>
            </w:tcMar>
            <w:vAlign w:val="center"/>
          </w:tcPr>
          <w:p w14:paraId="43144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0.00608</w:t>
            </w:r>
          </w:p>
        </w:tc>
        <w:tc>
          <w:tcPr>
            <w:tcW w:w="953" w:type="dxa"/>
            <w:tcBorders>
              <w:tl2br w:val="nil"/>
              <w:tr2bl w:val="nil"/>
            </w:tcBorders>
            <w:noWrap w:val="0"/>
            <w:tcMar>
              <w:top w:w="15" w:type="dxa"/>
              <w:left w:w="15" w:type="dxa"/>
              <w:right w:w="15" w:type="dxa"/>
            </w:tcMar>
            <w:vAlign w:val="center"/>
          </w:tcPr>
          <w:p w14:paraId="66A61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1861" w:type="dxa"/>
            <w:tcBorders>
              <w:tl2br w:val="nil"/>
              <w:tr2bl w:val="nil"/>
            </w:tcBorders>
            <w:noWrap w:val="0"/>
            <w:tcMar>
              <w:top w:w="15" w:type="dxa"/>
              <w:left w:w="15" w:type="dxa"/>
              <w:right w:w="15" w:type="dxa"/>
            </w:tcMar>
            <w:vAlign w:val="center"/>
          </w:tcPr>
          <w:p w14:paraId="09B17D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17F18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66558F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37</w:t>
            </w:r>
          </w:p>
        </w:tc>
        <w:tc>
          <w:tcPr>
            <w:tcW w:w="1525" w:type="dxa"/>
            <w:tcBorders>
              <w:tl2br w:val="nil"/>
              <w:tr2bl w:val="nil"/>
            </w:tcBorders>
            <w:noWrap w:val="0"/>
            <w:tcMar>
              <w:top w:w="15" w:type="dxa"/>
              <w:left w:w="15" w:type="dxa"/>
              <w:right w:w="15" w:type="dxa"/>
            </w:tcMar>
            <w:vAlign w:val="center"/>
          </w:tcPr>
          <w:p w14:paraId="502BC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湖南多稳智能科技有限公司</w:t>
            </w:r>
          </w:p>
        </w:tc>
        <w:tc>
          <w:tcPr>
            <w:tcW w:w="608" w:type="dxa"/>
            <w:tcBorders>
              <w:tl2br w:val="nil"/>
              <w:tr2bl w:val="nil"/>
            </w:tcBorders>
            <w:noWrap w:val="0"/>
            <w:tcMar>
              <w:top w:w="15" w:type="dxa"/>
              <w:left w:w="15" w:type="dxa"/>
              <w:right w:w="15" w:type="dxa"/>
            </w:tcMar>
            <w:vAlign w:val="center"/>
          </w:tcPr>
          <w:p w14:paraId="3ED05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2200</w:t>
            </w:r>
          </w:p>
        </w:tc>
        <w:tc>
          <w:tcPr>
            <w:tcW w:w="750" w:type="dxa"/>
            <w:tcBorders>
              <w:tl2br w:val="nil"/>
              <w:tr2bl w:val="nil"/>
            </w:tcBorders>
            <w:noWrap/>
            <w:tcMar>
              <w:top w:w="15" w:type="dxa"/>
              <w:left w:w="15" w:type="dxa"/>
              <w:right w:w="15" w:type="dxa"/>
            </w:tcMar>
            <w:vAlign w:val="center"/>
          </w:tcPr>
          <w:p w14:paraId="07EC3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1" w:type="dxa"/>
            <w:tcBorders>
              <w:tl2br w:val="nil"/>
              <w:tr2bl w:val="nil"/>
            </w:tcBorders>
            <w:noWrap/>
            <w:tcMar>
              <w:top w:w="15" w:type="dxa"/>
              <w:left w:w="15" w:type="dxa"/>
              <w:right w:w="15" w:type="dxa"/>
            </w:tcMar>
            <w:vAlign w:val="center"/>
          </w:tcPr>
          <w:p w14:paraId="19A217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8CF43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0A52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val="0"/>
            <w:tcMar>
              <w:top w:w="15" w:type="dxa"/>
              <w:left w:w="15" w:type="dxa"/>
              <w:right w:w="15" w:type="dxa"/>
            </w:tcMar>
            <w:vAlign w:val="center"/>
          </w:tcPr>
          <w:p w14:paraId="519AAA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5C984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6AD8C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1B79B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205772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1F63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0A26F96">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38</w:t>
            </w:r>
          </w:p>
        </w:tc>
        <w:tc>
          <w:tcPr>
            <w:tcW w:w="1525" w:type="dxa"/>
            <w:tcBorders>
              <w:tl2br w:val="nil"/>
              <w:tr2bl w:val="nil"/>
            </w:tcBorders>
            <w:noWrap w:val="0"/>
            <w:tcMar>
              <w:top w:w="15" w:type="dxa"/>
              <w:left w:w="15" w:type="dxa"/>
              <w:right w:w="15" w:type="dxa"/>
            </w:tcMar>
            <w:vAlign w:val="center"/>
          </w:tcPr>
          <w:p w14:paraId="7C77E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湖南鼎成汽车车身制造有限公司</w:t>
            </w:r>
          </w:p>
        </w:tc>
        <w:tc>
          <w:tcPr>
            <w:tcW w:w="608" w:type="dxa"/>
            <w:tcBorders>
              <w:tl2br w:val="nil"/>
              <w:tr2bl w:val="nil"/>
            </w:tcBorders>
            <w:noWrap w:val="0"/>
            <w:tcMar>
              <w:top w:w="15" w:type="dxa"/>
              <w:left w:w="15" w:type="dxa"/>
              <w:right w:w="15" w:type="dxa"/>
            </w:tcMar>
            <w:vAlign w:val="center"/>
          </w:tcPr>
          <w:p w14:paraId="136E9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86867</w:t>
            </w:r>
          </w:p>
        </w:tc>
        <w:tc>
          <w:tcPr>
            <w:tcW w:w="750" w:type="dxa"/>
            <w:tcBorders>
              <w:tl2br w:val="nil"/>
              <w:tr2bl w:val="nil"/>
            </w:tcBorders>
            <w:noWrap/>
            <w:tcMar>
              <w:top w:w="15" w:type="dxa"/>
              <w:left w:w="15" w:type="dxa"/>
              <w:right w:w="15" w:type="dxa"/>
            </w:tcMar>
            <w:vAlign w:val="center"/>
          </w:tcPr>
          <w:p w14:paraId="12AD8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0.77</w:t>
            </w:r>
          </w:p>
        </w:tc>
        <w:tc>
          <w:tcPr>
            <w:tcW w:w="991" w:type="dxa"/>
            <w:tcBorders>
              <w:tl2br w:val="nil"/>
              <w:tr2bl w:val="nil"/>
            </w:tcBorders>
            <w:noWrap/>
            <w:tcMar>
              <w:top w:w="15" w:type="dxa"/>
              <w:left w:w="15" w:type="dxa"/>
              <w:right w:w="15" w:type="dxa"/>
            </w:tcMar>
            <w:vAlign w:val="center"/>
          </w:tcPr>
          <w:p w14:paraId="07AC2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0.246</w:t>
            </w:r>
          </w:p>
        </w:tc>
        <w:tc>
          <w:tcPr>
            <w:tcW w:w="901" w:type="dxa"/>
            <w:tcBorders>
              <w:tl2br w:val="nil"/>
              <w:tr2bl w:val="nil"/>
            </w:tcBorders>
            <w:noWrap/>
            <w:tcMar>
              <w:top w:w="15" w:type="dxa"/>
              <w:left w:w="15" w:type="dxa"/>
              <w:right w:w="15" w:type="dxa"/>
            </w:tcMar>
            <w:vAlign w:val="center"/>
          </w:tcPr>
          <w:p w14:paraId="18AB34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1.149</w:t>
            </w:r>
          </w:p>
        </w:tc>
        <w:tc>
          <w:tcPr>
            <w:tcW w:w="1249" w:type="dxa"/>
            <w:tcBorders>
              <w:tl2br w:val="nil"/>
              <w:tr2bl w:val="nil"/>
            </w:tcBorders>
            <w:noWrap/>
            <w:tcMar>
              <w:top w:w="15" w:type="dxa"/>
              <w:left w:w="15" w:type="dxa"/>
              <w:right w:w="15" w:type="dxa"/>
            </w:tcMar>
            <w:vAlign w:val="center"/>
          </w:tcPr>
          <w:p w14:paraId="2EEC4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6.639</w:t>
            </w:r>
          </w:p>
        </w:tc>
        <w:tc>
          <w:tcPr>
            <w:tcW w:w="2367" w:type="dxa"/>
            <w:tcBorders>
              <w:tl2br w:val="nil"/>
              <w:tr2bl w:val="nil"/>
            </w:tcBorders>
            <w:noWrap w:val="0"/>
            <w:tcMar>
              <w:top w:w="15" w:type="dxa"/>
              <w:left w:w="15" w:type="dxa"/>
              <w:right w:w="15" w:type="dxa"/>
            </w:tcMar>
            <w:vAlign w:val="center"/>
          </w:tcPr>
          <w:p w14:paraId="5A58C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二甲苯0.811</w:t>
            </w:r>
          </w:p>
        </w:tc>
        <w:tc>
          <w:tcPr>
            <w:tcW w:w="1170" w:type="dxa"/>
            <w:tcBorders>
              <w:tl2br w:val="nil"/>
              <w:tr2bl w:val="nil"/>
            </w:tcBorders>
            <w:noWrap/>
            <w:tcMar>
              <w:top w:w="15" w:type="dxa"/>
              <w:left w:w="15" w:type="dxa"/>
              <w:right w:w="15" w:type="dxa"/>
            </w:tcMar>
            <w:vAlign w:val="center"/>
          </w:tcPr>
          <w:p w14:paraId="4971B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18162.3</w:t>
            </w:r>
          </w:p>
        </w:tc>
        <w:tc>
          <w:tcPr>
            <w:tcW w:w="1061" w:type="dxa"/>
            <w:tcBorders>
              <w:tl2br w:val="nil"/>
              <w:tr2bl w:val="nil"/>
            </w:tcBorders>
            <w:noWrap/>
            <w:tcMar>
              <w:top w:w="15" w:type="dxa"/>
              <w:left w:w="15" w:type="dxa"/>
              <w:right w:w="15" w:type="dxa"/>
            </w:tcMar>
            <w:vAlign w:val="center"/>
          </w:tcPr>
          <w:p w14:paraId="7E566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0.996</w:t>
            </w:r>
          </w:p>
        </w:tc>
        <w:tc>
          <w:tcPr>
            <w:tcW w:w="953" w:type="dxa"/>
            <w:tcBorders>
              <w:tl2br w:val="nil"/>
              <w:tr2bl w:val="nil"/>
            </w:tcBorders>
            <w:noWrap/>
            <w:tcMar>
              <w:top w:w="15" w:type="dxa"/>
              <w:left w:w="15" w:type="dxa"/>
              <w:right w:w="15" w:type="dxa"/>
            </w:tcMar>
            <w:vAlign w:val="center"/>
          </w:tcPr>
          <w:p w14:paraId="068E3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0.101</w:t>
            </w:r>
          </w:p>
        </w:tc>
        <w:tc>
          <w:tcPr>
            <w:tcW w:w="1861" w:type="dxa"/>
            <w:tcBorders>
              <w:tl2br w:val="nil"/>
              <w:tr2bl w:val="nil"/>
            </w:tcBorders>
            <w:noWrap/>
            <w:tcMar>
              <w:top w:w="15" w:type="dxa"/>
              <w:left w:w="15" w:type="dxa"/>
              <w:right w:w="15" w:type="dxa"/>
            </w:tcMar>
            <w:vAlign w:val="center"/>
          </w:tcPr>
          <w:p w14:paraId="490093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553E1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C23BFC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39</w:t>
            </w:r>
          </w:p>
        </w:tc>
        <w:tc>
          <w:tcPr>
            <w:tcW w:w="1525" w:type="dxa"/>
            <w:tcBorders>
              <w:tl2br w:val="nil"/>
              <w:tr2bl w:val="nil"/>
            </w:tcBorders>
            <w:noWrap w:val="0"/>
            <w:tcMar>
              <w:top w:w="15" w:type="dxa"/>
              <w:left w:w="15" w:type="dxa"/>
              <w:right w:w="15" w:type="dxa"/>
            </w:tcMar>
            <w:vAlign w:val="center"/>
          </w:tcPr>
          <w:p w14:paraId="5D9F4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湖南坤凯节能科技有限公司</w:t>
            </w:r>
          </w:p>
        </w:tc>
        <w:tc>
          <w:tcPr>
            <w:tcW w:w="608" w:type="dxa"/>
            <w:tcBorders>
              <w:tl2br w:val="nil"/>
              <w:tr2bl w:val="nil"/>
            </w:tcBorders>
            <w:noWrap w:val="0"/>
            <w:tcMar>
              <w:top w:w="15" w:type="dxa"/>
              <w:left w:w="15" w:type="dxa"/>
              <w:right w:w="15" w:type="dxa"/>
            </w:tcMar>
            <w:vAlign w:val="center"/>
          </w:tcPr>
          <w:p w14:paraId="619B6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400</w:t>
            </w:r>
          </w:p>
        </w:tc>
        <w:tc>
          <w:tcPr>
            <w:tcW w:w="750" w:type="dxa"/>
            <w:tcBorders>
              <w:tl2br w:val="nil"/>
              <w:tr2bl w:val="nil"/>
            </w:tcBorders>
            <w:noWrap/>
            <w:tcMar>
              <w:top w:w="15" w:type="dxa"/>
              <w:left w:w="15" w:type="dxa"/>
              <w:right w:w="15" w:type="dxa"/>
            </w:tcMar>
            <w:vAlign w:val="center"/>
          </w:tcPr>
          <w:p w14:paraId="75D14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0.008</w:t>
            </w:r>
          </w:p>
        </w:tc>
        <w:tc>
          <w:tcPr>
            <w:tcW w:w="991" w:type="dxa"/>
            <w:tcBorders>
              <w:tl2br w:val="nil"/>
              <w:tr2bl w:val="nil"/>
            </w:tcBorders>
            <w:noWrap/>
            <w:tcMar>
              <w:top w:w="15" w:type="dxa"/>
              <w:left w:w="15" w:type="dxa"/>
              <w:right w:w="15" w:type="dxa"/>
            </w:tcMar>
            <w:vAlign w:val="center"/>
          </w:tcPr>
          <w:p w14:paraId="684FA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0.544</w:t>
            </w:r>
          </w:p>
        </w:tc>
        <w:tc>
          <w:tcPr>
            <w:tcW w:w="901" w:type="dxa"/>
            <w:tcBorders>
              <w:tl2br w:val="nil"/>
              <w:tr2bl w:val="nil"/>
            </w:tcBorders>
            <w:noWrap/>
            <w:tcMar>
              <w:top w:w="15" w:type="dxa"/>
              <w:left w:w="15" w:type="dxa"/>
              <w:right w:w="15" w:type="dxa"/>
            </w:tcMar>
            <w:vAlign w:val="center"/>
          </w:tcPr>
          <w:p w14:paraId="04D29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1.136</w:t>
            </w:r>
          </w:p>
        </w:tc>
        <w:tc>
          <w:tcPr>
            <w:tcW w:w="1249" w:type="dxa"/>
            <w:tcBorders>
              <w:tl2br w:val="nil"/>
              <w:tr2bl w:val="nil"/>
            </w:tcBorders>
            <w:noWrap/>
            <w:tcMar>
              <w:top w:w="15" w:type="dxa"/>
              <w:left w:w="15" w:type="dxa"/>
              <w:right w:w="15" w:type="dxa"/>
            </w:tcMar>
            <w:vAlign w:val="center"/>
          </w:tcPr>
          <w:p w14:paraId="6CF8FA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tcMar>
              <w:top w:w="15" w:type="dxa"/>
              <w:left w:w="15" w:type="dxa"/>
              <w:right w:w="15" w:type="dxa"/>
            </w:tcMar>
            <w:vAlign w:val="center"/>
          </w:tcPr>
          <w:p w14:paraId="6E496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7517AD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061" w:type="dxa"/>
            <w:tcBorders>
              <w:tl2br w:val="nil"/>
              <w:tr2bl w:val="nil"/>
            </w:tcBorders>
            <w:noWrap/>
            <w:tcMar>
              <w:top w:w="15" w:type="dxa"/>
              <w:left w:w="15" w:type="dxa"/>
              <w:right w:w="15" w:type="dxa"/>
            </w:tcMar>
            <w:vAlign w:val="center"/>
          </w:tcPr>
          <w:p w14:paraId="2A7B63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53" w:type="dxa"/>
            <w:tcBorders>
              <w:tl2br w:val="nil"/>
              <w:tr2bl w:val="nil"/>
            </w:tcBorders>
            <w:noWrap/>
            <w:tcMar>
              <w:top w:w="15" w:type="dxa"/>
              <w:left w:w="15" w:type="dxa"/>
              <w:right w:w="15" w:type="dxa"/>
            </w:tcMar>
            <w:vAlign w:val="center"/>
          </w:tcPr>
          <w:p w14:paraId="2EB6F2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861" w:type="dxa"/>
            <w:tcBorders>
              <w:tl2br w:val="nil"/>
              <w:tr2bl w:val="nil"/>
            </w:tcBorders>
            <w:noWrap/>
            <w:tcMar>
              <w:top w:w="15" w:type="dxa"/>
              <w:left w:w="15" w:type="dxa"/>
              <w:right w:w="15" w:type="dxa"/>
            </w:tcMar>
            <w:vAlign w:val="center"/>
          </w:tcPr>
          <w:p w14:paraId="62E887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081B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14F49E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40</w:t>
            </w:r>
          </w:p>
        </w:tc>
        <w:tc>
          <w:tcPr>
            <w:tcW w:w="1525" w:type="dxa"/>
            <w:tcBorders>
              <w:tl2br w:val="nil"/>
              <w:tr2bl w:val="nil"/>
            </w:tcBorders>
            <w:noWrap w:val="0"/>
            <w:tcMar>
              <w:top w:w="15" w:type="dxa"/>
              <w:left w:w="15" w:type="dxa"/>
              <w:right w:w="15" w:type="dxa"/>
            </w:tcMar>
            <w:vAlign w:val="center"/>
          </w:tcPr>
          <w:p w14:paraId="7EC1F2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湖南钢泰环保科技有限公司</w:t>
            </w:r>
          </w:p>
        </w:tc>
        <w:tc>
          <w:tcPr>
            <w:tcW w:w="608" w:type="dxa"/>
            <w:tcBorders>
              <w:tl2br w:val="nil"/>
              <w:tr2bl w:val="nil"/>
            </w:tcBorders>
            <w:noWrap w:val="0"/>
            <w:tcMar>
              <w:top w:w="15" w:type="dxa"/>
              <w:left w:w="15" w:type="dxa"/>
              <w:right w:w="15" w:type="dxa"/>
            </w:tcMar>
            <w:vAlign w:val="center"/>
          </w:tcPr>
          <w:p w14:paraId="3E7D47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1800</w:t>
            </w:r>
          </w:p>
        </w:tc>
        <w:tc>
          <w:tcPr>
            <w:tcW w:w="750" w:type="dxa"/>
            <w:tcBorders>
              <w:tl2br w:val="nil"/>
              <w:tr2bl w:val="nil"/>
            </w:tcBorders>
            <w:noWrap/>
            <w:tcMar>
              <w:top w:w="15" w:type="dxa"/>
              <w:left w:w="15" w:type="dxa"/>
              <w:right w:w="15" w:type="dxa"/>
            </w:tcMar>
            <w:vAlign w:val="center"/>
          </w:tcPr>
          <w:p w14:paraId="0C21A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1" w:type="dxa"/>
            <w:tcBorders>
              <w:tl2br w:val="nil"/>
              <w:tr2bl w:val="nil"/>
            </w:tcBorders>
            <w:noWrap/>
            <w:tcMar>
              <w:top w:w="15" w:type="dxa"/>
              <w:left w:w="15" w:type="dxa"/>
              <w:right w:w="15" w:type="dxa"/>
            </w:tcMar>
            <w:vAlign w:val="center"/>
          </w:tcPr>
          <w:p w14:paraId="71735C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1F7FAC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596B93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tcMar>
              <w:top w:w="15" w:type="dxa"/>
              <w:left w:w="15" w:type="dxa"/>
              <w:right w:w="15" w:type="dxa"/>
            </w:tcMar>
            <w:vAlign w:val="center"/>
          </w:tcPr>
          <w:p w14:paraId="78A594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0B4E1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49689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01988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26BF24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8169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A8E107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41</w:t>
            </w:r>
          </w:p>
        </w:tc>
        <w:tc>
          <w:tcPr>
            <w:tcW w:w="1525" w:type="dxa"/>
            <w:tcBorders>
              <w:tl2br w:val="nil"/>
              <w:tr2bl w:val="nil"/>
            </w:tcBorders>
            <w:noWrap w:val="0"/>
            <w:tcMar>
              <w:top w:w="15" w:type="dxa"/>
              <w:left w:w="15" w:type="dxa"/>
              <w:right w:w="15" w:type="dxa"/>
            </w:tcMar>
            <w:vAlign w:val="center"/>
          </w:tcPr>
          <w:p w14:paraId="42F32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湖南昊柏隧装机械制造有限公司</w:t>
            </w:r>
          </w:p>
        </w:tc>
        <w:tc>
          <w:tcPr>
            <w:tcW w:w="608" w:type="dxa"/>
            <w:tcBorders>
              <w:tl2br w:val="nil"/>
              <w:tr2bl w:val="nil"/>
            </w:tcBorders>
            <w:noWrap w:val="0"/>
            <w:tcMar>
              <w:top w:w="15" w:type="dxa"/>
              <w:left w:w="15" w:type="dxa"/>
              <w:right w:w="15" w:type="dxa"/>
            </w:tcMar>
            <w:vAlign w:val="center"/>
          </w:tcPr>
          <w:p w14:paraId="1130D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2000</w:t>
            </w:r>
          </w:p>
        </w:tc>
        <w:tc>
          <w:tcPr>
            <w:tcW w:w="750" w:type="dxa"/>
            <w:tcBorders>
              <w:tl2br w:val="nil"/>
              <w:tr2bl w:val="nil"/>
            </w:tcBorders>
            <w:noWrap/>
            <w:tcMar>
              <w:top w:w="15" w:type="dxa"/>
              <w:left w:w="15" w:type="dxa"/>
              <w:right w:w="15" w:type="dxa"/>
            </w:tcMar>
            <w:vAlign w:val="center"/>
          </w:tcPr>
          <w:p w14:paraId="036D7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1" w:type="dxa"/>
            <w:tcBorders>
              <w:tl2br w:val="nil"/>
              <w:tr2bl w:val="nil"/>
            </w:tcBorders>
            <w:noWrap/>
            <w:tcMar>
              <w:top w:w="15" w:type="dxa"/>
              <w:left w:w="15" w:type="dxa"/>
              <w:right w:w="15" w:type="dxa"/>
            </w:tcMar>
            <w:vAlign w:val="center"/>
          </w:tcPr>
          <w:p w14:paraId="1CFA59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262F75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6D38A4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2367" w:type="dxa"/>
            <w:tcBorders>
              <w:tl2br w:val="nil"/>
              <w:tr2bl w:val="nil"/>
            </w:tcBorders>
            <w:noWrap w:val="0"/>
            <w:tcMar>
              <w:top w:w="15" w:type="dxa"/>
              <w:left w:w="15" w:type="dxa"/>
              <w:right w:w="15" w:type="dxa"/>
            </w:tcMar>
            <w:vAlign w:val="center"/>
          </w:tcPr>
          <w:p w14:paraId="50F442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31482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162E0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12AB4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404C85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7163D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8F4ADED">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42</w:t>
            </w:r>
          </w:p>
        </w:tc>
        <w:tc>
          <w:tcPr>
            <w:tcW w:w="1525" w:type="dxa"/>
            <w:tcBorders>
              <w:tl2br w:val="nil"/>
              <w:tr2bl w:val="nil"/>
            </w:tcBorders>
            <w:noWrap w:val="0"/>
            <w:tcMar>
              <w:top w:w="15" w:type="dxa"/>
              <w:left w:w="15" w:type="dxa"/>
              <w:right w:w="15" w:type="dxa"/>
            </w:tcMar>
            <w:vAlign w:val="center"/>
          </w:tcPr>
          <w:p w14:paraId="461D2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湖南博讯金属制品有限公司</w:t>
            </w:r>
          </w:p>
        </w:tc>
        <w:tc>
          <w:tcPr>
            <w:tcW w:w="608" w:type="dxa"/>
            <w:tcBorders>
              <w:tl2br w:val="nil"/>
              <w:tr2bl w:val="nil"/>
            </w:tcBorders>
            <w:noWrap w:val="0"/>
            <w:tcMar>
              <w:top w:w="15" w:type="dxa"/>
              <w:left w:w="15" w:type="dxa"/>
              <w:right w:w="15" w:type="dxa"/>
            </w:tcMar>
            <w:vAlign w:val="center"/>
          </w:tcPr>
          <w:p w14:paraId="59250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5660</w:t>
            </w:r>
          </w:p>
        </w:tc>
        <w:tc>
          <w:tcPr>
            <w:tcW w:w="750" w:type="dxa"/>
            <w:tcBorders>
              <w:tl2br w:val="nil"/>
              <w:tr2bl w:val="nil"/>
            </w:tcBorders>
            <w:noWrap/>
            <w:tcMar>
              <w:top w:w="15" w:type="dxa"/>
              <w:left w:w="15" w:type="dxa"/>
              <w:right w:w="15" w:type="dxa"/>
            </w:tcMar>
            <w:vAlign w:val="center"/>
          </w:tcPr>
          <w:p w14:paraId="7B7B2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1.073</w:t>
            </w:r>
          </w:p>
        </w:tc>
        <w:tc>
          <w:tcPr>
            <w:tcW w:w="991" w:type="dxa"/>
            <w:tcBorders>
              <w:tl2br w:val="nil"/>
              <w:tr2bl w:val="nil"/>
            </w:tcBorders>
            <w:noWrap/>
            <w:tcMar>
              <w:top w:w="15" w:type="dxa"/>
              <w:left w:w="15" w:type="dxa"/>
              <w:right w:w="15" w:type="dxa"/>
            </w:tcMar>
            <w:vAlign w:val="center"/>
          </w:tcPr>
          <w:p w14:paraId="54B35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0.092</w:t>
            </w:r>
          </w:p>
        </w:tc>
        <w:tc>
          <w:tcPr>
            <w:tcW w:w="901" w:type="dxa"/>
            <w:tcBorders>
              <w:tl2br w:val="nil"/>
              <w:tr2bl w:val="nil"/>
            </w:tcBorders>
            <w:noWrap/>
            <w:tcMar>
              <w:top w:w="15" w:type="dxa"/>
              <w:left w:w="15" w:type="dxa"/>
              <w:right w:w="15" w:type="dxa"/>
            </w:tcMar>
            <w:vAlign w:val="center"/>
          </w:tcPr>
          <w:p w14:paraId="031EA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0.11</w:t>
            </w:r>
          </w:p>
        </w:tc>
        <w:tc>
          <w:tcPr>
            <w:tcW w:w="1249" w:type="dxa"/>
            <w:tcBorders>
              <w:tl2br w:val="nil"/>
              <w:tr2bl w:val="nil"/>
            </w:tcBorders>
            <w:noWrap/>
            <w:tcMar>
              <w:top w:w="15" w:type="dxa"/>
              <w:left w:w="15" w:type="dxa"/>
              <w:right w:w="15" w:type="dxa"/>
            </w:tcMar>
            <w:vAlign w:val="center"/>
          </w:tcPr>
          <w:p w14:paraId="78F70F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0.0331</w:t>
            </w:r>
          </w:p>
        </w:tc>
        <w:tc>
          <w:tcPr>
            <w:tcW w:w="2367" w:type="dxa"/>
            <w:tcBorders>
              <w:tl2br w:val="nil"/>
              <w:tr2bl w:val="nil"/>
            </w:tcBorders>
            <w:noWrap w:val="0"/>
            <w:tcMar>
              <w:top w:w="15" w:type="dxa"/>
              <w:left w:w="15" w:type="dxa"/>
              <w:right w:w="15" w:type="dxa"/>
            </w:tcMar>
            <w:vAlign w:val="center"/>
          </w:tcPr>
          <w:p w14:paraId="4A312E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13571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630</w:t>
            </w:r>
          </w:p>
        </w:tc>
        <w:tc>
          <w:tcPr>
            <w:tcW w:w="1061" w:type="dxa"/>
            <w:tcBorders>
              <w:tl2br w:val="nil"/>
              <w:tr2bl w:val="nil"/>
            </w:tcBorders>
            <w:noWrap/>
            <w:tcMar>
              <w:top w:w="15" w:type="dxa"/>
              <w:left w:w="15" w:type="dxa"/>
              <w:right w:w="15" w:type="dxa"/>
            </w:tcMar>
            <w:vAlign w:val="center"/>
          </w:tcPr>
          <w:p w14:paraId="744C4F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0.0315</w:t>
            </w:r>
          </w:p>
        </w:tc>
        <w:tc>
          <w:tcPr>
            <w:tcW w:w="953" w:type="dxa"/>
            <w:tcBorders>
              <w:tl2br w:val="nil"/>
              <w:tr2bl w:val="nil"/>
            </w:tcBorders>
            <w:noWrap/>
            <w:tcMar>
              <w:top w:w="15" w:type="dxa"/>
              <w:left w:w="15" w:type="dxa"/>
              <w:right w:w="15" w:type="dxa"/>
            </w:tcMar>
            <w:vAlign w:val="center"/>
          </w:tcPr>
          <w:p w14:paraId="246D2E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0.005</w:t>
            </w:r>
          </w:p>
        </w:tc>
        <w:tc>
          <w:tcPr>
            <w:tcW w:w="1861" w:type="dxa"/>
            <w:tcBorders>
              <w:tl2br w:val="nil"/>
              <w:tr2bl w:val="nil"/>
            </w:tcBorders>
            <w:noWrap/>
            <w:tcMar>
              <w:top w:w="15" w:type="dxa"/>
              <w:left w:w="15" w:type="dxa"/>
              <w:right w:w="15" w:type="dxa"/>
            </w:tcMar>
            <w:vAlign w:val="center"/>
          </w:tcPr>
          <w:p w14:paraId="39481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3272D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F3C7A0C">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43</w:t>
            </w:r>
          </w:p>
        </w:tc>
        <w:tc>
          <w:tcPr>
            <w:tcW w:w="1525" w:type="dxa"/>
            <w:tcBorders>
              <w:tl2br w:val="nil"/>
              <w:tr2bl w:val="nil"/>
            </w:tcBorders>
            <w:noWrap w:val="0"/>
            <w:tcMar>
              <w:top w:w="15" w:type="dxa"/>
              <w:left w:w="15" w:type="dxa"/>
              <w:right w:w="15" w:type="dxa"/>
            </w:tcMar>
            <w:vAlign w:val="center"/>
          </w:tcPr>
          <w:p w14:paraId="318101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湖南正合一管业有限公司</w:t>
            </w:r>
          </w:p>
        </w:tc>
        <w:tc>
          <w:tcPr>
            <w:tcW w:w="608" w:type="dxa"/>
            <w:tcBorders>
              <w:tl2br w:val="nil"/>
              <w:tr2bl w:val="nil"/>
            </w:tcBorders>
            <w:noWrap w:val="0"/>
            <w:tcMar>
              <w:top w:w="15" w:type="dxa"/>
              <w:left w:w="15" w:type="dxa"/>
              <w:right w:w="15" w:type="dxa"/>
            </w:tcMar>
            <w:vAlign w:val="center"/>
          </w:tcPr>
          <w:p w14:paraId="068B4B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26615</w:t>
            </w:r>
          </w:p>
        </w:tc>
        <w:tc>
          <w:tcPr>
            <w:tcW w:w="750" w:type="dxa"/>
            <w:tcBorders>
              <w:tl2br w:val="nil"/>
              <w:tr2bl w:val="nil"/>
            </w:tcBorders>
            <w:noWrap/>
            <w:tcMar>
              <w:top w:w="15" w:type="dxa"/>
              <w:left w:w="15" w:type="dxa"/>
              <w:right w:w="15" w:type="dxa"/>
            </w:tcMar>
            <w:vAlign w:val="center"/>
          </w:tcPr>
          <w:p w14:paraId="125D8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1.144</w:t>
            </w:r>
          </w:p>
        </w:tc>
        <w:tc>
          <w:tcPr>
            <w:tcW w:w="991" w:type="dxa"/>
            <w:tcBorders>
              <w:tl2br w:val="nil"/>
              <w:tr2bl w:val="nil"/>
            </w:tcBorders>
            <w:noWrap/>
            <w:tcMar>
              <w:top w:w="15" w:type="dxa"/>
              <w:left w:w="15" w:type="dxa"/>
              <w:right w:w="15" w:type="dxa"/>
            </w:tcMar>
            <w:vAlign w:val="center"/>
          </w:tcPr>
          <w:p w14:paraId="56CB1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0.128</w:t>
            </w:r>
          </w:p>
        </w:tc>
        <w:tc>
          <w:tcPr>
            <w:tcW w:w="901" w:type="dxa"/>
            <w:tcBorders>
              <w:tl2br w:val="nil"/>
              <w:tr2bl w:val="nil"/>
            </w:tcBorders>
            <w:noWrap/>
            <w:tcMar>
              <w:top w:w="15" w:type="dxa"/>
              <w:left w:w="15" w:type="dxa"/>
              <w:right w:w="15" w:type="dxa"/>
            </w:tcMar>
            <w:vAlign w:val="center"/>
          </w:tcPr>
          <w:p w14:paraId="26B9D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0.598</w:t>
            </w:r>
          </w:p>
        </w:tc>
        <w:tc>
          <w:tcPr>
            <w:tcW w:w="1249" w:type="dxa"/>
            <w:tcBorders>
              <w:tl2br w:val="nil"/>
              <w:tr2bl w:val="nil"/>
            </w:tcBorders>
            <w:noWrap/>
            <w:tcMar>
              <w:top w:w="15" w:type="dxa"/>
              <w:left w:w="15" w:type="dxa"/>
              <w:right w:w="15" w:type="dxa"/>
            </w:tcMar>
            <w:vAlign w:val="center"/>
          </w:tcPr>
          <w:p w14:paraId="7C251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1.041</w:t>
            </w:r>
          </w:p>
        </w:tc>
        <w:tc>
          <w:tcPr>
            <w:tcW w:w="2367" w:type="dxa"/>
            <w:tcBorders>
              <w:tl2br w:val="nil"/>
              <w:tr2bl w:val="nil"/>
            </w:tcBorders>
            <w:noWrap w:val="0"/>
            <w:tcMar>
              <w:top w:w="15" w:type="dxa"/>
              <w:left w:w="15" w:type="dxa"/>
              <w:right w:w="15" w:type="dxa"/>
            </w:tcMar>
            <w:vAlign w:val="center"/>
          </w:tcPr>
          <w:p w14:paraId="15C3F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二甲苯0.158，二硫化碳0.0269</w:t>
            </w:r>
          </w:p>
        </w:tc>
        <w:tc>
          <w:tcPr>
            <w:tcW w:w="1170" w:type="dxa"/>
            <w:tcBorders>
              <w:tl2br w:val="nil"/>
              <w:tr2bl w:val="nil"/>
            </w:tcBorders>
            <w:noWrap/>
            <w:tcMar>
              <w:top w:w="15" w:type="dxa"/>
              <w:left w:w="15" w:type="dxa"/>
              <w:right w:w="15" w:type="dxa"/>
            </w:tcMar>
            <w:vAlign w:val="center"/>
          </w:tcPr>
          <w:p w14:paraId="37E77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3301.06</w:t>
            </w:r>
          </w:p>
        </w:tc>
        <w:tc>
          <w:tcPr>
            <w:tcW w:w="1061" w:type="dxa"/>
            <w:tcBorders>
              <w:tl2br w:val="nil"/>
              <w:tr2bl w:val="nil"/>
            </w:tcBorders>
            <w:noWrap/>
            <w:tcMar>
              <w:top w:w="15" w:type="dxa"/>
              <w:left w:w="15" w:type="dxa"/>
              <w:right w:w="15" w:type="dxa"/>
            </w:tcMar>
            <w:vAlign w:val="center"/>
          </w:tcPr>
          <w:p w14:paraId="6F0722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0.855</w:t>
            </w:r>
          </w:p>
        </w:tc>
        <w:tc>
          <w:tcPr>
            <w:tcW w:w="953" w:type="dxa"/>
            <w:tcBorders>
              <w:tl2br w:val="nil"/>
              <w:tr2bl w:val="nil"/>
            </w:tcBorders>
            <w:noWrap/>
            <w:tcMar>
              <w:top w:w="15" w:type="dxa"/>
              <w:left w:w="15" w:type="dxa"/>
              <w:right w:w="15" w:type="dxa"/>
            </w:tcMar>
            <w:vAlign w:val="center"/>
          </w:tcPr>
          <w:p w14:paraId="60783A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0.078</w:t>
            </w:r>
          </w:p>
        </w:tc>
        <w:tc>
          <w:tcPr>
            <w:tcW w:w="1861" w:type="dxa"/>
            <w:tcBorders>
              <w:tl2br w:val="nil"/>
              <w:tr2bl w:val="nil"/>
            </w:tcBorders>
            <w:noWrap/>
            <w:tcMar>
              <w:top w:w="15" w:type="dxa"/>
              <w:left w:w="15" w:type="dxa"/>
              <w:right w:w="15" w:type="dxa"/>
            </w:tcMar>
            <w:vAlign w:val="center"/>
          </w:tcPr>
          <w:p w14:paraId="4BB612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5D28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EC1612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44</w:t>
            </w:r>
          </w:p>
        </w:tc>
        <w:tc>
          <w:tcPr>
            <w:tcW w:w="1525" w:type="dxa"/>
            <w:tcBorders>
              <w:tl2br w:val="nil"/>
              <w:tr2bl w:val="nil"/>
            </w:tcBorders>
            <w:noWrap w:val="0"/>
            <w:tcMar>
              <w:top w:w="15" w:type="dxa"/>
              <w:left w:w="15" w:type="dxa"/>
              <w:right w:w="15" w:type="dxa"/>
            </w:tcMar>
            <w:vAlign w:val="center"/>
          </w:tcPr>
          <w:p w14:paraId="2748A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湖南沃格新材料科技有限公司</w:t>
            </w:r>
          </w:p>
        </w:tc>
        <w:tc>
          <w:tcPr>
            <w:tcW w:w="608" w:type="dxa"/>
            <w:tcBorders>
              <w:tl2br w:val="nil"/>
              <w:tr2bl w:val="nil"/>
            </w:tcBorders>
            <w:noWrap w:val="0"/>
            <w:tcMar>
              <w:top w:w="15" w:type="dxa"/>
              <w:left w:w="15" w:type="dxa"/>
              <w:right w:w="15" w:type="dxa"/>
            </w:tcMar>
            <w:vAlign w:val="center"/>
          </w:tcPr>
          <w:p w14:paraId="7E533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43206</w:t>
            </w:r>
          </w:p>
        </w:tc>
        <w:tc>
          <w:tcPr>
            <w:tcW w:w="750" w:type="dxa"/>
            <w:tcBorders>
              <w:tl2br w:val="nil"/>
              <w:tr2bl w:val="nil"/>
            </w:tcBorders>
            <w:noWrap/>
            <w:tcMar>
              <w:top w:w="15" w:type="dxa"/>
              <w:left w:w="15" w:type="dxa"/>
              <w:right w:w="15" w:type="dxa"/>
            </w:tcMar>
            <w:vAlign w:val="center"/>
          </w:tcPr>
          <w:p w14:paraId="7D8E1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1" w:type="dxa"/>
            <w:tcBorders>
              <w:tl2br w:val="nil"/>
              <w:tr2bl w:val="nil"/>
            </w:tcBorders>
            <w:noWrap/>
            <w:tcMar>
              <w:top w:w="15" w:type="dxa"/>
              <w:left w:w="15" w:type="dxa"/>
              <w:right w:w="15" w:type="dxa"/>
            </w:tcMar>
            <w:vAlign w:val="center"/>
          </w:tcPr>
          <w:p w14:paraId="0F05C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2943F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49" w:type="dxa"/>
            <w:tcBorders>
              <w:tl2br w:val="nil"/>
              <w:tr2bl w:val="nil"/>
            </w:tcBorders>
            <w:noWrap/>
            <w:tcMar>
              <w:top w:w="15" w:type="dxa"/>
              <w:left w:w="15" w:type="dxa"/>
              <w:right w:w="15" w:type="dxa"/>
            </w:tcMar>
            <w:vAlign w:val="center"/>
          </w:tcPr>
          <w:p w14:paraId="00F5A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6BFAC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261BD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7426E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658771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5F38F3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w:t>
            </w:r>
          </w:p>
        </w:tc>
      </w:tr>
      <w:tr w14:paraId="7E83A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840E3D9">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45</w:t>
            </w:r>
          </w:p>
        </w:tc>
        <w:tc>
          <w:tcPr>
            <w:tcW w:w="1525" w:type="dxa"/>
            <w:tcBorders>
              <w:tl2br w:val="nil"/>
              <w:tr2bl w:val="nil"/>
            </w:tcBorders>
            <w:noWrap w:val="0"/>
            <w:tcMar>
              <w:top w:w="15" w:type="dxa"/>
              <w:left w:w="15" w:type="dxa"/>
              <w:right w:w="15" w:type="dxa"/>
            </w:tcMar>
            <w:vAlign w:val="center"/>
          </w:tcPr>
          <w:p w14:paraId="1838B2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湖南联力科技有限公司</w:t>
            </w:r>
          </w:p>
        </w:tc>
        <w:tc>
          <w:tcPr>
            <w:tcW w:w="608" w:type="dxa"/>
            <w:tcBorders>
              <w:tl2br w:val="nil"/>
              <w:tr2bl w:val="nil"/>
            </w:tcBorders>
            <w:noWrap w:val="0"/>
            <w:tcMar>
              <w:top w:w="15" w:type="dxa"/>
              <w:left w:w="15" w:type="dxa"/>
              <w:right w:w="15" w:type="dxa"/>
            </w:tcMar>
            <w:vAlign w:val="center"/>
          </w:tcPr>
          <w:p w14:paraId="0C77D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134259</w:t>
            </w:r>
          </w:p>
        </w:tc>
        <w:tc>
          <w:tcPr>
            <w:tcW w:w="750" w:type="dxa"/>
            <w:tcBorders>
              <w:tl2br w:val="nil"/>
              <w:tr2bl w:val="nil"/>
            </w:tcBorders>
            <w:noWrap/>
            <w:tcMar>
              <w:top w:w="15" w:type="dxa"/>
              <w:left w:w="15" w:type="dxa"/>
              <w:right w:w="15" w:type="dxa"/>
            </w:tcMar>
            <w:vAlign w:val="center"/>
          </w:tcPr>
          <w:p w14:paraId="499FF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5.824</w:t>
            </w:r>
          </w:p>
        </w:tc>
        <w:tc>
          <w:tcPr>
            <w:tcW w:w="991" w:type="dxa"/>
            <w:tcBorders>
              <w:tl2br w:val="nil"/>
              <w:tr2bl w:val="nil"/>
            </w:tcBorders>
            <w:noWrap/>
            <w:tcMar>
              <w:top w:w="15" w:type="dxa"/>
              <w:left w:w="15" w:type="dxa"/>
              <w:right w:w="15" w:type="dxa"/>
            </w:tcMar>
            <w:vAlign w:val="center"/>
          </w:tcPr>
          <w:p w14:paraId="62838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0.44</w:t>
            </w:r>
          </w:p>
        </w:tc>
        <w:tc>
          <w:tcPr>
            <w:tcW w:w="901" w:type="dxa"/>
            <w:tcBorders>
              <w:tl2br w:val="nil"/>
              <w:tr2bl w:val="nil"/>
            </w:tcBorders>
            <w:noWrap/>
            <w:tcMar>
              <w:top w:w="15" w:type="dxa"/>
              <w:left w:w="15" w:type="dxa"/>
              <w:right w:w="15" w:type="dxa"/>
            </w:tcMar>
            <w:vAlign w:val="center"/>
          </w:tcPr>
          <w:p w14:paraId="20A797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2.0586</w:t>
            </w:r>
          </w:p>
        </w:tc>
        <w:tc>
          <w:tcPr>
            <w:tcW w:w="1249" w:type="dxa"/>
            <w:tcBorders>
              <w:tl2br w:val="nil"/>
              <w:tr2bl w:val="nil"/>
            </w:tcBorders>
            <w:noWrap/>
            <w:tcMar>
              <w:top w:w="15" w:type="dxa"/>
              <w:left w:w="15" w:type="dxa"/>
              <w:right w:w="15" w:type="dxa"/>
            </w:tcMar>
            <w:vAlign w:val="center"/>
          </w:tcPr>
          <w:p w14:paraId="0BC90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4.621</w:t>
            </w:r>
          </w:p>
        </w:tc>
        <w:tc>
          <w:tcPr>
            <w:tcW w:w="2367" w:type="dxa"/>
            <w:tcBorders>
              <w:tl2br w:val="nil"/>
              <w:tr2bl w:val="nil"/>
            </w:tcBorders>
            <w:noWrap/>
            <w:tcMar>
              <w:top w:w="15" w:type="dxa"/>
              <w:left w:w="15" w:type="dxa"/>
              <w:right w:w="15" w:type="dxa"/>
            </w:tcMar>
            <w:vAlign w:val="center"/>
          </w:tcPr>
          <w:p w14:paraId="7A55A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二甲苯0.670，氨0.0001</w:t>
            </w:r>
          </w:p>
        </w:tc>
        <w:tc>
          <w:tcPr>
            <w:tcW w:w="1170" w:type="dxa"/>
            <w:tcBorders>
              <w:tl2br w:val="nil"/>
              <w:tr2bl w:val="nil"/>
            </w:tcBorders>
            <w:noWrap/>
            <w:tcMar>
              <w:top w:w="15" w:type="dxa"/>
              <w:left w:w="15" w:type="dxa"/>
              <w:right w:w="15" w:type="dxa"/>
            </w:tcMar>
            <w:vAlign w:val="center"/>
          </w:tcPr>
          <w:p w14:paraId="043034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15477.9</w:t>
            </w:r>
          </w:p>
        </w:tc>
        <w:tc>
          <w:tcPr>
            <w:tcW w:w="1061" w:type="dxa"/>
            <w:tcBorders>
              <w:tl2br w:val="nil"/>
              <w:tr2bl w:val="nil"/>
            </w:tcBorders>
            <w:noWrap/>
            <w:tcMar>
              <w:top w:w="15" w:type="dxa"/>
              <w:left w:w="15" w:type="dxa"/>
              <w:right w:w="15" w:type="dxa"/>
            </w:tcMar>
            <w:vAlign w:val="center"/>
          </w:tcPr>
          <w:p w14:paraId="42ABB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0.783</w:t>
            </w:r>
          </w:p>
        </w:tc>
        <w:tc>
          <w:tcPr>
            <w:tcW w:w="953" w:type="dxa"/>
            <w:tcBorders>
              <w:tl2br w:val="nil"/>
              <w:tr2bl w:val="nil"/>
            </w:tcBorders>
            <w:noWrap/>
            <w:tcMar>
              <w:top w:w="15" w:type="dxa"/>
              <w:left w:w="15" w:type="dxa"/>
              <w:right w:w="15" w:type="dxa"/>
            </w:tcMar>
            <w:vAlign w:val="center"/>
          </w:tcPr>
          <w:p w14:paraId="15A8A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0.079</w:t>
            </w:r>
          </w:p>
        </w:tc>
        <w:tc>
          <w:tcPr>
            <w:tcW w:w="1861" w:type="dxa"/>
            <w:tcBorders>
              <w:tl2br w:val="nil"/>
              <w:tr2bl w:val="nil"/>
            </w:tcBorders>
            <w:noWrap/>
            <w:tcMar>
              <w:top w:w="15" w:type="dxa"/>
              <w:left w:w="15" w:type="dxa"/>
              <w:right w:w="15" w:type="dxa"/>
            </w:tcMar>
            <w:vAlign w:val="center"/>
          </w:tcPr>
          <w:p w14:paraId="4D3071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0EDD1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25DDB6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46</w:t>
            </w:r>
          </w:p>
        </w:tc>
        <w:tc>
          <w:tcPr>
            <w:tcW w:w="1525" w:type="dxa"/>
            <w:tcBorders>
              <w:tl2br w:val="nil"/>
              <w:tr2bl w:val="nil"/>
            </w:tcBorders>
            <w:noWrap w:val="0"/>
            <w:tcMar>
              <w:top w:w="15" w:type="dxa"/>
              <w:left w:w="15" w:type="dxa"/>
              <w:right w:w="15" w:type="dxa"/>
            </w:tcMar>
            <w:vAlign w:val="center"/>
          </w:tcPr>
          <w:p w14:paraId="2B5D5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湖南亿融智能装备有限公司</w:t>
            </w:r>
          </w:p>
        </w:tc>
        <w:tc>
          <w:tcPr>
            <w:tcW w:w="608" w:type="dxa"/>
            <w:tcBorders>
              <w:tl2br w:val="nil"/>
              <w:tr2bl w:val="nil"/>
            </w:tcBorders>
            <w:noWrap w:val="0"/>
            <w:tcMar>
              <w:top w:w="15" w:type="dxa"/>
              <w:left w:w="15" w:type="dxa"/>
              <w:right w:w="15" w:type="dxa"/>
            </w:tcMar>
            <w:vAlign w:val="center"/>
          </w:tcPr>
          <w:p w14:paraId="011A0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20360</w:t>
            </w:r>
          </w:p>
        </w:tc>
        <w:tc>
          <w:tcPr>
            <w:tcW w:w="750" w:type="dxa"/>
            <w:tcBorders>
              <w:tl2br w:val="nil"/>
              <w:tr2bl w:val="nil"/>
            </w:tcBorders>
            <w:noWrap/>
            <w:tcMar>
              <w:top w:w="15" w:type="dxa"/>
              <w:left w:w="15" w:type="dxa"/>
              <w:right w:w="15" w:type="dxa"/>
            </w:tcMar>
            <w:vAlign w:val="center"/>
          </w:tcPr>
          <w:p w14:paraId="57A24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1" w:type="dxa"/>
            <w:tcBorders>
              <w:tl2br w:val="nil"/>
              <w:tr2bl w:val="nil"/>
            </w:tcBorders>
            <w:noWrap/>
            <w:tcMar>
              <w:top w:w="15" w:type="dxa"/>
              <w:left w:w="15" w:type="dxa"/>
              <w:right w:w="15" w:type="dxa"/>
            </w:tcMar>
            <w:vAlign w:val="center"/>
          </w:tcPr>
          <w:p w14:paraId="7393F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901" w:type="dxa"/>
            <w:tcBorders>
              <w:tl2br w:val="nil"/>
              <w:tr2bl w:val="nil"/>
            </w:tcBorders>
            <w:noWrap/>
            <w:tcMar>
              <w:top w:w="15" w:type="dxa"/>
              <w:left w:w="15" w:type="dxa"/>
              <w:right w:w="15" w:type="dxa"/>
            </w:tcMar>
            <w:vAlign w:val="center"/>
          </w:tcPr>
          <w:p w14:paraId="6891B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w:t>
            </w:r>
          </w:p>
        </w:tc>
        <w:tc>
          <w:tcPr>
            <w:tcW w:w="1249" w:type="dxa"/>
            <w:tcBorders>
              <w:tl2br w:val="nil"/>
              <w:tr2bl w:val="nil"/>
            </w:tcBorders>
            <w:noWrap/>
            <w:tcMar>
              <w:top w:w="15" w:type="dxa"/>
              <w:left w:w="15" w:type="dxa"/>
              <w:right w:w="15" w:type="dxa"/>
            </w:tcMar>
            <w:vAlign w:val="center"/>
          </w:tcPr>
          <w:p w14:paraId="576D1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0.6</w:t>
            </w:r>
          </w:p>
        </w:tc>
        <w:tc>
          <w:tcPr>
            <w:tcW w:w="2367" w:type="dxa"/>
            <w:tcBorders>
              <w:tl2br w:val="nil"/>
              <w:tr2bl w:val="nil"/>
            </w:tcBorders>
            <w:noWrap/>
            <w:tcMar>
              <w:top w:w="15" w:type="dxa"/>
              <w:left w:w="15" w:type="dxa"/>
              <w:right w:w="15" w:type="dxa"/>
            </w:tcMar>
            <w:vAlign w:val="center"/>
          </w:tcPr>
          <w:p w14:paraId="6878B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5B1924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4544F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3BB966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01FD4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6A1D0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2EFF52B">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47</w:t>
            </w:r>
          </w:p>
        </w:tc>
        <w:tc>
          <w:tcPr>
            <w:tcW w:w="1525" w:type="dxa"/>
            <w:tcBorders>
              <w:tl2br w:val="nil"/>
              <w:tr2bl w:val="nil"/>
            </w:tcBorders>
            <w:noWrap w:val="0"/>
            <w:tcMar>
              <w:top w:w="15" w:type="dxa"/>
              <w:left w:w="15" w:type="dxa"/>
              <w:right w:w="15" w:type="dxa"/>
            </w:tcMar>
            <w:vAlign w:val="center"/>
          </w:tcPr>
          <w:p w14:paraId="60109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湖南连研装备制造有限公司</w:t>
            </w:r>
          </w:p>
        </w:tc>
        <w:tc>
          <w:tcPr>
            <w:tcW w:w="608" w:type="dxa"/>
            <w:tcBorders>
              <w:tl2br w:val="nil"/>
              <w:tr2bl w:val="nil"/>
            </w:tcBorders>
            <w:noWrap w:val="0"/>
            <w:tcMar>
              <w:top w:w="15" w:type="dxa"/>
              <w:left w:w="15" w:type="dxa"/>
              <w:right w:w="15" w:type="dxa"/>
            </w:tcMar>
            <w:vAlign w:val="center"/>
          </w:tcPr>
          <w:p w14:paraId="051854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20178</w:t>
            </w:r>
          </w:p>
        </w:tc>
        <w:tc>
          <w:tcPr>
            <w:tcW w:w="750" w:type="dxa"/>
            <w:tcBorders>
              <w:tl2br w:val="nil"/>
              <w:tr2bl w:val="nil"/>
            </w:tcBorders>
            <w:noWrap/>
            <w:tcMar>
              <w:top w:w="15" w:type="dxa"/>
              <w:left w:w="15" w:type="dxa"/>
              <w:right w:w="15" w:type="dxa"/>
            </w:tcMar>
            <w:vAlign w:val="center"/>
          </w:tcPr>
          <w:p w14:paraId="39F2D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0.8175</w:t>
            </w:r>
          </w:p>
        </w:tc>
        <w:tc>
          <w:tcPr>
            <w:tcW w:w="991" w:type="dxa"/>
            <w:tcBorders>
              <w:tl2br w:val="nil"/>
              <w:tr2bl w:val="nil"/>
            </w:tcBorders>
            <w:noWrap/>
            <w:tcMar>
              <w:top w:w="15" w:type="dxa"/>
              <w:left w:w="15" w:type="dxa"/>
              <w:right w:w="15" w:type="dxa"/>
            </w:tcMar>
            <w:vAlign w:val="center"/>
          </w:tcPr>
          <w:p w14:paraId="6EFF3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189BB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04037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0.386</w:t>
            </w:r>
          </w:p>
        </w:tc>
        <w:tc>
          <w:tcPr>
            <w:tcW w:w="2367" w:type="dxa"/>
            <w:tcBorders>
              <w:tl2br w:val="nil"/>
              <w:tr2bl w:val="nil"/>
            </w:tcBorders>
            <w:noWrap/>
            <w:tcMar>
              <w:top w:w="15" w:type="dxa"/>
              <w:left w:w="15" w:type="dxa"/>
              <w:right w:w="15" w:type="dxa"/>
            </w:tcMar>
            <w:vAlign w:val="center"/>
          </w:tcPr>
          <w:p w14:paraId="31C45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二甲苯0.08</w:t>
            </w:r>
          </w:p>
        </w:tc>
        <w:tc>
          <w:tcPr>
            <w:tcW w:w="1170" w:type="dxa"/>
            <w:tcBorders>
              <w:tl2br w:val="nil"/>
              <w:tr2bl w:val="nil"/>
            </w:tcBorders>
            <w:noWrap/>
            <w:tcMar>
              <w:top w:w="15" w:type="dxa"/>
              <w:left w:w="15" w:type="dxa"/>
              <w:right w:w="15" w:type="dxa"/>
            </w:tcMar>
            <w:vAlign w:val="center"/>
          </w:tcPr>
          <w:p w14:paraId="46E35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4560</w:t>
            </w:r>
          </w:p>
        </w:tc>
        <w:tc>
          <w:tcPr>
            <w:tcW w:w="1061" w:type="dxa"/>
            <w:tcBorders>
              <w:tl2br w:val="nil"/>
              <w:tr2bl w:val="nil"/>
            </w:tcBorders>
            <w:noWrap/>
            <w:tcMar>
              <w:top w:w="15" w:type="dxa"/>
              <w:left w:w="15" w:type="dxa"/>
              <w:right w:w="15" w:type="dxa"/>
            </w:tcMar>
            <w:vAlign w:val="center"/>
          </w:tcPr>
          <w:p w14:paraId="3FDF16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0.228</w:t>
            </w:r>
          </w:p>
        </w:tc>
        <w:tc>
          <w:tcPr>
            <w:tcW w:w="953" w:type="dxa"/>
            <w:tcBorders>
              <w:tl2br w:val="nil"/>
              <w:tr2bl w:val="nil"/>
            </w:tcBorders>
            <w:noWrap/>
            <w:tcMar>
              <w:top w:w="15" w:type="dxa"/>
              <w:left w:w="15" w:type="dxa"/>
              <w:right w:w="15" w:type="dxa"/>
            </w:tcMar>
            <w:vAlign w:val="center"/>
          </w:tcPr>
          <w:p w14:paraId="2E51B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0.0228</w:t>
            </w:r>
          </w:p>
        </w:tc>
        <w:tc>
          <w:tcPr>
            <w:tcW w:w="1861" w:type="dxa"/>
            <w:tcBorders>
              <w:tl2br w:val="nil"/>
              <w:tr2bl w:val="nil"/>
            </w:tcBorders>
            <w:noWrap/>
            <w:tcMar>
              <w:top w:w="15" w:type="dxa"/>
              <w:left w:w="15" w:type="dxa"/>
              <w:right w:w="15" w:type="dxa"/>
            </w:tcMar>
            <w:vAlign w:val="center"/>
          </w:tcPr>
          <w:p w14:paraId="04C47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56A40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472C17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48</w:t>
            </w:r>
          </w:p>
        </w:tc>
        <w:tc>
          <w:tcPr>
            <w:tcW w:w="1525" w:type="dxa"/>
            <w:tcBorders>
              <w:tl2br w:val="nil"/>
              <w:tr2bl w:val="nil"/>
            </w:tcBorders>
            <w:noWrap w:val="0"/>
            <w:tcMar>
              <w:top w:w="15" w:type="dxa"/>
              <w:left w:w="15" w:type="dxa"/>
              <w:right w:w="15" w:type="dxa"/>
            </w:tcMar>
            <w:vAlign w:val="center"/>
          </w:tcPr>
          <w:p w14:paraId="4F5A7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湖南创美鑫丰建材加工有限公司</w:t>
            </w:r>
          </w:p>
        </w:tc>
        <w:tc>
          <w:tcPr>
            <w:tcW w:w="608" w:type="dxa"/>
            <w:tcBorders>
              <w:tl2br w:val="nil"/>
              <w:tr2bl w:val="nil"/>
            </w:tcBorders>
            <w:noWrap w:val="0"/>
            <w:tcMar>
              <w:top w:w="15" w:type="dxa"/>
              <w:left w:w="15" w:type="dxa"/>
              <w:right w:w="15" w:type="dxa"/>
            </w:tcMar>
            <w:vAlign w:val="center"/>
          </w:tcPr>
          <w:p w14:paraId="30D1B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1217.47</w:t>
            </w:r>
          </w:p>
        </w:tc>
        <w:tc>
          <w:tcPr>
            <w:tcW w:w="750" w:type="dxa"/>
            <w:tcBorders>
              <w:tl2br w:val="nil"/>
              <w:tr2bl w:val="nil"/>
            </w:tcBorders>
            <w:noWrap/>
            <w:tcMar>
              <w:top w:w="15" w:type="dxa"/>
              <w:left w:w="15" w:type="dxa"/>
              <w:right w:w="15" w:type="dxa"/>
            </w:tcMar>
            <w:vAlign w:val="center"/>
          </w:tcPr>
          <w:p w14:paraId="0328B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0.00057</w:t>
            </w:r>
          </w:p>
        </w:tc>
        <w:tc>
          <w:tcPr>
            <w:tcW w:w="991" w:type="dxa"/>
            <w:tcBorders>
              <w:tl2br w:val="nil"/>
              <w:tr2bl w:val="nil"/>
            </w:tcBorders>
            <w:noWrap/>
            <w:tcMar>
              <w:top w:w="15" w:type="dxa"/>
              <w:left w:w="15" w:type="dxa"/>
              <w:right w:w="15" w:type="dxa"/>
            </w:tcMar>
            <w:vAlign w:val="center"/>
          </w:tcPr>
          <w:p w14:paraId="00594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0.0008</w:t>
            </w:r>
          </w:p>
        </w:tc>
        <w:tc>
          <w:tcPr>
            <w:tcW w:w="901" w:type="dxa"/>
            <w:tcBorders>
              <w:tl2br w:val="nil"/>
              <w:tr2bl w:val="nil"/>
            </w:tcBorders>
            <w:noWrap/>
            <w:tcMar>
              <w:top w:w="15" w:type="dxa"/>
              <w:left w:w="15" w:type="dxa"/>
              <w:right w:w="15" w:type="dxa"/>
            </w:tcMar>
            <w:vAlign w:val="center"/>
          </w:tcPr>
          <w:p w14:paraId="77F06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0.00374</w:t>
            </w:r>
          </w:p>
        </w:tc>
        <w:tc>
          <w:tcPr>
            <w:tcW w:w="1249" w:type="dxa"/>
            <w:tcBorders>
              <w:tl2br w:val="nil"/>
              <w:tr2bl w:val="nil"/>
            </w:tcBorders>
            <w:noWrap/>
            <w:tcMar>
              <w:top w:w="15" w:type="dxa"/>
              <w:left w:w="15" w:type="dxa"/>
              <w:right w:w="15" w:type="dxa"/>
            </w:tcMar>
            <w:vAlign w:val="center"/>
          </w:tcPr>
          <w:p w14:paraId="3AC11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0.08457</w:t>
            </w:r>
          </w:p>
        </w:tc>
        <w:tc>
          <w:tcPr>
            <w:tcW w:w="2367" w:type="dxa"/>
            <w:tcBorders>
              <w:tl2br w:val="nil"/>
              <w:tr2bl w:val="nil"/>
            </w:tcBorders>
            <w:noWrap/>
            <w:tcMar>
              <w:top w:w="15" w:type="dxa"/>
              <w:left w:w="15" w:type="dxa"/>
              <w:right w:w="15" w:type="dxa"/>
            </w:tcMar>
            <w:vAlign w:val="center"/>
          </w:tcPr>
          <w:p w14:paraId="1201C4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170" w:type="dxa"/>
            <w:tcBorders>
              <w:tl2br w:val="nil"/>
              <w:tr2bl w:val="nil"/>
            </w:tcBorders>
            <w:noWrap/>
            <w:tcMar>
              <w:top w:w="15" w:type="dxa"/>
              <w:left w:w="15" w:type="dxa"/>
              <w:right w:w="15" w:type="dxa"/>
            </w:tcMar>
            <w:vAlign w:val="center"/>
          </w:tcPr>
          <w:p w14:paraId="10D3D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608</w:t>
            </w:r>
          </w:p>
        </w:tc>
        <w:tc>
          <w:tcPr>
            <w:tcW w:w="1061" w:type="dxa"/>
            <w:tcBorders>
              <w:tl2br w:val="nil"/>
              <w:tr2bl w:val="nil"/>
            </w:tcBorders>
            <w:noWrap/>
            <w:tcMar>
              <w:top w:w="15" w:type="dxa"/>
              <w:left w:w="15" w:type="dxa"/>
              <w:right w:w="15" w:type="dxa"/>
            </w:tcMar>
            <w:vAlign w:val="center"/>
          </w:tcPr>
          <w:p w14:paraId="13C39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0.12</w:t>
            </w:r>
          </w:p>
        </w:tc>
        <w:tc>
          <w:tcPr>
            <w:tcW w:w="953" w:type="dxa"/>
            <w:tcBorders>
              <w:tl2br w:val="nil"/>
              <w:tr2bl w:val="nil"/>
            </w:tcBorders>
            <w:noWrap/>
            <w:tcMar>
              <w:top w:w="15" w:type="dxa"/>
              <w:left w:w="15" w:type="dxa"/>
              <w:right w:w="15" w:type="dxa"/>
            </w:tcMar>
            <w:vAlign w:val="center"/>
          </w:tcPr>
          <w:p w14:paraId="4B72D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w:t>
            </w:r>
          </w:p>
        </w:tc>
        <w:tc>
          <w:tcPr>
            <w:tcW w:w="1861" w:type="dxa"/>
            <w:tcBorders>
              <w:tl2br w:val="nil"/>
              <w:tr2bl w:val="nil"/>
            </w:tcBorders>
            <w:noWrap/>
            <w:tcMar>
              <w:top w:w="15" w:type="dxa"/>
              <w:left w:w="15" w:type="dxa"/>
              <w:right w:w="15" w:type="dxa"/>
            </w:tcMar>
            <w:vAlign w:val="center"/>
          </w:tcPr>
          <w:p w14:paraId="08FAA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18B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0CD5611">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49</w:t>
            </w:r>
          </w:p>
        </w:tc>
        <w:tc>
          <w:tcPr>
            <w:tcW w:w="1525" w:type="dxa"/>
            <w:tcBorders>
              <w:tl2br w:val="nil"/>
              <w:tr2bl w:val="nil"/>
            </w:tcBorders>
            <w:noWrap w:val="0"/>
            <w:tcMar>
              <w:top w:w="15" w:type="dxa"/>
              <w:left w:w="15" w:type="dxa"/>
              <w:right w:w="15" w:type="dxa"/>
            </w:tcMar>
            <w:vAlign w:val="center"/>
          </w:tcPr>
          <w:p w14:paraId="43D1E3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湖南大耀工程机械有限公司</w:t>
            </w:r>
          </w:p>
        </w:tc>
        <w:tc>
          <w:tcPr>
            <w:tcW w:w="608" w:type="dxa"/>
            <w:tcBorders>
              <w:tl2br w:val="nil"/>
              <w:tr2bl w:val="nil"/>
            </w:tcBorders>
            <w:noWrap w:val="0"/>
            <w:tcMar>
              <w:top w:w="15" w:type="dxa"/>
              <w:left w:w="15" w:type="dxa"/>
              <w:right w:w="15" w:type="dxa"/>
            </w:tcMar>
            <w:vAlign w:val="center"/>
          </w:tcPr>
          <w:p w14:paraId="2E84D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1819.85</w:t>
            </w:r>
          </w:p>
        </w:tc>
        <w:tc>
          <w:tcPr>
            <w:tcW w:w="750" w:type="dxa"/>
            <w:tcBorders>
              <w:tl2br w:val="nil"/>
              <w:tr2bl w:val="nil"/>
            </w:tcBorders>
            <w:noWrap/>
            <w:tcMar>
              <w:top w:w="15" w:type="dxa"/>
              <w:left w:w="15" w:type="dxa"/>
              <w:right w:w="15" w:type="dxa"/>
            </w:tcMar>
            <w:vAlign w:val="center"/>
          </w:tcPr>
          <w:p w14:paraId="07185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1.0803</w:t>
            </w:r>
          </w:p>
        </w:tc>
        <w:tc>
          <w:tcPr>
            <w:tcW w:w="991" w:type="dxa"/>
            <w:tcBorders>
              <w:tl2br w:val="nil"/>
              <w:tr2bl w:val="nil"/>
            </w:tcBorders>
            <w:noWrap/>
            <w:tcMar>
              <w:top w:w="15" w:type="dxa"/>
              <w:left w:w="15" w:type="dxa"/>
              <w:right w:w="15" w:type="dxa"/>
            </w:tcMar>
            <w:vAlign w:val="center"/>
          </w:tcPr>
          <w:p w14:paraId="543FEB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354C58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8777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0.4053</w:t>
            </w:r>
          </w:p>
        </w:tc>
        <w:tc>
          <w:tcPr>
            <w:tcW w:w="2367" w:type="dxa"/>
            <w:tcBorders>
              <w:tl2br w:val="nil"/>
              <w:tr2bl w:val="nil"/>
            </w:tcBorders>
            <w:noWrap/>
            <w:tcMar>
              <w:top w:w="15" w:type="dxa"/>
              <w:left w:w="15" w:type="dxa"/>
              <w:right w:w="15" w:type="dxa"/>
            </w:tcMar>
            <w:vAlign w:val="center"/>
          </w:tcPr>
          <w:p w14:paraId="58590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二甲苯：0.2135</w:t>
            </w:r>
          </w:p>
        </w:tc>
        <w:tc>
          <w:tcPr>
            <w:tcW w:w="1170" w:type="dxa"/>
            <w:tcBorders>
              <w:tl2br w:val="nil"/>
              <w:tr2bl w:val="nil"/>
            </w:tcBorders>
            <w:noWrap/>
            <w:tcMar>
              <w:top w:w="15" w:type="dxa"/>
              <w:left w:w="15" w:type="dxa"/>
              <w:right w:w="15" w:type="dxa"/>
            </w:tcMar>
            <w:vAlign w:val="center"/>
          </w:tcPr>
          <w:p w14:paraId="5ACBD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283.744</w:t>
            </w:r>
          </w:p>
        </w:tc>
        <w:tc>
          <w:tcPr>
            <w:tcW w:w="1061" w:type="dxa"/>
            <w:tcBorders>
              <w:tl2br w:val="nil"/>
              <w:tr2bl w:val="nil"/>
            </w:tcBorders>
            <w:noWrap/>
            <w:tcMar>
              <w:top w:w="15" w:type="dxa"/>
              <w:left w:w="15" w:type="dxa"/>
              <w:right w:w="15" w:type="dxa"/>
            </w:tcMar>
            <w:vAlign w:val="center"/>
          </w:tcPr>
          <w:p w14:paraId="62ABA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0.0562</w:t>
            </w:r>
          </w:p>
        </w:tc>
        <w:tc>
          <w:tcPr>
            <w:tcW w:w="953" w:type="dxa"/>
            <w:tcBorders>
              <w:tl2br w:val="nil"/>
              <w:tr2bl w:val="nil"/>
            </w:tcBorders>
            <w:noWrap/>
            <w:tcMar>
              <w:top w:w="15" w:type="dxa"/>
              <w:left w:w="15" w:type="dxa"/>
              <w:right w:w="15" w:type="dxa"/>
            </w:tcMar>
            <w:vAlign w:val="center"/>
          </w:tcPr>
          <w:p w14:paraId="04D2D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0.0028</w:t>
            </w:r>
          </w:p>
        </w:tc>
        <w:tc>
          <w:tcPr>
            <w:tcW w:w="1861" w:type="dxa"/>
            <w:tcBorders>
              <w:tl2br w:val="nil"/>
              <w:tr2bl w:val="nil"/>
            </w:tcBorders>
            <w:noWrap/>
            <w:tcMar>
              <w:top w:w="15" w:type="dxa"/>
              <w:left w:w="15" w:type="dxa"/>
              <w:right w:w="15" w:type="dxa"/>
            </w:tcMar>
            <w:vAlign w:val="center"/>
          </w:tcPr>
          <w:p w14:paraId="6E289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4AD02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25BF105">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50</w:t>
            </w:r>
          </w:p>
        </w:tc>
        <w:tc>
          <w:tcPr>
            <w:tcW w:w="1525" w:type="dxa"/>
            <w:tcBorders>
              <w:tl2br w:val="nil"/>
              <w:tr2bl w:val="nil"/>
            </w:tcBorders>
            <w:noWrap w:val="0"/>
            <w:tcMar>
              <w:top w:w="15" w:type="dxa"/>
              <w:left w:w="15" w:type="dxa"/>
              <w:right w:w="15" w:type="dxa"/>
            </w:tcMar>
            <w:vAlign w:val="center"/>
          </w:tcPr>
          <w:p w14:paraId="0D51E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湖南湘固电子科技有限公司</w:t>
            </w:r>
          </w:p>
        </w:tc>
        <w:tc>
          <w:tcPr>
            <w:tcW w:w="608" w:type="dxa"/>
            <w:tcBorders>
              <w:tl2br w:val="nil"/>
              <w:tr2bl w:val="nil"/>
            </w:tcBorders>
            <w:noWrap w:val="0"/>
            <w:tcMar>
              <w:top w:w="15" w:type="dxa"/>
              <w:left w:w="15" w:type="dxa"/>
              <w:right w:w="15" w:type="dxa"/>
            </w:tcMar>
            <w:vAlign w:val="center"/>
          </w:tcPr>
          <w:p w14:paraId="3B80D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775</w:t>
            </w:r>
          </w:p>
        </w:tc>
        <w:tc>
          <w:tcPr>
            <w:tcW w:w="750" w:type="dxa"/>
            <w:tcBorders>
              <w:tl2br w:val="nil"/>
              <w:tr2bl w:val="nil"/>
            </w:tcBorders>
            <w:noWrap w:val="0"/>
            <w:tcMar>
              <w:top w:w="15" w:type="dxa"/>
              <w:left w:w="15" w:type="dxa"/>
              <w:right w:w="15" w:type="dxa"/>
            </w:tcMar>
            <w:vAlign w:val="center"/>
          </w:tcPr>
          <w:p w14:paraId="16CA9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91" w:type="dxa"/>
            <w:tcBorders>
              <w:tl2br w:val="nil"/>
              <w:tr2bl w:val="nil"/>
            </w:tcBorders>
            <w:noWrap w:val="0"/>
            <w:tcMar>
              <w:top w:w="15" w:type="dxa"/>
              <w:left w:w="15" w:type="dxa"/>
              <w:right w:w="15" w:type="dxa"/>
            </w:tcMar>
            <w:vAlign w:val="center"/>
          </w:tcPr>
          <w:p w14:paraId="2CBFC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val="0"/>
            <w:tcMar>
              <w:top w:w="15" w:type="dxa"/>
              <w:left w:w="15" w:type="dxa"/>
              <w:right w:w="15" w:type="dxa"/>
            </w:tcMar>
            <w:vAlign w:val="center"/>
          </w:tcPr>
          <w:p w14:paraId="6419B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val="0"/>
            <w:tcMar>
              <w:top w:w="15" w:type="dxa"/>
              <w:left w:w="15" w:type="dxa"/>
              <w:right w:w="15" w:type="dxa"/>
            </w:tcMar>
            <w:vAlign w:val="center"/>
          </w:tcPr>
          <w:p w14:paraId="04ED3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0.06845</w:t>
            </w:r>
          </w:p>
        </w:tc>
        <w:tc>
          <w:tcPr>
            <w:tcW w:w="2367" w:type="dxa"/>
            <w:tcBorders>
              <w:tl2br w:val="nil"/>
              <w:tr2bl w:val="nil"/>
            </w:tcBorders>
            <w:noWrap w:val="0"/>
            <w:tcMar>
              <w:top w:w="15" w:type="dxa"/>
              <w:left w:w="15" w:type="dxa"/>
              <w:right w:w="15" w:type="dxa"/>
            </w:tcMar>
            <w:vAlign w:val="center"/>
          </w:tcPr>
          <w:p w14:paraId="17C1F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val="0"/>
            <w:tcMar>
              <w:top w:w="15" w:type="dxa"/>
              <w:left w:w="15" w:type="dxa"/>
              <w:right w:w="15" w:type="dxa"/>
            </w:tcMar>
            <w:vAlign w:val="center"/>
          </w:tcPr>
          <w:p w14:paraId="14504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288</w:t>
            </w:r>
          </w:p>
        </w:tc>
        <w:tc>
          <w:tcPr>
            <w:tcW w:w="1061" w:type="dxa"/>
            <w:tcBorders>
              <w:tl2br w:val="nil"/>
              <w:tr2bl w:val="nil"/>
            </w:tcBorders>
            <w:noWrap w:val="0"/>
            <w:tcMar>
              <w:top w:w="15" w:type="dxa"/>
              <w:left w:w="15" w:type="dxa"/>
              <w:right w:w="15" w:type="dxa"/>
            </w:tcMar>
            <w:vAlign w:val="center"/>
          </w:tcPr>
          <w:p w14:paraId="3D016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0.0504</w:t>
            </w:r>
          </w:p>
        </w:tc>
        <w:tc>
          <w:tcPr>
            <w:tcW w:w="953" w:type="dxa"/>
            <w:tcBorders>
              <w:tl2br w:val="nil"/>
              <w:tr2bl w:val="nil"/>
            </w:tcBorders>
            <w:noWrap w:val="0"/>
            <w:tcMar>
              <w:top w:w="15" w:type="dxa"/>
              <w:left w:w="15" w:type="dxa"/>
              <w:right w:w="15" w:type="dxa"/>
            </w:tcMar>
            <w:vAlign w:val="center"/>
          </w:tcPr>
          <w:p w14:paraId="6FED7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0.006912</w:t>
            </w:r>
          </w:p>
        </w:tc>
        <w:tc>
          <w:tcPr>
            <w:tcW w:w="1861" w:type="dxa"/>
            <w:tcBorders>
              <w:tl2br w:val="nil"/>
              <w:tr2bl w:val="nil"/>
            </w:tcBorders>
            <w:noWrap w:val="0"/>
            <w:tcMar>
              <w:top w:w="15" w:type="dxa"/>
              <w:left w:w="15" w:type="dxa"/>
              <w:right w:w="15" w:type="dxa"/>
            </w:tcMar>
            <w:vAlign w:val="center"/>
          </w:tcPr>
          <w:p w14:paraId="10F17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8836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5FA51C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51</w:t>
            </w:r>
          </w:p>
        </w:tc>
        <w:tc>
          <w:tcPr>
            <w:tcW w:w="1525" w:type="dxa"/>
            <w:tcBorders>
              <w:tl2br w:val="nil"/>
              <w:tr2bl w:val="nil"/>
            </w:tcBorders>
            <w:noWrap w:val="0"/>
            <w:tcMar>
              <w:top w:w="15" w:type="dxa"/>
              <w:left w:w="15" w:type="dxa"/>
              <w:right w:w="15" w:type="dxa"/>
            </w:tcMar>
            <w:vAlign w:val="center"/>
          </w:tcPr>
          <w:p w14:paraId="1DAAE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湖南佳进精密机械有限公司</w:t>
            </w:r>
          </w:p>
        </w:tc>
        <w:tc>
          <w:tcPr>
            <w:tcW w:w="608" w:type="dxa"/>
            <w:tcBorders>
              <w:tl2br w:val="nil"/>
              <w:tr2bl w:val="nil"/>
            </w:tcBorders>
            <w:noWrap w:val="0"/>
            <w:tcMar>
              <w:top w:w="15" w:type="dxa"/>
              <w:left w:w="15" w:type="dxa"/>
              <w:right w:w="15" w:type="dxa"/>
            </w:tcMar>
            <w:vAlign w:val="center"/>
          </w:tcPr>
          <w:p w14:paraId="056EF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2100</w:t>
            </w:r>
          </w:p>
        </w:tc>
        <w:tc>
          <w:tcPr>
            <w:tcW w:w="750" w:type="dxa"/>
            <w:tcBorders>
              <w:tl2br w:val="nil"/>
              <w:tr2bl w:val="nil"/>
            </w:tcBorders>
            <w:noWrap/>
            <w:tcMar>
              <w:top w:w="15" w:type="dxa"/>
              <w:left w:w="15" w:type="dxa"/>
              <w:right w:w="15" w:type="dxa"/>
            </w:tcMar>
            <w:vAlign w:val="center"/>
          </w:tcPr>
          <w:p w14:paraId="5A2ECC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0.011</w:t>
            </w:r>
          </w:p>
        </w:tc>
        <w:tc>
          <w:tcPr>
            <w:tcW w:w="991" w:type="dxa"/>
            <w:tcBorders>
              <w:tl2br w:val="nil"/>
              <w:tr2bl w:val="nil"/>
            </w:tcBorders>
            <w:noWrap/>
            <w:tcMar>
              <w:top w:w="15" w:type="dxa"/>
              <w:left w:w="15" w:type="dxa"/>
              <w:right w:w="15" w:type="dxa"/>
            </w:tcMar>
            <w:vAlign w:val="center"/>
          </w:tcPr>
          <w:p w14:paraId="3489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0E69E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56948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0.423</w:t>
            </w:r>
          </w:p>
        </w:tc>
        <w:tc>
          <w:tcPr>
            <w:tcW w:w="2367" w:type="dxa"/>
            <w:tcBorders>
              <w:tl2br w:val="nil"/>
              <w:tr2bl w:val="nil"/>
            </w:tcBorders>
            <w:noWrap/>
            <w:tcMar>
              <w:top w:w="15" w:type="dxa"/>
              <w:left w:w="15" w:type="dxa"/>
              <w:right w:w="15" w:type="dxa"/>
            </w:tcMar>
            <w:vAlign w:val="center"/>
          </w:tcPr>
          <w:p w14:paraId="68770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二甲苯0.238</w:t>
            </w:r>
          </w:p>
        </w:tc>
        <w:tc>
          <w:tcPr>
            <w:tcW w:w="1170" w:type="dxa"/>
            <w:tcBorders>
              <w:tl2br w:val="nil"/>
              <w:tr2bl w:val="nil"/>
            </w:tcBorders>
            <w:noWrap/>
            <w:tcMar>
              <w:top w:w="15" w:type="dxa"/>
              <w:left w:w="15" w:type="dxa"/>
              <w:right w:w="15" w:type="dxa"/>
            </w:tcMar>
            <w:vAlign w:val="center"/>
          </w:tcPr>
          <w:p w14:paraId="02ABFE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1880</w:t>
            </w:r>
          </w:p>
        </w:tc>
        <w:tc>
          <w:tcPr>
            <w:tcW w:w="1061" w:type="dxa"/>
            <w:tcBorders>
              <w:tl2br w:val="nil"/>
              <w:tr2bl w:val="nil"/>
            </w:tcBorders>
            <w:noWrap/>
            <w:tcMar>
              <w:top w:w="15" w:type="dxa"/>
              <w:left w:w="15" w:type="dxa"/>
              <w:right w:w="15" w:type="dxa"/>
            </w:tcMar>
            <w:vAlign w:val="center"/>
          </w:tcPr>
          <w:p w14:paraId="64D48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0.356</w:t>
            </w:r>
          </w:p>
        </w:tc>
        <w:tc>
          <w:tcPr>
            <w:tcW w:w="953" w:type="dxa"/>
            <w:tcBorders>
              <w:tl2br w:val="nil"/>
              <w:tr2bl w:val="nil"/>
            </w:tcBorders>
            <w:noWrap/>
            <w:tcMar>
              <w:top w:w="15" w:type="dxa"/>
              <w:left w:w="15" w:type="dxa"/>
              <w:right w:w="15" w:type="dxa"/>
            </w:tcMar>
            <w:vAlign w:val="center"/>
          </w:tcPr>
          <w:p w14:paraId="0A4C63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0.036</w:t>
            </w:r>
          </w:p>
        </w:tc>
        <w:tc>
          <w:tcPr>
            <w:tcW w:w="1861" w:type="dxa"/>
            <w:tcBorders>
              <w:tl2br w:val="nil"/>
              <w:tr2bl w:val="nil"/>
            </w:tcBorders>
            <w:noWrap/>
            <w:tcMar>
              <w:top w:w="15" w:type="dxa"/>
              <w:left w:w="15" w:type="dxa"/>
              <w:right w:w="15" w:type="dxa"/>
            </w:tcMar>
            <w:vAlign w:val="center"/>
          </w:tcPr>
          <w:p w14:paraId="00A53D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2BB91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01FF184">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52</w:t>
            </w:r>
          </w:p>
        </w:tc>
        <w:tc>
          <w:tcPr>
            <w:tcW w:w="1525" w:type="dxa"/>
            <w:tcBorders>
              <w:tl2br w:val="nil"/>
              <w:tr2bl w:val="nil"/>
            </w:tcBorders>
            <w:noWrap w:val="0"/>
            <w:tcMar>
              <w:top w:w="15" w:type="dxa"/>
              <w:left w:w="15" w:type="dxa"/>
              <w:right w:w="15" w:type="dxa"/>
            </w:tcMar>
            <w:vAlign w:val="center"/>
          </w:tcPr>
          <w:p w14:paraId="0FD5C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湖南驰英金属制品有限公司</w:t>
            </w:r>
          </w:p>
        </w:tc>
        <w:tc>
          <w:tcPr>
            <w:tcW w:w="608" w:type="dxa"/>
            <w:tcBorders>
              <w:tl2br w:val="nil"/>
              <w:tr2bl w:val="nil"/>
            </w:tcBorders>
            <w:noWrap w:val="0"/>
            <w:tcMar>
              <w:top w:w="15" w:type="dxa"/>
              <w:left w:w="15" w:type="dxa"/>
              <w:right w:w="15" w:type="dxa"/>
            </w:tcMar>
            <w:vAlign w:val="center"/>
          </w:tcPr>
          <w:p w14:paraId="100D3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1843.06</w:t>
            </w:r>
          </w:p>
        </w:tc>
        <w:tc>
          <w:tcPr>
            <w:tcW w:w="750" w:type="dxa"/>
            <w:tcBorders>
              <w:tl2br w:val="nil"/>
              <w:tr2bl w:val="nil"/>
            </w:tcBorders>
            <w:noWrap/>
            <w:tcMar>
              <w:top w:w="15" w:type="dxa"/>
              <w:left w:w="15" w:type="dxa"/>
              <w:right w:w="15" w:type="dxa"/>
            </w:tcMar>
            <w:vAlign w:val="center"/>
          </w:tcPr>
          <w:p w14:paraId="13EA9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0.101</w:t>
            </w:r>
          </w:p>
        </w:tc>
        <w:tc>
          <w:tcPr>
            <w:tcW w:w="991" w:type="dxa"/>
            <w:tcBorders>
              <w:tl2br w:val="nil"/>
              <w:tr2bl w:val="nil"/>
            </w:tcBorders>
            <w:noWrap/>
            <w:tcMar>
              <w:top w:w="15" w:type="dxa"/>
              <w:left w:w="15" w:type="dxa"/>
              <w:right w:w="15" w:type="dxa"/>
            </w:tcMar>
            <w:vAlign w:val="center"/>
          </w:tcPr>
          <w:p w14:paraId="341C9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6BD7D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7DA55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1520E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2E470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613.5</w:t>
            </w:r>
          </w:p>
        </w:tc>
        <w:tc>
          <w:tcPr>
            <w:tcW w:w="1061" w:type="dxa"/>
            <w:tcBorders>
              <w:tl2br w:val="nil"/>
              <w:tr2bl w:val="nil"/>
            </w:tcBorders>
            <w:noWrap/>
            <w:tcMar>
              <w:top w:w="15" w:type="dxa"/>
              <w:left w:w="15" w:type="dxa"/>
              <w:right w:w="15" w:type="dxa"/>
            </w:tcMar>
            <w:vAlign w:val="center"/>
          </w:tcPr>
          <w:p w14:paraId="0C1C4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0.1482</w:t>
            </w:r>
          </w:p>
        </w:tc>
        <w:tc>
          <w:tcPr>
            <w:tcW w:w="953" w:type="dxa"/>
            <w:tcBorders>
              <w:tl2br w:val="nil"/>
              <w:tr2bl w:val="nil"/>
            </w:tcBorders>
            <w:noWrap/>
            <w:tcMar>
              <w:top w:w="15" w:type="dxa"/>
              <w:left w:w="15" w:type="dxa"/>
              <w:right w:w="15" w:type="dxa"/>
            </w:tcMar>
            <w:vAlign w:val="center"/>
          </w:tcPr>
          <w:p w14:paraId="25D53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0.018</w:t>
            </w:r>
          </w:p>
        </w:tc>
        <w:tc>
          <w:tcPr>
            <w:tcW w:w="1861" w:type="dxa"/>
            <w:tcBorders>
              <w:tl2br w:val="nil"/>
              <w:tr2bl w:val="nil"/>
            </w:tcBorders>
            <w:noWrap/>
            <w:tcMar>
              <w:top w:w="15" w:type="dxa"/>
              <w:left w:w="15" w:type="dxa"/>
              <w:right w:w="15" w:type="dxa"/>
            </w:tcMar>
            <w:vAlign w:val="center"/>
          </w:tcPr>
          <w:p w14:paraId="3C307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6DF01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D4B8D57">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rPr>
              <w:t>53</w:t>
            </w:r>
          </w:p>
        </w:tc>
        <w:tc>
          <w:tcPr>
            <w:tcW w:w="1525" w:type="dxa"/>
            <w:tcBorders>
              <w:tl2br w:val="nil"/>
              <w:tr2bl w:val="nil"/>
            </w:tcBorders>
            <w:noWrap w:val="0"/>
            <w:tcMar>
              <w:top w:w="15" w:type="dxa"/>
              <w:left w:w="15" w:type="dxa"/>
              <w:right w:w="15" w:type="dxa"/>
            </w:tcMar>
            <w:vAlign w:val="center"/>
          </w:tcPr>
          <w:p w14:paraId="5D3A92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湖南中鑫顺工程机械有限公司</w:t>
            </w:r>
          </w:p>
        </w:tc>
        <w:tc>
          <w:tcPr>
            <w:tcW w:w="608" w:type="dxa"/>
            <w:tcBorders>
              <w:tl2br w:val="nil"/>
              <w:tr2bl w:val="nil"/>
            </w:tcBorders>
            <w:noWrap w:val="0"/>
            <w:tcMar>
              <w:top w:w="15" w:type="dxa"/>
              <w:left w:w="15" w:type="dxa"/>
              <w:right w:w="15" w:type="dxa"/>
            </w:tcMar>
            <w:vAlign w:val="center"/>
          </w:tcPr>
          <w:p w14:paraId="60910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15684</w:t>
            </w:r>
          </w:p>
        </w:tc>
        <w:tc>
          <w:tcPr>
            <w:tcW w:w="750" w:type="dxa"/>
            <w:tcBorders>
              <w:tl2br w:val="nil"/>
              <w:tr2bl w:val="nil"/>
            </w:tcBorders>
            <w:noWrap/>
            <w:tcMar>
              <w:top w:w="15" w:type="dxa"/>
              <w:left w:w="15" w:type="dxa"/>
              <w:right w:w="15" w:type="dxa"/>
            </w:tcMar>
            <w:vAlign w:val="center"/>
          </w:tcPr>
          <w:p w14:paraId="04B8C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0.794</w:t>
            </w:r>
          </w:p>
        </w:tc>
        <w:tc>
          <w:tcPr>
            <w:tcW w:w="991" w:type="dxa"/>
            <w:tcBorders>
              <w:tl2br w:val="nil"/>
              <w:tr2bl w:val="nil"/>
            </w:tcBorders>
            <w:noWrap/>
            <w:tcMar>
              <w:top w:w="15" w:type="dxa"/>
              <w:left w:w="15" w:type="dxa"/>
              <w:right w:w="15" w:type="dxa"/>
            </w:tcMar>
            <w:vAlign w:val="center"/>
          </w:tcPr>
          <w:p w14:paraId="334571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901" w:type="dxa"/>
            <w:tcBorders>
              <w:tl2br w:val="nil"/>
              <w:tr2bl w:val="nil"/>
            </w:tcBorders>
            <w:noWrap/>
            <w:tcMar>
              <w:top w:w="15" w:type="dxa"/>
              <w:left w:w="15" w:type="dxa"/>
              <w:right w:w="15" w:type="dxa"/>
            </w:tcMar>
            <w:vAlign w:val="center"/>
          </w:tcPr>
          <w:p w14:paraId="521B0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249" w:type="dxa"/>
            <w:tcBorders>
              <w:tl2br w:val="nil"/>
              <w:tr2bl w:val="nil"/>
            </w:tcBorders>
            <w:noWrap/>
            <w:tcMar>
              <w:top w:w="15" w:type="dxa"/>
              <w:left w:w="15" w:type="dxa"/>
              <w:right w:w="15" w:type="dxa"/>
            </w:tcMar>
            <w:vAlign w:val="center"/>
          </w:tcPr>
          <w:p w14:paraId="143DCF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4.4</w:t>
            </w:r>
          </w:p>
        </w:tc>
        <w:tc>
          <w:tcPr>
            <w:tcW w:w="2367" w:type="dxa"/>
            <w:tcBorders>
              <w:tl2br w:val="nil"/>
              <w:tr2bl w:val="nil"/>
            </w:tcBorders>
            <w:noWrap/>
            <w:tcMar>
              <w:top w:w="15" w:type="dxa"/>
              <w:left w:w="15" w:type="dxa"/>
              <w:right w:w="15" w:type="dxa"/>
            </w:tcMar>
            <w:vAlign w:val="center"/>
          </w:tcPr>
          <w:p w14:paraId="29DE9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二甲苯0.075</w:t>
            </w:r>
          </w:p>
        </w:tc>
        <w:tc>
          <w:tcPr>
            <w:tcW w:w="1170" w:type="dxa"/>
            <w:tcBorders>
              <w:tl2br w:val="nil"/>
              <w:tr2bl w:val="nil"/>
            </w:tcBorders>
            <w:noWrap/>
            <w:tcMar>
              <w:top w:w="15" w:type="dxa"/>
              <w:left w:w="15" w:type="dxa"/>
              <w:right w:w="15" w:type="dxa"/>
            </w:tcMar>
            <w:vAlign w:val="center"/>
          </w:tcPr>
          <w:p w14:paraId="5DF85F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c>
          <w:tcPr>
            <w:tcW w:w="1061" w:type="dxa"/>
            <w:tcBorders>
              <w:tl2br w:val="nil"/>
              <w:tr2bl w:val="nil"/>
            </w:tcBorders>
            <w:noWrap/>
            <w:tcMar>
              <w:top w:w="15" w:type="dxa"/>
              <w:left w:w="15" w:type="dxa"/>
              <w:right w:w="15" w:type="dxa"/>
            </w:tcMar>
            <w:vAlign w:val="center"/>
          </w:tcPr>
          <w:p w14:paraId="2E582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0.9</w:t>
            </w:r>
          </w:p>
        </w:tc>
        <w:tc>
          <w:tcPr>
            <w:tcW w:w="953" w:type="dxa"/>
            <w:tcBorders>
              <w:tl2br w:val="nil"/>
              <w:tr2bl w:val="nil"/>
            </w:tcBorders>
            <w:noWrap/>
            <w:tcMar>
              <w:top w:w="15" w:type="dxa"/>
              <w:left w:w="15" w:type="dxa"/>
              <w:right w:w="15" w:type="dxa"/>
            </w:tcMar>
            <w:vAlign w:val="center"/>
          </w:tcPr>
          <w:p w14:paraId="3D3A4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7CA366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4D5A7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EE0162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54</w:t>
            </w:r>
          </w:p>
        </w:tc>
        <w:tc>
          <w:tcPr>
            <w:tcW w:w="1525" w:type="dxa"/>
            <w:tcBorders>
              <w:tl2br w:val="nil"/>
              <w:tr2bl w:val="nil"/>
            </w:tcBorders>
            <w:noWrap w:val="0"/>
            <w:tcMar>
              <w:top w:w="15" w:type="dxa"/>
              <w:left w:w="15" w:type="dxa"/>
              <w:right w:w="15" w:type="dxa"/>
            </w:tcMar>
            <w:vAlign w:val="center"/>
          </w:tcPr>
          <w:p w14:paraId="3C35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三一筑工科技（汨罗）有限公司</w:t>
            </w:r>
          </w:p>
        </w:tc>
        <w:tc>
          <w:tcPr>
            <w:tcW w:w="608" w:type="dxa"/>
            <w:tcBorders>
              <w:tl2br w:val="nil"/>
              <w:tr2bl w:val="nil"/>
            </w:tcBorders>
            <w:noWrap w:val="0"/>
            <w:tcMar>
              <w:top w:w="15" w:type="dxa"/>
              <w:left w:w="15" w:type="dxa"/>
              <w:right w:w="15" w:type="dxa"/>
            </w:tcMar>
            <w:vAlign w:val="center"/>
          </w:tcPr>
          <w:p w14:paraId="78C4F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230111</w:t>
            </w:r>
          </w:p>
        </w:tc>
        <w:tc>
          <w:tcPr>
            <w:tcW w:w="750" w:type="dxa"/>
            <w:tcBorders>
              <w:tl2br w:val="nil"/>
              <w:tr2bl w:val="nil"/>
            </w:tcBorders>
            <w:noWrap/>
            <w:tcMar>
              <w:top w:w="15" w:type="dxa"/>
              <w:left w:w="15" w:type="dxa"/>
              <w:right w:w="15" w:type="dxa"/>
            </w:tcMar>
            <w:vAlign w:val="center"/>
          </w:tcPr>
          <w:p w14:paraId="319A5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5.01502</w:t>
            </w:r>
          </w:p>
        </w:tc>
        <w:tc>
          <w:tcPr>
            <w:tcW w:w="991" w:type="dxa"/>
            <w:tcBorders>
              <w:tl2br w:val="nil"/>
              <w:tr2bl w:val="nil"/>
            </w:tcBorders>
            <w:noWrap/>
            <w:tcMar>
              <w:top w:w="15" w:type="dxa"/>
              <w:left w:w="15" w:type="dxa"/>
              <w:right w:w="15" w:type="dxa"/>
            </w:tcMar>
            <w:vAlign w:val="center"/>
          </w:tcPr>
          <w:p w14:paraId="3E90B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0.5</w:t>
            </w:r>
          </w:p>
        </w:tc>
        <w:tc>
          <w:tcPr>
            <w:tcW w:w="901" w:type="dxa"/>
            <w:tcBorders>
              <w:tl2br w:val="nil"/>
              <w:tr2bl w:val="nil"/>
            </w:tcBorders>
            <w:noWrap/>
            <w:tcMar>
              <w:top w:w="15" w:type="dxa"/>
              <w:left w:w="15" w:type="dxa"/>
              <w:right w:w="15" w:type="dxa"/>
            </w:tcMar>
            <w:vAlign w:val="center"/>
          </w:tcPr>
          <w:p w14:paraId="51F6F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4.103</w:t>
            </w:r>
          </w:p>
        </w:tc>
        <w:tc>
          <w:tcPr>
            <w:tcW w:w="1249" w:type="dxa"/>
            <w:tcBorders>
              <w:tl2br w:val="nil"/>
              <w:tr2bl w:val="nil"/>
            </w:tcBorders>
            <w:noWrap/>
            <w:tcMar>
              <w:top w:w="15" w:type="dxa"/>
              <w:left w:w="15" w:type="dxa"/>
              <w:right w:w="15" w:type="dxa"/>
            </w:tcMar>
            <w:vAlign w:val="center"/>
          </w:tcPr>
          <w:p w14:paraId="7BA5AC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5.9183</w:t>
            </w:r>
          </w:p>
        </w:tc>
        <w:tc>
          <w:tcPr>
            <w:tcW w:w="2367" w:type="dxa"/>
            <w:tcBorders>
              <w:tl2br w:val="nil"/>
              <w:tr2bl w:val="nil"/>
            </w:tcBorders>
            <w:noWrap/>
            <w:tcMar>
              <w:top w:w="15" w:type="dxa"/>
              <w:left w:w="15" w:type="dxa"/>
              <w:right w:w="15" w:type="dxa"/>
            </w:tcMar>
            <w:vAlign w:val="center"/>
          </w:tcPr>
          <w:p w14:paraId="6865C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二甲苯：0.702、苯系物：1.7258</w:t>
            </w:r>
          </w:p>
        </w:tc>
        <w:tc>
          <w:tcPr>
            <w:tcW w:w="1170" w:type="dxa"/>
            <w:tcBorders>
              <w:tl2br w:val="nil"/>
              <w:tr2bl w:val="nil"/>
            </w:tcBorders>
            <w:noWrap/>
            <w:tcMar>
              <w:top w:w="15" w:type="dxa"/>
              <w:left w:w="15" w:type="dxa"/>
              <w:right w:w="15" w:type="dxa"/>
            </w:tcMar>
            <w:vAlign w:val="center"/>
          </w:tcPr>
          <w:p w14:paraId="2040E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19050.298</w:t>
            </w:r>
          </w:p>
        </w:tc>
        <w:tc>
          <w:tcPr>
            <w:tcW w:w="1061" w:type="dxa"/>
            <w:tcBorders>
              <w:tl2br w:val="nil"/>
              <w:tr2bl w:val="nil"/>
            </w:tcBorders>
            <w:noWrap/>
            <w:tcMar>
              <w:top w:w="15" w:type="dxa"/>
              <w:left w:w="15" w:type="dxa"/>
              <w:right w:w="15" w:type="dxa"/>
            </w:tcMar>
            <w:vAlign w:val="center"/>
          </w:tcPr>
          <w:p w14:paraId="2FDF5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0.6</w:t>
            </w:r>
          </w:p>
        </w:tc>
        <w:tc>
          <w:tcPr>
            <w:tcW w:w="953" w:type="dxa"/>
            <w:tcBorders>
              <w:tl2br w:val="nil"/>
              <w:tr2bl w:val="nil"/>
            </w:tcBorders>
            <w:noWrap/>
            <w:tcMar>
              <w:top w:w="15" w:type="dxa"/>
              <w:left w:w="15" w:type="dxa"/>
              <w:right w:w="15" w:type="dxa"/>
            </w:tcMar>
            <w:vAlign w:val="center"/>
          </w:tcPr>
          <w:p w14:paraId="15556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206DCC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eastAsia" w:eastAsia="宋体" w:cs="Times New Roman"/>
                <w:i w:val="0"/>
                <w:color w:val="auto"/>
                <w:kern w:val="2"/>
                <w:sz w:val="21"/>
                <w:szCs w:val="21"/>
                <w:u w:val="none"/>
                <w:lang w:val="en-US" w:eastAsia="zh-CN" w:bidi="ar-SA"/>
              </w:rPr>
              <w:t>/</w:t>
            </w:r>
          </w:p>
        </w:tc>
      </w:tr>
      <w:tr w14:paraId="1CE7A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451086B">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55</w:t>
            </w:r>
          </w:p>
        </w:tc>
        <w:tc>
          <w:tcPr>
            <w:tcW w:w="1525" w:type="dxa"/>
            <w:tcBorders>
              <w:tl2br w:val="nil"/>
              <w:tr2bl w:val="nil"/>
            </w:tcBorders>
            <w:noWrap w:val="0"/>
            <w:tcMar>
              <w:top w:w="15" w:type="dxa"/>
              <w:left w:w="15" w:type="dxa"/>
              <w:right w:w="15" w:type="dxa"/>
            </w:tcMar>
            <w:vAlign w:val="center"/>
          </w:tcPr>
          <w:p w14:paraId="67ACA5A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湖南熊博仕密封技术有限公司</w:t>
            </w:r>
          </w:p>
        </w:tc>
        <w:tc>
          <w:tcPr>
            <w:tcW w:w="608" w:type="dxa"/>
            <w:tcBorders>
              <w:tl2br w:val="nil"/>
              <w:tr2bl w:val="nil"/>
            </w:tcBorders>
            <w:noWrap w:val="0"/>
            <w:tcMar>
              <w:top w:w="15" w:type="dxa"/>
              <w:left w:w="15" w:type="dxa"/>
              <w:right w:w="15" w:type="dxa"/>
            </w:tcMar>
            <w:vAlign w:val="center"/>
          </w:tcPr>
          <w:p w14:paraId="2FBBE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1369</w:t>
            </w:r>
          </w:p>
        </w:tc>
        <w:tc>
          <w:tcPr>
            <w:tcW w:w="750" w:type="dxa"/>
            <w:tcBorders>
              <w:tl2br w:val="nil"/>
              <w:tr2bl w:val="nil"/>
            </w:tcBorders>
            <w:noWrap/>
            <w:tcMar>
              <w:top w:w="15" w:type="dxa"/>
              <w:left w:w="15" w:type="dxa"/>
              <w:right w:w="15" w:type="dxa"/>
            </w:tcMar>
            <w:vAlign w:val="center"/>
          </w:tcPr>
          <w:p w14:paraId="6AD9EF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1.96788</w:t>
            </w:r>
          </w:p>
        </w:tc>
        <w:tc>
          <w:tcPr>
            <w:tcW w:w="991" w:type="dxa"/>
            <w:tcBorders>
              <w:tl2br w:val="nil"/>
              <w:tr2bl w:val="nil"/>
            </w:tcBorders>
            <w:noWrap/>
            <w:tcMar>
              <w:top w:w="15" w:type="dxa"/>
              <w:left w:w="15" w:type="dxa"/>
              <w:right w:w="15" w:type="dxa"/>
            </w:tcMar>
            <w:vAlign w:val="center"/>
          </w:tcPr>
          <w:p w14:paraId="4A8A21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B7B45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25116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0.36</w:t>
            </w:r>
          </w:p>
        </w:tc>
        <w:tc>
          <w:tcPr>
            <w:tcW w:w="2367" w:type="dxa"/>
            <w:tcBorders>
              <w:tl2br w:val="nil"/>
              <w:tr2bl w:val="nil"/>
            </w:tcBorders>
            <w:noWrap w:val="0"/>
            <w:tcMar>
              <w:top w:w="15" w:type="dxa"/>
              <w:left w:w="15" w:type="dxa"/>
              <w:right w:w="15" w:type="dxa"/>
            </w:tcMar>
            <w:vAlign w:val="center"/>
          </w:tcPr>
          <w:p w14:paraId="4613D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3F9F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608</w:t>
            </w:r>
          </w:p>
        </w:tc>
        <w:tc>
          <w:tcPr>
            <w:tcW w:w="1061" w:type="dxa"/>
            <w:tcBorders>
              <w:tl2br w:val="nil"/>
              <w:tr2bl w:val="nil"/>
            </w:tcBorders>
            <w:noWrap/>
            <w:tcMar>
              <w:top w:w="15" w:type="dxa"/>
              <w:left w:w="15" w:type="dxa"/>
              <w:right w:w="15" w:type="dxa"/>
            </w:tcMar>
            <w:vAlign w:val="center"/>
          </w:tcPr>
          <w:p w14:paraId="0CD57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0.1216</w:t>
            </w:r>
          </w:p>
        </w:tc>
        <w:tc>
          <w:tcPr>
            <w:tcW w:w="953" w:type="dxa"/>
            <w:tcBorders>
              <w:tl2br w:val="nil"/>
              <w:tr2bl w:val="nil"/>
            </w:tcBorders>
            <w:noWrap/>
            <w:tcMar>
              <w:top w:w="15" w:type="dxa"/>
              <w:left w:w="15" w:type="dxa"/>
              <w:right w:w="15" w:type="dxa"/>
            </w:tcMar>
            <w:vAlign w:val="center"/>
          </w:tcPr>
          <w:p w14:paraId="2A1B1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0.00608</w:t>
            </w:r>
          </w:p>
        </w:tc>
        <w:tc>
          <w:tcPr>
            <w:tcW w:w="1861" w:type="dxa"/>
            <w:tcBorders>
              <w:tl2br w:val="nil"/>
              <w:tr2bl w:val="nil"/>
            </w:tcBorders>
            <w:noWrap/>
            <w:tcMar>
              <w:top w:w="15" w:type="dxa"/>
              <w:left w:w="15" w:type="dxa"/>
              <w:right w:w="15" w:type="dxa"/>
            </w:tcMar>
            <w:vAlign w:val="center"/>
          </w:tcPr>
          <w:p w14:paraId="45F65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9046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7C1572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56</w:t>
            </w:r>
          </w:p>
        </w:tc>
        <w:tc>
          <w:tcPr>
            <w:tcW w:w="1525" w:type="dxa"/>
            <w:tcBorders>
              <w:tl2br w:val="nil"/>
              <w:tr2bl w:val="nil"/>
            </w:tcBorders>
            <w:noWrap w:val="0"/>
            <w:tcMar>
              <w:top w:w="15" w:type="dxa"/>
              <w:left w:w="15" w:type="dxa"/>
              <w:right w:w="15" w:type="dxa"/>
            </w:tcMar>
            <w:vAlign w:val="center"/>
          </w:tcPr>
          <w:p w14:paraId="7A39A53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湖南宏翰新能源科技有限公司</w:t>
            </w:r>
          </w:p>
        </w:tc>
        <w:tc>
          <w:tcPr>
            <w:tcW w:w="608" w:type="dxa"/>
            <w:tcBorders>
              <w:tl2br w:val="nil"/>
              <w:tr2bl w:val="nil"/>
            </w:tcBorders>
            <w:noWrap w:val="0"/>
            <w:tcMar>
              <w:top w:w="15" w:type="dxa"/>
              <w:left w:w="15" w:type="dxa"/>
              <w:right w:w="15" w:type="dxa"/>
            </w:tcMar>
            <w:vAlign w:val="center"/>
          </w:tcPr>
          <w:p w14:paraId="43FD1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3437.5</w:t>
            </w:r>
          </w:p>
        </w:tc>
        <w:tc>
          <w:tcPr>
            <w:tcW w:w="750" w:type="dxa"/>
            <w:tcBorders>
              <w:tl2br w:val="nil"/>
              <w:tr2bl w:val="nil"/>
            </w:tcBorders>
            <w:noWrap/>
            <w:tcMar>
              <w:top w:w="15" w:type="dxa"/>
              <w:left w:w="15" w:type="dxa"/>
              <w:right w:w="15" w:type="dxa"/>
            </w:tcMar>
            <w:vAlign w:val="center"/>
          </w:tcPr>
          <w:p w14:paraId="5E8F0F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3.988</w:t>
            </w:r>
          </w:p>
        </w:tc>
        <w:tc>
          <w:tcPr>
            <w:tcW w:w="991" w:type="dxa"/>
            <w:tcBorders>
              <w:tl2br w:val="nil"/>
              <w:tr2bl w:val="nil"/>
            </w:tcBorders>
            <w:noWrap/>
            <w:tcMar>
              <w:top w:w="15" w:type="dxa"/>
              <w:left w:w="15" w:type="dxa"/>
              <w:right w:w="15" w:type="dxa"/>
            </w:tcMar>
            <w:vAlign w:val="center"/>
          </w:tcPr>
          <w:p w14:paraId="2879E8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F9D04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17B2E1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34346A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04AF7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1976</w:t>
            </w:r>
          </w:p>
        </w:tc>
        <w:tc>
          <w:tcPr>
            <w:tcW w:w="1061" w:type="dxa"/>
            <w:tcBorders>
              <w:tl2br w:val="nil"/>
              <w:tr2bl w:val="nil"/>
            </w:tcBorders>
            <w:noWrap/>
            <w:tcMar>
              <w:top w:w="15" w:type="dxa"/>
              <w:left w:w="15" w:type="dxa"/>
              <w:right w:w="15" w:type="dxa"/>
            </w:tcMar>
            <w:vAlign w:val="center"/>
          </w:tcPr>
          <w:p w14:paraId="74A5B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0.099</w:t>
            </w:r>
          </w:p>
        </w:tc>
        <w:tc>
          <w:tcPr>
            <w:tcW w:w="953" w:type="dxa"/>
            <w:tcBorders>
              <w:tl2br w:val="nil"/>
              <w:tr2bl w:val="nil"/>
            </w:tcBorders>
            <w:noWrap/>
            <w:tcMar>
              <w:top w:w="15" w:type="dxa"/>
              <w:left w:w="15" w:type="dxa"/>
              <w:right w:w="15" w:type="dxa"/>
            </w:tcMar>
            <w:vAlign w:val="center"/>
          </w:tcPr>
          <w:p w14:paraId="1C89A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0.02</w:t>
            </w:r>
          </w:p>
        </w:tc>
        <w:tc>
          <w:tcPr>
            <w:tcW w:w="1861" w:type="dxa"/>
            <w:tcBorders>
              <w:tl2br w:val="nil"/>
              <w:tr2bl w:val="nil"/>
            </w:tcBorders>
            <w:noWrap/>
            <w:tcMar>
              <w:top w:w="15" w:type="dxa"/>
              <w:left w:w="15" w:type="dxa"/>
              <w:right w:w="15" w:type="dxa"/>
            </w:tcMar>
            <w:vAlign w:val="center"/>
          </w:tcPr>
          <w:p w14:paraId="75C05D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2161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DCE7FF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57</w:t>
            </w:r>
          </w:p>
        </w:tc>
        <w:tc>
          <w:tcPr>
            <w:tcW w:w="1525" w:type="dxa"/>
            <w:tcBorders>
              <w:tl2br w:val="nil"/>
              <w:tr2bl w:val="nil"/>
            </w:tcBorders>
            <w:noWrap w:val="0"/>
            <w:tcMar>
              <w:top w:w="15" w:type="dxa"/>
              <w:left w:w="15" w:type="dxa"/>
              <w:right w:w="15" w:type="dxa"/>
            </w:tcMar>
            <w:vAlign w:val="center"/>
          </w:tcPr>
          <w:p w14:paraId="0EAE1C0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湖南美品昕新材料科技有限公司</w:t>
            </w:r>
          </w:p>
        </w:tc>
        <w:tc>
          <w:tcPr>
            <w:tcW w:w="608" w:type="dxa"/>
            <w:tcBorders>
              <w:tl2br w:val="nil"/>
              <w:tr2bl w:val="nil"/>
            </w:tcBorders>
            <w:noWrap w:val="0"/>
            <w:tcMar>
              <w:top w:w="15" w:type="dxa"/>
              <w:left w:w="15" w:type="dxa"/>
              <w:right w:w="15" w:type="dxa"/>
            </w:tcMar>
            <w:vAlign w:val="center"/>
          </w:tcPr>
          <w:p w14:paraId="5D613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2046.38</w:t>
            </w:r>
          </w:p>
        </w:tc>
        <w:tc>
          <w:tcPr>
            <w:tcW w:w="750" w:type="dxa"/>
            <w:tcBorders>
              <w:tl2br w:val="nil"/>
              <w:tr2bl w:val="nil"/>
            </w:tcBorders>
            <w:noWrap/>
            <w:tcMar>
              <w:top w:w="15" w:type="dxa"/>
              <w:left w:w="15" w:type="dxa"/>
              <w:right w:w="15" w:type="dxa"/>
            </w:tcMar>
            <w:vAlign w:val="center"/>
          </w:tcPr>
          <w:p w14:paraId="0EDEB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91" w:type="dxa"/>
            <w:tcBorders>
              <w:tl2br w:val="nil"/>
              <w:tr2bl w:val="nil"/>
            </w:tcBorders>
            <w:noWrap/>
            <w:tcMar>
              <w:top w:w="15" w:type="dxa"/>
              <w:left w:w="15" w:type="dxa"/>
              <w:right w:w="15" w:type="dxa"/>
            </w:tcMar>
            <w:vAlign w:val="center"/>
          </w:tcPr>
          <w:p w14:paraId="34AB26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0A5D4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346FD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3.432</w:t>
            </w:r>
          </w:p>
        </w:tc>
        <w:tc>
          <w:tcPr>
            <w:tcW w:w="2367" w:type="dxa"/>
            <w:tcBorders>
              <w:tl2br w:val="nil"/>
              <w:tr2bl w:val="nil"/>
            </w:tcBorders>
            <w:noWrap/>
            <w:tcMar>
              <w:top w:w="15" w:type="dxa"/>
              <w:left w:w="15" w:type="dxa"/>
              <w:right w:w="15" w:type="dxa"/>
            </w:tcMar>
            <w:vAlign w:val="center"/>
          </w:tcPr>
          <w:p w14:paraId="7BDE10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D65C8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205.2</w:t>
            </w:r>
          </w:p>
        </w:tc>
        <w:tc>
          <w:tcPr>
            <w:tcW w:w="1061" w:type="dxa"/>
            <w:tcBorders>
              <w:tl2br w:val="nil"/>
              <w:tr2bl w:val="nil"/>
            </w:tcBorders>
            <w:noWrap/>
            <w:tcMar>
              <w:top w:w="15" w:type="dxa"/>
              <w:left w:w="15" w:type="dxa"/>
              <w:right w:w="15" w:type="dxa"/>
            </w:tcMar>
            <w:vAlign w:val="center"/>
          </w:tcPr>
          <w:p w14:paraId="5B832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w:t>
            </w:r>
          </w:p>
        </w:tc>
        <w:tc>
          <w:tcPr>
            <w:tcW w:w="953" w:type="dxa"/>
            <w:tcBorders>
              <w:tl2br w:val="nil"/>
              <w:tr2bl w:val="nil"/>
            </w:tcBorders>
            <w:noWrap/>
            <w:tcMar>
              <w:top w:w="15" w:type="dxa"/>
              <w:left w:w="15" w:type="dxa"/>
              <w:right w:w="15" w:type="dxa"/>
            </w:tcMar>
            <w:vAlign w:val="center"/>
          </w:tcPr>
          <w:p w14:paraId="5EDEB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0.002</w:t>
            </w:r>
          </w:p>
        </w:tc>
        <w:tc>
          <w:tcPr>
            <w:tcW w:w="1861" w:type="dxa"/>
            <w:tcBorders>
              <w:tl2br w:val="nil"/>
              <w:tr2bl w:val="nil"/>
            </w:tcBorders>
            <w:noWrap/>
            <w:tcMar>
              <w:top w:w="15" w:type="dxa"/>
              <w:left w:w="15" w:type="dxa"/>
              <w:right w:w="15" w:type="dxa"/>
            </w:tcMar>
            <w:vAlign w:val="center"/>
          </w:tcPr>
          <w:p w14:paraId="72BD04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273D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1E3DA2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58</w:t>
            </w:r>
          </w:p>
        </w:tc>
        <w:tc>
          <w:tcPr>
            <w:tcW w:w="1525" w:type="dxa"/>
            <w:tcBorders>
              <w:tl2br w:val="nil"/>
              <w:tr2bl w:val="nil"/>
            </w:tcBorders>
            <w:noWrap w:val="0"/>
            <w:tcMar>
              <w:top w:w="15" w:type="dxa"/>
              <w:left w:w="15" w:type="dxa"/>
              <w:right w:w="15" w:type="dxa"/>
            </w:tcMar>
            <w:vAlign w:val="center"/>
          </w:tcPr>
          <w:p w14:paraId="1606E6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湖南锦帆机械制造有限公司</w:t>
            </w:r>
          </w:p>
        </w:tc>
        <w:tc>
          <w:tcPr>
            <w:tcW w:w="608" w:type="dxa"/>
            <w:tcBorders>
              <w:tl2br w:val="nil"/>
              <w:tr2bl w:val="nil"/>
            </w:tcBorders>
            <w:noWrap w:val="0"/>
            <w:tcMar>
              <w:top w:w="15" w:type="dxa"/>
              <w:left w:w="15" w:type="dxa"/>
              <w:right w:w="15" w:type="dxa"/>
            </w:tcMar>
            <w:vAlign w:val="center"/>
          </w:tcPr>
          <w:p w14:paraId="34818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5180</w:t>
            </w:r>
          </w:p>
        </w:tc>
        <w:tc>
          <w:tcPr>
            <w:tcW w:w="750" w:type="dxa"/>
            <w:tcBorders>
              <w:tl2br w:val="nil"/>
              <w:tr2bl w:val="nil"/>
            </w:tcBorders>
            <w:noWrap/>
            <w:tcMar>
              <w:top w:w="15" w:type="dxa"/>
              <w:left w:w="15" w:type="dxa"/>
              <w:right w:w="15" w:type="dxa"/>
            </w:tcMar>
            <w:vAlign w:val="center"/>
          </w:tcPr>
          <w:p w14:paraId="20B62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0.472</w:t>
            </w:r>
          </w:p>
        </w:tc>
        <w:tc>
          <w:tcPr>
            <w:tcW w:w="991" w:type="dxa"/>
            <w:tcBorders>
              <w:tl2br w:val="nil"/>
              <w:tr2bl w:val="nil"/>
            </w:tcBorders>
            <w:noWrap/>
            <w:tcMar>
              <w:top w:w="15" w:type="dxa"/>
              <w:left w:w="15" w:type="dxa"/>
              <w:right w:w="15" w:type="dxa"/>
            </w:tcMar>
            <w:vAlign w:val="center"/>
          </w:tcPr>
          <w:p w14:paraId="27C283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0D458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17BE8F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0.473</w:t>
            </w:r>
          </w:p>
        </w:tc>
        <w:tc>
          <w:tcPr>
            <w:tcW w:w="2367" w:type="dxa"/>
            <w:tcBorders>
              <w:tl2br w:val="nil"/>
              <w:tr2bl w:val="nil"/>
            </w:tcBorders>
            <w:noWrap/>
            <w:tcMar>
              <w:top w:w="15" w:type="dxa"/>
              <w:left w:w="15" w:type="dxa"/>
              <w:right w:w="15" w:type="dxa"/>
            </w:tcMar>
            <w:vAlign w:val="center"/>
          </w:tcPr>
          <w:p w14:paraId="062E98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二甲苯0.185</w:t>
            </w:r>
          </w:p>
        </w:tc>
        <w:tc>
          <w:tcPr>
            <w:tcW w:w="1170" w:type="dxa"/>
            <w:tcBorders>
              <w:tl2br w:val="nil"/>
              <w:tr2bl w:val="nil"/>
            </w:tcBorders>
            <w:noWrap/>
            <w:tcMar>
              <w:top w:w="15" w:type="dxa"/>
              <w:left w:w="15" w:type="dxa"/>
              <w:right w:w="15" w:type="dxa"/>
            </w:tcMar>
            <w:vAlign w:val="center"/>
          </w:tcPr>
          <w:p w14:paraId="381DF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1050</w:t>
            </w:r>
          </w:p>
        </w:tc>
        <w:tc>
          <w:tcPr>
            <w:tcW w:w="1061" w:type="dxa"/>
            <w:tcBorders>
              <w:tl2br w:val="nil"/>
              <w:tr2bl w:val="nil"/>
            </w:tcBorders>
            <w:noWrap/>
            <w:tcMar>
              <w:top w:w="15" w:type="dxa"/>
              <w:left w:w="15" w:type="dxa"/>
              <w:right w:w="15" w:type="dxa"/>
            </w:tcMar>
            <w:vAlign w:val="center"/>
          </w:tcPr>
          <w:p w14:paraId="51EA8B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0.0525</w:t>
            </w:r>
          </w:p>
        </w:tc>
        <w:tc>
          <w:tcPr>
            <w:tcW w:w="953" w:type="dxa"/>
            <w:tcBorders>
              <w:tl2br w:val="nil"/>
              <w:tr2bl w:val="nil"/>
            </w:tcBorders>
            <w:noWrap/>
            <w:tcMar>
              <w:top w:w="15" w:type="dxa"/>
              <w:left w:w="15" w:type="dxa"/>
              <w:right w:w="15" w:type="dxa"/>
            </w:tcMar>
            <w:vAlign w:val="center"/>
          </w:tcPr>
          <w:p w14:paraId="759C9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0.0053</w:t>
            </w:r>
          </w:p>
        </w:tc>
        <w:tc>
          <w:tcPr>
            <w:tcW w:w="1861" w:type="dxa"/>
            <w:tcBorders>
              <w:tl2br w:val="nil"/>
              <w:tr2bl w:val="nil"/>
            </w:tcBorders>
            <w:noWrap/>
            <w:tcMar>
              <w:top w:w="15" w:type="dxa"/>
              <w:left w:w="15" w:type="dxa"/>
              <w:right w:w="15" w:type="dxa"/>
            </w:tcMar>
            <w:vAlign w:val="center"/>
          </w:tcPr>
          <w:p w14:paraId="0026D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1911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41A4429">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default" w:ascii="Times New Roman" w:hAnsi="Times New Roman" w:eastAsia="宋体" w:cs="Times New Roman"/>
                <w:color w:val="auto"/>
                <w:sz w:val="21"/>
                <w:szCs w:val="21"/>
                <w:u w:val="none" w:color="auto"/>
                <w:lang w:val="en-US" w:eastAsia="zh-CN"/>
              </w:rPr>
              <w:t>59</w:t>
            </w:r>
          </w:p>
        </w:tc>
        <w:tc>
          <w:tcPr>
            <w:tcW w:w="1525" w:type="dxa"/>
            <w:tcBorders>
              <w:tl2br w:val="nil"/>
              <w:tr2bl w:val="nil"/>
            </w:tcBorders>
            <w:noWrap w:val="0"/>
            <w:tcMar>
              <w:top w:w="15" w:type="dxa"/>
              <w:left w:w="15" w:type="dxa"/>
              <w:right w:w="15" w:type="dxa"/>
            </w:tcMar>
            <w:vAlign w:val="center"/>
          </w:tcPr>
          <w:p w14:paraId="763B5C9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湖南锦文交通设施科技有限公司</w:t>
            </w:r>
          </w:p>
        </w:tc>
        <w:tc>
          <w:tcPr>
            <w:tcW w:w="608" w:type="dxa"/>
            <w:tcBorders>
              <w:tl2br w:val="nil"/>
              <w:tr2bl w:val="nil"/>
            </w:tcBorders>
            <w:noWrap w:val="0"/>
            <w:tcMar>
              <w:top w:w="15" w:type="dxa"/>
              <w:left w:w="15" w:type="dxa"/>
              <w:right w:w="15" w:type="dxa"/>
            </w:tcMar>
            <w:vAlign w:val="center"/>
          </w:tcPr>
          <w:p w14:paraId="11AF42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1217.47</w:t>
            </w:r>
          </w:p>
        </w:tc>
        <w:tc>
          <w:tcPr>
            <w:tcW w:w="750" w:type="dxa"/>
            <w:tcBorders>
              <w:tl2br w:val="nil"/>
              <w:tr2bl w:val="nil"/>
            </w:tcBorders>
            <w:noWrap/>
            <w:tcMar>
              <w:top w:w="15" w:type="dxa"/>
              <w:left w:w="15" w:type="dxa"/>
              <w:right w:w="15" w:type="dxa"/>
            </w:tcMar>
            <w:vAlign w:val="center"/>
          </w:tcPr>
          <w:p w14:paraId="6A662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0.0963</w:t>
            </w:r>
          </w:p>
        </w:tc>
        <w:tc>
          <w:tcPr>
            <w:tcW w:w="991" w:type="dxa"/>
            <w:tcBorders>
              <w:tl2br w:val="nil"/>
              <w:tr2bl w:val="nil"/>
            </w:tcBorders>
            <w:noWrap/>
            <w:tcMar>
              <w:top w:w="15" w:type="dxa"/>
              <w:left w:w="15" w:type="dxa"/>
              <w:right w:w="15" w:type="dxa"/>
            </w:tcMar>
            <w:vAlign w:val="center"/>
          </w:tcPr>
          <w:p w14:paraId="4F588A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0.04</w:t>
            </w:r>
          </w:p>
        </w:tc>
        <w:tc>
          <w:tcPr>
            <w:tcW w:w="901" w:type="dxa"/>
            <w:tcBorders>
              <w:tl2br w:val="nil"/>
              <w:tr2bl w:val="nil"/>
            </w:tcBorders>
            <w:noWrap/>
            <w:tcMar>
              <w:top w:w="15" w:type="dxa"/>
              <w:left w:w="15" w:type="dxa"/>
              <w:right w:w="15" w:type="dxa"/>
            </w:tcMar>
            <w:vAlign w:val="center"/>
          </w:tcPr>
          <w:p w14:paraId="653B92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0.1586</w:t>
            </w:r>
          </w:p>
        </w:tc>
        <w:tc>
          <w:tcPr>
            <w:tcW w:w="1249" w:type="dxa"/>
            <w:tcBorders>
              <w:tl2br w:val="nil"/>
              <w:tr2bl w:val="nil"/>
            </w:tcBorders>
            <w:noWrap/>
            <w:tcMar>
              <w:top w:w="15" w:type="dxa"/>
              <w:left w:w="15" w:type="dxa"/>
              <w:right w:w="15" w:type="dxa"/>
            </w:tcMar>
            <w:vAlign w:val="center"/>
          </w:tcPr>
          <w:p w14:paraId="568D6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2.484</w:t>
            </w:r>
          </w:p>
        </w:tc>
        <w:tc>
          <w:tcPr>
            <w:tcW w:w="2367" w:type="dxa"/>
            <w:tcBorders>
              <w:tl2br w:val="nil"/>
              <w:tr2bl w:val="nil"/>
            </w:tcBorders>
            <w:noWrap/>
            <w:tcMar>
              <w:top w:w="15" w:type="dxa"/>
              <w:left w:w="15" w:type="dxa"/>
              <w:right w:w="15" w:type="dxa"/>
            </w:tcMar>
            <w:vAlign w:val="center"/>
          </w:tcPr>
          <w:p w14:paraId="2B3501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67D9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456</w:t>
            </w:r>
          </w:p>
        </w:tc>
        <w:tc>
          <w:tcPr>
            <w:tcW w:w="1061" w:type="dxa"/>
            <w:tcBorders>
              <w:tl2br w:val="nil"/>
              <w:tr2bl w:val="nil"/>
            </w:tcBorders>
            <w:noWrap/>
            <w:tcMar>
              <w:top w:w="15" w:type="dxa"/>
              <w:left w:w="15" w:type="dxa"/>
              <w:right w:w="15" w:type="dxa"/>
            </w:tcMar>
            <w:vAlign w:val="center"/>
          </w:tcPr>
          <w:p w14:paraId="0DB457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0.109</w:t>
            </w:r>
          </w:p>
        </w:tc>
        <w:tc>
          <w:tcPr>
            <w:tcW w:w="953" w:type="dxa"/>
            <w:tcBorders>
              <w:tl2br w:val="nil"/>
              <w:tr2bl w:val="nil"/>
            </w:tcBorders>
            <w:noWrap/>
            <w:tcMar>
              <w:top w:w="15" w:type="dxa"/>
              <w:left w:w="15" w:type="dxa"/>
              <w:right w:w="15" w:type="dxa"/>
            </w:tcMar>
            <w:vAlign w:val="center"/>
          </w:tcPr>
          <w:p w14:paraId="33396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0.013</w:t>
            </w:r>
          </w:p>
        </w:tc>
        <w:tc>
          <w:tcPr>
            <w:tcW w:w="1861" w:type="dxa"/>
            <w:tcBorders>
              <w:tl2br w:val="nil"/>
              <w:tr2bl w:val="nil"/>
            </w:tcBorders>
            <w:noWrap/>
            <w:tcMar>
              <w:top w:w="15" w:type="dxa"/>
              <w:left w:w="15" w:type="dxa"/>
              <w:right w:w="15" w:type="dxa"/>
            </w:tcMar>
            <w:vAlign w:val="center"/>
          </w:tcPr>
          <w:p w14:paraId="6107E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8F6F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CB7A28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60</w:t>
            </w:r>
          </w:p>
        </w:tc>
        <w:tc>
          <w:tcPr>
            <w:tcW w:w="1525" w:type="dxa"/>
            <w:tcBorders>
              <w:tl2br w:val="nil"/>
              <w:tr2bl w:val="nil"/>
            </w:tcBorders>
            <w:noWrap w:val="0"/>
            <w:tcMar>
              <w:top w:w="15" w:type="dxa"/>
              <w:left w:w="15" w:type="dxa"/>
              <w:right w:w="15" w:type="dxa"/>
            </w:tcMar>
            <w:vAlign w:val="center"/>
          </w:tcPr>
          <w:p w14:paraId="231B4D6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湖南惠众源净化科技有限公司</w:t>
            </w:r>
          </w:p>
        </w:tc>
        <w:tc>
          <w:tcPr>
            <w:tcW w:w="608" w:type="dxa"/>
            <w:tcBorders>
              <w:tl2br w:val="nil"/>
              <w:tr2bl w:val="nil"/>
            </w:tcBorders>
            <w:noWrap w:val="0"/>
            <w:tcMar>
              <w:top w:w="15" w:type="dxa"/>
              <w:left w:w="15" w:type="dxa"/>
              <w:right w:w="15" w:type="dxa"/>
            </w:tcMar>
            <w:vAlign w:val="center"/>
          </w:tcPr>
          <w:p w14:paraId="74B03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1105.57</w:t>
            </w:r>
          </w:p>
        </w:tc>
        <w:tc>
          <w:tcPr>
            <w:tcW w:w="750" w:type="dxa"/>
            <w:tcBorders>
              <w:tl2br w:val="nil"/>
              <w:tr2bl w:val="nil"/>
            </w:tcBorders>
            <w:noWrap/>
            <w:tcMar>
              <w:top w:w="15" w:type="dxa"/>
              <w:left w:w="15" w:type="dxa"/>
              <w:right w:w="15" w:type="dxa"/>
            </w:tcMar>
            <w:vAlign w:val="center"/>
          </w:tcPr>
          <w:p w14:paraId="7D3E3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0.57</w:t>
            </w:r>
          </w:p>
        </w:tc>
        <w:tc>
          <w:tcPr>
            <w:tcW w:w="991" w:type="dxa"/>
            <w:tcBorders>
              <w:tl2br w:val="nil"/>
              <w:tr2bl w:val="nil"/>
            </w:tcBorders>
            <w:noWrap/>
            <w:tcMar>
              <w:top w:w="15" w:type="dxa"/>
              <w:left w:w="15" w:type="dxa"/>
              <w:right w:w="15" w:type="dxa"/>
            </w:tcMar>
            <w:vAlign w:val="center"/>
          </w:tcPr>
          <w:p w14:paraId="6EBFC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67A03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14081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1.7247</w:t>
            </w:r>
          </w:p>
        </w:tc>
        <w:tc>
          <w:tcPr>
            <w:tcW w:w="2367" w:type="dxa"/>
            <w:tcBorders>
              <w:tl2br w:val="nil"/>
              <w:tr2bl w:val="nil"/>
            </w:tcBorders>
            <w:noWrap/>
            <w:tcMar>
              <w:top w:w="15" w:type="dxa"/>
              <w:left w:w="15" w:type="dxa"/>
              <w:right w:w="15" w:type="dxa"/>
            </w:tcMar>
            <w:vAlign w:val="center"/>
          </w:tcPr>
          <w:p w14:paraId="5DBB2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6C5B9C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456</w:t>
            </w:r>
          </w:p>
        </w:tc>
        <w:tc>
          <w:tcPr>
            <w:tcW w:w="1061" w:type="dxa"/>
            <w:tcBorders>
              <w:tl2br w:val="nil"/>
              <w:tr2bl w:val="nil"/>
            </w:tcBorders>
            <w:noWrap/>
            <w:tcMar>
              <w:top w:w="15" w:type="dxa"/>
              <w:left w:w="15" w:type="dxa"/>
              <w:right w:w="15" w:type="dxa"/>
            </w:tcMar>
            <w:vAlign w:val="center"/>
          </w:tcPr>
          <w:p w14:paraId="675BF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0.109</w:t>
            </w:r>
          </w:p>
        </w:tc>
        <w:tc>
          <w:tcPr>
            <w:tcW w:w="953" w:type="dxa"/>
            <w:tcBorders>
              <w:tl2br w:val="nil"/>
              <w:tr2bl w:val="nil"/>
            </w:tcBorders>
            <w:noWrap/>
            <w:tcMar>
              <w:top w:w="15" w:type="dxa"/>
              <w:left w:w="15" w:type="dxa"/>
              <w:right w:w="15" w:type="dxa"/>
            </w:tcMar>
            <w:vAlign w:val="center"/>
          </w:tcPr>
          <w:p w14:paraId="4061D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0.013</w:t>
            </w:r>
          </w:p>
        </w:tc>
        <w:tc>
          <w:tcPr>
            <w:tcW w:w="1861" w:type="dxa"/>
            <w:tcBorders>
              <w:tl2br w:val="nil"/>
              <w:tr2bl w:val="nil"/>
            </w:tcBorders>
            <w:noWrap/>
            <w:tcMar>
              <w:top w:w="15" w:type="dxa"/>
              <w:left w:w="15" w:type="dxa"/>
              <w:right w:w="15" w:type="dxa"/>
            </w:tcMar>
            <w:vAlign w:val="center"/>
          </w:tcPr>
          <w:p w14:paraId="052AD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097FA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A4AE05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61</w:t>
            </w:r>
          </w:p>
        </w:tc>
        <w:tc>
          <w:tcPr>
            <w:tcW w:w="1525" w:type="dxa"/>
            <w:tcBorders>
              <w:tl2br w:val="nil"/>
              <w:tr2bl w:val="nil"/>
            </w:tcBorders>
            <w:noWrap w:val="0"/>
            <w:tcMar>
              <w:top w:w="15" w:type="dxa"/>
              <w:left w:w="15" w:type="dxa"/>
              <w:right w:w="15" w:type="dxa"/>
            </w:tcMar>
            <w:vAlign w:val="center"/>
          </w:tcPr>
          <w:p w14:paraId="5DD77AB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湖南易得架科技有限公司</w:t>
            </w:r>
          </w:p>
        </w:tc>
        <w:tc>
          <w:tcPr>
            <w:tcW w:w="608" w:type="dxa"/>
            <w:tcBorders>
              <w:tl2br w:val="nil"/>
              <w:tr2bl w:val="nil"/>
            </w:tcBorders>
            <w:noWrap w:val="0"/>
            <w:tcMar>
              <w:top w:w="15" w:type="dxa"/>
              <w:left w:w="15" w:type="dxa"/>
              <w:right w:w="15" w:type="dxa"/>
            </w:tcMar>
            <w:vAlign w:val="center"/>
          </w:tcPr>
          <w:p w14:paraId="65F50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540</w:t>
            </w:r>
          </w:p>
        </w:tc>
        <w:tc>
          <w:tcPr>
            <w:tcW w:w="750" w:type="dxa"/>
            <w:tcBorders>
              <w:tl2br w:val="nil"/>
              <w:tr2bl w:val="nil"/>
            </w:tcBorders>
            <w:noWrap/>
            <w:tcMar>
              <w:top w:w="15" w:type="dxa"/>
              <w:left w:w="15" w:type="dxa"/>
              <w:right w:w="15" w:type="dxa"/>
            </w:tcMar>
            <w:vAlign w:val="center"/>
          </w:tcPr>
          <w:p w14:paraId="6EFCE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0.0375</w:t>
            </w:r>
          </w:p>
        </w:tc>
        <w:tc>
          <w:tcPr>
            <w:tcW w:w="991" w:type="dxa"/>
            <w:tcBorders>
              <w:tl2br w:val="nil"/>
              <w:tr2bl w:val="nil"/>
            </w:tcBorders>
            <w:noWrap/>
            <w:tcMar>
              <w:top w:w="15" w:type="dxa"/>
              <w:left w:w="15" w:type="dxa"/>
              <w:right w:w="15" w:type="dxa"/>
            </w:tcMar>
            <w:vAlign w:val="center"/>
          </w:tcPr>
          <w:p w14:paraId="558B3B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FFBA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382EA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398223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AE5D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159.44</w:t>
            </w:r>
          </w:p>
        </w:tc>
        <w:tc>
          <w:tcPr>
            <w:tcW w:w="1061" w:type="dxa"/>
            <w:tcBorders>
              <w:tl2br w:val="nil"/>
              <w:tr2bl w:val="nil"/>
            </w:tcBorders>
            <w:noWrap/>
            <w:tcMar>
              <w:top w:w="15" w:type="dxa"/>
              <w:left w:w="15" w:type="dxa"/>
              <w:right w:w="15" w:type="dxa"/>
            </w:tcMar>
            <w:vAlign w:val="center"/>
          </w:tcPr>
          <w:p w14:paraId="60245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0.03345</w:t>
            </w:r>
          </w:p>
        </w:tc>
        <w:tc>
          <w:tcPr>
            <w:tcW w:w="953" w:type="dxa"/>
            <w:tcBorders>
              <w:tl2br w:val="nil"/>
              <w:tr2bl w:val="nil"/>
            </w:tcBorders>
            <w:noWrap/>
            <w:tcMar>
              <w:top w:w="15" w:type="dxa"/>
              <w:left w:w="15" w:type="dxa"/>
              <w:right w:w="15" w:type="dxa"/>
            </w:tcMar>
            <w:vAlign w:val="center"/>
          </w:tcPr>
          <w:p w14:paraId="35292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0.005</w:t>
            </w:r>
          </w:p>
        </w:tc>
        <w:tc>
          <w:tcPr>
            <w:tcW w:w="1861" w:type="dxa"/>
            <w:tcBorders>
              <w:tl2br w:val="nil"/>
              <w:tr2bl w:val="nil"/>
            </w:tcBorders>
            <w:noWrap/>
            <w:tcMar>
              <w:top w:w="15" w:type="dxa"/>
              <w:left w:w="15" w:type="dxa"/>
              <w:right w:w="15" w:type="dxa"/>
            </w:tcMar>
            <w:vAlign w:val="center"/>
          </w:tcPr>
          <w:p w14:paraId="385BAE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4455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BE0D794">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62</w:t>
            </w:r>
          </w:p>
        </w:tc>
        <w:tc>
          <w:tcPr>
            <w:tcW w:w="1525" w:type="dxa"/>
            <w:tcBorders>
              <w:tl2br w:val="nil"/>
              <w:tr2bl w:val="nil"/>
            </w:tcBorders>
            <w:noWrap w:val="0"/>
            <w:tcMar>
              <w:top w:w="15" w:type="dxa"/>
              <w:left w:w="15" w:type="dxa"/>
              <w:right w:w="15" w:type="dxa"/>
            </w:tcMar>
            <w:vAlign w:val="center"/>
          </w:tcPr>
          <w:p w14:paraId="1C2F69C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湖南育英工程机械有限公司</w:t>
            </w:r>
          </w:p>
        </w:tc>
        <w:tc>
          <w:tcPr>
            <w:tcW w:w="608" w:type="dxa"/>
            <w:tcBorders>
              <w:tl2br w:val="nil"/>
              <w:tr2bl w:val="nil"/>
            </w:tcBorders>
            <w:noWrap w:val="0"/>
            <w:tcMar>
              <w:top w:w="15" w:type="dxa"/>
              <w:left w:w="15" w:type="dxa"/>
              <w:right w:w="15" w:type="dxa"/>
            </w:tcMar>
            <w:vAlign w:val="center"/>
          </w:tcPr>
          <w:p w14:paraId="447C6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40598</w:t>
            </w:r>
          </w:p>
        </w:tc>
        <w:tc>
          <w:tcPr>
            <w:tcW w:w="750" w:type="dxa"/>
            <w:tcBorders>
              <w:tl2br w:val="nil"/>
              <w:tr2bl w:val="nil"/>
            </w:tcBorders>
            <w:noWrap/>
            <w:tcMar>
              <w:top w:w="15" w:type="dxa"/>
              <w:left w:w="15" w:type="dxa"/>
              <w:right w:w="15" w:type="dxa"/>
            </w:tcMar>
            <w:vAlign w:val="center"/>
          </w:tcPr>
          <w:p w14:paraId="329BA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2.5405</w:t>
            </w:r>
          </w:p>
        </w:tc>
        <w:tc>
          <w:tcPr>
            <w:tcW w:w="991" w:type="dxa"/>
            <w:tcBorders>
              <w:tl2br w:val="nil"/>
              <w:tr2bl w:val="nil"/>
            </w:tcBorders>
            <w:noWrap/>
            <w:tcMar>
              <w:top w:w="15" w:type="dxa"/>
              <w:left w:w="15" w:type="dxa"/>
              <w:right w:w="15" w:type="dxa"/>
            </w:tcMar>
            <w:vAlign w:val="center"/>
          </w:tcPr>
          <w:p w14:paraId="081E1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3AE4F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6DA2B9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0.091</w:t>
            </w:r>
          </w:p>
        </w:tc>
        <w:tc>
          <w:tcPr>
            <w:tcW w:w="2367" w:type="dxa"/>
            <w:tcBorders>
              <w:tl2br w:val="nil"/>
              <w:tr2bl w:val="nil"/>
            </w:tcBorders>
            <w:noWrap/>
            <w:tcMar>
              <w:top w:w="15" w:type="dxa"/>
              <w:left w:w="15" w:type="dxa"/>
              <w:right w:w="15" w:type="dxa"/>
            </w:tcMar>
            <w:vAlign w:val="center"/>
          </w:tcPr>
          <w:p w14:paraId="511EF3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56AC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1824</w:t>
            </w:r>
          </w:p>
        </w:tc>
        <w:tc>
          <w:tcPr>
            <w:tcW w:w="1061" w:type="dxa"/>
            <w:tcBorders>
              <w:tl2br w:val="nil"/>
              <w:tr2bl w:val="nil"/>
            </w:tcBorders>
            <w:noWrap/>
            <w:tcMar>
              <w:top w:w="15" w:type="dxa"/>
              <w:left w:w="15" w:type="dxa"/>
              <w:right w:w="15" w:type="dxa"/>
            </w:tcMar>
            <w:vAlign w:val="center"/>
          </w:tcPr>
          <w:p w14:paraId="07B71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0.091</w:t>
            </w:r>
          </w:p>
        </w:tc>
        <w:tc>
          <w:tcPr>
            <w:tcW w:w="953" w:type="dxa"/>
            <w:tcBorders>
              <w:tl2br w:val="nil"/>
              <w:tr2bl w:val="nil"/>
            </w:tcBorders>
            <w:noWrap/>
            <w:tcMar>
              <w:top w:w="15" w:type="dxa"/>
              <w:left w:w="15" w:type="dxa"/>
              <w:right w:w="15" w:type="dxa"/>
            </w:tcMar>
            <w:vAlign w:val="center"/>
          </w:tcPr>
          <w:p w14:paraId="229FE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0.009</w:t>
            </w:r>
          </w:p>
        </w:tc>
        <w:tc>
          <w:tcPr>
            <w:tcW w:w="1861" w:type="dxa"/>
            <w:tcBorders>
              <w:tl2br w:val="nil"/>
              <w:tr2bl w:val="nil"/>
            </w:tcBorders>
            <w:noWrap/>
            <w:tcMar>
              <w:top w:w="15" w:type="dxa"/>
              <w:left w:w="15" w:type="dxa"/>
              <w:right w:w="15" w:type="dxa"/>
            </w:tcMar>
            <w:vAlign w:val="center"/>
          </w:tcPr>
          <w:p w14:paraId="5EF1D5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02FD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B59AD6D">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63</w:t>
            </w:r>
          </w:p>
        </w:tc>
        <w:tc>
          <w:tcPr>
            <w:tcW w:w="1525" w:type="dxa"/>
            <w:tcBorders>
              <w:tl2br w:val="nil"/>
              <w:tr2bl w:val="nil"/>
            </w:tcBorders>
            <w:noWrap w:val="0"/>
            <w:tcMar>
              <w:top w:w="15" w:type="dxa"/>
              <w:left w:w="15" w:type="dxa"/>
              <w:right w:w="15" w:type="dxa"/>
            </w:tcMar>
            <w:vAlign w:val="center"/>
          </w:tcPr>
          <w:p w14:paraId="3AFB0E3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湖南卡邑诺智能科技有限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6E015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3640</w:t>
            </w:r>
          </w:p>
        </w:tc>
        <w:tc>
          <w:tcPr>
            <w:tcW w:w="750" w:type="dxa"/>
            <w:tcBorders>
              <w:tl2br w:val="nil"/>
              <w:tr2bl w:val="nil"/>
            </w:tcBorders>
            <w:noWrap/>
            <w:tcMar>
              <w:top w:w="15" w:type="dxa"/>
              <w:left w:w="15" w:type="dxa"/>
              <w:right w:w="15" w:type="dxa"/>
            </w:tcMar>
            <w:vAlign w:val="center"/>
          </w:tcPr>
          <w:p w14:paraId="7640A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1.426</w:t>
            </w:r>
          </w:p>
        </w:tc>
        <w:tc>
          <w:tcPr>
            <w:tcW w:w="991" w:type="dxa"/>
            <w:tcBorders>
              <w:tl2br w:val="nil"/>
              <w:tr2bl w:val="nil"/>
            </w:tcBorders>
            <w:noWrap/>
            <w:tcMar>
              <w:top w:w="15" w:type="dxa"/>
              <w:left w:w="15" w:type="dxa"/>
              <w:right w:w="15" w:type="dxa"/>
            </w:tcMar>
            <w:vAlign w:val="center"/>
          </w:tcPr>
          <w:p w14:paraId="00FF7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0.019</w:t>
            </w:r>
          </w:p>
        </w:tc>
        <w:tc>
          <w:tcPr>
            <w:tcW w:w="901" w:type="dxa"/>
            <w:tcBorders>
              <w:tl2br w:val="nil"/>
              <w:tr2bl w:val="nil"/>
            </w:tcBorders>
            <w:noWrap/>
            <w:tcMar>
              <w:top w:w="15" w:type="dxa"/>
              <w:left w:w="15" w:type="dxa"/>
              <w:right w:w="15" w:type="dxa"/>
            </w:tcMar>
            <w:vAlign w:val="center"/>
          </w:tcPr>
          <w:p w14:paraId="4584A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0.179</w:t>
            </w:r>
          </w:p>
        </w:tc>
        <w:tc>
          <w:tcPr>
            <w:tcW w:w="1249" w:type="dxa"/>
            <w:tcBorders>
              <w:tl2br w:val="nil"/>
              <w:tr2bl w:val="nil"/>
            </w:tcBorders>
            <w:noWrap/>
            <w:tcMar>
              <w:top w:w="15" w:type="dxa"/>
              <w:left w:w="15" w:type="dxa"/>
              <w:right w:w="15" w:type="dxa"/>
            </w:tcMar>
            <w:vAlign w:val="center"/>
          </w:tcPr>
          <w:p w14:paraId="22CB6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0.1118</w:t>
            </w:r>
          </w:p>
        </w:tc>
        <w:tc>
          <w:tcPr>
            <w:tcW w:w="2367" w:type="dxa"/>
            <w:tcBorders>
              <w:tl2br w:val="nil"/>
              <w:tr2bl w:val="nil"/>
            </w:tcBorders>
            <w:noWrap/>
            <w:tcMar>
              <w:top w:w="15" w:type="dxa"/>
              <w:left w:w="15" w:type="dxa"/>
              <w:right w:w="15" w:type="dxa"/>
            </w:tcMar>
            <w:vAlign w:val="center"/>
          </w:tcPr>
          <w:p w14:paraId="0E7CCA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19B75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1016</w:t>
            </w:r>
          </w:p>
        </w:tc>
        <w:tc>
          <w:tcPr>
            <w:tcW w:w="1061" w:type="dxa"/>
            <w:tcBorders>
              <w:tl2br w:val="nil"/>
              <w:tr2bl w:val="nil"/>
            </w:tcBorders>
            <w:noWrap/>
            <w:tcMar>
              <w:top w:w="15" w:type="dxa"/>
              <w:left w:w="15" w:type="dxa"/>
              <w:right w:w="15" w:type="dxa"/>
            </w:tcMar>
            <w:vAlign w:val="center"/>
          </w:tcPr>
          <w:p w14:paraId="54189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0.2402</w:t>
            </w:r>
          </w:p>
        </w:tc>
        <w:tc>
          <w:tcPr>
            <w:tcW w:w="953" w:type="dxa"/>
            <w:tcBorders>
              <w:tl2br w:val="nil"/>
              <w:tr2bl w:val="nil"/>
            </w:tcBorders>
            <w:noWrap/>
            <w:tcMar>
              <w:top w:w="15" w:type="dxa"/>
              <w:left w:w="15" w:type="dxa"/>
              <w:right w:w="15" w:type="dxa"/>
            </w:tcMar>
            <w:vAlign w:val="center"/>
          </w:tcPr>
          <w:p w14:paraId="43D13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0.017</w:t>
            </w:r>
          </w:p>
        </w:tc>
        <w:tc>
          <w:tcPr>
            <w:tcW w:w="1861" w:type="dxa"/>
            <w:tcBorders>
              <w:tl2br w:val="nil"/>
              <w:tr2bl w:val="nil"/>
            </w:tcBorders>
            <w:noWrap/>
            <w:tcMar>
              <w:top w:w="15" w:type="dxa"/>
              <w:left w:w="15" w:type="dxa"/>
              <w:right w:w="15" w:type="dxa"/>
            </w:tcMar>
            <w:vAlign w:val="center"/>
          </w:tcPr>
          <w:p w14:paraId="334FB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EEC4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8906788">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64</w:t>
            </w:r>
          </w:p>
        </w:tc>
        <w:tc>
          <w:tcPr>
            <w:tcW w:w="1525" w:type="dxa"/>
            <w:tcBorders>
              <w:tl2br w:val="nil"/>
              <w:tr2bl w:val="nil"/>
            </w:tcBorders>
            <w:noWrap w:val="0"/>
            <w:tcMar>
              <w:top w:w="15" w:type="dxa"/>
              <w:left w:w="15" w:type="dxa"/>
              <w:right w:w="15" w:type="dxa"/>
            </w:tcMar>
            <w:vAlign w:val="center"/>
          </w:tcPr>
          <w:p w14:paraId="65F5380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湖南金来到精密制造有限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0BBBA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774</w:t>
            </w:r>
          </w:p>
        </w:tc>
        <w:tc>
          <w:tcPr>
            <w:tcW w:w="750" w:type="dxa"/>
            <w:tcBorders>
              <w:tl2br w:val="nil"/>
              <w:tr2bl w:val="nil"/>
            </w:tcBorders>
            <w:noWrap/>
            <w:tcMar>
              <w:top w:w="15" w:type="dxa"/>
              <w:left w:w="15" w:type="dxa"/>
              <w:right w:w="15" w:type="dxa"/>
            </w:tcMar>
            <w:vAlign w:val="center"/>
          </w:tcPr>
          <w:p w14:paraId="14B39E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0.719</w:t>
            </w:r>
          </w:p>
        </w:tc>
        <w:tc>
          <w:tcPr>
            <w:tcW w:w="991" w:type="dxa"/>
            <w:tcBorders>
              <w:tl2br w:val="nil"/>
              <w:tr2bl w:val="nil"/>
            </w:tcBorders>
            <w:noWrap/>
            <w:tcMar>
              <w:top w:w="15" w:type="dxa"/>
              <w:left w:w="15" w:type="dxa"/>
              <w:right w:w="15" w:type="dxa"/>
            </w:tcMar>
            <w:vAlign w:val="center"/>
          </w:tcPr>
          <w:p w14:paraId="6B11AD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0.010</w:t>
            </w:r>
          </w:p>
        </w:tc>
        <w:tc>
          <w:tcPr>
            <w:tcW w:w="901" w:type="dxa"/>
            <w:tcBorders>
              <w:tl2br w:val="nil"/>
              <w:tr2bl w:val="nil"/>
            </w:tcBorders>
            <w:noWrap/>
            <w:tcMar>
              <w:top w:w="15" w:type="dxa"/>
              <w:left w:w="15" w:type="dxa"/>
              <w:right w:w="15" w:type="dxa"/>
            </w:tcMar>
            <w:vAlign w:val="center"/>
          </w:tcPr>
          <w:p w14:paraId="48BF0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0.468</w:t>
            </w:r>
          </w:p>
        </w:tc>
        <w:tc>
          <w:tcPr>
            <w:tcW w:w="1249" w:type="dxa"/>
            <w:tcBorders>
              <w:tl2br w:val="nil"/>
              <w:tr2bl w:val="nil"/>
            </w:tcBorders>
            <w:noWrap/>
            <w:tcMar>
              <w:top w:w="15" w:type="dxa"/>
              <w:left w:w="15" w:type="dxa"/>
              <w:right w:w="15" w:type="dxa"/>
            </w:tcMar>
            <w:vAlign w:val="center"/>
          </w:tcPr>
          <w:p w14:paraId="074A4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0.05</w:t>
            </w:r>
          </w:p>
        </w:tc>
        <w:tc>
          <w:tcPr>
            <w:tcW w:w="2367" w:type="dxa"/>
            <w:tcBorders>
              <w:tl2br w:val="nil"/>
              <w:tr2bl w:val="nil"/>
            </w:tcBorders>
            <w:noWrap/>
            <w:tcMar>
              <w:top w:w="15" w:type="dxa"/>
              <w:left w:w="15" w:type="dxa"/>
              <w:right w:w="15" w:type="dxa"/>
            </w:tcMar>
            <w:vAlign w:val="center"/>
          </w:tcPr>
          <w:p w14:paraId="7EE63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6A29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608</w:t>
            </w:r>
          </w:p>
        </w:tc>
        <w:tc>
          <w:tcPr>
            <w:tcW w:w="1061" w:type="dxa"/>
            <w:tcBorders>
              <w:tl2br w:val="nil"/>
              <w:tr2bl w:val="nil"/>
            </w:tcBorders>
            <w:noWrap/>
            <w:tcMar>
              <w:top w:w="15" w:type="dxa"/>
              <w:left w:w="15" w:type="dxa"/>
              <w:right w:w="15" w:type="dxa"/>
            </w:tcMar>
            <w:vAlign w:val="center"/>
          </w:tcPr>
          <w:p w14:paraId="7D468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w:t>
            </w:r>
          </w:p>
        </w:tc>
        <w:tc>
          <w:tcPr>
            <w:tcW w:w="953" w:type="dxa"/>
            <w:tcBorders>
              <w:tl2br w:val="nil"/>
              <w:tr2bl w:val="nil"/>
            </w:tcBorders>
            <w:noWrap/>
            <w:tcMar>
              <w:top w:w="15" w:type="dxa"/>
              <w:left w:w="15" w:type="dxa"/>
              <w:right w:w="15" w:type="dxa"/>
            </w:tcMar>
            <w:vAlign w:val="center"/>
          </w:tcPr>
          <w:p w14:paraId="0D386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0.001</w:t>
            </w:r>
          </w:p>
        </w:tc>
        <w:tc>
          <w:tcPr>
            <w:tcW w:w="1861" w:type="dxa"/>
            <w:tcBorders>
              <w:tl2br w:val="nil"/>
              <w:tr2bl w:val="nil"/>
            </w:tcBorders>
            <w:noWrap/>
            <w:tcMar>
              <w:top w:w="15" w:type="dxa"/>
              <w:left w:w="15" w:type="dxa"/>
              <w:right w:w="15" w:type="dxa"/>
            </w:tcMar>
            <w:vAlign w:val="center"/>
          </w:tcPr>
          <w:p w14:paraId="7214ED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CE85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9967EAD">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65</w:t>
            </w:r>
          </w:p>
        </w:tc>
        <w:tc>
          <w:tcPr>
            <w:tcW w:w="1525" w:type="dxa"/>
            <w:tcBorders>
              <w:tl2br w:val="nil"/>
              <w:tr2bl w:val="nil"/>
            </w:tcBorders>
            <w:noWrap w:val="0"/>
            <w:tcMar>
              <w:top w:w="15" w:type="dxa"/>
              <w:left w:w="15" w:type="dxa"/>
              <w:right w:w="15" w:type="dxa"/>
            </w:tcMar>
            <w:vAlign w:val="center"/>
          </w:tcPr>
          <w:p w14:paraId="7EAE6C3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湖南金佳源新材料科技</w:t>
            </w:r>
            <w:r>
              <w:rPr>
                <w:rFonts w:hint="eastAsia" w:ascii="Times New Roman" w:hAnsi="Times New Roman" w:eastAsia="宋体" w:cs="Times New Roman"/>
                <w:i w:val="0"/>
                <w:snapToGrid w:val="0"/>
                <w:color w:val="auto"/>
                <w:kern w:val="0"/>
                <w:sz w:val="21"/>
                <w:szCs w:val="21"/>
                <w:u w:val="none"/>
                <w:lang w:val="en-US" w:eastAsia="zh-CN" w:bidi="ar"/>
              </w:rPr>
              <w:t>有限公司</w:t>
            </w:r>
          </w:p>
        </w:tc>
        <w:tc>
          <w:tcPr>
            <w:tcW w:w="608" w:type="dxa"/>
            <w:tcBorders>
              <w:tl2br w:val="nil"/>
              <w:tr2bl w:val="nil"/>
            </w:tcBorders>
            <w:noWrap w:val="0"/>
            <w:tcMar>
              <w:top w:w="15" w:type="dxa"/>
              <w:left w:w="15" w:type="dxa"/>
              <w:right w:w="15" w:type="dxa"/>
            </w:tcMar>
            <w:vAlign w:val="center"/>
          </w:tcPr>
          <w:p w14:paraId="02507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3229</w:t>
            </w:r>
          </w:p>
        </w:tc>
        <w:tc>
          <w:tcPr>
            <w:tcW w:w="750" w:type="dxa"/>
            <w:tcBorders>
              <w:tl2br w:val="nil"/>
              <w:tr2bl w:val="nil"/>
            </w:tcBorders>
            <w:noWrap/>
            <w:tcMar>
              <w:top w:w="15" w:type="dxa"/>
              <w:left w:w="15" w:type="dxa"/>
              <w:right w:w="15" w:type="dxa"/>
            </w:tcMar>
            <w:vAlign w:val="center"/>
          </w:tcPr>
          <w:p w14:paraId="598082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3.456</w:t>
            </w:r>
          </w:p>
        </w:tc>
        <w:tc>
          <w:tcPr>
            <w:tcW w:w="991" w:type="dxa"/>
            <w:tcBorders>
              <w:tl2br w:val="nil"/>
              <w:tr2bl w:val="nil"/>
            </w:tcBorders>
            <w:noWrap/>
            <w:tcMar>
              <w:top w:w="15" w:type="dxa"/>
              <w:left w:w="15" w:type="dxa"/>
              <w:right w:w="15" w:type="dxa"/>
            </w:tcMar>
            <w:vAlign w:val="center"/>
          </w:tcPr>
          <w:p w14:paraId="2CC218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7EA05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68C53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1.722</w:t>
            </w:r>
          </w:p>
        </w:tc>
        <w:tc>
          <w:tcPr>
            <w:tcW w:w="2367" w:type="dxa"/>
            <w:tcBorders>
              <w:tl2br w:val="nil"/>
              <w:tr2bl w:val="nil"/>
            </w:tcBorders>
            <w:noWrap/>
            <w:tcMar>
              <w:top w:w="15" w:type="dxa"/>
              <w:left w:w="15" w:type="dxa"/>
              <w:right w:w="15" w:type="dxa"/>
            </w:tcMar>
            <w:vAlign w:val="center"/>
          </w:tcPr>
          <w:p w14:paraId="64948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氯化氢0.043，氯乙烯0.045</w:t>
            </w:r>
          </w:p>
        </w:tc>
        <w:tc>
          <w:tcPr>
            <w:tcW w:w="1170" w:type="dxa"/>
            <w:tcBorders>
              <w:tl2br w:val="nil"/>
              <w:tr2bl w:val="nil"/>
            </w:tcBorders>
            <w:noWrap/>
            <w:tcMar>
              <w:top w:w="15" w:type="dxa"/>
              <w:left w:w="15" w:type="dxa"/>
              <w:right w:w="15" w:type="dxa"/>
            </w:tcMar>
            <w:vAlign w:val="center"/>
          </w:tcPr>
          <w:p w14:paraId="10D28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720</w:t>
            </w:r>
          </w:p>
        </w:tc>
        <w:tc>
          <w:tcPr>
            <w:tcW w:w="1061" w:type="dxa"/>
            <w:tcBorders>
              <w:tl2br w:val="nil"/>
              <w:tr2bl w:val="nil"/>
            </w:tcBorders>
            <w:noWrap/>
            <w:tcMar>
              <w:top w:w="15" w:type="dxa"/>
              <w:left w:w="15" w:type="dxa"/>
              <w:right w:w="15" w:type="dxa"/>
            </w:tcMar>
            <w:vAlign w:val="center"/>
          </w:tcPr>
          <w:p w14:paraId="7A73F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0.036</w:t>
            </w:r>
          </w:p>
        </w:tc>
        <w:tc>
          <w:tcPr>
            <w:tcW w:w="953" w:type="dxa"/>
            <w:tcBorders>
              <w:tl2br w:val="nil"/>
              <w:tr2bl w:val="nil"/>
            </w:tcBorders>
            <w:noWrap/>
            <w:tcMar>
              <w:top w:w="15" w:type="dxa"/>
              <w:left w:w="15" w:type="dxa"/>
              <w:right w:w="15" w:type="dxa"/>
            </w:tcMar>
            <w:vAlign w:val="center"/>
          </w:tcPr>
          <w:p w14:paraId="4F584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0.0036</w:t>
            </w:r>
          </w:p>
        </w:tc>
        <w:tc>
          <w:tcPr>
            <w:tcW w:w="1861" w:type="dxa"/>
            <w:tcBorders>
              <w:tl2br w:val="nil"/>
              <w:tr2bl w:val="nil"/>
            </w:tcBorders>
            <w:noWrap/>
            <w:tcMar>
              <w:top w:w="15" w:type="dxa"/>
              <w:left w:w="15" w:type="dxa"/>
              <w:right w:w="15" w:type="dxa"/>
            </w:tcMar>
            <w:vAlign w:val="center"/>
          </w:tcPr>
          <w:p w14:paraId="096B0C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393F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68A20E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en-US" w:eastAsia="zh-CN" w:bidi="zh-CN"/>
              </w:rPr>
            </w:pPr>
            <w:r>
              <w:rPr>
                <w:rFonts w:hint="eastAsia" w:ascii="Times New Roman" w:hAnsi="Times New Roman" w:eastAsia="宋体" w:cs="Times New Roman"/>
                <w:color w:val="auto"/>
                <w:sz w:val="21"/>
                <w:szCs w:val="21"/>
                <w:u w:val="none" w:color="auto"/>
                <w:lang w:val="en-US" w:eastAsia="zh-CN"/>
              </w:rPr>
              <w:t>66</w:t>
            </w:r>
          </w:p>
        </w:tc>
        <w:tc>
          <w:tcPr>
            <w:tcW w:w="1525" w:type="dxa"/>
            <w:tcBorders>
              <w:tl2br w:val="nil"/>
              <w:tr2bl w:val="nil"/>
            </w:tcBorders>
            <w:noWrap w:val="0"/>
            <w:tcMar>
              <w:top w:w="15" w:type="dxa"/>
              <w:left w:w="15" w:type="dxa"/>
              <w:right w:w="15" w:type="dxa"/>
            </w:tcMar>
            <w:vAlign w:val="center"/>
          </w:tcPr>
          <w:p w14:paraId="4E5013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湖南环生瑞家建筑装饰</w:t>
            </w:r>
            <w:r>
              <w:rPr>
                <w:rFonts w:hint="eastAsia" w:ascii="Times New Roman" w:hAnsi="Times New Roman" w:eastAsia="宋体" w:cs="Times New Roman"/>
                <w:i w:val="0"/>
                <w:snapToGrid w:val="0"/>
                <w:color w:val="auto"/>
                <w:kern w:val="0"/>
                <w:sz w:val="21"/>
                <w:szCs w:val="21"/>
                <w:u w:val="none"/>
                <w:lang w:val="en-US" w:eastAsia="zh-CN" w:bidi="ar"/>
              </w:rPr>
              <w:t>材料有限公司</w:t>
            </w:r>
          </w:p>
        </w:tc>
        <w:tc>
          <w:tcPr>
            <w:tcW w:w="608" w:type="dxa"/>
            <w:tcBorders>
              <w:tl2br w:val="nil"/>
              <w:tr2bl w:val="nil"/>
            </w:tcBorders>
            <w:noWrap w:val="0"/>
            <w:tcMar>
              <w:top w:w="15" w:type="dxa"/>
              <w:left w:w="15" w:type="dxa"/>
              <w:right w:w="15" w:type="dxa"/>
            </w:tcMar>
            <w:vAlign w:val="center"/>
          </w:tcPr>
          <w:p w14:paraId="7007B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8321.48</w:t>
            </w:r>
          </w:p>
        </w:tc>
        <w:tc>
          <w:tcPr>
            <w:tcW w:w="750" w:type="dxa"/>
            <w:tcBorders>
              <w:tl2br w:val="nil"/>
              <w:tr2bl w:val="nil"/>
            </w:tcBorders>
            <w:noWrap/>
            <w:tcMar>
              <w:top w:w="15" w:type="dxa"/>
              <w:left w:w="15" w:type="dxa"/>
              <w:right w:w="15" w:type="dxa"/>
            </w:tcMar>
            <w:vAlign w:val="center"/>
          </w:tcPr>
          <w:p w14:paraId="14785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3.03047</w:t>
            </w:r>
          </w:p>
        </w:tc>
        <w:tc>
          <w:tcPr>
            <w:tcW w:w="991" w:type="dxa"/>
            <w:tcBorders>
              <w:tl2br w:val="nil"/>
              <w:tr2bl w:val="nil"/>
            </w:tcBorders>
            <w:noWrap/>
            <w:tcMar>
              <w:top w:w="15" w:type="dxa"/>
              <w:left w:w="15" w:type="dxa"/>
              <w:right w:w="15" w:type="dxa"/>
            </w:tcMar>
            <w:vAlign w:val="center"/>
          </w:tcPr>
          <w:p w14:paraId="45064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3A38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00103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0.2603</w:t>
            </w:r>
          </w:p>
        </w:tc>
        <w:tc>
          <w:tcPr>
            <w:tcW w:w="2367" w:type="dxa"/>
            <w:tcBorders>
              <w:tl2br w:val="nil"/>
              <w:tr2bl w:val="nil"/>
            </w:tcBorders>
            <w:noWrap/>
            <w:tcMar>
              <w:top w:w="15" w:type="dxa"/>
              <w:left w:w="15" w:type="dxa"/>
              <w:right w:w="15" w:type="dxa"/>
            </w:tcMar>
            <w:vAlign w:val="center"/>
          </w:tcPr>
          <w:p w14:paraId="41342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sz w:val="21"/>
                <w:szCs w:val="21"/>
                <w:u w:val="none"/>
                <w:lang w:val="en-US" w:eastAsia="zh-CN"/>
              </w:rPr>
              <w:t>氯化氢0.00048，氯乙烯0.0015</w:t>
            </w:r>
          </w:p>
        </w:tc>
        <w:tc>
          <w:tcPr>
            <w:tcW w:w="1170" w:type="dxa"/>
            <w:tcBorders>
              <w:tl2br w:val="nil"/>
              <w:tr2bl w:val="nil"/>
            </w:tcBorders>
            <w:noWrap/>
            <w:tcMar>
              <w:top w:w="15" w:type="dxa"/>
              <w:left w:w="15" w:type="dxa"/>
              <w:right w:w="15" w:type="dxa"/>
            </w:tcMar>
            <w:vAlign w:val="center"/>
          </w:tcPr>
          <w:p w14:paraId="3F0A1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416</w:t>
            </w:r>
          </w:p>
        </w:tc>
        <w:tc>
          <w:tcPr>
            <w:tcW w:w="1061" w:type="dxa"/>
            <w:tcBorders>
              <w:tl2br w:val="nil"/>
              <w:tr2bl w:val="nil"/>
            </w:tcBorders>
            <w:noWrap/>
            <w:tcMar>
              <w:top w:w="15" w:type="dxa"/>
              <w:left w:w="15" w:type="dxa"/>
              <w:right w:w="15" w:type="dxa"/>
            </w:tcMar>
            <w:vAlign w:val="center"/>
          </w:tcPr>
          <w:p w14:paraId="2E6BEC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0.0998</w:t>
            </w:r>
          </w:p>
        </w:tc>
        <w:tc>
          <w:tcPr>
            <w:tcW w:w="953" w:type="dxa"/>
            <w:tcBorders>
              <w:tl2br w:val="nil"/>
              <w:tr2bl w:val="nil"/>
            </w:tcBorders>
            <w:noWrap/>
            <w:tcMar>
              <w:top w:w="15" w:type="dxa"/>
              <w:left w:w="15" w:type="dxa"/>
              <w:right w:w="15" w:type="dxa"/>
            </w:tcMar>
            <w:vAlign w:val="center"/>
          </w:tcPr>
          <w:p w14:paraId="06D4D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0.0121</w:t>
            </w:r>
          </w:p>
        </w:tc>
        <w:tc>
          <w:tcPr>
            <w:tcW w:w="1861" w:type="dxa"/>
            <w:tcBorders>
              <w:tl2br w:val="nil"/>
              <w:tr2bl w:val="nil"/>
            </w:tcBorders>
            <w:noWrap/>
            <w:tcMar>
              <w:top w:w="15" w:type="dxa"/>
              <w:left w:w="15" w:type="dxa"/>
              <w:right w:w="15" w:type="dxa"/>
            </w:tcMar>
            <w:vAlign w:val="center"/>
          </w:tcPr>
          <w:p w14:paraId="200349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8382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EC45B2D">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kern w:val="2"/>
                <w:sz w:val="21"/>
                <w:szCs w:val="21"/>
                <w:u w:val="none"/>
                <w:lang w:val="en-US" w:eastAsia="zh-CN" w:bidi="zh-CN"/>
              </w:rPr>
            </w:pPr>
            <w:r>
              <w:rPr>
                <w:rFonts w:hint="eastAsia" w:ascii="Times New Roman" w:hAnsi="Times New Roman" w:eastAsia="宋体" w:cs="Times New Roman"/>
                <w:color w:val="auto"/>
                <w:sz w:val="21"/>
                <w:szCs w:val="21"/>
                <w:u w:val="none" w:color="auto"/>
                <w:lang w:val="en-US" w:eastAsia="zh-CN"/>
              </w:rPr>
              <w:t>67</w:t>
            </w:r>
          </w:p>
        </w:tc>
        <w:tc>
          <w:tcPr>
            <w:tcW w:w="1525" w:type="dxa"/>
            <w:tcBorders>
              <w:tl2br w:val="nil"/>
              <w:tr2bl w:val="nil"/>
            </w:tcBorders>
            <w:noWrap w:val="0"/>
            <w:tcMar>
              <w:top w:w="15" w:type="dxa"/>
              <w:left w:w="15" w:type="dxa"/>
              <w:right w:w="15" w:type="dxa"/>
            </w:tcMar>
            <w:vAlign w:val="center"/>
          </w:tcPr>
          <w:p w14:paraId="5D39CAD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湖南善峰智能装备有限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3BE68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2847.6</w:t>
            </w:r>
          </w:p>
        </w:tc>
        <w:tc>
          <w:tcPr>
            <w:tcW w:w="750" w:type="dxa"/>
            <w:tcBorders>
              <w:tl2br w:val="nil"/>
              <w:tr2bl w:val="nil"/>
            </w:tcBorders>
            <w:noWrap/>
            <w:tcMar>
              <w:top w:w="15" w:type="dxa"/>
              <w:left w:w="15" w:type="dxa"/>
              <w:right w:w="15" w:type="dxa"/>
            </w:tcMar>
            <w:vAlign w:val="center"/>
          </w:tcPr>
          <w:p w14:paraId="38FFF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991" w:type="dxa"/>
            <w:tcBorders>
              <w:tl2br w:val="nil"/>
              <w:tr2bl w:val="nil"/>
            </w:tcBorders>
            <w:noWrap/>
            <w:tcMar>
              <w:top w:w="15" w:type="dxa"/>
              <w:left w:w="15" w:type="dxa"/>
              <w:right w:w="15" w:type="dxa"/>
            </w:tcMar>
            <w:vAlign w:val="center"/>
          </w:tcPr>
          <w:p w14:paraId="420045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E1E7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249" w:type="dxa"/>
            <w:tcBorders>
              <w:tl2br w:val="nil"/>
              <w:tr2bl w:val="nil"/>
            </w:tcBorders>
            <w:noWrap/>
            <w:tcMar>
              <w:top w:w="15" w:type="dxa"/>
              <w:left w:w="15" w:type="dxa"/>
              <w:right w:w="15" w:type="dxa"/>
            </w:tcMar>
            <w:vAlign w:val="center"/>
          </w:tcPr>
          <w:p w14:paraId="1B4C85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1.044</w:t>
            </w:r>
          </w:p>
        </w:tc>
        <w:tc>
          <w:tcPr>
            <w:tcW w:w="2367" w:type="dxa"/>
            <w:tcBorders>
              <w:tl2br w:val="nil"/>
              <w:tr2bl w:val="nil"/>
            </w:tcBorders>
            <w:noWrap w:val="0"/>
            <w:tcMar>
              <w:top w:w="15" w:type="dxa"/>
              <w:left w:w="15" w:type="dxa"/>
              <w:right w:w="15" w:type="dxa"/>
            </w:tcMar>
            <w:vAlign w:val="center"/>
          </w:tcPr>
          <w:p w14:paraId="38A7EA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氨0.00745</w:t>
            </w:r>
          </w:p>
        </w:tc>
        <w:tc>
          <w:tcPr>
            <w:tcW w:w="1170" w:type="dxa"/>
            <w:tcBorders>
              <w:tl2br w:val="nil"/>
              <w:tr2bl w:val="nil"/>
            </w:tcBorders>
            <w:noWrap/>
            <w:tcMar>
              <w:top w:w="15" w:type="dxa"/>
              <w:left w:w="15" w:type="dxa"/>
              <w:right w:w="15" w:type="dxa"/>
            </w:tcMar>
            <w:vAlign w:val="center"/>
          </w:tcPr>
          <w:p w14:paraId="0A634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182.4</w:t>
            </w:r>
          </w:p>
        </w:tc>
        <w:tc>
          <w:tcPr>
            <w:tcW w:w="1061" w:type="dxa"/>
            <w:tcBorders>
              <w:tl2br w:val="nil"/>
              <w:tr2bl w:val="nil"/>
            </w:tcBorders>
            <w:noWrap/>
            <w:tcMar>
              <w:top w:w="15" w:type="dxa"/>
              <w:left w:w="15" w:type="dxa"/>
              <w:right w:w="15" w:type="dxa"/>
            </w:tcMar>
            <w:vAlign w:val="center"/>
          </w:tcPr>
          <w:p w14:paraId="133CD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0.0383</w:t>
            </w:r>
          </w:p>
        </w:tc>
        <w:tc>
          <w:tcPr>
            <w:tcW w:w="953" w:type="dxa"/>
            <w:tcBorders>
              <w:tl2br w:val="nil"/>
              <w:tr2bl w:val="nil"/>
            </w:tcBorders>
            <w:noWrap/>
            <w:tcMar>
              <w:top w:w="15" w:type="dxa"/>
              <w:left w:w="15" w:type="dxa"/>
              <w:right w:w="15" w:type="dxa"/>
            </w:tcMar>
            <w:vAlign w:val="center"/>
          </w:tcPr>
          <w:p w14:paraId="0327F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0.0051</w:t>
            </w:r>
          </w:p>
        </w:tc>
        <w:tc>
          <w:tcPr>
            <w:tcW w:w="1861" w:type="dxa"/>
            <w:tcBorders>
              <w:tl2br w:val="nil"/>
              <w:tr2bl w:val="nil"/>
            </w:tcBorders>
            <w:noWrap w:val="0"/>
            <w:tcMar>
              <w:top w:w="15" w:type="dxa"/>
              <w:left w:w="15" w:type="dxa"/>
              <w:right w:w="15" w:type="dxa"/>
            </w:tcMar>
            <w:vAlign w:val="center"/>
          </w:tcPr>
          <w:p w14:paraId="15C2F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r>
      <w:tr w14:paraId="6578D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6236AE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68</w:t>
            </w:r>
          </w:p>
        </w:tc>
        <w:tc>
          <w:tcPr>
            <w:tcW w:w="1525" w:type="dxa"/>
            <w:tcBorders>
              <w:tl2br w:val="nil"/>
              <w:tr2bl w:val="nil"/>
            </w:tcBorders>
            <w:noWrap w:val="0"/>
            <w:tcMar>
              <w:top w:w="15" w:type="dxa"/>
              <w:left w:w="15" w:type="dxa"/>
              <w:right w:w="15" w:type="dxa"/>
            </w:tcMar>
            <w:vAlign w:val="center"/>
          </w:tcPr>
          <w:p w14:paraId="05B54C7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湖南满恒汽车零部件有限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5B21D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10855</w:t>
            </w:r>
          </w:p>
        </w:tc>
        <w:tc>
          <w:tcPr>
            <w:tcW w:w="750" w:type="dxa"/>
            <w:tcBorders>
              <w:tl2br w:val="nil"/>
              <w:tr2bl w:val="nil"/>
            </w:tcBorders>
            <w:noWrap/>
            <w:tcMar>
              <w:top w:w="15" w:type="dxa"/>
              <w:left w:w="15" w:type="dxa"/>
              <w:right w:w="15" w:type="dxa"/>
            </w:tcMar>
            <w:vAlign w:val="center"/>
          </w:tcPr>
          <w:p w14:paraId="2A04B5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0.228</w:t>
            </w:r>
          </w:p>
        </w:tc>
        <w:tc>
          <w:tcPr>
            <w:tcW w:w="991" w:type="dxa"/>
            <w:tcBorders>
              <w:tl2br w:val="nil"/>
              <w:tr2bl w:val="nil"/>
            </w:tcBorders>
            <w:noWrap/>
            <w:tcMar>
              <w:top w:w="15" w:type="dxa"/>
              <w:left w:w="15" w:type="dxa"/>
              <w:right w:w="15" w:type="dxa"/>
            </w:tcMar>
            <w:vAlign w:val="center"/>
          </w:tcPr>
          <w:p w14:paraId="3A0F46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0.009</w:t>
            </w:r>
          </w:p>
        </w:tc>
        <w:tc>
          <w:tcPr>
            <w:tcW w:w="901" w:type="dxa"/>
            <w:tcBorders>
              <w:tl2br w:val="nil"/>
              <w:tr2bl w:val="nil"/>
            </w:tcBorders>
            <w:noWrap/>
            <w:tcMar>
              <w:top w:w="15" w:type="dxa"/>
              <w:left w:w="15" w:type="dxa"/>
              <w:right w:w="15" w:type="dxa"/>
            </w:tcMar>
            <w:vAlign w:val="center"/>
          </w:tcPr>
          <w:p w14:paraId="4D442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0.088</w:t>
            </w:r>
          </w:p>
        </w:tc>
        <w:tc>
          <w:tcPr>
            <w:tcW w:w="1249" w:type="dxa"/>
            <w:tcBorders>
              <w:tl2br w:val="nil"/>
              <w:tr2bl w:val="nil"/>
            </w:tcBorders>
            <w:noWrap/>
            <w:tcMar>
              <w:top w:w="15" w:type="dxa"/>
              <w:left w:w="15" w:type="dxa"/>
              <w:right w:w="15" w:type="dxa"/>
            </w:tcMar>
            <w:vAlign w:val="center"/>
          </w:tcPr>
          <w:p w14:paraId="1F2DF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0.405</w:t>
            </w:r>
          </w:p>
        </w:tc>
        <w:tc>
          <w:tcPr>
            <w:tcW w:w="2367" w:type="dxa"/>
            <w:tcBorders>
              <w:tl2br w:val="nil"/>
              <w:tr2bl w:val="nil"/>
            </w:tcBorders>
            <w:noWrap w:val="0"/>
            <w:tcMar>
              <w:top w:w="15" w:type="dxa"/>
              <w:left w:w="15" w:type="dxa"/>
              <w:right w:w="15" w:type="dxa"/>
            </w:tcMar>
            <w:vAlign w:val="center"/>
          </w:tcPr>
          <w:p w14:paraId="35A35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E5B61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530.4</w:t>
            </w:r>
          </w:p>
        </w:tc>
        <w:tc>
          <w:tcPr>
            <w:tcW w:w="1061" w:type="dxa"/>
            <w:tcBorders>
              <w:tl2br w:val="nil"/>
              <w:tr2bl w:val="nil"/>
            </w:tcBorders>
            <w:noWrap/>
            <w:tcMar>
              <w:top w:w="15" w:type="dxa"/>
              <w:left w:w="15" w:type="dxa"/>
              <w:right w:w="15" w:type="dxa"/>
            </w:tcMar>
            <w:vAlign w:val="center"/>
          </w:tcPr>
          <w:p w14:paraId="0B961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0.106</w:t>
            </w:r>
          </w:p>
        </w:tc>
        <w:tc>
          <w:tcPr>
            <w:tcW w:w="953" w:type="dxa"/>
            <w:tcBorders>
              <w:tl2br w:val="nil"/>
              <w:tr2bl w:val="nil"/>
            </w:tcBorders>
            <w:noWrap/>
            <w:tcMar>
              <w:top w:w="15" w:type="dxa"/>
              <w:left w:w="15" w:type="dxa"/>
              <w:right w:w="15" w:type="dxa"/>
            </w:tcMar>
            <w:vAlign w:val="center"/>
          </w:tcPr>
          <w:p w14:paraId="57CBDA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0.016</w:t>
            </w:r>
          </w:p>
        </w:tc>
        <w:tc>
          <w:tcPr>
            <w:tcW w:w="1861" w:type="dxa"/>
            <w:tcBorders>
              <w:tl2br w:val="nil"/>
              <w:tr2bl w:val="nil"/>
            </w:tcBorders>
            <w:noWrap w:val="0"/>
            <w:tcMar>
              <w:top w:w="15" w:type="dxa"/>
              <w:left w:w="15" w:type="dxa"/>
              <w:right w:w="15" w:type="dxa"/>
            </w:tcMar>
            <w:vAlign w:val="center"/>
          </w:tcPr>
          <w:p w14:paraId="7FB4B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C25C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C8C4A78">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69</w:t>
            </w:r>
          </w:p>
        </w:tc>
        <w:tc>
          <w:tcPr>
            <w:tcW w:w="1525" w:type="dxa"/>
            <w:tcBorders>
              <w:tl2br w:val="nil"/>
              <w:tr2bl w:val="nil"/>
            </w:tcBorders>
            <w:noWrap w:val="0"/>
            <w:tcMar>
              <w:top w:w="15" w:type="dxa"/>
              <w:left w:w="15" w:type="dxa"/>
              <w:right w:w="15" w:type="dxa"/>
            </w:tcMar>
            <w:vAlign w:val="center"/>
          </w:tcPr>
          <w:p w14:paraId="5A7BF84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湖南浩权工程机械有限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227AD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6460</w:t>
            </w:r>
          </w:p>
        </w:tc>
        <w:tc>
          <w:tcPr>
            <w:tcW w:w="750" w:type="dxa"/>
            <w:tcBorders>
              <w:tl2br w:val="nil"/>
              <w:tr2bl w:val="nil"/>
            </w:tcBorders>
            <w:noWrap/>
            <w:tcMar>
              <w:top w:w="15" w:type="dxa"/>
              <w:left w:w="15" w:type="dxa"/>
              <w:right w:w="15" w:type="dxa"/>
            </w:tcMar>
            <w:vAlign w:val="center"/>
          </w:tcPr>
          <w:p w14:paraId="55057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0.171</w:t>
            </w:r>
          </w:p>
        </w:tc>
        <w:tc>
          <w:tcPr>
            <w:tcW w:w="991" w:type="dxa"/>
            <w:tcBorders>
              <w:tl2br w:val="nil"/>
              <w:tr2bl w:val="nil"/>
            </w:tcBorders>
            <w:noWrap/>
            <w:tcMar>
              <w:top w:w="15" w:type="dxa"/>
              <w:left w:w="15" w:type="dxa"/>
              <w:right w:w="15" w:type="dxa"/>
            </w:tcMar>
            <w:vAlign w:val="center"/>
          </w:tcPr>
          <w:p w14:paraId="311DC2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3077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5A07C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0.584</w:t>
            </w:r>
          </w:p>
        </w:tc>
        <w:tc>
          <w:tcPr>
            <w:tcW w:w="2367" w:type="dxa"/>
            <w:tcBorders>
              <w:tl2br w:val="nil"/>
              <w:tr2bl w:val="nil"/>
            </w:tcBorders>
            <w:noWrap/>
            <w:tcMar>
              <w:top w:w="15" w:type="dxa"/>
              <w:left w:w="15" w:type="dxa"/>
              <w:right w:w="15" w:type="dxa"/>
            </w:tcMar>
            <w:vAlign w:val="center"/>
          </w:tcPr>
          <w:p w14:paraId="678F4E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二甲苯0.244</w:t>
            </w:r>
          </w:p>
        </w:tc>
        <w:tc>
          <w:tcPr>
            <w:tcW w:w="1170" w:type="dxa"/>
            <w:tcBorders>
              <w:tl2br w:val="nil"/>
              <w:tr2bl w:val="nil"/>
            </w:tcBorders>
            <w:noWrap/>
            <w:tcMar>
              <w:top w:w="15" w:type="dxa"/>
              <w:left w:w="15" w:type="dxa"/>
              <w:right w:w="15" w:type="dxa"/>
            </w:tcMar>
            <w:vAlign w:val="center"/>
          </w:tcPr>
          <w:p w14:paraId="0C961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495.7</w:t>
            </w:r>
          </w:p>
        </w:tc>
        <w:tc>
          <w:tcPr>
            <w:tcW w:w="1061" w:type="dxa"/>
            <w:tcBorders>
              <w:tl2br w:val="nil"/>
              <w:tr2bl w:val="nil"/>
            </w:tcBorders>
            <w:noWrap/>
            <w:tcMar>
              <w:top w:w="15" w:type="dxa"/>
              <w:left w:w="15" w:type="dxa"/>
              <w:right w:w="15" w:type="dxa"/>
            </w:tcMar>
            <w:vAlign w:val="center"/>
          </w:tcPr>
          <w:p w14:paraId="2508D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0.062</w:t>
            </w:r>
          </w:p>
        </w:tc>
        <w:tc>
          <w:tcPr>
            <w:tcW w:w="953" w:type="dxa"/>
            <w:tcBorders>
              <w:tl2br w:val="nil"/>
              <w:tr2bl w:val="nil"/>
            </w:tcBorders>
            <w:noWrap/>
            <w:tcMar>
              <w:top w:w="15" w:type="dxa"/>
              <w:left w:w="15" w:type="dxa"/>
              <w:right w:w="15" w:type="dxa"/>
            </w:tcMar>
            <w:vAlign w:val="center"/>
          </w:tcPr>
          <w:p w14:paraId="7F6EA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0.006</w:t>
            </w:r>
          </w:p>
        </w:tc>
        <w:tc>
          <w:tcPr>
            <w:tcW w:w="1861" w:type="dxa"/>
            <w:tcBorders>
              <w:tl2br w:val="nil"/>
              <w:tr2bl w:val="nil"/>
            </w:tcBorders>
            <w:noWrap/>
            <w:tcMar>
              <w:top w:w="15" w:type="dxa"/>
              <w:left w:w="15" w:type="dxa"/>
              <w:right w:w="15" w:type="dxa"/>
            </w:tcMar>
            <w:vAlign w:val="center"/>
          </w:tcPr>
          <w:p w14:paraId="62AEFD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FC37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8EB325E">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70</w:t>
            </w:r>
          </w:p>
        </w:tc>
        <w:tc>
          <w:tcPr>
            <w:tcW w:w="1525" w:type="dxa"/>
            <w:tcBorders>
              <w:tl2br w:val="nil"/>
              <w:tr2bl w:val="nil"/>
            </w:tcBorders>
            <w:noWrap w:val="0"/>
            <w:tcMar>
              <w:top w:w="15" w:type="dxa"/>
              <w:left w:w="15" w:type="dxa"/>
              <w:right w:w="15" w:type="dxa"/>
            </w:tcMar>
            <w:vAlign w:val="center"/>
          </w:tcPr>
          <w:p w14:paraId="5E6A422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湖南东鸿建设有限公司</w:t>
            </w:r>
          </w:p>
        </w:tc>
        <w:tc>
          <w:tcPr>
            <w:tcW w:w="608" w:type="dxa"/>
            <w:tcBorders>
              <w:tl2br w:val="nil"/>
              <w:tr2bl w:val="nil"/>
            </w:tcBorders>
            <w:noWrap w:val="0"/>
            <w:tcMar>
              <w:top w:w="15" w:type="dxa"/>
              <w:left w:w="15" w:type="dxa"/>
              <w:right w:w="15" w:type="dxa"/>
            </w:tcMar>
            <w:vAlign w:val="center"/>
          </w:tcPr>
          <w:p w14:paraId="7A5417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22000</w:t>
            </w:r>
          </w:p>
        </w:tc>
        <w:tc>
          <w:tcPr>
            <w:tcW w:w="750" w:type="dxa"/>
            <w:tcBorders>
              <w:tl2br w:val="nil"/>
              <w:tr2bl w:val="nil"/>
            </w:tcBorders>
            <w:noWrap/>
            <w:tcMar>
              <w:top w:w="15" w:type="dxa"/>
              <w:left w:w="15" w:type="dxa"/>
              <w:right w:w="15" w:type="dxa"/>
            </w:tcMar>
            <w:vAlign w:val="center"/>
          </w:tcPr>
          <w:p w14:paraId="00D78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3.767</w:t>
            </w:r>
          </w:p>
        </w:tc>
        <w:tc>
          <w:tcPr>
            <w:tcW w:w="991" w:type="dxa"/>
            <w:tcBorders>
              <w:tl2br w:val="nil"/>
              <w:tr2bl w:val="nil"/>
            </w:tcBorders>
            <w:noWrap/>
            <w:tcMar>
              <w:top w:w="15" w:type="dxa"/>
              <w:left w:w="15" w:type="dxa"/>
              <w:right w:w="15" w:type="dxa"/>
            </w:tcMar>
            <w:vAlign w:val="center"/>
          </w:tcPr>
          <w:p w14:paraId="1BCF7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ECEF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48878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0.181</w:t>
            </w:r>
          </w:p>
        </w:tc>
        <w:tc>
          <w:tcPr>
            <w:tcW w:w="2367" w:type="dxa"/>
            <w:tcBorders>
              <w:tl2br w:val="nil"/>
              <w:tr2bl w:val="nil"/>
            </w:tcBorders>
            <w:noWrap w:val="0"/>
            <w:tcMar>
              <w:top w:w="15" w:type="dxa"/>
              <w:left w:w="15" w:type="dxa"/>
              <w:right w:w="15" w:type="dxa"/>
            </w:tcMar>
            <w:vAlign w:val="center"/>
          </w:tcPr>
          <w:p w14:paraId="55DA00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AF90F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2784</w:t>
            </w:r>
          </w:p>
        </w:tc>
        <w:tc>
          <w:tcPr>
            <w:tcW w:w="1061" w:type="dxa"/>
            <w:tcBorders>
              <w:tl2br w:val="nil"/>
              <w:tr2bl w:val="nil"/>
            </w:tcBorders>
            <w:noWrap/>
            <w:tcMar>
              <w:top w:w="15" w:type="dxa"/>
              <w:left w:w="15" w:type="dxa"/>
              <w:right w:w="15" w:type="dxa"/>
            </w:tcMar>
            <w:vAlign w:val="center"/>
          </w:tcPr>
          <w:p w14:paraId="33055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0.1392</w:t>
            </w:r>
          </w:p>
        </w:tc>
        <w:tc>
          <w:tcPr>
            <w:tcW w:w="953" w:type="dxa"/>
            <w:tcBorders>
              <w:tl2br w:val="nil"/>
              <w:tr2bl w:val="nil"/>
            </w:tcBorders>
            <w:noWrap/>
            <w:tcMar>
              <w:top w:w="15" w:type="dxa"/>
              <w:left w:w="15" w:type="dxa"/>
              <w:right w:w="15" w:type="dxa"/>
            </w:tcMar>
            <w:vAlign w:val="center"/>
          </w:tcPr>
          <w:p w14:paraId="359B2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0.01392</w:t>
            </w:r>
          </w:p>
        </w:tc>
        <w:tc>
          <w:tcPr>
            <w:tcW w:w="1861" w:type="dxa"/>
            <w:tcBorders>
              <w:tl2br w:val="nil"/>
              <w:tr2bl w:val="nil"/>
            </w:tcBorders>
            <w:noWrap w:val="0"/>
            <w:tcMar>
              <w:top w:w="15" w:type="dxa"/>
              <w:left w:w="15" w:type="dxa"/>
              <w:right w:w="15" w:type="dxa"/>
            </w:tcMar>
            <w:vAlign w:val="center"/>
          </w:tcPr>
          <w:p w14:paraId="4E9C4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828D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C711822">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71</w:t>
            </w:r>
          </w:p>
        </w:tc>
        <w:tc>
          <w:tcPr>
            <w:tcW w:w="1525" w:type="dxa"/>
            <w:tcBorders>
              <w:tl2br w:val="nil"/>
              <w:tr2bl w:val="nil"/>
            </w:tcBorders>
            <w:noWrap w:val="0"/>
            <w:tcMar>
              <w:top w:w="15" w:type="dxa"/>
              <w:left w:w="15" w:type="dxa"/>
              <w:right w:w="15" w:type="dxa"/>
            </w:tcMar>
            <w:vAlign w:val="center"/>
          </w:tcPr>
          <w:p w14:paraId="5FF42AB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湖南东鸿消防工程有限公司</w:t>
            </w:r>
          </w:p>
        </w:tc>
        <w:tc>
          <w:tcPr>
            <w:tcW w:w="608" w:type="dxa"/>
            <w:tcBorders>
              <w:tl2br w:val="nil"/>
              <w:tr2bl w:val="nil"/>
            </w:tcBorders>
            <w:noWrap w:val="0"/>
            <w:tcMar>
              <w:top w:w="15" w:type="dxa"/>
              <w:left w:w="15" w:type="dxa"/>
              <w:right w:w="15" w:type="dxa"/>
            </w:tcMar>
            <w:vAlign w:val="center"/>
          </w:tcPr>
          <w:p w14:paraId="18477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4403.19</w:t>
            </w:r>
          </w:p>
        </w:tc>
        <w:tc>
          <w:tcPr>
            <w:tcW w:w="750" w:type="dxa"/>
            <w:tcBorders>
              <w:tl2br w:val="nil"/>
              <w:tr2bl w:val="nil"/>
            </w:tcBorders>
            <w:noWrap/>
            <w:tcMar>
              <w:top w:w="15" w:type="dxa"/>
              <w:left w:w="15" w:type="dxa"/>
              <w:right w:w="15" w:type="dxa"/>
            </w:tcMar>
            <w:vAlign w:val="center"/>
          </w:tcPr>
          <w:p w14:paraId="71983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0.213</w:t>
            </w:r>
          </w:p>
        </w:tc>
        <w:tc>
          <w:tcPr>
            <w:tcW w:w="991" w:type="dxa"/>
            <w:tcBorders>
              <w:tl2br w:val="nil"/>
              <w:tr2bl w:val="nil"/>
            </w:tcBorders>
            <w:noWrap/>
            <w:tcMar>
              <w:top w:w="15" w:type="dxa"/>
              <w:left w:w="15" w:type="dxa"/>
              <w:right w:w="15" w:type="dxa"/>
            </w:tcMar>
            <w:vAlign w:val="center"/>
          </w:tcPr>
          <w:p w14:paraId="00B89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DFBA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6A6B8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0.117</w:t>
            </w:r>
          </w:p>
        </w:tc>
        <w:tc>
          <w:tcPr>
            <w:tcW w:w="2367" w:type="dxa"/>
            <w:tcBorders>
              <w:tl2br w:val="nil"/>
              <w:tr2bl w:val="nil"/>
            </w:tcBorders>
            <w:noWrap w:val="0"/>
            <w:tcMar>
              <w:top w:w="15" w:type="dxa"/>
              <w:left w:w="15" w:type="dxa"/>
              <w:right w:w="15" w:type="dxa"/>
            </w:tcMar>
            <w:vAlign w:val="center"/>
          </w:tcPr>
          <w:p w14:paraId="31A2A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D0ED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180</w:t>
            </w:r>
          </w:p>
        </w:tc>
        <w:tc>
          <w:tcPr>
            <w:tcW w:w="1061" w:type="dxa"/>
            <w:tcBorders>
              <w:tl2br w:val="nil"/>
              <w:tr2bl w:val="nil"/>
            </w:tcBorders>
            <w:noWrap/>
            <w:tcMar>
              <w:top w:w="15" w:type="dxa"/>
              <w:left w:w="15" w:type="dxa"/>
              <w:right w:w="15" w:type="dxa"/>
            </w:tcMar>
            <w:vAlign w:val="center"/>
          </w:tcPr>
          <w:p w14:paraId="30933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0.009</w:t>
            </w:r>
          </w:p>
        </w:tc>
        <w:tc>
          <w:tcPr>
            <w:tcW w:w="953" w:type="dxa"/>
            <w:tcBorders>
              <w:tl2br w:val="nil"/>
              <w:tr2bl w:val="nil"/>
            </w:tcBorders>
            <w:noWrap/>
            <w:tcMar>
              <w:top w:w="15" w:type="dxa"/>
              <w:left w:w="15" w:type="dxa"/>
              <w:right w:w="15" w:type="dxa"/>
            </w:tcMar>
            <w:vAlign w:val="center"/>
          </w:tcPr>
          <w:p w14:paraId="0C557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0.0009</w:t>
            </w:r>
          </w:p>
        </w:tc>
        <w:tc>
          <w:tcPr>
            <w:tcW w:w="1861" w:type="dxa"/>
            <w:tcBorders>
              <w:tl2br w:val="nil"/>
              <w:tr2bl w:val="nil"/>
            </w:tcBorders>
            <w:noWrap w:val="0"/>
            <w:tcMar>
              <w:top w:w="15" w:type="dxa"/>
              <w:left w:w="15" w:type="dxa"/>
              <w:right w:w="15" w:type="dxa"/>
            </w:tcMar>
            <w:vAlign w:val="center"/>
          </w:tcPr>
          <w:p w14:paraId="5BDF7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BE38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412112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72</w:t>
            </w:r>
          </w:p>
        </w:tc>
        <w:tc>
          <w:tcPr>
            <w:tcW w:w="1525" w:type="dxa"/>
            <w:tcBorders>
              <w:tl2br w:val="nil"/>
              <w:tr2bl w:val="nil"/>
            </w:tcBorders>
            <w:noWrap w:val="0"/>
            <w:tcMar>
              <w:top w:w="15" w:type="dxa"/>
              <w:left w:w="15" w:type="dxa"/>
              <w:right w:w="15" w:type="dxa"/>
            </w:tcMar>
            <w:vAlign w:val="center"/>
          </w:tcPr>
          <w:p w14:paraId="0B59609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湖南佳龙换热器有限公司</w:t>
            </w:r>
          </w:p>
        </w:tc>
        <w:tc>
          <w:tcPr>
            <w:tcW w:w="608" w:type="dxa"/>
            <w:tcBorders>
              <w:tl2br w:val="nil"/>
              <w:tr2bl w:val="nil"/>
            </w:tcBorders>
            <w:noWrap w:val="0"/>
            <w:tcMar>
              <w:top w:w="15" w:type="dxa"/>
              <w:left w:w="15" w:type="dxa"/>
              <w:right w:w="15" w:type="dxa"/>
            </w:tcMar>
            <w:vAlign w:val="center"/>
          </w:tcPr>
          <w:p w14:paraId="2C139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8366.72</w:t>
            </w:r>
          </w:p>
        </w:tc>
        <w:tc>
          <w:tcPr>
            <w:tcW w:w="750" w:type="dxa"/>
            <w:tcBorders>
              <w:tl2br w:val="nil"/>
              <w:tr2bl w:val="nil"/>
            </w:tcBorders>
            <w:noWrap/>
            <w:tcMar>
              <w:top w:w="15" w:type="dxa"/>
              <w:left w:w="15" w:type="dxa"/>
              <w:right w:w="15" w:type="dxa"/>
            </w:tcMar>
            <w:vAlign w:val="center"/>
          </w:tcPr>
          <w:p w14:paraId="14EF4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0.92</w:t>
            </w:r>
          </w:p>
        </w:tc>
        <w:tc>
          <w:tcPr>
            <w:tcW w:w="991" w:type="dxa"/>
            <w:tcBorders>
              <w:tl2br w:val="nil"/>
              <w:tr2bl w:val="nil"/>
            </w:tcBorders>
            <w:noWrap/>
            <w:tcMar>
              <w:top w:w="15" w:type="dxa"/>
              <w:left w:w="15" w:type="dxa"/>
              <w:right w:w="15" w:type="dxa"/>
            </w:tcMar>
            <w:vAlign w:val="center"/>
          </w:tcPr>
          <w:p w14:paraId="44519A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465E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7CA073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0.703</w:t>
            </w:r>
          </w:p>
        </w:tc>
        <w:tc>
          <w:tcPr>
            <w:tcW w:w="2367" w:type="dxa"/>
            <w:tcBorders>
              <w:tl2br w:val="nil"/>
              <w:tr2bl w:val="nil"/>
            </w:tcBorders>
            <w:noWrap w:val="0"/>
            <w:tcMar>
              <w:top w:w="15" w:type="dxa"/>
              <w:left w:w="15" w:type="dxa"/>
              <w:right w:w="15" w:type="dxa"/>
            </w:tcMar>
            <w:vAlign w:val="center"/>
          </w:tcPr>
          <w:p w14:paraId="2B209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97B3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5181.95</w:t>
            </w:r>
          </w:p>
        </w:tc>
        <w:tc>
          <w:tcPr>
            <w:tcW w:w="1061" w:type="dxa"/>
            <w:tcBorders>
              <w:tl2br w:val="nil"/>
              <w:tr2bl w:val="nil"/>
            </w:tcBorders>
            <w:noWrap/>
            <w:tcMar>
              <w:top w:w="15" w:type="dxa"/>
              <w:left w:w="15" w:type="dxa"/>
              <w:right w:w="15" w:type="dxa"/>
            </w:tcMar>
            <w:vAlign w:val="center"/>
          </w:tcPr>
          <w:p w14:paraId="4990D4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0.68</w:t>
            </w:r>
          </w:p>
        </w:tc>
        <w:tc>
          <w:tcPr>
            <w:tcW w:w="953" w:type="dxa"/>
            <w:tcBorders>
              <w:tl2br w:val="nil"/>
              <w:tr2bl w:val="nil"/>
            </w:tcBorders>
            <w:noWrap/>
            <w:tcMar>
              <w:top w:w="15" w:type="dxa"/>
              <w:left w:w="15" w:type="dxa"/>
              <w:right w:w="15" w:type="dxa"/>
            </w:tcMar>
            <w:vAlign w:val="center"/>
          </w:tcPr>
          <w:p w14:paraId="67FE5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0.08</w:t>
            </w:r>
          </w:p>
        </w:tc>
        <w:tc>
          <w:tcPr>
            <w:tcW w:w="1861" w:type="dxa"/>
            <w:tcBorders>
              <w:tl2br w:val="nil"/>
              <w:tr2bl w:val="nil"/>
            </w:tcBorders>
            <w:noWrap/>
            <w:tcMar>
              <w:top w:w="15" w:type="dxa"/>
              <w:left w:w="15" w:type="dxa"/>
              <w:right w:w="15" w:type="dxa"/>
            </w:tcMar>
            <w:vAlign w:val="center"/>
          </w:tcPr>
          <w:p w14:paraId="5F6CC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7E1E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F09C719">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73</w:t>
            </w:r>
          </w:p>
        </w:tc>
        <w:tc>
          <w:tcPr>
            <w:tcW w:w="1525" w:type="dxa"/>
            <w:tcBorders>
              <w:tl2br w:val="nil"/>
              <w:tr2bl w:val="nil"/>
            </w:tcBorders>
            <w:noWrap w:val="0"/>
            <w:tcMar>
              <w:top w:w="15" w:type="dxa"/>
              <w:left w:w="15" w:type="dxa"/>
              <w:right w:w="15" w:type="dxa"/>
            </w:tcMar>
            <w:vAlign w:val="center"/>
          </w:tcPr>
          <w:p w14:paraId="223CC23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长沙仁胜机械有限公司</w:t>
            </w:r>
            <w:r>
              <w:rPr>
                <w:rFonts w:hint="eastAsia" w:ascii="Times New Roman" w:hAnsi="Times New Roman" w:eastAsia="宋体" w:cs="Times New Roman"/>
                <w:i w:val="0"/>
                <w:snapToGrid w:val="0"/>
                <w:color w:val="auto"/>
                <w:kern w:val="0"/>
                <w:sz w:val="21"/>
                <w:szCs w:val="21"/>
                <w:u w:val="none"/>
                <w:lang w:val="en-US" w:eastAsia="zh-CN" w:bidi="ar"/>
              </w:rPr>
              <w:t>汨罗分公司</w:t>
            </w:r>
          </w:p>
        </w:tc>
        <w:tc>
          <w:tcPr>
            <w:tcW w:w="608" w:type="dxa"/>
            <w:tcBorders>
              <w:tl2br w:val="nil"/>
              <w:tr2bl w:val="nil"/>
            </w:tcBorders>
            <w:noWrap w:val="0"/>
            <w:tcMar>
              <w:top w:w="15" w:type="dxa"/>
              <w:left w:w="15" w:type="dxa"/>
              <w:right w:w="15" w:type="dxa"/>
            </w:tcMar>
            <w:vAlign w:val="center"/>
          </w:tcPr>
          <w:p w14:paraId="5A2821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5734</w:t>
            </w:r>
          </w:p>
        </w:tc>
        <w:tc>
          <w:tcPr>
            <w:tcW w:w="750" w:type="dxa"/>
            <w:tcBorders>
              <w:tl2br w:val="nil"/>
              <w:tr2bl w:val="nil"/>
            </w:tcBorders>
            <w:noWrap/>
            <w:tcMar>
              <w:top w:w="15" w:type="dxa"/>
              <w:left w:w="15" w:type="dxa"/>
              <w:right w:w="15" w:type="dxa"/>
            </w:tcMar>
            <w:vAlign w:val="center"/>
          </w:tcPr>
          <w:p w14:paraId="5EE9C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1.70544</w:t>
            </w:r>
          </w:p>
        </w:tc>
        <w:tc>
          <w:tcPr>
            <w:tcW w:w="991" w:type="dxa"/>
            <w:tcBorders>
              <w:tl2br w:val="nil"/>
              <w:tr2bl w:val="nil"/>
            </w:tcBorders>
            <w:noWrap/>
            <w:tcMar>
              <w:top w:w="15" w:type="dxa"/>
              <w:left w:w="15" w:type="dxa"/>
              <w:right w:w="15" w:type="dxa"/>
            </w:tcMar>
            <w:vAlign w:val="center"/>
          </w:tcPr>
          <w:p w14:paraId="4F0A81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0.000162</w:t>
            </w:r>
          </w:p>
        </w:tc>
        <w:tc>
          <w:tcPr>
            <w:tcW w:w="901" w:type="dxa"/>
            <w:tcBorders>
              <w:tl2br w:val="nil"/>
              <w:tr2bl w:val="nil"/>
            </w:tcBorders>
            <w:noWrap/>
            <w:tcMar>
              <w:top w:w="15" w:type="dxa"/>
              <w:left w:w="15" w:type="dxa"/>
              <w:right w:w="15" w:type="dxa"/>
            </w:tcMar>
            <w:vAlign w:val="center"/>
          </w:tcPr>
          <w:p w14:paraId="39B266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0.09534</w:t>
            </w:r>
          </w:p>
        </w:tc>
        <w:tc>
          <w:tcPr>
            <w:tcW w:w="1249" w:type="dxa"/>
            <w:tcBorders>
              <w:tl2br w:val="nil"/>
              <w:tr2bl w:val="nil"/>
            </w:tcBorders>
            <w:noWrap/>
            <w:tcMar>
              <w:top w:w="15" w:type="dxa"/>
              <w:left w:w="15" w:type="dxa"/>
              <w:right w:w="15" w:type="dxa"/>
            </w:tcMar>
            <w:vAlign w:val="center"/>
          </w:tcPr>
          <w:p w14:paraId="16E1A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1.8211</w:t>
            </w:r>
          </w:p>
        </w:tc>
        <w:tc>
          <w:tcPr>
            <w:tcW w:w="2367" w:type="dxa"/>
            <w:tcBorders>
              <w:tl2br w:val="nil"/>
              <w:tr2bl w:val="nil"/>
            </w:tcBorders>
            <w:noWrap/>
            <w:tcMar>
              <w:top w:w="15" w:type="dxa"/>
              <w:left w:w="15" w:type="dxa"/>
              <w:right w:w="15" w:type="dxa"/>
            </w:tcMar>
            <w:vAlign w:val="center"/>
          </w:tcPr>
          <w:p w14:paraId="16D99A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E2D1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1008</w:t>
            </w:r>
          </w:p>
        </w:tc>
        <w:tc>
          <w:tcPr>
            <w:tcW w:w="1061" w:type="dxa"/>
            <w:tcBorders>
              <w:tl2br w:val="nil"/>
              <w:tr2bl w:val="nil"/>
            </w:tcBorders>
            <w:noWrap/>
            <w:tcMar>
              <w:top w:w="15" w:type="dxa"/>
              <w:left w:w="15" w:type="dxa"/>
              <w:right w:w="15" w:type="dxa"/>
            </w:tcMar>
            <w:vAlign w:val="center"/>
          </w:tcPr>
          <w:p w14:paraId="75558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0.242</w:t>
            </w:r>
          </w:p>
        </w:tc>
        <w:tc>
          <w:tcPr>
            <w:tcW w:w="953" w:type="dxa"/>
            <w:tcBorders>
              <w:tl2br w:val="nil"/>
              <w:tr2bl w:val="nil"/>
            </w:tcBorders>
            <w:noWrap/>
            <w:tcMar>
              <w:top w:w="15" w:type="dxa"/>
              <w:left w:w="15" w:type="dxa"/>
              <w:right w:w="15" w:type="dxa"/>
            </w:tcMar>
            <w:vAlign w:val="center"/>
          </w:tcPr>
          <w:p w14:paraId="4C08D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0.0292</w:t>
            </w:r>
          </w:p>
        </w:tc>
        <w:tc>
          <w:tcPr>
            <w:tcW w:w="1861" w:type="dxa"/>
            <w:tcBorders>
              <w:tl2br w:val="nil"/>
              <w:tr2bl w:val="nil"/>
            </w:tcBorders>
            <w:noWrap/>
            <w:tcMar>
              <w:top w:w="15" w:type="dxa"/>
              <w:left w:w="15" w:type="dxa"/>
              <w:right w:w="15" w:type="dxa"/>
            </w:tcMar>
            <w:vAlign w:val="center"/>
          </w:tcPr>
          <w:p w14:paraId="4C99C2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5DDA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C248EA0">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74</w:t>
            </w:r>
          </w:p>
        </w:tc>
        <w:tc>
          <w:tcPr>
            <w:tcW w:w="1525" w:type="dxa"/>
            <w:tcBorders>
              <w:tl2br w:val="nil"/>
              <w:tr2bl w:val="nil"/>
            </w:tcBorders>
            <w:noWrap w:val="0"/>
            <w:tcMar>
              <w:top w:w="15" w:type="dxa"/>
              <w:left w:w="15" w:type="dxa"/>
              <w:right w:w="15" w:type="dxa"/>
            </w:tcMar>
            <w:vAlign w:val="center"/>
          </w:tcPr>
          <w:p w14:paraId="2F45B9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湖南瑞创晟新材料有限公司</w:t>
            </w:r>
          </w:p>
        </w:tc>
        <w:tc>
          <w:tcPr>
            <w:tcW w:w="608" w:type="dxa"/>
            <w:tcBorders>
              <w:tl2br w:val="nil"/>
              <w:tr2bl w:val="nil"/>
            </w:tcBorders>
            <w:noWrap w:val="0"/>
            <w:tcMar>
              <w:top w:w="15" w:type="dxa"/>
              <w:left w:w="15" w:type="dxa"/>
              <w:right w:w="15" w:type="dxa"/>
            </w:tcMar>
            <w:vAlign w:val="center"/>
          </w:tcPr>
          <w:p w14:paraId="02D96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6912</w:t>
            </w:r>
          </w:p>
        </w:tc>
        <w:tc>
          <w:tcPr>
            <w:tcW w:w="750" w:type="dxa"/>
            <w:tcBorders>
              <w:tl2br w:val="nil"/>
              <w:tr2bl w:val="nil"/>
            </w:tcBorders>
            <w:noWrap/>
            <w:tcMar>
              <w:top w:w="15" w:type="dxa"/>
              <w:left w:w="15" w:type="dxa"/>
              <w:right w:w="15" w:type="dxa"/>
            </w:tcMar>
            <w:vAlign w:val="center"/>
          </w:tcPr>
          <w:p w14:paraId="46699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4.249</w:t>
            </w:r>
          </w:p>
        </w:tc>
        <w:tc>
          <w:tcPr>
            <w:tcW w:w="991" w:type="dxa"/>
            <w:tcBorders>
              <w:tl2br w:val="nil"/>
              <w:tr2bl w:val="nil"/>
            </w:tcBorders>
            <w:noWrap/>
            <w:tcMar>
              <w:top w:w="15" w:type="dxa"/>
              <w:left w:w="15" w:type="dxa"/>
              <w:right w:w="15" w:type="dxa"/>
            </w:tcMar>
            <w:vAlign w:val="center"/>
          </w:tcPr>
          <w:p w14:paraId="0CE6BC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48866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03D03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val="0"/>
            <w:tcMar>
              <w:top w:w="15" w:type="dxa"/>
              <w:left w:w="15" w:type="dxa"/>
              <w:right w:w="15" w:type="dxa"/>
            </w:tcMar>
            <w:vAlign w:val="center"/>
          </w:tcPr>
          <w:p w14:paraId="5C9501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0BE34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417.6</w:t>
            </w:r>
          </w:p>
        </w:tc>
        <w:tc>
          <w:tcPr>
            <w:tcW w:w="1061" w:type="dxa"/>
            <w:tcBorders>
              <w:tl2br w:val="nil"/>
              <w:tr2bl w:val="nil"/>
            </w:tcBorders>
            <w:noWrap/>
            <w:tcMar>
              <w:top w:w="15" w:type="dxa"/>
              <w:left w:w="15" w:type="dxa"/>
              <w:right w:w="15" w:type="dxa"/>
            </w:tcMar>
            <w:vAlign w:val="center"/>
          </w:tcPr>
          <w:p w14:paraId="391AD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0.02088</w:t>
            </w:r>
          </w:p>
        </w:tc>
        <w:tc>
          <w:tcPr>
            <w:tcW w:w="953" w:type="dxa"/>
            <w:tcBorders>
              <w:tl2br w:val="nil"/>
              <w:tr2bl w:val="nil"/>
            </w:tcBorders>
            <w:noWrap/>
            <w:tcMar>
              <w:top w:w="15" w:type="dxa"/>
              <w:left w:w="15" w:type="dxa"/>
              <w:right w:w="15" w:type="dxa"/>
            </w:tcMar>
            <w:vAlign w:val="center"/>
          </w:tcPr>
          <w:p w14:paraId="55F34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0.002088</w:t>
            </w:r>
          </w:p>
        </w:tc>
        <w:tc>
          <w:tcPr>
            <w:tcW w:w="1861" w:type="dxa"/>
            <w:tcBorders>
              <w:tl2br w:val="nil"/>
              <w:tr2bl w:val="nil"/>
            </w:tcBorders>
            <w:noWrap/>
            <w:tcMar>
              <w:top w:w="15" w:type="dxa"/>
              <w:left w:w="15" w:type="dxa"/>
              <w:right w:w="15" w:type="dxa"/>
            </w:tcMar>
            <w:vAlign w:val="center"/>
          </w:tcPr>
          <w:p w14:paraId="43BA3E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380B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C6A8F3A">
            <w:pPr>
              <w:pStyle w:val="4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75</w:t>
            </w:r>
          </w:p>
        </w:tc>
        <w:tc>
          <w:tcPr>
            <w:tcW w:w="1525" w:type="dxa"/>
            <w:tcBorders>
              <w:tl2br w:val="nil"/>
              <w:tr2bl w:val="nil"/>
            </w:tcBorders>
            <w:noWrap w:val="0"/>
            <w:tcMar>
              <w:top w:w="15" w:type="dxa"/>
              <w:left w:w="15" w:type="dxa"/>
              <w:right w:w="15" w:type="dxa"/>
            </w:tcMar>
            <w:vAlign w:val="center"/>
          </w:tcPr>
          <w:p w14:paraId="68F7FD3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lang w:val="en-US" w:eastAsia="zh-CN" w:bidi="ar"/>
              </w:rPr>
              <w:t>湖南大耀工程机械有限</w:t>
            </w:r>
            <w:r>
              <w:rPr>
                <w:rFonts w:hint="eastAsia" w:ascii="Times New Roman" w:hAnsi="Times New Roman" w:eastAsia="宋体" w:cs="Times New Roman"/>
                <w:i w:val="0"/>
                <w:snapToGrid w:val="0"/>
                <w:color w:val="auto"/>
                <w:kern w:val="0"/>
                <w:sz w:val="21"/>
                <w:szCs w:val="21"/>
                <w:u w:val="none"/>
                <w:lang w:val="en-US" w:eastAsia="zh-CN" w:bidi="ar"/>
              </w:rPr>
              <w:t>公司</w:t>
            </w:r>
          </w:p>
        </w:tc>
        <w:tc>
          <w:tcPr>
            <w:tcW w:w="608" w:type="dxa"/>
            <w:tcBorders>
              <w:tl2br w:val="nil"/>
              <w:tr2bl w:val="nil"/>
            </w:tcBorders>
            <w:noWrap w:val="0"/>
            <w:tcMar>
              <w:top w:w="15" w:type="dxa"/>
              <w:left w:w="15" w:type="dxa"/>
              <w:right w:w="15" w:type="dxa"/>
            </w:tcMar>
            <w:vAlign w:val="center"/>
          </w:tcPr>
          <w:p w14:paraId="06125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180</w:t>
            </w:r>
          </w:p>
        </w:tc>
        <w:tc>
          <w:tcPr>
            <w:tcW w:w="750" w:type="dxa"/>
            <w:tcBorders>
              <w:tl2br w:val="nil"/>
              <w:tr2bl w:val="nil"/>
            </w:tcBorders>
            <w:noWrap/>
            <w:tcMar>
              <w:top w:w="15" w:type="dxa"/>
              <w:left w:w="15" w:type="dxa"/>
              <w:right w:w="15" w:type="dxa"/>
            </w:tcMar>
            <w:vAlign w:val="center"/>
          </w:tcPr>
          <w:p w14:paraId="4E944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0.7454</w:t>
            </w:r>
          </w:p>
        </w:tc>
        <w:tc>
          <w:tcPr>
            <w:tcW w:w="991" w:type="dxa"/>
            <w:tcBorders>
              <w:tl2br w:val="nil"/>
              <w:tr2bl w:val="nil"/>
            </w:tcBorders>
            <w:noWrap/>
            <w:tcMar>
              <w:top w:w="15" w:type="dxa"/>
              <w:left w:w="15" w:type="dxa"/>
              <w:right w:w="15" w:type="dxa"/>
            </w:tcMar>
            <w:vAlign w:val="center"/>
          </w:tcPr>
          <w:p w14:paraId="28B7D5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1B5E5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49" w:type="dxa"/>
            <w:tcBorders>
              <w:tl2br w:val="nil"/>
              <w:tr2bl w:val="nil"/>
            </w:tcBorders>
            <w:noWrap/>
            <w:tcMar>
              <w:top w:w="15" w:type="dxa"/>
              <w:left w:w="15" w:type="dxa"/>
              <w:right w:w="15" w:type="dxa"/>
            </w:tcMar>
            <w:vAlign w:val="center"/>
          </w:tcPr>
          <w:p w14:paraId="63BE9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0.4053</w:t>
            </w:r>
          </w:p>
        </w:tc>
        <w:tc>
          <w:tcPr>
            <w:tcW w:w="2367" w:type="dxa"/>
            <w:tcBorders>
              <w:tl2br w:val="nil"/>
              <w:tr2bl w:val="nil"/>
            </w:tcBorders>
            <w:noWrap/>
            <w:tcMar>
              <w:top w:w="15" w:type="dxa"/>
              <w:left w:w="15" w:type="dxa"/>
              <w:right w:w="15" w:type="dxa"/>
            </w:tcMar>
            <w:vAlign w:val="center"/>
          </w:tcPr>
          <w:p w14:paraId="0AD11E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二甲苯0.2135</w:t>
            </w:r>
          </w:p>
        </w:tc>
        <w:tc>
          <w:tcPr>
            <w:tcW w:w="1170" w:type="dxa"/>
            <w:tcBorders>
              <w:tl2br w:val="nil"/>
              <w:tr2bl w:val="nil"/>
            </w:tcBorders>
            <w:noWrap/>
            <w:tcMar>
              <w:top w:w="15" w:type="dxa"/>
              <w:left w:w="15" w:type="dxa"/>
              <w:right w:w="15" w:type="dxa"/>
            </w:tcMar>
            <w:vAlign w:val="center"/>
          </w:tcPr>
          <w:p w14:paraId="488893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280.8</w:t>
            </w:r>
          </w:p>
        </w:tc>
        <w:tc>
          <w:tcPr>
            <w:tcW w:w="1061" w:type="dxa"/>
            <w:tcBorders>
              <w:tl2br w:val="nil"/>
              <w:tr2bl w:val="nil"/>
            </w:tcBorders>
            <w:noWrap/>
            <w:tcMar>
              <w:top w:w="15" w:type="dxa"/>
              <w:left w:w="15" w:type="dxa"/>
              <w:right w:w="15" w:type="dxa"/>
            </w:tcMar>
            <w:vAlign w:val="center"/>
          </w:tcPr>
          <w:p w14:paraId="36186B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0.0562</w:t>
            </w:r>
          </w:p>
        </w:tc>
        <w:tc>
          <w:tcPr>
            <w:tcW w:w="953" w:type="dxa"/>
            <w:tcBorders>
              <w:tl2br w:val="nil"/>
              <w:tr2bl w:val="nil"/>
            </w:tcBorders>
            <w:noWrap/>
            <w:tcMar>
              <w:top w:w="15" w:type="dxa"/>
              <w:left w:w="15" w:type="dxa"/>
              <w:right w:w="15" w:type="dxa"/>
            </w:tcMar>
            <w:vAlign w:val="center"/>
          </w:tcPr>
          <w:p w14:paraId="18C14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0.0028</w:t>
            </w:r>
          </w:p>
        </w:tc>
        <w:tc>
          <w:tcPr>
            <w:tcW w:w="1861" w:type="dxa"/>
            <w:tcBorders>
              <w:tl2br w:val="nil"/>
              <w:tr2bl w:val="nil"/>
            </w:tcBorders>
            <w:noWrap/>
            <w:tcMar>
              <w:top w:w="15" w:type="dxa"/>
              <w:left w:w="15" w:type="dxa"/>
              <w:right w:w="15" w:type="dxa"/>
            </w:tcMar>
            <w:vAlign w:val="center"/>
          </w:tcPr>
          <w:p w14:paraId="53DC6A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bl>
    <w:p w14:paraId="0D5E438D">
      <w:pPr>
        <w:pStyle w:val="31"/>
        <w:bidi w:val="0"/>
        <w:rPr>
          <w:rFonts w:hint="default"/>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8C17962">
      <w:pPr>
        <w:pStyle w:val="6"/>
        <w:bidi w:val="0"/>
        <w:rPr>
          <w:rFonts w:hint="default" w:ascii="Times New Roman" w:hAnsi="Times New Roman" w:cs="Times New Roman"/>
          <w:color w:val="auto"/>
          <w:szCs w:val="20"/>
          <w:u w:val="none" w:color="auto"/>
        </w:rPr>
      </w:pPr>
      <w:bookmarkStart w:id="946" w:name="_Toc12162_WPSOffice_Level2"/>
      <w:bookmarkStart w:id="947" w:name="_Toc7611"/>
      <w:bookmarkStart w:id="948" w:name="_Toc14142"/>
      <w:bookmarkStart w:id="949" w:name="_Toc16725"/>
      <w:bookmarkStart w:id="950" w:name="_Toc20637"/>
      <w:r>
        <w:rPr>
          <w:rStyle w:val="51"/>
          <w:rFonts w:hint="eastAsia" w:ascii="Times New Roman" w:hAnsi="Times New Roman" w:cs="Times New Roman"/>
          <w:b/>
          <w:color w:val="auto"/>
          <w:u w:val="none" w:color="auto"/>
          <w:lang w:val="en-US" w:eastAsia="zh-CN"/>
        </w:rPr>
        <w:t>5</w:t>
      </w:r>
      <w:r>
        <w:rPr>
          <w:rStyle w:val="51"/>
          <w:rFonts w:hint="default" w:ascii="Times New Roman" w:hAnsi="Times New Roman" w:cs="Times New Roman"/>
          <w:b/>
          <w:color w:val="auto"/>
          <w:u w:val="none" w:color="auto"/>
        </w:rPr>
        <w:t>、环境影响预测与评价</w:t>
      </w:r>
      <w:bookmarkEnd w:id="634"/>
      <w:bookmarkEnd w:id="635"/>
      <w:bookmarkEnd w:id="944"/>
      <w:bookmarkEnd w:id="946"/>
      <w:bookmarkEnd w:id="947"/>
      <w:bookmarkEnd w:id="948"/>
      <w:bookmarkEnd w:id="949"/>
      <w:bookmarkEnd w:id="950"/>
    </w:p>
    <w:p w14:paraId="4DEACA78">
      <w:pPr>
        <w:pStyle w:val="7"/>
        <w:bidi w:val="0"/>
        <w:rPr>
          <w:rFonts w:hint="default"/>
          <w:color w:val="auto"/>
          <w:u w:val="none" w:color="auto"/>
        </w:rPr>
      </w:pPr>
      <w:bookmarkStart w:id="951" w:name="_Toc20080"/>
      <w:bookmarkStart w:id="952" w:name="_Toc31513"/>
      <w:bookmarkStart w:id="953" w:name="_Toc372124953"/>
      <w:bookmarkStart w:id="954" w:name="_Toc9001"/>
      <w:bookmarkStart w:id="955" w:name="_Toc6781"/>
      <w:bookmarkStart w:id="956" w:name="_Toc20012"/>
      <w:bookmarkStart w:id="957" w:name="_Toc8443"/>
      <w:bookmarkStart w:id="958" w:name="_Toc6393"/>
      <w:r>
        <w:rPr>
          <w:rFonts w:hint="eastAsia"/>
          <w:color w:val="auto"/>
          <w:u w:val="none" w:color="auto"/>
          <w:lang w:val="en-US" w:eastAsia="zh-CN"/>
        </w:rPr>
        <w:t>5</w:t>
      </w:r>
      <w:r>
        <w:rPr>
          <w:rFonts w:hint="default"/>
          <w:color w:val="auto"/>
          <w:u w:val="none" w:color="auto"/>
          <w:lang w:val="en-US" w:eastAsia="zh-CN"/>
        </w:rPr>
        <w:t>.1</w:t>
      </w:r>
      <w:r>
        <w:rPr>
          <w:rFonts w:hint="default"/>
          <w:color w:val="auto"/>
          <w:u w:val="none" w:color="auto"/>
        </w:rPr>
        <w:t>施工期环境影响分析</w:t>
      </w:r>
      <w:bookmarkEnd w:id="951"/>
      <w:bookmarkEnd w:id="952"/>
      <w:bookmarkEnd w:id="953"/>
      <w:bookmarkEnd w:id="954"/>
      <w:bookmarkEnd w:id="955"/>
      <w:bookmarkEnd w:id="956"/>
      <w:bookmarkEnd w:id="957"/>
      <w:bookmarkEnd w:id="958"/>
    </w:p>
    <w:p w14:paraId="0526BEA6">
      <w:pPr>
        <w:pStyle w:val="21"/>
        <w:rPr>
          <w:rFonts w:hint="default" w:ascii="Times New Roman" w:hAnsi="Times New Roman" w:cs="Times New Roman"/>
          <w:color w:val="auto"/>
          <w:u w:val="none" w:color="auto"/>
          <w:lang w:val="en-US" w:eastAsia="zh-CN"/>
        </w:rPr>
      </w:pPr>
      <w:bookmarkStart w:id="959" w:name="_Toc1915"/>
      <w:bookmarkStart w:id="960" w:name="_Toc372124954"/>
      <w:bookmarkStart w:id="961" w:name="_Toc23660"/>
      <w:bookmarkStart w:id="962" w:name="_Toc11222"/>
      <w:bookmarkStart w:id="963" w:name="_Toc3816"/>
      <w:r>
        <w:rPr>
          <w:rFonts w:hint="default" w:ascii="Times New Roman" w:hAnsi="Times New Roman" w:cs="Times New Roman"/>
          <w:color w:val="auto"/>
          <w:u w:val="none" w:color="auto"/>
          <w:lang w:val="en-US" w:eastAsia="zh-CN"/>
        </w:rPr>
        <w:t>根据现场勘查</w:t>
      </w:r>
      <w:r>
        <w:rPr>
          <w:rFonts w:hint="eastAsia" w:ascii="Times New Roman" w:hAnsi="Times New Roman" w:cs="Times New Roman"/>
          <w:color w:val="auto"/>
          <w:u w:val="none" w:color="auto"/>
          <w:lang w:val="en-US" w:eastAsia="zh-CN"/>
        </w:rPr>
        <w:t>以及建设单位介绍</w:t>
      </w:r>
      <w:r>
        <w:rPr>
          <w:rFonts w:hint="default" w:ascii="Times New Roman" w:hAnsi="Times New Roman" w:cs="Times New Roman"/>
          <w:color w:val="auto"/>
          <w:u w:val="none" w:color="auto"/>
          <w:lang w:val="en-US" w:eastAsia="zh-CN"/>
        </w:rPr>
        <w:t>，本项目主要利用现有厂房</w:t>
      </w:r>
      <w:r>
        <w:rPr>
          <w:rFonts w:hint="eastAsia" w:ascii="Times New Roman" w:hAnsi="Times New Roman" w:cs="Times New Roman"/>
          <w:color w:val="auto"/>
          <w:u w:val="none" w:color="auto"/>
          <w:lang w:val="en-US" w:eastAsia="zh-CN"/>
        </w:rPr>
        <w:t>以及</w:t>
      </w:r>
      <w:r>
        <w:rPr>
          <w:rFonts w:hint="eastAsia"/>
          <w:color w:val="auto"/>
          <w:u w:val="none" w:color="auto"/>
          <w:lang w:val="en-US" w:eastAsia="zh-CN"/>
        </w:rPr>
        <w:t>汨罗市乾源材料有限公司新建厂房</w:t>
      </w:r>
      <w:r>
        <w:rPr>
          <w:rFonts w:hint="default" w:ascii="Times New Roman" w:hAnsi="Times New Roman" w:cs="Times New Roman"/>
          <w:color w:val="auto"/>
          <w:u w:val="none" w:color="auto"/>
          <w:lang w:val="en-US" w:eastAsia="zh-CN"/>
        </w:rPr>
        <w:t>进行生产，</w:t>
      </w:r>
      <w:r>
        <w:rPr>
          <w:rFonts w:hint="eastAsia"/>
          <w:color w:val="auto"/>
          <w:u w:val="none" w:color="auto"/>
          <w:lang w:val="en-US" w:eastAsia="zh-CN"/>
        </w:rPr>
        <w:t>厂房施工责任主体为汨罗市乾源材料有限公司，</w:t>
      </w:r>
      <w:r>
        <w:rPr>
          <w:rFonts w:hint="default" w:ascii="Times New Roman" w:hAnsi="Times New Roman" w:cs="Times New Roman"/>
          <w:color w:val="auto"/>
          <w:u w:val="none" w:color="auto"/>
          <w:lang w:val="en-US" w:eastAsia="zh-CN"/>
        </w:rPr>
        <w:t>厂区内厂房等配套基础设施较完善。</w:t>
      </w:r>
    </w:p>
    <w:p w14:paraId="2AA8D36C">
      <w:pPr>
        <w:pStyle w:val="21"/>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本项目施工期主要包括室内装修和设备安装，主要污染有施工人员生活污水、装修废气、车辆运输扬尘、施工噪声、装修垃圾和施工人员生活垃圾等。</w:t>
      </w:r>
    </w:p>
    <w:p w14:paraId="1D36A66B">
      <w:pPr>
        <w:pStyle w:val="21"/>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①施工人员生活污水经</w:t>
      </w:r>
      <w:r>
        <w:rPr>
          <w:rFonts w:hint="eastAsia" w:ascii="Times New Roman" w:hAnsi="Times New Roman" w:cs="Times New Roman"/>
          <w:color w:val="auto"/>
          <w:u w:val="none" w:color="auto"/>
          <w:lang w:val="en-US" w:eastAsia="zh-CN"/>
        </w:rPr>
        <w:t>隔油化粪池处理排入汨罗市城市污水处理厂进行处理</w:t>
      </w:r>
      <w:r>
        <w:rPr>
          <w:rFonts w:hint="default" w:ascii="Times New Roman" w:hAnsi="Times New Roman" w:cs="Times New Roman"/>
          <w:color w:val="auto"/>
          <w:u w:val="none" w:color="auto"/>
          <w:lang w:val="en-US" w:eastAsia="zh-CN"/>
        </w:rPr>
        <w:t>，对环境影响不大。</w:t>
      </w:r>
    </w:p>
    <w:p w14:paraId="740054C7">
      <w:pPr>
        <w:pStyle w:val="21"/>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②本项目施工期短，建设内容单一，采取适当的措施减少装修废气和扬尘污染后，施工废气对大气环境影响较小。</w:t>
      </w:r>
    </w:p>
    <w:p w14:paraId="16CAD06E">
      <w:pPr>
        <w:pStyle w:val="21"/>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③施工期噪声主要是车辆运输噪声和施工机械噪声。施工机械产生的噪声都较大，本环评要求建设方合理安排车辆运输作业、夜间禁止施工。施工期短，噪声随着施工的结束而结束，本项目施工期噪声不会对周边声环境保护目标产生不利影响。</w:t>
      </w:r>
    </w:p>
    <w:p w14:paraId="4FE4A898">
      <w:pPr>
        <w:pStyle w:val="21"/>
        <w:rPr>
          <w:rFonts w:hint="default" w:ascii="Times New Roman" w:hAnsi="Times New Roman" w:eastAsia="宋体" w:cs="Times New Roman"/>
          <w:color w:val="auto"/>
          <w:u w:val="none" w:color="auto"/>
        </w:rPr>
      </w:pPr>
      <w:r>
        <w:rPr>
          <w:rFonts w:hint="default" w:ascii="Times New Roman" w:hAnsi="Times New Roman" w:cs="Times New Roman"/>
          <w:color w:val="auto"/>
          <w:u w:val="none" w:color="auto"/>
          <w:lang w:val="en-US" w:eastAsia="zh-CN"/>
        </w:rPr>
        <w:t>④</w:t>
      </w:r>
      <w:r>
        <w:rPr>
          <w:rFonts w:hint="eastAsia" w:ascii="Times New Roman" w:hAnsi="Times New Roman" w:cs="Times New Roman"/>
          <w:color w:val="auto"/>
          <w:u w:val="none" w:color="auto"/>
          <w:lang w:val="en-US" w:eastAsia="zh-CN"/>
        </w:rPr>
        <w:t>建设中产生的装修垃圾</w:t>
      </w:r>
      <w:r>
        <w:rPr>
          <w:rFonts w:hint="default" w:ascii="Times New Roman" w:hAnsi="Times New Roman" w:cs="Times New Roman"/>
          <w:color w:val="auto"/>
          <w:u w:val="none" w:color="auto"/>
          <w:lang w:val="en-US" w:eastAsia="zh-CN"/>
        </w:rPr>
        <w:t>应尽量进行综合利用；其余装修垃圾运往指定地点消纳处理；施工人员生活垃圾定点收集，交由当地环卫部门统一清运处理，对环境影响不大</w:t>
      </w:r>
      <w:r>
        <w:rPr>
          <w:rFonts w:hint="default" w:ascii="Times New Roman" w:hAnsi="Times New Roman" w:eastAsia="宋体" w:cs="Times New Roman"/>
          <w:color w:val="auto"/>
          <w:u w:val="none" w:color="auto"/>
        </w:rPr>
        <w:t>。</w:t>
      </w:r>
    </w:p>
    <w:bookmarkEnd w:id="959"/>
    <w:bookmarkEnd w:id="960"/>
    <w:bookmarkEnd w:id="961"/>
    <w:bookmarkEnd w:id="962"/>
    <w:bookmarkEnd w:id="963"/>
    <w:p w14:paraId="32751BA4">
      <w:pPr>
        <w:pStyle w:val="7"/>
        <w:bidi w:val="0"/>
        <w:rPr>
          <w:rFonts w:hint="default"/>
          <w:color w:val="auto"/>
          <w:u w:val="none" w:color="auto"/>
        </w:rPr>
      </w:pPr>
      <w:bookmarkStart w:id="964" w:name="_Toc13230"/>
      <w:bookmarkStart w:id="965" w:name="_Toc22853"/>
      <w:bookmarkStart w:id="966" w:name="_Toc18727"/>
      <w:bookmarkStart w:id="967" w:name="_Toc77"/>
      <w:r>
        <w:rPr>
          <w:rFonts w:hint="eastAsia"/>
          <w:color w:val="auto"/>
          <w:u w:val="none" w:color="auto"/>
          <w:lang w:val="en-US" w:eastAsia="zh-CN"/>
        </w:rPr>
        <w:t>5</w:t>
      </w:r>
      <w:r>
        <w:rPr>
          <w:rFonts w:hint="default"/>
          <w:color w:val="auto"/>
          <w:u w:val="none" w:color="auto"/>
          <w:lang w:val="en-US" w:eastAsia="zh-CN"/>
        </w:rPr>
        <w:t>.2</w:t>
      </w:r>
      <w:r>
        <w:rPr>
          <w:rFonts w:hint="default"/>
          <w:color w:val="auto"/>
          <w:u w:val="none" w:color="auto"/>
        </w:rPr>
        <w:t>营运期环境影响</w:t>
      </w:r>
      <w:bookmarkEnd w:id="964"/>
      <w:r>
        <w:rPr>
          <w:rFonts w:hint="default"/>
          <w:color w:val="auto"/>
          <w:u w:val="none" w:color="auto"/>
        </w:rPr>
        <w:t>预测与评价</w:t>
      </w:r>
      <w:bookmarkEnd w:id="965"/>
      <w:bookmarkEnd w:id="966"/>
      <w:bookmarkEnd w:id="967"/>
    </w:p>
    <w:p w14:paraId="29911599">
      <w:pPr>
        <w:pStyle w:val="8"/>
        <w:rPr>
          <w:rFonts w:hint="default" w:ascii="Times New Roman" w:hAnsi="Times New Roman" w:cs="Times New Roman"/>
          <w:color w:val="auto"/>
          <w:u w:val="none" w:color="auto"/>
        </w:rPr>
      </w:pPr>
      <w:bookmarkStart w:id="968" w:name="_Toc21760"/>
      <w:bookmarkStart w:id="969" w:name="_Toc10381"/>
      <w:bookmarkStart w:id="970" w:name="_Toc32496"/>
      <w:bookmarkStart w:id="971" w:name="_Toc12595"/>
      <w:bookmarkStart w:id="972" w:name="_Toc5491"/>
      <w:bookmarkStart w:id="973" w:name="_Toc12577"/>
      <w:bookmarkStart w:id="974" w:name="_Toc467"/>
      <w:bookmarkStart w:id="975" w:name="_Toc12541"/>
      <w:bookmarkStart w:id="976" w:name="_Toc29503"/>
      <w:bookmarkStart w:id="977" w:name="_Toc6572"/>
      <w:bookmarkStart w:id="978" w:name="_Toc6746"/>
      <w:bookmarkStart w:id="979" w:name="_Toc24135"/>
      <w:bookmarkStart w:id="980" w:name="_Toc11667"/>
      <w:bookmarkStart w:id="981" w:name="_Toc1395"/>
      <w:bookmarkStart w:id="982" w:name="_Toc21755"/>
      <w:bookmarkStart w:id="983" w:name="_Toc6330"/>
      <w:bookmarkStart w:id="984" w:name="_Toc29577"/>
      <w:bookmarkStart w:id="985" w:name="_Toc1765"/>
      <w:bookmarkStart w:id="986" w:name="_Toc28912"/>
      <w:bookmarkStart w:id="987" w:name="_Toc12002"/>
      <w:bookmarkStart w:id="988" w:name="_Toc30317"/>
      <w:bookmarkStart w:id="989" w:name="_Toc7874"/>
      <w:bookmarkStart w:id="990" w:name="_Toc10697"/>
      <w:bookmarkStart w:id="991" w:name="_Toc16580"/>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.1大气环境影响预测与评价</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7CDAE61D">
      <w:pPr>
        <w:pStyle w:val="21"/>
        <w:bidi w:val="0"/>
        <w:jc w:val="left"/>
        <w:rPr>
          <w:rFonts w:hint="default" w:ascii="Times New Roman" w:hAnsi="Times New Roman" w:cs="Times New Roman"/>
          <w:b/>
          <w:bCs/>
          <w:color w:val="auto"/>
          <w:u w:val="none" w:color="auto"/>
        </w:rPr>
      </w:pPr>
      <w:r>
        <w:rPr>
          <w:rFonts w:hint="eastAsia"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预测区域地形与高程图</w:t>
      </w:r>
    </w:p>
    <w:p w14:paraId="3F1559F6">
      <w:pPr>
        <w:pStyle w:val="21"/>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本项目位于</w:t>
      </w:r>
      <w:r>
        <w:rPr>
          <w:rFonts w:hint="eastAsia"/>
          <w:color w:val="auto"/>
          <w:u w:val="none" w:color="auto"/>
          <w:lang w:val="en-US" w:eastAsia="zh-CN"/>
        </w:rPr>
        <w:t>湖南省岳阳市汨罗市湖南汨罗高新技术产业开发区弼时片区大里塘村立新南路</w:t>
      </w:r>
      <w:r>
        <w:rPr>
          <w:rFonts w:hint="default" w:ascii="Times New Roman" w:hAnsi="Times New Roman" w:cs="Times New Roman"/>
          <w:color w:val="auto"/>
          <w:u w:val="none" w:color="auto"/>
          <w:lang w:val="en-US" w:eastAsia="zh-CN"/>
        </w:rPr>
        <w:t>，评价范围内的地形数据采用外部DEM文件，数据来源为http：//srtm.csi.cgiar.org/，分辨率为90m。采用Aermap运行计算得出评价范围内各网格及敏感点的地形等高线数据。</w:t>
      </w:r>
    </w:p>
    <w:p w14:paraId="3810BB78">
      <w:pPr>
        <w:pStyle w:val="21"/>
        <w:ind w:firstLine="480"/>
        <w:rPr>
          <w:rFonts w:hint="default" w:ascii="Times New Roman" w:hAnsi="Times New Roman" w:cs="Times New Roman"/>
          <w:color w:val="auto"/>
          <w:u w:val="none" w:color="auto"/>
        </w:rPr>
      </w:pPr>
      <w:r>
        <w:rPr>
          <w:rFonts w:hint="default" w:ascii="Times New Roman" w:hAnsi="Times New Roman" w:cs="Times New Roman"/>
          <w:b/>
          <w:bCs/>
          <w:color w:val="auto"/>
          <w:u w:val="none" w:color="auto"/>
        </w:rPr>
        <w:t>2、项目预测源强</w:t>
      </w:r>
    </w:p>
    <w:p w14:paraId="1425160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①评价因子和评价标准表见</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REF _Ref488155507 \h  \* MERGEFORMAT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10854389">
      <w:pPr>
        <w:pStyle w:val="23"/>
        <w:bidi w:val="0"/>
        <w:rPr>
          <w:rFonts w:hint="default"/>
          <w:color w:val="auto"/>
          <w:u w:val="none" w:color="auto"/>
        </w:rPr>
      </w:pPr>
      <w:bookmarkStart w:id="992" w:name="_Ref488155507"/>
      <w:r>
        <w:rPr>
          <w:rFonts w:hint="default"/>
          <w:color w:val="auto"/>
          <w:u w:val="none" w:color="auto"/>
        </w:rPr>
        <w:t>表</w:t>
      </w:r>
      <w:bookmarkEnd w:id="992"/>
      <w:r>
        <w:rPr>
          <w:rFonts w:hint="eastAsia"/>
          <w:color w:val="auto"/>
          <w:u w:val="none" w:color="auto"/>
          <w:lang w:val="en-US" w:eastAsia="zh-CN"/>
        </w:rPr>
        <w:t>5</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1</w:t>
      </w:r>
      <w:r>
        <w:rPr>
          <w:rFonts w:hint="default"/>
          <w:color w:val="auto"/>
          <w:u w:val="none" w:color="auto"/>
        </w:rPr>
        <w:t xml:space="preserve">  评价因子和评价标准表</w:t>
      </w:r>
    </w:p>
    <w:tbl>
      <w:tblPr>
        <w:tblStyle w:val="16"/>
        <w:tblW w:w="850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1246"/>
        <w:gridCol w:w="1233"/>
        <w:gridCol w:w="1335"/>
        <w:gridCol w:w="1640"/>
        <w:gridCol w:w="3048"/>
      </w:tblGrid>
      <w:tr w14:paraId="5770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c>
          <w:tcPr>
            <w:tcW w:w="1246" w:type="dxa"/>
            <w:noWrap w:val="0"/>
            <w:vAlign w:val="center"/>
          </w:tcPr>
          <w:p w14:paraId="59F7E051">
            <w:pPr>
              <w:pStyle w:val="24"/>
              <w:bidi w:val="0"/>
              <w:rPr>
                <w:color w:val="auto"/>
                <w:u w:val="none" w:color="auto"/>
              </w:rPr>
            </w:pPr>
            <w:r>
              <w:rPr>
                <w:color w:val="auto"/>
                <w:u w:val="none" w:color="auto"/>
              </w:rPr>
              <w:t>污染物名称</w:t>
            </w:r>
          </w:p>
        </w:tc>
        <w:tc>
          <w:tcPr>
            <w:tcW w:w="1233" w:type="dxa"/>
            <w:noWrap w:val="0"/>
            <w:vAlign w:val="center"/>
          </w:tcPr>
          <w:p w14:paraId="76E7982C">
            <w:pPr>
              <w:pStyle w:val="24"/>
              <w:bidi w:val="0"/>
              <w:rPr>
                <w:color w:val="auto"/>
                <w:u w:val="none" w:color="auto"/>
              </w:rPr>
            </w:pPr>
            <w:r>
              <w:rPr>
                <w:color w:val="auto"/>
                <w:u w:val="none" w:color="auto"/>
              </w:rPr>
              <w:t>功能区</w:t>
            </w:r>
          </w:p>
        </w:tc>
        <w:tc>
          <w:tcPr>
            <w:tcW w:w="1335" w:type="dxa"/>
            <w:noWrap w:val="0"/>
            <w:vAlign w:val="center"/>
          </w:tcPr>
          <w:p w14:paraId="2C2B628C">
            <w:pPr>
              <w:pStyle w:val="24"/>
              <w:bidi w:val="0"/>
              <w:rPr>
                <w:color w:val="auto"/>
                <w:u w:val="none" w:color="auto"/>
              </w:rPr>
            </w:pPr>
            <w:r>
              <w:rPr>
                <w:color w:val="auto"/>
                <w:u w:val="none" w:color="auto"/>
              </w:rPr>
              <w:t>取值时间</w:t>
            </w:r>
          </w:p>
        </w:tc>
        <w:tc>
          <w:tcPr>
            <w:tcW w:w="1640" w:type="dxa"/>
            <w:noWrap w:val="0"/>
            <w:vAlign w:val="center"/>
          </w:tcPr>
          <w:p w14:paraId="2A1EE39A">
            <w:pPr>
              <w:pStyle w:val="24"/>
              <w:bidi w:val="0"/>
              <w:rPr>
                <w:color w:val="auto"/>
                <w:u w:val="none" w:color="auto"/>
              </w:rPr>
            </w:pPr>
            <w:bookmarkStart w:id="993" w:name="OLE_LINK5"/>
            <w:bookmarkStart w:id="994" w:name="OLE_LINK4"/>
            <w:r>
              <w:rPr>
                <w:color w:val="auto"/>
                <w:u w:val="none" w:color="auto"/>
              </w:rPr>
              <w:t>标准值</w:t>
            </w:r>
            <w:bookmarkEnd w:id="993"/>
            <w:bookmarkEnd w:id="994"/>
            <w:bookmarkStart w:id="995" w:name="OLE_LINK14"/>
            <w:r>
              <w:rPr>
                <w:color w:val="auto"/>
                <w:u w:val="none" w:color="auto"/>
              </w:rPr>
              <w:t>（μg/m</w:t>
            </w:r>
            <w:r>
              <w:rPr>
                <w:color w:val="auto"/>
                <w:u w:val="none" w:color="auto"/>
                <w:vertAlign w:val="superscript"/>
              </w:rPr>
              <w:t>3</w:t>
            </w:r>
            <w:bookmarkEnd w:id="995"/>
            <w:r>
              <w:rPr>
                <w:color w:val="auto"/>
                <w:u w:val="none" w:color="auto"/>
              </w:rPr>
              <w:t>）</w:t>
            </w:r>
          </w:p>
        </w:tc>
        <w:tc>
          <w:tcPr>
            <w:tcW w:w="3048" w:type="dxa"/>
            <w:noWrap w:val="0"/>
            <w:vAlign w:val="center"/>
          </w:tcPr>
          <w:p w14:paraId="23839F6B">
            <w:pPr>
              <w:pStyle w:val="24"/>
              <w:bidi w:val="0"/>
              <w:rPr>
                <w:color w:val="auto"/>
                <w:u w:val="none" w:color="auto"/>
              </w:rPr>
            </w:pPr>
            <w:r>
              <w:rPr>
                <w:color w:val="auto"/>
                <w:u w:val="none" w:color="auto"/>
              </w:rPr>
              <w:t>标准来源</w:t>
            </w:r>
          </w:p>
        </w:tc>
      </w:tr>
      <w:tr w14:paraId="506CA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541782F8">
            <w:pPr>
              <w:pStyle w:val="24"/>
              <w:bidi w:val="0"/>
              <w:rPr>
                <w:rFonts w:hint="eastAsia"/>
                <w:color w:val="auto"/>
                <w:u w:val="none" w:color="auto"/>
                <w:lang w:val="en-US" w:eastAsia="zh-CN"/>
              </w:rPr>
            </w:pPr>
            <w:r>
              <w:rPr>
                <w:color w:val="auto"/>
                <w:u w:val="none" w:color="auto"/>
              </w:rPr>
              <w:t>TSP</w:t>
            </w:r>
          </w:p>
        </w:tc>
        <w:tc>
          <w:tcPr>
            <w:tcW w:w="1233" w:type="dxa"/>
            <w:noWrap w:val="0"/>
            <w:vAlign w:val="center"/>
          </w:tcPr>
          <w:p w14:paraId="4F8B8BD2">
            <w:pPr>
              <w:pStyle w:val="24"/>
              <w:bidi w:val="0"/>
              <w:rPr>
                <w:color w:val="auto"/>
                <w:u w:val="none" w:color="auto"/>
                <w:lang w:val="en-US" w:eastAsia="zh-CN"/>
              </w:rPr>
            </w:pPr>
            <w:r>
              <w:rPr>
                <w:color w:val="auto"/>
                <w:u w:val="none" w:color="auto"/>
              </w:rPr>
              <w:t>二类区</w:t>
            </w:r>
          </w:p>
        </w:tc>
        <w:tc>
          <w:tcPr>
            <w:tcW w:w="1335" w:type="dxa"/>
            <w:noWrap w:val="0"/>
            <w:vAlign w:val="center"/>
          </w:tcPr>
          <w:p w14:paraId="5352A3BE">
            <w:pPr>
              <w:pStyle w:val="24"/>
              <w:bidi w:val="0"/>
              <w:rPr>
                <w:rFonts w:hint="eastAsia"/>
                <w:color w:val="auto"/>
                <w:u w:val="none" w:color="auto"/>
                <w:lang w:val="en-US" w:eastAsia="zh-CN"/>
              </w:rPr>
            </w:pPr>
            <w:r>
              <w:rPr>
                <w:color w:val="auto"/>
                <w:u w:val="none" w:color="auto"/>
              </w:rPr>
              <w:t>1小时</w:t>
            </w:r>
            <w:r>
              <w:rPr>
                <w:rFonts w:hint="eastAsia"/>
                <w:color w:val="auto"/>
                <w:u w:val="none" w:color="auto"/>
                <w:lang w:eastAsia="zh-CN"/>
              </w:rPr>
              <w:t>（</w:t>
            </w:r>
            <w:r>
              <w:rPr>
                <w:rFonts w:hint="eastAsia"/>
                <w:color w:val="auto"/>
                <w:u w:val="none" w:color="auto"/>
                <w:lang w:val="en-US" w:eastAsia="zh-CN"/>
              </w:rPr>
              <w:t>折算</w:t>
            </w:r>
            <w:r>
              <w:rPr>
                <w:rFonts w:hint="eastAsia"/>
                <w:color w:val="auto"/>
                <w:u w:val="none" w:color="auto"/>
                <w:lang w:eastAsia="zh-CN"/>
              </w:rPr>
              <w:t>）</w:t>
            </w:r>
          </w:p>
        </w:tc>
        <w:tc>
          <w:tcPr>
            <w:tcW w:w="1640" w:type="dxa"/>
            <w:noWrap w:val="0"/>
            <w:vAlign w:val="center"/>
          </w:tcPr>
          <w:p w14:paraId="56D33389">
            <w:pPr>
              <w:pStyle w:val="24"/>
              <w:bidi w:val="0"/>
              <w:rPr>
                <w:color w:val="auto"/>
                <w:u w:val="none" w:color="auto"/>
                <w:lang w:val="en-US" w:eastAsia="zh-CN"/>
              </w:rPr>
            </w:pPr>
            <w:r>
              <w:rPr>
                <w:color w:val="auto"/>
                <w:u w:val="none" w:color="auto"/>
              </w:rPr>
              <w:t>900</w:t>
            </w:r>
          </w:p>
        </w:tc>
        <w:tc>
          <w:tcPr>
            <w:tcW w:w="3048" w:type="dxa"/>
            <w:vMerge w:val="restart"/>
            <w:noWrap w:val="0"/>
            <w:vAlign w:val="center"/>
          </w:tcPr>
          <w:p w14:paraId="5C3FF3D9">
            <w:pPr>
              <w:pStyle w:val="24"/>
              <w:bidi w:val="0"/>
              <w:rPr>
                <w:color w:val="auto"/>
                <w:u w:val="none" w:color="auto"/>
                <w:lang w:val="en-US" w:eastAsia="zh-CN"/>
              </w:rPr>
            </w:pPr>
            <w:r>
              <w:rPr>
                <w:color w:val="auto"/>
                <w:u w:val="none" w:color="auto"/>
              </w:rPr>
              <w:t>《环境空气质量标准》（GB3095-2012）中的二级标准</w:t>
            </w:r>
          </w:p>
        </w:tc>
      </w:tr>
      <w:tr w14:paraId="2A765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7069041A">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PM</w:t>
            </w:r>
            <w:r>
              <w:rPr>
                <w:rFonts w:hint="eastAsia"/>
                <w:color w:val="auto"/>
                <w:u w:val="none" w:color="auto"/>
                <w:vertAlign w:val="subscript"/>
                <w:lang w:val="en-US" w:eastAsia="zh-CN"/>
              </w:rPr>
              <w:t>10</w:t>
            </w:r>
          </w:p>
        </w:tc>
        <w:tc>
          <w:tcPr>
            <w:tcW w:w="1233" w:type="dxa"/>
            <w:noWrap w:val="0"/>
            <w:vAlign w:val="center"/>
          </w:tcPr>
          <w:p w14:paraId="66F3F074">
            <w:pPr>
              <w:pStyle w:val="24"/>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二类区</w:t>
            </w:r>
          </w:p>
        </w:tc>
        <w:tc>
          <w:tcPr>
            <w:tcW w:w="1335" w:type="dxa"/>
            <w:noWrap w:val="0"/>
            <w:vAlign w:val="center"/>
          </w:tcPr>
          <w:p w14:paraId="600FF125">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1小时（折算）</w:t>
            </w:r>
          </w:p>
        </w:tc>
        <w:tc>
          <w:tcPr>
            <w:tcW w:w="1640" w:type="dxa"/>
            <w:noWrap w:val="0"/>
            <w:vAlign w:val="center"/>
          </w:tcPr>
          <w:p w14:paraId="6E0B125B">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450</w:t>
            </w:r>
          </w:p>
        </w:tc>
        <w:tc>
          <w:tcPr>
            <w:tcW w:w="3048" w:type="dxa"/>
            <w:vMerge w:val="continue"/>
            <w:noWrap w:val="0"/>
            <w:vAlign w:val="center"/>
          </w:tcPr>
          <w:p w14:paraId="431A62FA">
            <w:pPr>
              <w:pStyle w:val="24"/>
              <w:bidi w:val="0"/>
              <w:rPr>
                <w:color w:val="auto"/>
                <w:u w:val="none" w:color="auto"/>
              </w:rPr>
            </w:pPr>
          </w:p>
        </w:tc>
      </w:tr>
      <w:tr w14:paraId="3B30A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4033D66F">
            <w:pPr>
              <w:pStyle w:val="24"/>
              <w:bidi w:val="0"/>
              <w:rPr>
                <w:rFonts w:hint="default"/>
                <w:color w:val="auto"/>
                <w:u w:val="none" w:color="auto"/>
                <w:lang w:val="en-US" w:eastAsia="zh-CN"/>
              </w:rPr>
            </w:pPr>
            <w:r>
              <w:rPr>
                <w:rFonts w:hint="eastAsia"/>
                <w:color w:val="auto"/>
                <w:u w:val="none" w:color="auto"/>
                <w:lang w:val="en-US" w:eastAsia="zh-CN"/>
              </w:rPr>
              <w:t>二氧化硫</w:t>
            </w:r>
          </w:p>
        </w:tc>
        <w:tc>
          <w:tcPr>
            <w:tcW w:w="1233" w:type="dxa"/>
            <w:noWrap w:val="0"/>
            <w:vAlign w:val="center"/>
          </w:tcPr>
          <w:p w14:paraId="68D976C1">
            <w:pPr>
              <w:pStyle w:val="24"/>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二类区</w:t>
            </w:r>
          </w:p>
        </w:tc>
        <w:tc>
          <w:tcPr>
            <w:tcW w:w="1335" w:type="dxa"/>
            <w:noWrap w:val="0"/>
            <w:vAlign w:val="center"/>
          </w:tcPr>
          <w:p w14:paraId="178969EB">
            <w:pPr>
              <w:pStyle w:val="24"/>
              <w:bidi w:val="0"/>
              <w:rPr>
                <w:rFonts w:hint="eastAsia"/>
                <w:color w:val="auto"/>
                <w:u w:val="none" w:color="auto"/>
                <w:lang w:val="en-US" w:eastAsia="zh-CN"/>
              </w:rPr>
            </w:pPr>
            <w:r>
              <w:rPr>
                <w:color w:val="auto"/>
                <w:u w:val="none" w:color="auto"/>
              </w:rPr>
              <w:t>1小时</w:t>
            </w:r>
          </w:p>
        </w:tc>
        <w:tc>
          <w:tcPr>
            <w:tcW w:w="1640" w:type="dxa"/>
            <w:noWrap w:val="0"/>
            <w:vAlign w:val="center"/>
          </w:tcPr>
          <w:p w14:paraId="0A11BAB0">
            <w:pPr>
              <w:pStyle w:val="24"/>
              <w:bidi w:val="0"/>
              <w:rPr>
                <w:rFonts w:hint="default"/>
                <w:color w:val="auto"/>
                <w:u w:val="none" w:color="auto"/>
                <w:lang w:val="en-US" w:eastAsia="zh-CN"/>
              </w:rPr>
            </w:pPr>
            <w:r>
              <w:rPr>
                <w:rFonts w:hint="eastAsia"/>
                <w:color w:val="auto"/>
                <w:u w:val="none" w:color="auto"/>
                <w:lang w:val="en-US" w:eastAsia="zh-CN"/>
              </w:rPr>
              <w:t>500</w:t>
            </w:r>
          </w:p>
        </w:tc>
        <w:tc>
          <w:tcPr>
            <w:tcW w:w="3048" w:type="dxa"/>
            <w:vMerge w:val="continue"/>
            <w:noWrap w:val="0"/>
            <w:vAlign w:val="center"/>
          </w:tcPr>
          <w:p w14:paraId="0FEEEC0D">
            <w:pPr>
              <w:pStyle w:val="24"/>
              <w:bidi w:val="0"/>
              <w:rPr>
                <w:color w:val="auto"/>
                <w:u w:val="none" w:color="auto"/>
              </w:rPr>
            </w:pPr>
          </w:p>
        </w:tc>
      </w:tr>
      <w:tr w14:paraId="3186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18AC8903">
            <w:pPr>
              <w:pStyle w:val="24"/>
              <w:bidi w:val="0"/>
              <w:rPr>
                <w:rFonts w:hint="default"/>
                <w:color w:val="auto"/>
                <w:u w:val="none" w:color="auto"/>
                <w:lang w:val="en-US" w:eastAsia="zh-CN"/>
              </w:rPr>
            </w:pPr>
            <w:r>
              <w:rPr>
                <w:rFonts w:hint="eastAsia"/>
                <w:color w:val="auto"/>
                <w:u w:val="none" w:color="auto"/>
                <w:lang w:val="en-US" w:eastAsia="zh-CN"/>
              </w:rPr>
              <w:t>二氧化氮</w:t>
            </w:r>
          </w:p>
        </w:tc>
        <w:tc>
          <w:tcPr>
            <w:tcW w:w="1233" w:type="dxa"/>
            <w:noWrap w:val="0"/>
            <w:vAlign w:val="center"/>
          </w:tcPr>
          <w:p w14:paraId="0F64441D">
            <w:pPr>
              <w:pStyle w:val="24"/>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二类区</w:t>
            </w:r>
          </w:p>
        </w:tc>
        <w:tc>
          <w:tcPr>
            <w:tcW w:w="1335" w:type="dxa"/>
            <w:noWrap w:val="0"/>
            <w:vAlign w:val="center"/>
          </w:tcPr>
          <w:p w14:paraId="5DBB0927">
            <w:pPr>
              <w:pStyle w:val="24"/>
              <w:bidi w:val="0"/>
              <w:rPr>
                <w:rFonts w:hint="default"/>
                <w:color w:val="auto"/>
                <w:u w:val="none" w:color="auto"/>
                <w:lang w:val="en-US" w:eastAsia="zh-CN"/>
              </w:rPr>
            </w:pPr>
            <w:r>
              <w:rPr>
                <w:color w:val="auto"/>
                <w:u w:val="none" w:color="auto"/>
              </w:rPr>
              <w:t>1小时</w:t>
            </w:r>
          </w:p>
        </w:tc>
        <w:tc>
          <w:tcPr>
            <w:tcW w:w="1640" w:type="dxa"/>
            <w:noWrap w:val="0"/>
            <w:vAlign w:val="center"/>
          </w:tcPr>
          <w:p w14:paraId="423764EF">
            <w:pPr>
              <w:pStyle w:val="24"/>
              <w:bidi w:val="0"/>
              <w:rPr>
                <w:rFonts w:hint="default"/>
                <w:color w:val="auto"/>
                <w:u w:val="none" w:color="auto"/>
                <w:lang w:val="en-US" w:eastAsia="zh-CN"/>
              </w:rPr>
            </w:pPr>
            <w:r>
              <w:rPr>
                <w:rFonts w:hint="eastAsia"/>
                <w:color w:val="auto"/>
                <w:u w:val="none" w:color="auto"/>
                <w:lang w:val="en-US" w:eastAsia="zh-CN"/>
              </w:rPr>
              <w:t>200</w:t>
            </w:r>
          </w:p>
        </w:tc>
        <w:tc>
          <w:tcPr>
            <w:tcW w:w="3048" w:type="dxa"/>
            <w:vMerge w:val="continue"/>
            <w:noWrap w:val="0"/>
            <w:vAlign w:val="center"/>
          </w:tcPr>
          <w:p w14:paraId="638C0D0E">
            <w:pPr>
              <w:pStyle w:val="24"/>
              <w:bidi w:val="0"/>
              <w:rPr>
                <w:color w:val="auto"/>
                <w:u w:val="none" w:color="auto"/>
              </w:rPr>
            </w:pPr>
          </w:p>
        </w:tc>
      </w:tr>
      <w:tr w14:paraId="41AB1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trPr>
        <w:tc>
          <w:tcPr>
            <w:tcW w:w="1246" w:type="dxa"/>
            <w:noWrap w:val="0"/>
            <w:vAlign w:val="center"/>
          </w:tcPr>
          <w:p w14:paraId="523F956E">
            <w:pPr>
              <w:pStyle w:val="24"/>
              <w:bidi w:val="0"/>
              <w:rPr>
                <w:rFonts w:hint="eastAsia"/>
                <w:color w:val="auto"/>
                <w:u w:val="none" w:color="auto"/>
                <w:lang w:val="en-US" w:eastAsia="zh-CN"/>
              </w:rPr>
            </w:pPr>
            <w:r>
              <w:rPr>
                <w:color w:val="auto"/>
                <w:u w:val="none" w:color="auto"/>
              </w:rPr>
              <w:t>TVOC</w:t>
            </w:r>
          </w:p>
        </w:tc>
        <w:tc>
          <w:tcPr>
            <w:tcW w:w="1233" w:type="dxa"/>
            <w:noWrap w:val="0"/>
            <w:vAlign w:val="center"/>
          </w:tcPr>
          <w:p w14:paraId="24036798">
            <w:pPr>
              <w:pStyle w:val="24"/>
              <w:bidi w:val="0"/>
              <w:rPr>
                <w:color w:val="auto"/>
                <w:u w:val="none" w:color="auto"/>
                <w:lang w:val="en-US" w:eastAsia="zh-CN"/>
              </w:rPr>
            </w:pPr>
            <w:r>
              <w:rPr>
                <w:color w:val="auto"/>
                <w:u w:val="none" w:color="auto"/>
              </w:rPr>
              <w:t>二类区</w:t>
            </w:r>
          </w:p>
        </w:tc>
        <w:tc>
          <w:tcPr>
            <w:tcW w:w="1335" w:type="dxa"/>
            <w:noWrap w:val="0"/>
            <w:vAlign w:val="center"/>
          </w:tcPr>
          <w:p w14:paraId="79D3FC58">
            <w:pPr>
              <w:pStyle w:val="24"/>
              <w:bidi w:val="0"/>
              <w:rPr>
                <w:rFonts w:hint="eastAsia"/>
                <w:color w:val="auto"/>
                <w:u w:val="none" w:color="auto"/>
                <w:lang w:val="en-US" w:eastAsia="zh-CN"/>
              </w:rPr>
            </w:pPr>
            <w:r>
              <w:rPr>
                <w:color w:val="auto"/>
                <w:u w:val="none" w:color="auto"/>
              </w:rPr>
              <w:t>1小时</w:t>
            </w:r>
            <w:r>
              <w:rPr>
                <w:rFonts w:hint="eastAsia"/>
                <w:color w:val="auto"/>
                <w:u w:val="none" w:color="auto"/>
                <w:lang w:eastAsia="zh-CN"/>
              </w:rPr>
              <w:t>（</w:t>
            </w:r>
            <w:r>
              <w:rPr>
                <w:rFonts w:hint="eastAsia"/>
                <w:color w:val="auto"/>
                <w:u w:val="none" w:color="auto"/>
                <w:lang w:val="en-US" w:eastAsia="zh-CN"/>
              </w:rPr>
              <w:t>折算</w:t>
            </w:r>
            <w:r>
              <w:rPr>
                <w:rFonts w:hint="eastAsia"/>
                <w:color w:val="auto"/>
                <w:u w:val="none" w:color="auto"/>
                <w:lang w:eastAsia="zh-CN"/>
              </w:rPr>
              <w:t>）</w:t>
            </w:r>
          </w:p>
        </w:tc>
        <w:tc>
          <w:tcPr>
            <w:tcW w:w="1640" w:type="dxa"/>
            <w:noWrap w:val="0"/>
            <w:vAlign w:val="center"/>
          </w:tcPr>
          <w:p w14:paraId="409A0230">
            <w:pPr>
              <w:pStyle w:val="24"/>
              <w:bidi w:val="0"/>
              <w:rPr>
                <w:rFonts w:hint="default" w:eastAsia="宋体"/>
                <w:color w:val="auto"/>
                <w:u w:val="none" w:color="auto"/>
                <w:lang w:val="en-US" w:eastAsia="zh-CN"/>
              </w:rPr>
            </w:pPr>
            <w:r>
              <w:rPr>
                <w:color w:val="auto"/>
                <w:u w:val="none" w:color="auto"/>
              </w:rPr>
              <w:t>1200</w:t>
            </w:r>
          </w:p>
        </w:tc>
        <w:tc>
          <w:tcPr>
            <w:tcW w:w="3048" w:type="dxa"/>
            <w:vMerge w:val="restart"/>
            <w:noWrap w:val="0"/>
            <w:vAlign w:val="center"/>
          </w:tcPr>
          <w:p w14:paraId="07050EA4">
            <w:pPr>
              <w:pStyle w:val="24"/>
              <w:bidi w:val="0"/>
              <w:rPr>
                <w:color w:val="auto"/>
                <w:u w:val="none" w:color="auto"/>
                <w:lang w:val="en-US" w:eastAsia="zh-CN"/>
              </w:rPr>
            </w:pPr>
            <w:r>
              <w:rPr>
                <w:color w:val="auto"/>
                <w:u w:val="none" w:color="auto"/>
              </w:rPr>
              <w:t>《环境影响评价技术导则 大气环境》（HJ2.2-2018）附录D</w:t>
            </w:r>
          </w:p>
        </w:tc>
      </w:tr>
      <w:tr w14:paraId="7DAE8A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trPr>
        <w:tc>
          <w:tcPr>
            <w:tcW w:w="1246" w:type="dxa"/>
            <w:noWrap w:val="0"/>
            <w:vAlign w:val="center"/>
          </w:tcPr>
          <w:p w14:paraId="07AD6F91">
            <w:pPr>
              <w:pStyle w:val="24"/>
              <w:bidi w:val="0"/>
              <w:rPr>
                <w:rFonts w:hint="default"/>
                <w:color w:val="auto"/>
                <w:u w:val="none" w:color="auto"/>
                <w:lang w:val="en-US" w:eastAsia="zh-CN"/>
              </w:rPr>
            </w:pPr>
            <w:r>
              <w:rPr>
                <w:rFonts w:hint="eastAsia"/>
                <w:color w:val="auto"/>
                <w:u w:val="none" w:color="auto"/>
                <w:lang w:val="en-US" w:eastAsia="zh-CN"/>
              </w:rPr>
              <w:t>甲醛</w:t>
            </w:r>
          </w:p>
        </w:tc>
        <w:tc>
          <w:tcPr>
            <w:tcW w:w="1233" w:type="dxa"/>
            <w:noWrap w:val="0"/>
            <w:vAlign w:val="center"/>
          </w:tcPr>
          <w:p w14:paraId="384CCBA8">
            <w:pPr>
              <w:pStyle w:val="24"/>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二类区</w:t>
            </w:r>
          </w:p>
        </w:tc>
        <w:tc>
          <w:tcPr>
            <w:tcW w:w="1335" w:type="dxa"/>
            <w:noWrap w:val="0"/>
            <w:vAlign w:val="center"/>
          </w:tcPr>
          <w:p w14:paraId="3130B745">
            <w:pPr>
              <w:pStyle w:val="24"/>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1小时</w:t>
            </w:r>
          </w:p>
        </w:tc>
        <w:tc>
          <w:tcPr>
            <w:tcW w:w="1640" w:type="dxa"/>
            <w:noWrap w:val="0"/>
            <w:vAlign w:val="center"/>
          </w:tcPr>
          <w:p w14:paraId="1FDF7743">
            <w:pPr>
              <w:pStyle w:val="24"/>
              <w:bidi w:val="0"/>
              <w:rPr>
                <w:rFonts w:hint="default"/>
                <w:color w:val="auto"/>
                <w:u w:val="none" w:color="auto"/>
                <w:lang w:val="en-US" w:eastAsia="zh-CN"/>
              </w:rPr>
            </w:pPr>
            <w:r>
              <w:rPr>
                <w:rFonts w:hint="eastAsia"/>
                <w:color w:val="auto"/>
                <w:u w:val="none" w:color="auto"/>
                <w:lang w:val="en-US" w:eastAsia="zh-CN"/>
              </w:rPr>
              <w:t>50</w:t>
            </w:r>
          </w:p>
        </w:tc>
        <w:tc>
          <w:tcPr>
            <w:tcW w:w="3048" w:type="dxa"/>
            <w:vMerge w:val="continue"/>
            <w:noWrap w:val="0"/>
            <w:vAlign w:val="center"/>
          </w:tcPr>
          <w:p w14:paraId="02BAA722">
            <w:pPr>
              <w:pStyle w:val="24"/>
              <w:bidi w:val="0"/>
              <w:rPr>
                <w:color w:val="auto"/>
                <w:u w:val="none" w:color="auto"/>
              </w:rPr>
            </w:pPr>
          </w:p>
        </w:tc>
      </w:tr>
    </w:tbl>
    <w:p w14:paraId="0A6B8EE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②估算模型参数表见</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REF _Ref488155516 \h  \* MERGEFORMAT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709AB74F">
      <w:pPr>
        <w:pStyle w:val="23"/>
        <w:bidi w:val="0"/>
        <w:rPr>
          <w:rFonts w:hint="default"/>
          <w:color w:val="auto"/>
          <w:u w:val="none" w:color="auto"/>
        </w:rPr>
      </w:pPr>
      <w:bookmarkStart w:id="996" w:name="_Ref488155516"/>
      <w:r>
        <w:rPr>
          <w:rFonts w:hint="default"/>
          <w:color w:val="auto"/>
          <w:u w:val="none" w:color="auto"/>
        </w:rPr>
        <w:t>表</w:t>
      </w:r>
      <w:bookmarkEnd w:id="996"/>
      <w:r>
        <w:rPr>
          <w:rFonts w:hint="eastAsia"/>
          <w:color w:val="auto"/>
          <w:u w:val="none" w:color="auto"/>
          <w:lang w:val="en-US" w:eastAsia="zh-CN"/>
        </w:rPr>
        <w:t>5</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2</w:t>
      </w:r>
      <w:r>
        <w:rPr>
          <w:rFonts w:hint="default"/>
          <w:color w:val="auto"/>
          <w:u w:val="none" w:color="auto"/>
        </w:rPr>
        <w:t xml:space="preserve">    估算模型参数表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Layout w:type="fixed"/>
        <w:tblCellMar>
          <w:top w:w="0" w:type="dxa"/>
          <w:left w:w="108" w:type="dxa"/>
          <w:bottom w:w="0" w:type="dxa"/>
          <w:right w:w="108" w:type="dxa"/>
        </w:tblCellMar>
      </w:tblPr>
      <w:tblGrid>
        <w:gridCol w:w="1842"/>
        <w:gridCol w:w="4243"/>
        <w:gridCol w:w="2419"/>
      </w:tblGrid>
      <w:tr w14:paraId="0FE15530">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96" w:hRule="atLeast"/>
          <w:tblHeader/>
          <w:jc w:val="center"/>
        </w:trPr>
        <w:tc>
          <w:tcPr>
            <w:tcW w:w="6085" w:type="dxa"/>
            <w:gridSpan w:val="2"/>
            <w:tcBorders>
              <w:top w:val="single" w:color="000000" w:sz="12" w:space="0"/>
              <w:left w:val="single" w:color="000000" w:sz="12" w:space="0"/>
              <w:bottom w:val="single" w:color="000000" w:sz="6" w:space="0"/>
            </w:tcBorders>
            <w:noWrap w:val="0"/>
            <w:vAlign w:val="center"/>
          </w:tcPr>
          <w:p w14:paraId="160E0A7A">
            <w:pPr>
              <w:pStyle w:val="24"/>
              <w:bidi w:val="0"/>
              <w:rPr>
                <w:color w:val="auto"/>
                <w:u w:val="none" w:color="auto"/>
              </w:rPr>
            </w:pPr>
            <w:r>
              <w:rPr>
                <w:color w:val="auto"/>
                <w:u w:val="none" w:color="auto"/>
              </w:rPr>
              <w:t>参数</w:t>
            </w:r>
          </w:p>
        </w:tc>
        <w:tc>
          <w:tcPr>
            <w:tcW w:w="2419" w:type="dxa"/>
            <w:tcBorders>
              <w:top w:val="single" w:color="000000" w:sz="12" w:space="0"/>
              <w:bottom w:val="single" w:color="000000" w:sz="6" w:space="0"/>
              <w:right w:val="single" w:color="000000" w:sz="12" w:space="0"/>
            </w:tcBorders>
            <w:noWrap/>
            <w:vAlign w:val="center"/>
          </w:tcPr>
          <w:p w14:paraId="7B6F5816">
            <w:pPr>
              <w:pStyle w:val="24"/>
              <w:bidi w:val="0"/>
              <w:rPr>
                <w:color w:val="auto"/>
                <w:u w:val="none" w:color="auto"/>
              </w:rPr>
            </w:pPr>
            <w:r>
              <w:rPr>
                <w:color w:val="auto"/>
                <w:u w:val="none" w:color="auto"/>
              </w:rPr>
              <w:t>取值</w:t>
            </w:r>
          </w:p>
        </w:tc>
      </w:tr>
      <w:tr w14:paraId="5E914531">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72" w:hRule="atLeast"/>
          <w:jc w:val="center"/>
        </w:trPr>
        <w:tc>
          <w:tcPr>
            <w:tcW w:w="1842" w:type="dxa"/>
            <w:vMerge w:val="restart"/>
            <w:tcBorders>
              <w:top w:val="single" w:color="000000" w:sz="6" w:space="0"/>
              <w:left w:val="single" w:color="000000" w:sz="12" w:space="0"/>
              <w:bottom w:val="single" w:color="000000" w:sz="6" w:space="0"/>
            </w:tcBorders>
            <w:noWrap w:val="0"/>
            <w:vAlign w:val="center"/>
          </w:tcPr>
          <w:p w14:paraId="18133B5A">
            <w:pPr>
              <w:pStyle w:val="24"/>
              <w:bidi w:val="0"/>
              <w:rPr>
                <w:color w:val="auto"/>
                <w:u w:val="none" w:color="auto"/>
              </w:rPr>
            </w:pPr>
            <w:r>
              <w:rPr>
                <w:color w:val="auto"/>
                <w:u w:val="none" w:color="auto"/>
              </w:rPr>
              <w:t>城市/农村选项</w:t>
            </w:r>
          </w:p>
        </w:tc>
        <w:tc>
          <w:tcPr>
            <w:tcW w:w="4243" w:type="dxa"/>
            <w:tcBorders>
              <w:top w:val="single" w:color="000000" w:sz="6" w:space="0"/>
              <w:bottom w:val="single" w:color="000000" w:sz="6" w:space="0"/>
            </w:tcBorders>
            <w:noWrap/>
            <w:vAlign w:val="center"/>
          </w:tcPr>
          <w:p w14:paraId="7C83D30B">
            <w:pPr>
              <w:pStyle w:val="24"/>
              <w:bidi w:val="0"/>
              <w:rPr>
                <w:color w:val="auto"/>
                <w:u w:val="none" w:color="auto"/>
              </w:rPr>
            </w:pPr>
            <w:r>
              <w:rPr>
                <w:color w:val="auto"/>
                <w:u w:val="none" w:color="auto"/>
              </w:rPr>
              <w:t>城市/农村</w:t>
            </w:r>
          </w:p>
        </w:tc>
        <w:tc>
          <w:tcPr>
            <w:tcW w:w="2419" w:type="dxa"/>
            <w:tcBorders>
              <w:top w:val="single" w:color="000000" w:sz="6" w:space="0"/>
              <w:bottom w:val="single" w:color="000000" w:sz="6" w:space="0"/>
              <w:right w:val="single" w:color="000000" w:sz="12" w:space="0"/>
            </w:tcBorders>
            <w:noWrap/>
            <w:vAlign w:val="center"/>
          </w:tcPr>
          <w:p w14:paraId="7F43AEBB">
            <w:pPr>
              <w:pStyle w:val="24"/>
              <w:bidi w:val="0"/>
              <w:rPr>
                <w:rFonts w:hint="default"/>
                <w:color w:val="auto"/>
                <w:u w:val="none" w:color="auto"/>
                <w:lang w:val="en-US" w:eastAsia="zh-CN"/>
              </w:rPr>
            </w:pPr>
            <w:r>
              <w:rPr>
                <w:rFonts w:hint="eastAsia"/>
                <w:color w:val="auto"/>
                <w:u w:val="none" w:color="auto"/>
                <w:lang w:val="en-US" w:eastAsia="zh-CN"/>
              </w:rPr>
              <w:t>城市</w:t>
            </w:r>
          </w:p>
        </w:tc>
      </w:tr>
      <w:tr w14:paraId="6EBC2CCE">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49" w:hRule="atLeast"/>
          <w:jc w:val="center"/>
        </w:trPr>
        <w:tc>
          <w:tcPr>
            <w:tcW w:w="1842" w:type="dxa"/>
            <w:vMerge w:val="continue"/>
            <w:tcBorders>
              <w:top w:val="single" w:color="000000" w:sz="6" w:space="0"/>
              <w:left w:val="single" w:color="000000" w:sz="12" w:space="0"/>
              <w:bottom w:val="single" w:color="000000" w:sz="6" w:space="0"/>
            </w:tcBorders>
            <w:noWrap w:val="0"/>
            <w:vAlign w:val="center"/>
          </w:tcPr>
          <w:p w14:paraId="662B6C25">
            <w:pPr>
              <w:pStyle w:val="24"/>
              <w:bidi w:val="0"/>
              <w:rPr>
                <w:color w:val="auto"/>
                <w:u w:val="none" w:color="auto"/>
              </w:rPr>
            </w:pPr>
          </w:p>
        </w:tc>
        <w:tc>
          <w:tcPr>
            <w:tcW w:w="4243" w:type="dxa"/>
            <w:tcBorders>
              <w:top w:val="single" w:color="000000" w:sz="6" w:space="0"/>
              <w:bottom w:val="single" w:color="000000" w:sz="6" w:space="0"/>
            </w:tcBorders>
            <w:noWrap/>
            <w:vAlign w:val="center"/>
          </w:tcPr>
          <w:p w14:paraId="5281648A">
            <w:pPr>
              <w:pStyle w:val="24"/>
              <w:bidi w:val="0"/>
              <w:rPr>
                <w:color w:val="auto"/>
                <w:u w:val="none" w:color="auto"/>
              </w:rPr>
            </w:pPr>
            <w:r>
              <w:rPr>
                <w:color w:val="auto"/>
                <w:u w:val="none" w:color="auto"/>
              </w:rPr>
              <w:t>人口数（城市选项时）</w:t>
            </w:r>
          </w:p>
        </w:tc>
        <w:tc>
          <w:tcPr>
            <w:tcW w:w="2419" w:type="dxa"/>
            <w:tcBorders>
              <w:top w:val="single" w:color="000000" w:sz="6" w:space="0"/>
              <w:bottom w:val="single" w:color="000000" w:sz="6" w:space="0"/>
              <w:right w:val="single" w:color="000000" w:sz="12" w:space="0"/>
            </w:tcBorders>
            <w:noWrap/>
            <w:vAlign w:val="center"/>
          </w:tcPr>
          <w:p w14:paraId="55BDFDE3">
            <w:pPr>
              <w:pStyle w:val="24"/>
              <w:bidi w:val="0"/>
              <w:rPr>
                <w:rFonts w:hint="default" w:eastAsia="宋体"/>
                <w:color w:val="auto"/>
                <w:u w:val="none" w:color="auto"/>
                <w:lang w:val="en-US" w:eastAsia="zh-CN"/>
              </w:rPr>
            </w:pPr>
            <w:r>
              <w:rPr>
                <w:rFonts w:hint="eastAsia"/>
                <w:color w:val="auto"/>
                <w:u w:val="none" w:color="auto"/>
                <w:lang w:val="en-US" w:eastAsia="zh-CN"/>
              </w:rPr>
              <w:t>60万</w:t>
            </w:r>
          </w:p>
        </w:tc>
      </w:tr>
      <w:tr w14:paraId="1B04C552">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24"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7541098D">
            <w:pPr>
              <w:pStyle w:val="24"/>
              <w:bidi w:val="0"/>
              <w:rPr>
                <w:color w:val="auto"/>
                <w:u w:val="none" w:color="auto"/>
              </w:rPr>
            </w:pPr>
            <w:r>
              <w:rPr>
                <w:color w:val="auto"/>
                <w:u w:val="none" w:color="auto"/>
              </w:rPr>
              <w:t>最高环境温度/ ℃</w:t>
            </w:r>
          </w:p>
        </w:tc>
        <w:tc>
          <w:tcPr>
            <w:tcW w:w="2419" w:type="dxa"/>
            <w:tcBorders>
              <w:top w:val="single" w:color="000000" w:sz="6" w:space="0"/>
              <w:bottom w:val="single" w:color="000000" w:sz="6" w:space="0"/>
              <w:right w:val="single" w:color="000000" w:sz="12" w:space="0"/>
            </w:tcBorders>
            <w:noWrap/>
            <w:vAlign w:val="center"/>
          </w:tcPr>
          <w:p w14:paraId="6004E65C">
            <w:pPr>
              <w:pStyle w:val="24"/>
              <w:bidi w:val="0"/>
              <w:rPr>
                <w:color w:val="auto"/>
                <w:u w:val="none" w:color="auto"/>
              </w:rPr>
            </w:pPr>
            <w:r>
              <w:rPr>
                <w:color w:val="auto"/>
                <w:u w:val="none" w:color="auto"/>
              </w:rPr>
              <w:t>39.7</w:t>
            </w:r>
          </w:p>
        </w:tc>
      </w:tr>
      <w:tr w14:paraId="7FEB1382">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256"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6100157C">
            <w:pPr>
              <w:pStyle w:val="24"/>
              <w:bidi w:val="0"/>
              <w:rPr>
                <w:color w:val="auto"/>
                <w:u w:val="none" w:color="auto"/>
              </w:rPr>
            </w:pPr>
            <w:r>
              <w:rPr>
                <w:color w:val="auto"/>
                <w:u w:val="none" w:color="auto"/>
              </w:rPr>
              <w:t>最低环境温度/ ℃</w:t>
            </w:r>
          </w:p>
        </w:tc>
        <w:tc>
          <w:tcPr>
            <w:tcW w:w="2419" w:type="dxa"/>
            <w:tcBorders>
              <w:top w:val="single" w:color="000000" w:sz="6" w:space="0"/>
              <w:bottom w:val="single" w:color="000000" w:sz="6" w:space="0"/>
              <w:right w:val="single" w:color="000000" w:sz="12" w:space="0"/>
            </w:tcBorders>
            <w:noWrap/>
            <w:vAlign w:val="center"/>
          </w:tcPr>
          <w:p w14:paraId="70F97355">
            <w:pPr>
              <w:pStyle w:val="24"/>
              <w:bidi w:val="0"/>
              <w:rPr>
                <w:color w:val="auto"/>
                <w:u w:val="none" w:color="auto"/>
              </w:rPr>
            </w:pPr>
            <w:r>
              <w:rPr>
                <w:color w:val="auto"/>
                <w:u w:val="none" w:color="auto"/>
              </w:rPr>
              <w:t>-14.3</w:t>
            </w:r>
          </w:p>
        </w:tc>
      </w:tr>
      <w:tr w14:paraId="67777674">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65"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4E5C0903">
            <w:pPr>
              <w:pStyle w:val="24"/>
              <w:bidi w:val="0"/>
              <w:rPr>
                <w:color w:val="auto"/>
                <w:u w:val="none" w:color="auto"/>
              </w:rPr>
            </w:pPr>
            <w:r>
              <w:rPr>
                <w:color w:val="auto"/>
                <w:u w:val="none" w:color="auto"/>
              </w:rPr>
              <w:t>土地利用类型</w:t>
            </w:r>
          </w:p>
        </w:tc>
        <w:tc>
          <w:tcPr>
            <w:tcW w:w="2419" w:type="dxa"/>
            <w:tcBorders>
              <w:top w:val="single" w:color="000000" w:sz="6" w:space="0"/>
              <w:bottom w:val="single" w:color="000000" w:sz="6" w:space="0"/>
              <w:right w:val="single" w:color="000000" w:sz="12" w:space="0"/>
            </w:tcBorders>
            <w:noWrap/>
            <w:vAlign w:val="center"/>
          </w:tcPr>
          <w:p w14:paraId="6EE35F5C">
            <w:pPr>
              <w:pStyle w:val="24"/>
              <w:bidi w:val="0"/>
              <w:rPr>
                <w:rFonts w:hint="eastAsia"/>
                <w:color w:val="auto"/>
                <w:u w:val="none" w:color="auto"/>
                <w:lang w:eastAsia="zh-CN"/>
              </w:rPr>
            </w:pPr>
            <w:r>
              <w:rPr>
                <w:rFonts w:hint="eastAsia"/>
                <w:color w:val="auto"/>
                <w:u w:val="none" w:color="auto"/>
                <w:lang w:val="en-US" w:eastAsia="zh-CN"/>
              </w:rPr>
              <w:t>针</w:t>
            </w:r>
            <w:r>
              <w:rPr>
                <w:rFonts w:hint="eastAsia"/>
                <w:color w:val="auto"/>
                <w:u w:val="none" w:color="auto"/>
                <w:lang w:eastAsia="zh-CN"/>
              </w:rPr>
              <w:t>叶林</w:t>
            </w:r>
          </w:p>
        </w:tc>
      </w:tr>
      <w:tr w14:paraId="5395772F">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65"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3E489E92">
            <w:pPr>
              <w:pStyle w:val="24"/>
              <w:bidi w:val="0"/>
              <w:rPr>
                <w:color w:val="auto"/>
                <w:u w:val="none" w:color="auto"/>
              </w:rPr>
            </w:pPr>
            <w:r>
              <w:rPr>
                <w:color w:val="auto"/>
                <w:u w:val="none" w:color="auto"/>
              </w:rPr>
              <w:t>区域湿度条件</w:t>
            </w:r>
          </w:p>
        </w:tc>
        <w:tc>
          <w:tcPr>
            <w:tcW w:w="2419" w:type="dxa"/>
            <w:tcBorders>
              <w:top w:val="single" w:color="000000" w:sz="6" w:space="0"/>
              <w:bottom w:val="single" w:color="000000" w:sz="6" w:space="0"/>
              <w:right w:val="single" w:color="000000" w:sz="12" w:space="0"/>
            </w:tcBorders>
            <w:noWrap/>
            <w:vAlign w:val="center"/>
          </w:tcPr>
          <w:p w14:paraId="5758B9D6">
            <w:pPr>
              <w:pStyle w:val="24"/>
              <w:bidi w:val="0"/>
              <w:rPr>
                <w:color w:val="auto"/>
                <w:u w:val="none" w:color="auto"/>
              </w:rPr>
            </w:pPr>
            <w:r>
              <w:rPr>
                <w:rFonts w:hint="eastAsia"/>
                <w:color w:val="auto"/>
                <w:u w:val="none" w:color="auto"/>
                <w:lang w:val="en-US" w:eastAsia="zh-CN"/>
              </w:rPr>
              <w:t>潮湿</w:t>
            </w:r>
            <w:r>
              <w:rPr>
                <w:color w:val="auto"/>
                <w:u w:val="none" w:color="auto"/>
              </w:rPr>
              <w:t>气候</w:t>
            </w:r>
          </w:p>
        </w:tc>
      </w:tr>
      <w:tr w14:paraId="41C8037E">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98" w:hRule="atLeast"/>
          <w:jc w:val="center"/>
        </w:trPr>
        <w:tc>
          <w:tcPr>
            <w:tcW w:w="1842" w:type="dxa"/>
            <w:vMerge w:val="restart"/>
            <w:tcBorders>
              <w:top w:val="single" w:color="000000" w:sz="6" w:space="0"/>
              <w:left w:val="single" w:color="000000" w:sz="12" w:space="0"/>
              <w:bottom w:val="single" w:color="000000" w:sz="6" w:space="0"/>
            </w:tcBorders>
            <w:noWrap w:val="0"/>
            <w:vAlign w:val="center"/>
          </w:tcPr>
          <w:p w14:paraId="44449252">
            <w:pPr>
              <w:pStyle w:val="24"/>
              <w:bidi w:val="0"/>
              <w:rPr>
                <w:color w:val="auto"/>
                <w:u w:val="none" w:color="auto"/>
              </w:rPr>
            </w:pPr>
            <w:r>
              <w:rPr>
                <w:color w:val="auto"/>
                <w:u w:val="none" w:color="auto"/>
              </w:rPr>
              <w:t>是否考虑地形</w:t>
            </w:r>
          </w:p>
        </w:tc>
        <w:tc>
          <w:tcPr>
            <w:tcW w:w="4243" w:type="dxa"/>
            <w:tcBorders>
              <w:top w:val="single" w:color="000000" w:sz="6" w:space="0"/>
              <w:bottom w:val="single" w:color="000000" w:sz="6" w:space="0"/>
            </w:tcBorders>
            <w:noWrap/>
            <w:vAlign w:val="center"/>
          </w:tcPr>
          <w:p w14:paraId="3FC8BEC8">
            <w:pPr>
              <w:pStyle w:val="24"/>
              <w:bidi w:val="0"/>
              <w:rPr>
                <w:color w:val="auto"/>
                <w:u w:val="none" w:color="auto"/>
              </w:rPr>
            </w:pPr>
            <w:r>
              <w:rPr>
                <w:color w:val="auto"/>
                <w:u w:val="none" w:color="auto"/>
              </w:rPr>
              <w:t>考虑地形</w:t>
            </w:r>
          </w:p>
        </w:tc>
        <w:tc>
          <w:tcPr>
            <w:tcW w:w="2419" w:type="dxa"/>
            <w:tcBorders>
              <w:top w:val="single" w:color="000000" w:sz="6" w:space="0"/>
              <w:bottom w:val="single" w:color="000000" w:sz="6" w:space="0"/>
              <w:right w:val="single" w:color="000000" w:sz="12" w:space="0"/>
            </w:tcBorders>
            <w:noWrap/>
            <w:vAlign w:val="center"/>
          </w:tcPr>
          <w:p w14:paraId="078CE1DD">
            <w:pPr>
              <w:pStyle w:val="24"/>
              <w:bidi w:val="0"/>
              <w:rPr>
                <w:color w:val="auto"/>
                <w:u w:val="none" w:color="auto"/>
              </w:rPr>
            </w:pPr>
            <w:r>
              <w:rPr>
                <w:color w:val="auto"/>
                <w:u w:val="none" w:color="auto"/>
              </w:rPr>
              <w:t>是</w:t>
            </w:r>
          </w:p>
        </w:tc>
      </w:tr>
      <w:tr w14:paraId="30150A90">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60" w:hRule="atLeast"/>
          <w:jc w:val="center"/>
        </w:trPr>
        <w:tc>
          <w:tcPr>
            <w:tcW w:w="1842" w:type="dxa"/>
            <w:vMerge w:val="continue"/>
            <w:tcBorders>
              <w:top w:val="single" w:color="000000" w:sz="6" w:space="0"/>
              <w:left w:val="single" w:color="000000" w:sz="12" w:space="0"/>
              <w:bottom w:val="single" w:color="000000" w:sz="6" w:space="0"/>
            </w:tcBorders>
            <w:noWrap w:val="0"/>
            <w:vAlign w:val="center"/>
          </w:tcPr>
          <w:p w14:paraId="1C1CC046">
            <w:pPr>
              <w:pStyle w:val="24"/>
              <w:bidi w:val="0"/>
              <w:rPr>
                <w:color w:val="auto"/>
                <w:u w:val="none" w:color="auto"/>
              </w:rPr>
            </w:pPr>
          </w:p>
        </w:tc>
        <w:tc>
          <w:tcPr>
            <w:tcW w:w="4243" w:type="dxa"/>
            <w:tcBorders>
              <w:top w:val="single" w:color="000000" w:sz="6" w:space="0"/>
              <w:bottom w:val="single" w:color="000000" w:sz="6" w:space="0"/>
            </w:tcBorders>
            <w:noWrap/>
            <w:vAlign w:val="center"/>
          </w:tcPr>
          <w:p w14:paraId="4D28F4C6">
            <w:pPr>
              <w:pStyle w:val="24"/>
              <w:bidi w:val="0"/>
              <w:rPr>
                <w:color w:val="auto"/>
                <w:u w:val="none" w:color="auto"/>
              </w:rPr>
            </w:pPr>
            <w:r>
              <w:rPr>
                <w:color w:val="auto"/>
                <w:u w:val="none" w:color="auto"/>
              </w:rPr>
              <w:t>地形数据分辨率 / m</w:t>
            </w:r>
          </w:p>
        </w:tc>
        <w:tc>
          <w:tcPr>
            <w:tcW w:w="2419" w:type="dxa"/>
            <w:tcBorders>
              <w:top w:val="single" w:color="000000" w:sz="6" w:space="0"/>
              <w:bottom w:val="single" w:color="000000" w:sz="6" w:space="0"/>
              <w:right w:val="single" w:color="000000" w:sz="12" w:space="0"/>
            </w:tcBorders>
            <w:noWrap/>
            <w:vAlign w:val="center"/>
          </w:tcPr>
          <w:p w14:paraId="58599846">
            <w:pPr>
              <w:pStyle w:val="24"/>
              <w:bidi w:val="0"/>
              <w:rPr>
                <w:color w:val="auto"/>
                <w:u w:val="none" w:color="auto"/>
              </w:rPr>
            </w:pPr>
            <w:r>
              <w:rPr>
                <w:color w:val="auto"/>
                <w:u w:val="none" w:color="auto"/>
              </w:rPr>
              <w:t>90</w:t>
            </w:r>
          </w:p>
        </w:tc>
      </w:tr>
      <w:tr w14:paraId="1C291284">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391" w:hRule="atLeast"/>
          <w:jc w:val="center"/>
        </w:trPr>
        <w:tc>
          <w:tcPr>
            <w:tcW w:w="1842" w:type="dxa"/>
            <w:vMerge w:val="restart"/>
            <w:tcBorders>
              <w:top w:val="single" w:color="000000" w:sz="6" w:space="0"/>
              <w:left w:val="single" w:color="000000" w:sz="12" w:space="0"/>
              <w:bottom w:val="single" w:color="000000" w:sz="12" w:space="0"/>
            </w:tcBorders>
            <w:noWrap w:val="0"/>
            <w:vAlign w:val="center"/>
          </w:tcPr>
          <w:p w14:paraId="45F6C260">
            <w:pPr>
              <w:pStyle w:val="24"/>
              <w:bidi w:val="0"/>
              <w:rPr>
                <w:color w:val="auto"/>
                <w:u w:val="none" w:color="auto"/>
              </w:rPr>
            </w:pPr>
            <w:r>
              <w:rPr>
                <w:color w:val="auto"/>
                <w:u w:val="none" w:color="auto"/>
              </w:rPr>
              <w:t>是否考</w:t>
            </w:r>
          </w:p>
          <w:p w14:paraId="2AC0CE4F">
            <w:pPr>
              <w:pStyle w:val="24"/>
              <w:bidi w:val="0"/>
              <w:rPr>
                <w:color w:val="auto"/>
                <w:u w:val="none" w:color="auto"/>
              </w:rPr>
            </w:pPr>
            <w:r>
              <w:rPr>
                <w:color w:val="auto"/>
                <w:u w:val="none" w:color="auto"/>
              </w:rPr>
              <w:t>虑岸线熏烟</w:t>
            </w:r>
          </w:p>
        </w:tc>
        <w:tc>
          <w:tcPr>
            <w:tcW w:w="4243" w:type="dxa"/>
            <w:tcBorders>
              <w:top w:val="single" w:color="000000" w:sz="6" w:space="0"/>
              <w:bottom w:val="single" w:color="000000" w:sz="6" w:space="0"/>
            </w:tcBorders>
            <w:noWrap/>
            <w:vAlign w:val="center"/>
          </w:tcPr>
          <w:p w14:paraId="62E2F900">
            <w:pPr>
              <w:pStyle w:val="24"/>
              <w:bidi w:val="0"/>
              <w:rPr>
                <w:color w:val="auto"/>
                <w:u w:val="none" w:color="auto"/>
              </w:rPr>
            </w:pPr>
            <w:r>
              <w:rPr>
                <w:color w:val="auto"/>
                <w:u w:val="none" w:color="auto"/>
              </w:rPr>
              <w:t>考虑岸线熏烟</w:t>
            </w:r>
          </w:p>
        </w:tc>
        <w:tc>
          <w:tcPr>
            <w:tcW w:w="2419" w:type="dxa"/>
            <w:tcBorders>
              <w:top w:val="single" w:color="000000" w:sz="6" w:space="0"/>
              <w:bottom w:val="single" w:color="000000" w:sz="6" w:space="0"/>
              <w:right w:val="single" w:color="000000" w:sz="12" w:space="0"/>
            </w:tcBorders>
            <w:noWrap/>
            <w:vAlign w:val="center"/>
          </w:tcPr>
          <w:p w14:paraId="1EB20529">
            <w:pPr>
              <w:pStyle w:val="24"/>
              <w:bidi w:val="0"/>
              <w:rPr>
                <w:color w:val="auto"/>
                <w:u w:val="none" w:color="auto"/>
              </w:rPr>
            </w:pPr>
            <w:r>
              <w:rPr>
                <w:color w:val="auto"/>
                <w:u w:val="none" w:color="auto"/>
              </w:rPr>
              <w:t>否</w:t>
            </w:r>
          </w:p>
        </w:tc>
      </w:tr>
      <w:tr w14:paraId="2393D080">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83" w:hRule="atLeast"/>
          <w:jc w:val="center"/>
        </w:trPr>
        <w:tc>
          <w:tcPr>
            <w:tcW w:w="1842" w:type="dxa"/>
            <w:vMerge w:val="continue"/>
            <w:tcBorders>
              <w:top w:val="single" w:color="000000" w:sz="6" w:space="0"/>
              <w:left w:val="single" w:color="000000" w:sz="12" w:space="0"/>
              <w:bottom w:val="single" w:color="000000" w:sz="12" w:space="0"/>
            </w:tcBorders>
            <w:noWrap w:val="0"/>
            <w:vAlign w:val="center"/>
          </w:tcPr>
          <w:p w14:paraId="0FA19493">
            <w:pPr>
              <w:pStyle w:val="24"/>
              <w:bidi w:val="0"/>
              <w:rPr>
                <w:color w:val="auto"/>
                <w:u w:val="none" w:color="auto"/>
              </w:rPr>
            </w:pPr>
          </w:p>
        </w:tc>
        <w:tc>
          <w:tcPr>
            <w:tcW w:w="4243" w:type="dxa"/>
            <w:tcBorders>
              <w:top w:val="single" w:color="000000" w:sz="6" w:space="0"/>
              <w:bottom w:val="single" w:color="000000" w:sz="6" w:space="0"/>
            </w:tcBorders>
            <w:noWrap/>
            <w:vAlign w:val="center"/>
          </w:tcPr>
          <w:p w14:paraId="4380857E">
            <w:pPr>
              <w:pStyle w:val="24"/>
              <w:bidi w:val="0"/>
              <w:rPr>
                <w:color w:val="auto"/>
                <w:u w:val="none" w:color="auto"/>
              </w:rPr>
            </w:pPr>
            <w:r>
              <w:rPr>
                <w:color w:val="auto"/>
                <w:u w:val="none" w:color="auto"/>
              </w:rPr>
              <w:t>岸线距离/ km</w:t>
            </w:r>
          </w:p>
        </w:tc>
        <w:tc>
          <w:tcPr>
            <w:tcW w:w="2419" w:type="dxa"/>
            <w:tcBorders>
              <w:top w:val="single" w:color="000000" w:sz="6" w:space="0"/>
              <w:bottom w:val="single" w:color="000000" w:sz="6" w:space="0"/>
              <w:right w:val="single" w:color="000000" w:sz="12" w:space="0"/>
            </w:tcBorders>
            <w:noWrap/>
            <w:vAlign w:val="center"/>
          </w:tcPr>
          <w:p w14:paraId="09A72128">
            <w:pPr>
              <w:pStyle w:val="24"/>
              <w:bidi w:val="0"/>
              <w:rPr>
                <w:color w:val="auto"/>
                <w:u w:val="none" w:color="auto"/>
              </w:rPr>
            </w:pPr>
            <w:r>
              <w:rPr>
                <w:color w:val="auto"/>
                <w:u w:val="none" w:color="auto"/>
              </w:rPr>
              <w:t>—</w:t>
            </w:r>
          </w:p>
        </w:tc>
      </w:tr>
      <w:tr w14:paraId="18BE1D2B">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45" w:hRule="atLeast"/>
          <w:jc w:val="center"/>
        </w:trPr>
        <w:tc>
          <w:tcPr>
            <w:tcW w:w="1842" w:type="dxa"/>
            <w:vMerge w:val="continue"/>
            <w:tcBorders>
              <w:top w:val="single" w:color="000000" w:sz="6" w:space="0"/>
              <w:left w:val="single" w:color="000000" w:sz="12" w:space="0"/>
              <w:bottom w:val="single" w:color="000000" w:sz="12" w:space="0"/>
            </w:tcBorders>
            <w:noWrap w:val="0"/>
            <w:vAlign w:val="center"/>
          </w:tcPr>
          <w:p w14:paraId="0CA98C12">
            <w:pPr>
              <w:pStyle w:val="24"/>
              <w:bidi w:val="0"/>
              <w:rPr>
                <w:color w:val="auto"/>
                <w:u w:val="none" w:color="auto"/>
              </w:rPr>
            </w:pPr>
          </w:p>
        </w:tc>
        <w:tc>
          <w:tcPr>
            <w:tcW w:w="4243" w:type="dxa"/>
            <w:tcBorders>
              <w:top w:val="single" w:color="000000" w:sz="6" w:space="0"/>
              <w:bottom w:val="single" w:color="000000" w:sz="12" w:space="0"/>
            </w:tcBorders>
            <w:noWrap/>
            <w:vAlign w:val="center"/>
          </w:tcPr>
          <w:p w14:paraId="29A9F980">
            <w:pPr>
              <w:pStyle w:val="24"/>
              <w:bidi w:val="0"/>
              <w:rPr>
                <w:color w:val="auto"/>
                <w:u w:val="none" w:color="auto"/>
              </w:rPr>
            </w:pPr>
            <w:r>
              <w:rPr>
                <w:color w:val="auto"/>
                <w:u w:val="none" w:color="auto"/>
              </w:rPr>
              <w:t>岸线方向/ °</w:t>
            </w:r>
          </w:p>
        </w:tc>
        <w:tc>
          <w:tcPr>
            <w:tcW w:w="2419" w:type="dxa"/>
            <w:tcBorders>
              <w:top w:val="single" w:color="000000" w:sz="6" w:space="0"/>
              <w:bottom w:val="single" w:color="000000" w:sz="12" w:space="0"/>
              <w:right w:val="single" w:color="000000" w:sz="12" w:space="0"/>
            </w:tcBorders>
            <w:noWrap/>
            <w:vAlign w:val="center"/>
          </w:tcPr>
          <w:p w14:paraId="5A893306">
            <w:pPr>
              <w:pStyle w:val="24"/>
              <w:bidi w:val="0"/>
              <w:rPr>
                <w:color w:val="auto"/>
                <w:u w:val="none" w:color="auto"/>
              </w:rPr>
            </w:pPr>
            <w:r>
              <w:rPr>
                <w:color w:val="auto"/>
                <w:u w:val="none" w:color="auto"/>
              </w:rPr>
              <w:t>—</w:t>
            </w:r>
          </w:p>
        </w:tc>
      </w:tr>
    </w:tbl>
    <w:p w14:paraId="0CD759F0">
      <w:pPr>
        <w:pStyle w:val="21"/>
        <w:ind w:firstLine="480"/>
        <w:rPr>
          <w:rFonts w:hint="default" w:ascii="Times New Roman" w:hAnsi="Times New Roman" w:cs="Times New Roman"/>
          <w:color w:val="auto"/>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849B8CD">
      <w:pPr>
        <w:pStyle w:val="21"/>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rPr>
        <w:t>③污染源参数见表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.2-</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eastAsia="zh-CN"/>
        </w:rPr>
        <w:t>。</w:t>
      </w:r>
    </w:p>
    <w:p w14:paraId="5553AF9C">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.2-</w:t>
      </w:r>
      <w:r>
        <w:rPr>
          <w:rFonts w:hint="eastAsia"/>
          <w:color w:val="auto"/>
          <w:u w:val="none" w:color="auto"/>
          <w:lang w:val="en-US" w:eastAsia="zh-CN"/>
        </w:rPr>
        <w:t>3</w:t>
      </w:r>
      <w:r>
        <w:rPr>
          <w:rFonts w:hint="default"/>
          <w:color w:val="auto"/>
          <w:u w:val="none" w:color="auto"/>
        </w:rPr>
        <w:t xml:space="preserve">  点源输入参数</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95"/>
        <w:gridCol w:w="795"/>
        <w:gridCol w:w="1050"/>
        <w:gridCol w:w="975"/>
        <w:gridCol w:w="1155"/>
        <w:gridCol w:w="915"/>
        <w:gridCol w:w="945"/>
        <w:gridCol w:w="990"/>
        <w:gridCol w:w="1095"/>
        <w:gridCol w:w="742"/>
        <w:gridCol w:w="742"/>
        <w:gridCol w:w="742"/>
        <w:gridCol w:w="742"/>
        <w:gridCol w:w="742"/>
        <w:gridCol w:w="744"/>
      </w:tblGrid>
      <w:tr w14:paraId="3DB36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noWrap w:val="0"/>
            <w:vAlign w:val="center"/>
          </w:tcPr>
          <w:p w14:paraId="584E81E6">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1590" w:type="dxa"/>
            <w:gridSpan w:val="2"/>
            <w:noWrap w:val="0"/>
            <w:vAlign w:val="center"/>
          </w:tcPr>
          <w:p w14:paraId="510D51B3">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排气筒底部中心坐标</w:t>
            </w:r>
          </w:p>
        </w:tc>
        <w:tc>
          <w:tcPr>
            <w:tcW w:w="1050" w:type="dxa"/>
            <w:vMerge w:val="restart"/>
            <w:noWrap w:val="0"/>
            <w:vAlign w:val="center"/>
          </w:tcPr>
          <w:p w14:paraId="3BF8F04C">
            <w:pPr>
              <w:pStyle w:val="25"/>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排气筒底部海拔高度</w:t>
            </w:r>
            <w:r>
              <w:rPr>
                <w:rFonts w:hint="eastAsia" w:cs="Times New Roman"/>
                <w:color w:val="auto"/>
                <w:u w:val="none" w:color="auto"/>
                <w:lang w:val="en-US" w:eastAsia="zh-CN"/>
              </w:rPr>
              <w:t>m</w:t>
            </w:r>
          </w:p>
        </w:tc>
        <w:tc>
          <w:tcPr>
            <w:tcW w:w="975" w:type="dxa"/>
            <w:vMerge w:val="restart"/>
            <w:noWrap w:val="0"/>
            <w:vAlign w:val="center"/>
          </w:tcPr>
          <w:p w14:paraId="585EB0E3">
            <w:pPr>
              <w:pStyle w:val="25"/>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排气筒高度</w:t>
            </w:r>
            <w:r>
              <w:rPr>
                <w:rFonts w:hint="eastAsia" w:cs="Times New Roman"/>
                <w:color w:val="auto"/>
                <w:u w:val="none" w:color="auto"/>
                <w:lang w:val="en-US" w:eastAsia="zh-CN"/>
              </w:rPr>
              <w:t>m</w:t>
            </w:r>
          </w:p>
        </w:tc>
        <w:tc>
          <w:tcPr>
            <w:tcW w:w="1155" w:type="dxa"/>
            <w:vMerge w:val="restart"/>
            <w:noWrap w:val="0"/>
            <w:vAlign w:val="center"/>
          </w:tcPr>
          <w:p w14:paraId="14403B8A">
            <w:pPr>
              <w:pStyle w:val="25"/>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排气筒出口内径</w:t>
            </w:r>
            <w:r>
              <w:rPr>
                <w:rFonts w:hint="eastAsia" w:cs="Times New Roman"/>
                <w:color w:val="auto"/>
                <w:u w:val="none" w:color="auto"/>
                <w:lang w:val="en-US" w:eastAsia="zh-CN"/>
              </w:rPr>
              <w:t>m</w:t>
            </w:r>
          </w:p>
        </w:tc>
        <w:tc>
          <w:tcPr>
            <w:tcW w:w="915" w:type="dxa"/>
            <w:vMerge w:val="restart"/>
            <w:noWrap w:val="0"/>
            <w:vAlign w:val="center"/>
          </w:tcPr>
          <w:p w14:paraId="582D80DA">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烟气量Nm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p>
        </w:tc>
        <w:tc>
          <w:tcPr>
            <w:tcW w:w="945" w:type="dxa"/>
            <w:vMerge w:val="restart"/>
            <w:noWrap w:val="0"/>
            <w:vAlign w:val="center"/>
          </w:tcPr>
          <w:p w14:paraId="61D0E079">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烟气温度℃</w:t>
            </w:r>
          </w:p>
        </w:tc>
        <w:tc>
          <w:tcPr>
            <w:tcW w:w="990" w:type="dxa"/>
            <w:vMerge w:val="restart"/>
            <w:noWrap w:val="0"/>
            <w:vAlign w:val="center"/>
          </w:tcPr>
          <w:p w14:paraId="607B4761">
            <w:pPr>
              <w:pStyle w:val="25"/>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年排放小时数</w:t>
            </w:r>
            <w:r>
              <w:rPr>
                <w:rFonts w:hint="eastAsia" w:cs="Times New Roman"/>
                <w:color w:val="auto"/>
                <w:u w:val="none" w:color="auto"/>
                <w:lang w:val="en-US" w:eastAsia="zh-CN"/>
              </w:rPr>
              <w:t>h</w:t>
            </w:r>
          </w:p>
        </w:tc>
        <w:tc>
          <w:tcPr>
            <w:tcW w:w="1095" w:type="dxa"/>
            <w:vMerge w:val="restart"/>
            <w:noWrap w:val="0"/>
            <w:vAlign w:val="center"/>
          </w:tcPr>
          <w:p w14:paraId="1569FCA3">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排放工况</w:t>
            </w:r>
          </w:p>
        </w:tc>
        <w:tc>
          <w:tcPr>
            <w:tcW w:w="4453" w:type="dxa"/>
            <w:gridSpan w:val="6"/>
            <w:vMerge w:val="restart"/>
            <w:noWrap w:val="0"/>
            <w:vAlign w:val="center"/>
          </w:tcPr>
          <w:p w14:paraId="555B7EEC">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污染物排放速率</w:t>
            </w:r>
            <w:r>
              <w:rPr>
                <w:rFonts w:hint="eastAsia" w:cs="Times New Roman"/>
                <w:color w:val="auto"/>
                <w:u w:val="none" w:color="auto"/>
                <w:lang w:eastAsia="zh-CN"/>
              </w:rPr>
              <w:t>（</w:t>
            </w:r>
            <w:r>
              <w:rPr>
                <w:rFonts w:hint="default" w:ascii="Times New Roman" w:hAnsi="Times New Roman" w:cs="Times New Roman"/>
                <w:color w:val="auto"/>
                <w:u w:val="none" w:color="auto"/>
              </w:rPr>
              <w:t>kg/h</w:t>
            </w:r>
            <w:r>
              <w:rPr>
                <w:rFonts w:hint="eastAsia" w:cs="Times New Roman"/>
                <w:color w:val="auto"/>
                <w:u w:val="none" w:color="auto"/>
                <w:lang w:eastAsia="zh-CN"/>
              </w:rPr>
              <w:t>）</w:t>
            </w:r>
          </w:p>
        </w:tc>
      </w:tr>
      <w:tr w14:paraId="14B36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continue"/>
            <w:noWrap w:val="0"/>
            <w:vAlign w:val="center"/>
          </w:tcPr>
          <w:p w14:paraId="778B1E46">
            <w:pPr>
              <w:pStyle w:val="25"/>
              <w:jc w:val="center"/>
              <w:rPr>
                <w:rFonts w:hint="default" w:ascii="Times New Roman" w:hAnsi="Times New Roman" w:cs="Times New Roman"/>
                <w:color w:val="auto"/>
                <w:u w:val="none" w:color="auto"/>
              </w:rPr>
            </w:pPr>
          </w:p>
        </w:tc>
        <w:tc>
          <w:tcPr>
            <w:tcW w:w="795" w:type="dxa"/>
            <w:vMerge w:val="restart"/>
            <w:noWrap w:val="0"/>
            <w:vAlign w:val="center"/>
          </w:tcPr>
          <w:p w14:paraId="426FADA5">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X</w:t>
            </w:r>
          </w:p>
        </w:tc>
        <w:tc>
          <w:tcPr>
            <w:tcW w:w="795" w:type="dxa"/>
            <w:vMerge w:val="restart"/>
            <w:noWrap w:val="0"/>
            <w:vAlign w:val="center"/>
          </w:tcPr>
          <w:p w14:paraId="286770BE">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Y</w:t>
            </w:r>
          </w:p>
        </w:tc>
        <w:tc>
          <w:tcPr>
            <w:tcW w:w="1050" w:type="dxa"/>
            <w:vMerge w:val="continue"/>
            <w:noWrap w:val="0"/>
            <w:vAlign w:val="center"/>
          </w:tcPr>
          <w:p w14:paraId="0637F253">
            <w:pPr>
              <w:pStyle w:val="25"/>
              <w:jc w:val="center"/>
              <w:rPr>
                <w:rFonts w:hint="default" w:ascii="Times New Roman" w:hAnsi="Times New Roman" w:cs="Times New Roman"/>
                <w:color w:val="auto"/>
                <w:u w:val="none" w:color="auto"/>
              </w:rPr>
            </w:pPr>
          </w:p>
        </w:tc>
        <w:tc>
          <w:tcPr>
            <w:tcW w:w="975" w:type="dxa"/>
            <w:vMerge w:val="continue"/>
            <w:noWrap w:val="0"/>
            <w:vAlign w:val="center"/>
          </w:tcPr>
          <w:p w14:paraId="10C8A9CE">
            <w:pPr>
              <w:pStyle w:val="25"/>
              <w:jc w:val="center"/>
              <w:rPr>
                <w:rFonts w:hint="default" w:ascii="Times New Roman" w:hAnsi="Times New Roman" w:cs="Times New Roman"/>
                <w:color w:val="auto"/>
                <w:u w:val="none" w:color="auto"/>
              </w:rPr>
            </w:pPr>
          </w:p>
        </w:tc>
        <w:tc>
          <w:tcPr>
            <w:tcW w:w="1155" w:type="dxa"/>
            <w:vMerge w:val="continue"/>
            <w:noWrap w:val="0"/>
            <w:vAlign w:val="center"/>
          </w:tcPr>
          <w:p w14:paraId="0EC4BE1A">
            <w:pPr>
              <w:pStyle w:val="25"/>
              <w:jc w:val="center"/>
              <w:rPr>
                <w:rFonts w:hint="default" w:ascii="Times New Roman" w:hAnsi="Times New Roman" w:cs="Times New Roman"/>
                <w:color w:val="auto"/>
                <w:u w:val="none" w:color="auto"/>
              </w:rPr>
            </w:pPr>
          </w:p>
        </w:tc>
        <w:tc>
          <w:tcPr>
            <w:tcW w:w="915" w:type="dxa"/>
            <w:vMerge w:val="continue"/>
            <w:noWrap w:val="0"/>
            <w:vAlign w:val="center"/>
          </w:tcPr>
          <w:p w14:paraId="5D07C4EA">
            <w:pPr>
              <w:pStyle w:val="25"/>
              <w:jc w:val="center"/>
              <w:rPr>
                <w:rFonts w:hint="default" w:ascii="Times New Roman" w:hAnsi="Times New Roman" w:cs="Times New Roman"/>
                <w:color w:val="auto"/>
                <w:u w:val="none" w:color="auto"/>
              </w:rPr>
            </w:pPr>
          </w:p>
        </w:tc>
        <w:tc>
          <w:tcPr>
            <w:tcW w:w="945" w:type="dxa"/>
            <w:vMerge w:val="continue"/>
            <w:noWrap w:val="0"/>
            <w:vAlign w:val="center"/>
          </w:tcPr>
          <w:p w14:paraId="08BCE9E0">
            <w:pPr>
              <w:pStyle w:val="25"/>
              <w:jc w:val="center"/>
              <w:rPr>
                <w:rFonts w:hint="default" w:ascii="Times New Roman" w:hAnsi="Times New Roman" w:cs="Times New Roman"/>
                <w:color w:val="auto"/>
                <w:u w:val="none" w:color="auto"/>
              </w:rPr>
            </w:pPr>
          </w:p>
        </w:tc>
        <w:tc>
          <w:tcPr>
            <w:tcW w:w="990" w:type="dxa"/>
            <w:vMerge w:val="continue"/>
            <w:noWrap w:val="0"/>
            <w:vAlign w:val="center"/>
          </w:tcPr>
          <w:p w14:paraId="5A3E6796">
            <w:pPr>
              <w:pStyle w:val="25"/>
              <w:jc w:val="center"/>
              <w:rPr>
                <w:rFonts w:hint="default" w:ascii="Times New Roman" w:hAnsi="Times New Roman" w:cs="Times New Roman"/>
                <w:color w:val="auto"/>
                <w:u w:val="none" w:color="auto"/>
              </w:rPr>
            </w:pPr>
          </w:p>
        </w:tc>
        <w:tc>
          <w:tcPr>
            <w:tcW w:w="1095" w:type="dxa"/>
            <w:vMerge w:val="continue"/>
            <w:noWrap w:val="0"/>
            <w:vAlign w:val="center"/>
          </w:tcPr>
          <w:p w14:paraId="4F2DE5C1">
            <w:pPr>
              <w:pStyle w:val="25"/>
              <w:jc w:val="center"/>
              <w:rPr>
                <w:rFonts w:hint="default" w:ascii="Times New Roman" w:hAnsi="Times New Roman" w:cs="Times New Roman"/>
                <w:color w:val="auto"/>
                <w:u w:val="none" w:color="auto"/>
              </w:rPr>
            </w:pPr>
          </w:p>
        </w:tc>
        <w:tc>
          <w:tcPr>
            <w:tcW w:w="4453" w:type="dxa"/>
            <w:gridSpan w:val="6"/>
            <w:vMerge w:val="continue"/>
            <w:noWrap w:val="0"/>
            <w:vAlign w:val="center"/>
          </w:tcPr>
          <w:p w14:paraId="501EA31C">
            <w:pPr>
              <w:pStyle w:val="25"/>
              <w:jc w:val="center"/>
              <w:rPr>
                <w:rFonts w:hint="default" w:ascii="Times New Roman" w:hAnsi="Times New Roman" w:cs="Times New Roman"/>
                <w:color w:val="auto"/>
                <w:u w:val="none" w:color="auto"/>
              </w:rPr>
            </w:pPr>
          </w:p>
        </w:tc>
      </w:tr>
      <w:tr w14:paraId="64449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continue"/>
            <w:noWrap w:val="0"/>
            <w:vAlign w:val="center"/>
          </w:tcPr>
          <w:p w14:paraId="3A2A1923">
            <w:pPr>
              <w:pStyle w:val="25"/>
              <w:jc w:val="center"/>
              <w:rPr>
                <w:rFonts w:hint="default" w:ascii="Times New Roman" w:hAnsi="Times New Roman" w:cs="Times New Roman"/>
                <w:color w:val="auto"/>
                <w:u w:val="none" w:color="auto"/>
              </w:rPr>
            </w:pPr>
          </w:p>
        </w:tc>
        <w:tc>
          <w:tcPr>
            <w:tcW w:w="795" w:type="dxa"/>
            <w:vMerge w:val="continue"/>
            <w:noWrap w:val="0"/>
            <w:vAlign w:val="center"/>
          </w:tcPr>
          <w:p w14:paraId="2A6AEF8F">
            <w:pPr>
              <w:pStyle w:val="25"/>
              <w:jc w:val="center"/>
              <w:rPr>
                <w:rFonts w:hint="default" w:ascii="Times New Roman" w:hAnsi="Times New Roman" w:cs="Times New Roman"/>
                <w:color w:val="auto"/>
                <w:u w:val="none" w:color="auto"/>
              </w:rPr>
            </w:pPr>
          </w:p>
        </w:tc>
        <w:tc>
          <w:tcPr>
            <w:tcW w:w="795" w:type="dxa"/>
            <w:vMerge w:val="continue"/>
            <w:noWrap w:val="0"/>
            <w:vAlign w:val="center"/>
          </w:tcPr>
          <w:p w14:paraId="79870ED0">
            <w:pPr>
              <w:pStyle w:val="25"/>
              <w:jc w:val="center"/>
              <w:rPr>
                <w:rFonts w:hint="default" w:ascii="Times New Roman" w:hAnsi="Times New Roman" w:cs="Times New Roman"/>
                <w:color w:val="auto"/>
                <w:u w:val="none" w:color="auto"/>
              </w:rPr>
            </w:pPr>
          </w:p>
        </w:tc>
        <w:tc>
          <w:tcPr>
            <w:tcW w:w="1050" w:type="dxa"/>
            <w:vMerge w:val="continue"/>
            <w:noWrap w:val="0"/>
            <w:vAlign w:val="center"/>
          </w:tcPr>
          <w:p w14:paraId="5302F1A7">
            <w:pPr>
              <w:pStyle w:val="25"/>
              <w:jc w:val="center"/>
              <w:rPr>
                <w:rFonts w:hint="default" w:ascii="Times New Roman" w:hAnsi="Times New Roman" w:cs="Times New Roman"/>
                <w:color w:val="auto"/>
                <w:u w:val="none" w:color="auto"/>
              </w:rPr>
            </w:pPr>
          </w:p>
        </w:tc>
        <w:tc>
          <w:tcPr>
            <w:tcW w:w="975" w:type="dxa"/>
            <w:vMerge w:val="continue"/>
            <w:noWrap w:val="0"/>
            <w:vAlign w:val="center"/>
          </w:tcPr>
          <w:p w14:paraId="02822677">
            <w:pPr>
              <w:pStyle w:val="25"/>
              <w:jc w:val="center"/>
              <w:rPr>
                <w:rFonts w:hint="default" w:ascii="Times New Roman" w:hAnsi="Times New Roman" w:cs="Times New Roman"/>
                <w:color w:val="auto"/>
                <w:u w:val="none" w:color="auto"/>
              </w:rPr>
            </w:pPr>
          </w:p>
        </w:tc>
        <w:tc>
          <w:tcPr>
            <w:tcW w:w="1155" w:type="dxa"/>
            <w:vMerge w:val="continue"/>
            <w:noWrap w:val="0"/>
            <w:vAlign w:val="center"/>
          </w:tcPr>
          <w:p w14:paraId="656393CE">
            <w:pPr>
              <w:pStyle w:val="25"/>
              <w:jc w:val="center"/>
              <w:rPr>
                <w:rFonts w:hint="default" w:ascii="Times New Roman" w:hAnsi="Times New Roman" w:cs="Times New Roman"/>
                <w:color w:val="auto"/>
                <w:u w:val="none" w:color="auto"/>
              </w:rPr>
            </w:pPr>
          </w:p>
        </w:tc>
        <w:tc>
          <w:tcPr>
            <w:tcW w:w="915" w:type="dxa"/>
            <w:vMerge w:val="continue"/>
            <w:noWrap w:val="0"/>
            <w:vAlign w:val="center"/>
          </w:tcPr>
          <w:p w14:paraId="297291B4">
            <w:pPr>
              <w:pStyle w:val="25"/>
              <w:jc w:val="center"/>
              <w:rPr>
                <w:rFonts w:hint="default" w:ascii="Times New Roman" w:hAnsi="Times New Roman" w:cs="Times New Roman"/>
                <w:color w:val="auto"/>
                <w:u w:val="none" w:color="auto"/>
              </w:rPr>
            </w:pPr>
          </w:p>
        </w:tc>
        <w:tc>
          <w:tcPr>
            <w:tcW w:w="945" w:type="dxa"/>
            <w:vMerge w:val="continue"/>
            <w:noWrap w:val="0"/>
            <w:vAlign w:val="center"/>
          </w:tcPr>
          <w:p w14:paraId="403E211A">
            <w:pPr>
              <w:pStyle w:val="25"/>
              <w:jc w:val="center"/>
              <w:rPr>
                <w:rFonts w:hint="default" w:ascii="Times New Roman" w:hAnsi="Times New Roman" w:cs="Times New Roman"/>
                <w:color w:val="auto"/>
                <w:u w:val="none" w:color="auto"/>
              </w:rPr>
            </w:pPr>
          </w:p>
        </w:tc>
        <w:tc>
          <w:tcPr>
            <w:tcW w:w="990" w:type="dxa"/>
            <w:vMerge w:val="continue"/>
            <w:noWrap w:val="0"/>
            <w:vAlign w:val="center"/>
          </w:tcPr>
          <w:p w14:paraId="13995BF8">
            <w:pPr>
              <w:pStyle w:val="25"/>
              <w:jc w:val="center"/>
              <w:rPr>
                <w:rFonts w:hint="default" w:ascii="Times New Roman" w:hAnsi="Times New Roman" w:cs="Times New Roman"/>
                <w:color w:val="auto"/>
                <w:u w:val="none" w:color="auto"/>
              </w:rPr>
            </w:pPr>
          </w:p>
        </w:tc>
        <w:tc>
          <w:tcPr>
            <w:tcW w:w="1095" w:type="dxa"/>
            <w:vMerge w:val="continue"/>
            <w:noWrap w:val="0"/>
            <w:vAlign w:val="center"/>
          </w:tcPr>
          <w:p w14:paraId="44486955">
            <w:pPr>
              <w:pStyle w:val="25"/>
              <w:jc w:val="center"/>
              <w:rPr>
                <w:rFonts w:hint="default" w:ascii="Times New Roman" w:hAnsi="Times New Roman" w:cs="Times New Roman"/>
                <w:color w:val="auto"/>
                <w:u w:val="none" w:color="auto"/>
              </w:rPr>
            </w:pPr>
          </w:p>
        </w:tc>
        <w:tc>
          <w:tcPr>
            <w:tcW w:w="742" w:type="dxa"/>
            <w:noWrap w:val="0"/>
            <w:vAlign w:val="center"/>
          </w:tcPr>
          <w:p w14:paraId="0920E625">
            <w:pPr>
              <w:pStyle w:val="25"/>
              <w:jc w:val="center"/>
              <w:rPr>
                <w:rFonts w:hint="default" w:cs="Times New Roman"/>
                <w:b w:val="0"/>
                <w:bCs w:val="0"/>
                <w:color w:val="auto"/>
                <w:sz w:val="21"/>
                <w:szCs w:val="21"/>
                <w:u w:val="none" w:color="auto"/>
                <w:lang w:val="en-US" w:eastAsia="zh-CN"/>
              </w:rPr>
            </w:pPr>
            <w:r>
              <w:rPr>
                <w:color w:val="auto"/>
                <w:u w:val="none" w:color="auto"/>
              </w:rPr>
              <w:t>TSP</w:t>
            </w:r>
          </w:p>
        </w:tc>
        <w:tc>
          <w:tcPr>
            <w:tcW w:w="742" w:type="dxa"/>
            <w:noWrap w:val="0"/>
            <w:vAlign w:val="center"/>
          </w:tcPr>
          <w:p w14:paraId="509E01D0">
            <w:pPr>
              <w:pStyle w:val="25"/>
              <w:jc w:val="center"/>
              <w:rPr>
                <w:rFonts w:hint="default" w:cs="Times New Roman"/>
                <w:b w:val="0"/>
                <w:bCs w:val="0"/>
                <w:color w:val="auto"/>
                <w:sz w:val="21"/>
                <w:szCs w:val="21"/>
                <w:u w:val="none" w:color="auto"/>
                <w:lang w:val="en-US" w:eastAsia="zh-CN"/>
              </w:rPr>
            </w:pPr>
            <w:r>
              <w:rPr>
                <w:rFonts w:hint="eastAsia"/>
                <w:color w:val="auto"/>
                <w:u w:val="none" w:color="auto"/>
                <w:lang w:val="en-US" w:eastAsia="zh-CN"/>
              </w:rPr>
              <w:t>PM</w:t>
            </w:r>
            <w:r>
              <w:rPr>
                <w:rFonts w:hint="eastAsia"/>
                <w:color w:val="auto"/>
                <w:u w:val="none" w:color="auto"/>
                <w:vertAlign w:val="subscript"/>
                <w:lang w:val="en-US" w:eastAsia="zh-CN"/>
              </w:rPr>
              <w:t>10</w:t>
            </w:r>
          </w:p>
        </w:tc>
        <w:tc>
          <w:tcPr>
            <w:tcW w:w="742" w:type="dxa"/>
            <w:noWrap w:val="0"/>
            <w:vAlign w:val="center"/>
          </w:tcPr>
          <w:p w14:paraId="4FFE68C7">
            <w:pPr>
              <w:pStyle w:val="25"/>
              <w:jc w:val="center"/>
              <w:rPr>
                <w:rFonts w:hint="default" w:cs="Times New Roman"/>
                <w:b w:val="0"/>
                <w:bCs w:val="0"/>
                <w:color w:val="auto"/>
                <w:sz w:val="21"/>
                <w:szCs w:val="21"/>
                <w:u w:val="none" w:color="auto"/>
                <w:lang w:val="en-US" w:eastAsia="zh-CN"/>
              </w:rPr>
            </w:pPr>
            <w:r>
              <w:rPr>
                <w:rFonts w:hint="eastAsia"/>
                <w:color w:val="auto"/>
                <w:u w:val="none" w:color="auto"/>
                <w:lang w:val="en-US" w:eastAsia="zh-CN"/>
              </w:rPr>
              <w:t>二氧化硫</w:t>
            </w:r>
          </w:p>
        </w:tc>
        <w:tc>
          <w:tcPr>
            <w:tcW w:w="742" w:type="dxa"/>
            <w:noWrap w:val="0"/>
            <w:vAlign w:val="center"/>
          </w:tcPr>
          <w:p w14:paraId="7CC2428B">
            <w:pPr>
              <w:pStyle w:val="25"/>
              <w:jc w:val="center"/>
              <w:rPr>
                <w:rFonts w:hint="default" w:cs="Times New Roman"/>
                <w:b w:val="0"/>
                <w:bCs w:val="0"/>
                <w:color w:val="auto"/>
                <w:sz w:val="21"/>
                <w:szCs w:val="21"/>
                <w:u w:val="none" w:color="auto"/>
                <w:lang w:val="en-US" w:eastAsia="zh-CN"/>
              </w:rPr>
            </w:pPr>
            <w:r>
              <w:rPr>
                <w:rFonts w:hint="eastAsia"/>
                <w:color w:val="auto"/>
                <w:u w:val="none" w:color="auto"/>
                <w:lang w:val="en-US" w:eastAsia="zh-CN"/>
              </w:rPr>
              <w:t>二氧化氮</w:t>
            </w:r>
          </w:p>
        </w:tc>
        <w:tc>
          <w:tcPr>
            <w:tcW w:w="742" w:type="dxa"/>
            <w:noWrap w:val="0"/>
            <w:vAlign w:val="center"/>
          </w:tcPr>
          <w:p w14:paraId="60F52C2A">
            <w:pPr>
              <w:pStyle w:val="25"/>
              <w:jc w:val="center"/>
              <w:rPr>
                <w:rFonts w:hint="default" w:cs="Times New Roman"/>
                <w:b w:val="0"/>
                <w:bCs w:val="0"/>
                <w:color w:val="auto"/>
                <w:sz w:val="21"/>
                <w:szCs w:val="21"/>
                <w:u w:val="none" w:color="auto"/>
                <w:lang w:val="en-US" w:eastAsia="zh-CN"/>
              </w:rPr>
            </w:pPr>
            <w:r>
              <w:rPr>
                <w:color w:val="auto"/>
                <w:u w:val="none" w:color="auto"/>
              </w:rPr>
              <w:t>TVOC</w:t>
            </w:r>
          </w:p>
        </w:tc>
        <w:tc>
          <w:tcPr>
            <w:tcW w:w="743" w:type="dxa"/>
            <w:noWrap w:val="0"/>
            <w:vAlign w:val="center"/>
          </w:tcPr>
          <w:p w14:paraId="184E06E6">
            <w:pPr>
              <w:pStyle w:val="25"/>
              <w:jc w:val="center"/>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甲醛</w:t>
            </w:r>
          </w:p>
        </w:tc>
      </w:tr>
      <w:tr w14:paraId="33D64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noWrap w:val="0"/>
            <w:vAlign w:val="center"/>
          </w:tcPr>
          <w:p w14:paraId="67EFB11A">
            <w:pPr>
              <w:pStyle w:val="25"/>
              <w:jc w:val="center"/>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DA001</w:t>
            </w:r>
          </w:p>
          <w:p w14:paraId="524D1117">
            <w:pPr>
              <w:pStyle w:val="25"/>
              <w:jc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排气筒</w:t>
            </w:r>
          </w:p>
        </w:tc>
        <w:tc>
          <w:tcPr>
            <w:tcW w:w="795" w:type="dxa"/>
            <w:noWrap w:val="0"/>
            <w:vAlign w:val="center"/>
          </w:tcPr>
          <w:p w14:paraId="73008CD1">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-3</w:t>
            </w:r>
          </w:p>
        </w:tc>
        <w:tc>
          <w:tcPr>
            <w:tcW w:w="795" w:type="dxa"/>
            <w:noWrap w:val="0"/>
            <w:vAlign w:val="center"/>
          </w:tcPr>
          <w:p w14:paraId="43509220">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-52</w:t>
            </w:r>
          </w:p>
        </w:tc>
        <w:tc>
          <w:tcPr>
            <w:tcW w:w="1050" w:type="dxa"/>
            <w:noWrap w:val="0"/>
            <w:vAlign w:val="center"/>
          </w:tcPr>
          <w:p w14:paraId="2167505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84</w:t>
            </w:r>
          </w:p>
        </w:tc>
        <w:tc>
          <w:tcPr>
            <w:tcW w:w="975" w:type="dxa"/>
            <w:noWrap w:val="0"/>
            <w:vAlign w:val="center"/>
          </w:tcPr>
          <w:p w14:paraId="0C992BD3">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15</w:t>
            </w:r>
          </w:p>
        </w:tc>
        <w:tc>
          <w:tcPr>
            <w:tcW w:w="1155" w:type="dxa"/>
            <w:noWrap w:val="0"/>
            <w:vAlign w:val="center"/>
          </w:tcPr>
          <w:p w14:paraId="24E3D90A">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1.0</w:t>
            </w:r>
          </w:p>
        </w:tc>
        <w:tc>
          <w:tcPr>
            <w:tcW w:w="915" w:type="dxa"/>
            <w:noWrap w:val="0"/>
            <w:vAlign w:val="center"/>
          </w:tcPr>
          <w:p w14:paraId="44C75263">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40000</w:t>
            </w:r>
          </w:p>
        </w:tc>
        <w:tc>
          <w:tcPr>
            <w:tcW w:w="945" w:type="dxa"/>
            <w:noWrap w:val="0"/>
            <w:vAlign w:val="center"/>
          </w:tcPr>
          <w:p w14:paraId="06F64030">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20</w:t>
            </w:r>
          </w:p>
        </w:tc>
        <w:tc>
          <w:tcPr>
            <w:tcW w:w="990" w:type="dxa"/>
            <w:noWrap w:val="0"/>
            <w:vAlign w:val="center"/>
          </w:tcPr>
          <w:p w14:paraId="3C1845C6">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2400</w:t>
            </w:r>
          </w:p>
        </w:tc>
        <w:tc>
          <w:tcPr>
            <w:tcW w:w="1095" w:type="dxa"/>
            <w:noWrap w:val="0"/>
            <w:vAlign w:val="center"/>
          </w:tcPr>
          <w:p w14:paraId="592AF3A2">
            <w:pPr>
              <w:pStyle w:val="25"/>
              <w:jc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正常排放</w:t>
            </w:r>
          </w:p>
        </w:tc>
        <w:tc>
          <w:tcPr>
            <w:tcW w:w="742" w:type="dxa"/>
            <w:noWrap w:val="0"/>
            <w:vAlign w:val="center"/>
          </w:tcPr>
          <w:p w14:paraId="4FBFD3DA">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742" w:type="dxa"/>
            <w:noWrap w:val="0"/>
            <w:vAlign w:val="center"/>
          </w:tcPr>
          <w:p w14:paraId="4DDCEC9E">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0.038</w:t>
            </w:r>
          </w:p>
        </w:tc>
        <w:tc>
          <w:tcPr>
            <w:tcW w:w="742" w:type="dxa"/>
            <w:noWrap w:val="0"/>
            <w:vAlign w:val="center"/>
          </w:tcPr>
          <w:p w14:paraId="11E4E35A">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742" w:type="dxa"/>
            <w:noWrap w:val="0"/>
            <w:vAlign w:val="center"/>
          </w:tcPr>
          <w:p w14:paraId="2A917D7D">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742" w:type="dxa"/>
            <w:noWrap w:val="0"/>
            <w:vAlign w:val="center"/>
          </w:tcPr>
          <w:p w14:paraId="0F3D898D">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0.107</w:t>
            </w:r>
          </w:p>
        </w:tc>
        <w:tc>
          <w:tcPr>
            <w:tcW w:w="743" w:type="dxa"/>
            <w:noWrap w:val="0"/>
            <w:vAlign w:val="center"/>
          </w:tcPr>
          <w:p w14:paraId="037F766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0.143</w:t>
            </w:r>
          </w:p>
        </w:tc>
      </w:tr>
      <w:tr w14:paraId="01857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noWrap w:val="0"/>
            <w:vAlign w:val="center"/>
          </w:tcPr>
          <w:p w14:paraId="0B00DC29">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DA002</w:t>
            </w:r>
          </w:p>
          <w:p w14:paraId="0238ACF4">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排气筒</w:t>
            </w:r>
          </w:p>
        </w:tc>
        <w:tc>
          <w:tcPr>
            <w:tcW w:w="795" w:type="dxa"/>
            <w:noWrap w:val="0"/>
            <w:vAlign w:val="center"/>
          </w:tcPr>
          <w:p w14:paraId="42F9A8AC">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w:t>
            </w:r>
          </w:p>
        </w:tc>
        <w:tc>
          <w:tcPr>
            <w:tcW w:w="795" w:type="dxa"/>
            <w:noWrap w:val="0"/>
            <w:vAlign w:val="center"/>
          </w:tcPr>
          <w:p w14:paraId="626CE284">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-9</w:t>
            </w:r>
          </w:p>
        </w:tc>
        <w:tc>
          <w:tcPr>
            <w:tcW w:w="1050" w:type="dxa"/>
            <w:noWrap w:val="0"/>
            <w:vAlign w:val="center"/>
          </w:tcPr>
          <w:p w14:paraId="515799B1">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84</w:t>
            </w:r>
          </w:p>
        </w:tc>
        <w:tc>
          <w:tcPr>
            <w:tcW w:w="975" w:type="dxa"/>
            <w:noWrap w:val="0"/>
            <w:vAlign w:val="center"/>
          </w:tcPr>
          <w:p w14:paraId="4CF1D8A3">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15</w:t>
            </w:r>
          </w:p>
        </w:tc>
        <w:tc>
          <w:tcPr>
            <w:tcW w:w="1155" w:type="dxa"/>
            <w:noWrap w:val="0"/>
            <w:vAlign w:val="center"/>
          </w:tcPr>
          <w:p w14:paraId="7E94868D">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0.5</w:t>
            </w:r>
          </w:p>
        </w:tc>
        <w:tc>
          <w:tcPr>
            <w:tcW w:w="915" w:type="dxa"/>
            <w:noWrap w:val="0"/>
            <w:vAlign w:val="center"/>
          </w:tcPr>
          <w:p w14:paraId="1CB8A052">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5000</w:t>
            </w:r>
          </w:p>
        </w:tc>
        <w:tc>
          <w:tcPr>
            <w:tcW w:w="945" w:type="dxa"/>
            <w:noWrap w:val="0"/>
            <w:vAlign w:val="center"/>
          </w:tcPr>
          <w:p w14:paraId="1EFE92B2">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800</w:t>
            </w:r>
          </w:p>
        </w:tc>
        <w:tc>
          <w:tcPr>
            <w:tcW w:w="990" w:type="dxa"/>
            <w:noWrap w:val="0"/>
            <w:vAlign w:val="center"/>
          </w:tcPr>
          <w:p w14:paraId="51F9EE7D">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6000</w:t>
            </w:r>
          </w:p>
        </w:tc>
        <w:tc>
          <w:tcPr>
            <w:tcW w:w="1095" w:type="dxa"/>
            <w:noWrap w:val="0"/>
            <w:vAlign w:val="center"/>
          </w:tcPr>
          <w:p w14:paraId="4BDF29BC">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正常排放</w:t>
            </w:r>
          </w:p>
        </w:tc>
        <w:tc>
          <w:tcPr>
            <w:tcW w:w="742" w:type="dxa"/>
            <w:noWrap w:val="0"/>
            <w:vAlign w:val="center"/>
          </w:tcPr>
          <w:p w14:paraId="6B796EC8">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0.015</w:t>
            </w:r>
          </w:p>
        </w:tc>
        <w:tc>
          <w:tcPr>
            <w:tcW w:w="742" w:type="dxa"/>
            <w:noWrap w:val="0"/>
            <w:vAlign w:val="center"/>
          </w:tcPr>
          <w:p w14:paraId="315BB8AE">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742" w:type="dxa"/>
            <w:noWrap w:val="0"/>
            <w:vAlign w:val="center"/>
          </w:tcPr>
          <w:p w14:paraId="72E57B44">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0.015</w:t>
            </w:r>
          </w:p>
        </w:tc>
        <w:tc>
          <w:tcPr>
            <w:tcW w:w="742" w:type="dxa"/>
            <w:noWrap w:val="0"/>
            <w:vAlign w:val="center"/>
          </w:tcPr>
          <w:p w14:paraId="08257D16">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0.226</w:t>
            </w:r>
          </w:p>
        </w:tc>
        <w:tc>
          <w:tcPr>
            <w:tcW w:w="742" w:type="dxa"/>
            <w:noWrap w:val="0"/>
            <w:vAlign w:val="center"/>
          </w:tcPr>
          <w:p w14:paraId="4B41276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0.35</w:t>
            </w:r>
          </w:p>
        </w:tc>
        <w:tc>
          <w:tcPr>
            <w:tcW w:w="743" w:type="dxa"/>
            <w:noWrap w:val="0"/>
            <w:vAlign w:val="center"/>
          </w:tcPr>
          <w:p w14:paraId="60332AF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r>
      <w:tr w14:paraId="65FD0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noWrap w:val="0"/>
            <w:vAlign w:val="center"/>
          </w:tcPr>
          <w:p w14:paraId="7BD9DEC7">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DA003</w:t>
            </w:r>
          </w:p>
          <w:p w14:paraId="7C71329F">
            <w:pPr>
              <w:pStyle w:val="25"/>
              <w:jc w:val="center"/>
              <w:rPr>
                <w:rFonts w:hint="eastAsia"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排气筒</w:t>
            </w:r>
          </w:p>
        </w:tc>
        <w:tc>
          <w:tcPr>
            <w:tcW w:w="795" w:type="dxa"/>
            <w:noWrap w:val="0"/>
            <w:vAlign w:val="center"/>
          </w:tcPr>
          <w:p w14:paraId="7D9B2F53">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w:t>
            </w:r>
          </w:p>
        </w:tc>
        <w:tc>
          <w:tcPr>
            <w:tcW w:w="795" w:type="dxa"/>
            <w:noWrap w:val="0"/>
            <w:vAlign w:val="center"/>
          </w:tcPr>
          <w:p w14:paraId="3F53EAB0">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kern w:val="2"/>
                <w:sz w:val="21"/>
                <w:szCs w:val="24"/>
                <w:u w:val="none" w:color="auto"/>
                <w:lang w:val="en-US" w:eastAsia="zh-CN" w:bidi="ar-SA"/>
              </w:rPr>
              <w:t>0</w:t>
            </w:r>
          </w:p>
        </w:tc>
        <w:tc>
          <w:tcPr>
            <w:tcW w:w="1050" w:type="dxa"/>
            <w:noWrap w:val="0"/>
            <w:vAlign w:val="center"/>
          </w:tcPr>
          <w:p w14:paraId="6616DA82">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83</w:t>
            </w:r>
          </w:p>
        </w:tc>
        <w:tc>
          <w:tcPr>
            <w:tcW w:w="975" w:type="dxa"/>
            <w:noWrap w:val="0"/>
            <w:vAlign w:val="center"/>
          </w:tcPr>
          <w:p w14:paraId="54741060">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15</w:t>
            </w:r>
          </w:p>
        </w:tc>
        <w:tc>
          <w:tcPr>
            <w:tcW w:w="1155" w:type="dxa"/>
            <w:noWrap w:val="0"/>
            <w:vAlign w:val="center"/>
          </w:tcPr>
          <w:p w14:paraId="5416E780">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0.5</w:t>
            </w:r>
          </w:p>
        </w:tc>
        <w:tc>
          <w:tcPr>
            <w:tcW w:w="915" w:type="dxa"/>
            <w:noWrap w:val="0"/>
            <w:vAlign w:val="center"/>
          </w:tcPr>
          <w:p w14:paraId="63B0F3CA">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5000</w:t>
            </w:r>
          </w:p>
        </w:tc>
        <w:tc>
          <w:tcPr>
            <w:tcW w:w="945" w:type="dxa"/>
            <w:noWrap w:val="0"/>
            <w:vAlign w:val="center"/>
          </w:tcPr>
          <w:p w14:paraId="5D7EC64B">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800</w:t>
            </w:r>
          </w:p>
        </w:tc>
        <w:tc>
          <w:tcPr>
            <w:tcW w:w="990" w:type="dxa"/>
            <w:noWrap w:val="0"/>
            <w:vAlign w:val="center"/>
          </w:tcPr>
          <w:p w14:paraId="1B152553">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6000</w:t>
            </w:r>
          </w:p>
        </w:tc>
        <w:tc>
          <w:tcPr>
            <w:tcW w:w="1095" w:type="dxa"/>
            <w:noWrap w:val="0"/>
            <w:vAlign w:val="center"/>
          </w:tcPr>
          <w:p w14:paraId="21423D1B">
            <w:pPr>
              <w:pStyle w:val="25"/>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正常排放</w:t>
            </w:r>
          </w:p>
        </w:tc>
        <w:tc>
          <w:tcPr>
            <w:tcW w:w="742" w:type="dxa"/>
            <w:noWrap w:val="0"/>
            <w:vAlign w:val="center"/>
          </w:tcPr>
          <w:p w14:paraId="7CB312CF">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0.015</w:t>
            </w:r>
          </w:p>
        </w:tc>
        <w:tc>
          <w:tcPr>
            <w:tcW w:w="742" w:type="dxa"/>
            <w:noWrap w:val="0"/>
            <w:vAlign w:val="center"/>
          </w:tcPr>
          <w:p w14:paraId="21B95F5F">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742" w:type="dxa"/>
            <w:noWrap w:val="0"/>
            <w:vAlign w:val="center"/>
          </w:tcPr>
          <w:p w14:paraId="78262D77">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0.015</w:t>
            </w:r>
          </w:p>
        </w:tc>
        <w:tc>
          <w:tcPr>
            <w:tcW w:w="742" w:type="dxa"/>
            <w:noWrap w:val="0"/>
            <w:vAlign w:val="center"/>
          </w:tcPr>
          <w:p w14:paraId="5D8EA039">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0.226</w:t>
            </w:r>
          </w:p>
        </w:tc>
        <w:tc>
          <w:tcPr>
            <w:tcW w:w="742" w:type="dxa"/>
            <w:noWrap w:val="0"/>
            <w:vAlign w:val="center"/>
          </w:tcPr>
          <w:p w14:paraId="352652B9">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0.35</w:t>
            </w:r>
          </w:p>
        </w:tc>
        <w:tc>
          <w:tcPr>
            <w:tcW w:w="743" w:type="dxa"/>
            <w:noWrap w:val="0"/>
            <w:vAlign w:val="center"/>
          </w:tcPr>
          <w:p w14:paraId="6070F1D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r>
      <w:tr w14:paraId="6B869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5" w:type="dxa"/>
            <w:gridSpan w:val="16"/>
            <w:noWrap w:val="0"/>
            <w:vAlign w:val="center"/>
          </w:tcPr>
          <w:p w14:paraId="09CA143D">
            <w:pPr>
              <w:pStyle w:val="32"/>
              <w:bidi w:val="0"/>
              <w:jc w:val="left"/>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备注：（0，0）坐标为（东经113.150629、北纬28.484262）</w:t>
            </w:r>
          </w:p>
        </w:tc>
      </w:tr>
    </w:tbl>
    <w:p w14:paraId="4934A12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rPr>
        <w:t>.2-</w:t>
      </w:r>
      <w:r>
        <w:rPr>
          <w:rFonts w:hint="eastAsia"/>
          <w:color w:val="auto"/>
          <w:u w:val="none" w:color="auto"/>
          <w:lang w:val="en-US" w:eastAsia="zh-CN"/>
        </w:rPr>
        <w:t>4</w:t>
      </w:r>
      <w:r>
        <w:rPr>
          <w:rFonts w:hint="default"/>
          <w:color w:val="auto"/>
          <w:u w:val="none" w:color="auto"/>
        </w:rPr>
        <w:t xml:space="preserve">  矩形面源参数表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9"/>
        <w:gridCol w:w="750"/>
        <w:gridCol w:w="885"/>
        <w:gridCol w:w="885"/>
        <w:gridCol w:w="900"/>
        <w:gridCol w:w="1005"/>
        <w:gridCol w:w="1275"/>
        <w:gridCol w:w="1065"/>
        <w:gridCol w:w="1110"/>
        <w:gridCol w:w="1485"/>
        <w:gridCol w:w="1515"/>
        <w:gridCol w:w="1437"/>
      </w:tblGrid>
      <w:tr w14:paraId="0DFFD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noWrap w:val="0"/>
            <w:vAlign w:val="center"/>
          </w:tcPr>
          <w:p w14:paraId="7A50FFCC">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1539" w:type="dxa"/>
            <w:gridSpan w:val="2"/>
            <w:tcBorders>
              <w:tl2br w:val="nil"/>
              <w:tr2bl w:val="nil"/>
            </w:tcBorders>
            <w:noWrap w:val="0"/>
            <w:vAlign w:val="center"/>
          </w:tcPr>
          <w:p w14:paraId="283677E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面源起点坐标</w:t>
            </w:r>
          </w:p>
        </w:tc>
        <w:tc>
          <w:tcPr>
            <w:tcW w:w="885" w:type="dxa"/>
            <w:vMerge w:val="restart"/>
            <w:tcBorders>
              <w:tl2br w:val="nil"/>
              <w:tr2bl w:val="nil"/>
            </w:tcBorders>
            <w:noWrap w:val="0"/>
            <w:vAlign w:val="center"/>
          </w:tcPr>
          <w:p w14:paraId="7D075D58">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面源海拔高度</w:t>
            </w:r>
            <w:r>
              <w:rPr>
                <w:rFonts w:hint="eastAsia" w:cs="Times New Roman"/>
                <w:color w:val="auto"/>
                <w:u w:val="none" w:color="auto"/>
                <w:lang w:val="en-US" w:eastAsia="zh-CN"/>
              </w:rPr>
              <w:t>m</w:t>
            </w:r>
          </w:p>
        </w:tc>
        <w:tc>
          <w:tcPr>
            <w:tcW w:w="885" w:type="dxa"/>
            <w:vMerge w:val="restart"/>
            <w:tcBorders>
              <w:tl2br w:val="nil"/>
              <w:tr2bl w:val="nil"/>
            </w:tcBorders>
            <w:noWrap w:val="0"/>
            <w:vAlign w:val="center"/>
          </w:tcPr>
          <w:p w14:paraId="5926D96A">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面源长度</w:t>
            </w:r>
            <w:r>
              <w:rPr>
                <w:rFonts w:hint="eastAsia" w:cs="Times New Roman"/>
                <w:color w:val="auto"/>
                <w:u w:val="none" w:color="auto"/>
                <w:lang w:val="en-US" w:eastAsia="zh-CN"/>
              </w:rPr>
              <w:t>m</w:t>
            </w:r>
          </w:p>
        </w:tc>
        <w:tc>
          <w:tcPr>
            <w:tcW w:w="900" w:type="dxa"/>
            <w:vMerge w:val="restart"/>
            <w:tcBorders>
              <w:tl2br w:val="nil"/>
              <w:tr2bl w:val="nil"/>
            </w:tcBorders>
            <w:noWrap w:val="0"/>
            <w:vAlign w:val="center"/>
          </w:tcPr>
          <w:p w14:paraId="5EA1B26D">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面源宽度</w:t>
            </w:r>
            <w:r>
              <w:rPr>
                <w:rFonts w:hint="eastAsia" w:cs="Times New Roman"/>
                <w:color w:val="auto"/>
                <w:u w:val="none" w:color="auto"/>
                <w:lang w:val="en-US" w:eastAsia="zh-CN"/>
              </w:rPr>
              <w:t>m</w:t>
            </w:r>
          </w:p>
        </w:tc>
        <w:tc>
          <w:tcPr>
            <w:tcW w:w="1005" w:type="dxa"/>
            <w:vMerge w:val="restart"/>
            <w:tcBorders>
              <w:tl2br w:val="nil"/>
              <w:tr2bl w:val="nil"/>
            </w:tcBorders>
            <w:noWrap w:val="0"/>
            <w:vAlign w:val="center"/>
          </w:tcPr>
          <w:p w14:paraId="0C4B478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与正北向夹角°</w:t>
            </w:r>
          </w:p>
        </w:tc>
        <w:tc>
          <w:tcPr>
            <w:tcW w:w="1275" w:type="dxa"/>
            <w:vMerge w:val="restart"/>
            <w:tcBorders>
              <w:tl2br w:val="nil"/>
              <w:tr2bl w:val="nil"/>
            </w:tcBorders>
            <w:noWrap w:val="0"/>
            <w:vAlign w:val="center"/>
          </w:tcPr>
          <w:p w14:paraId="59F3D823">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面源有效排放高度</w:t>
            </w:r>
            <w:r>
              <w:rPr>
                <w:rFonts w:hint="eastAsia" w:cs="Times New Roman"/>
                <w:color w:val="auto"/>
                <w:u w:val="none" w:color="auto"/>
                <w:lang w:val="en-US" w:eastAsia="zh-CN"/>
              </w:rPr>
              <w:t>m</w:t>
            </w:r>
          </w:p>
        </w:tc>
        <w:tc>
          <w:tcPr>
            <w:tcW w:w="1065" w:type="dxa"/>
            <w:vMerge w:val="restart"/>
            <w:tcBorders>
              <w:tl2br w:val="nil"/>
              <w:tr2bl w:val="nil"/>
            </w:tcBorders>
            <w:noWrap w:val="0"/>
            <w:vAlign w:val="center"/>
          </w:tcPr>
          <w:p w14:paraId="75A37F49">
            <w:pPr>
              <w:pStyle w:val="25"/>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年排放小时数</w:t>
            </w:r>
            <w:r>
              <w:rPr>
                <w:rFonts w:hint="eastAsia" w:cs="Times New Roman"/>
                <w:color w:val="auto"/>
                <w:u w:val="none" w:color="auto"/>
                <w:lang w:val="en-US" w:eastAsia="zh-CN"/>
              </w:rPr>
              <w:t>h</w:t>
            </w:r>
          </w:p>
        </w:tc>
        <w:tc>
          <w:tcPr>
            <w:tcW w:w="1110" w:type="dxa"/>
            <w:vMerge w:val="restart"/>
            <w:tcBorders>
              <w:tl2br w:val="nil"/>
              <w:tr2bl w:val="nil"/>
            </w:tcBorders>
            <w:noWrap w:val="0"/>
            <w:vAlign w:val="center"/>
          </w:tcPr>
          <w:p w14:paraId="470E680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排放工况</w:t>
            </w:r>
          </w:p>
        </w:tc>
        <w:tc>
          <w:tcPr>
            <w:tcW w:w="4437" w:type="dxa"/>
            <w:gridSpan w:val="3"/>
            <w:vMerge w:val="restart"/>
            <w:tcBorders>
              <w:tl2br w:val="nil"/>
              <w:tr2bl w:val="nil"/>
            </w:tcBorders>
            <w:noWrap w:val="0"/>
            <w:vAlign w:val="center"/>
          </w:tcPr>
          <w:p w14:paraId="18946392">
            <w:pPr>
              <w:pStyle w:val="25"/>
              <w:bidi w:val="0"/>
              <w:rPr>
                <w:rFonts w:hint="eastAsia"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污染物排放速率</w:t>
            </w:r>
            <w:r>
              <w:rPr>
                <w:rFonts w:hint="eastAsia" w:cs="Times New Roman"/>
                <w:color w:val="auto"/>
                <w:u w:val="none" w:color="auto"/>
                <w:lang w:eastAsia="zh-CN"/>
              </w:rPr>
              <w:t>（</w:t>
            </w:r>
            <w:r>
              <w:rPr>
                <w:rFonts w:hint="default" w:ascii="Times New Roman" w:hAnsi="Times New Roman" w:cs="Times New Roman"/>
                <w:color w:val="auto"/>
                <w:u w:val="none" w:color="auto"/>
              </w:rPr>
              <w:t>kg/h</w:t>
            </w:r>
            <w:r>
              <w:rPr>
                <w:rFonts w:hint="eastAsia" w:cs="Times New Roman"/>
                <w:color w:val="auto"/>
                <w:u w:val="none" w:color="auto"/>
                <w:lang w:eastAsia="zh-CN"/>
              </w:rPr>
              <w:t>）</w:t>
            </w:r>
          </w:p>
        </w:tc>
      </w:tr>
      <w:tr w14:paraId="5C568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noWrap w:val="0"/>
            <w:vAlign w:val="center"/>
          </w:tcPr>
          <w:p w14:paraId="35A467DD">
            <w:pPr>
              <w:pStyle w:val="25"/>
              <w:bidi w:val="0"/>
              <w:rPr>
                <w:rFonts w:hint="default" w:ascii="Times New Roman" w:hAnsi="Times New Roman" w:cs="Times New Roman"/>
                <w:color w:val="auto"/>
                <w:u w:val="none" w:color="auto"/>
              </w:rPr>
            </w:pPr>
          </w:p>
        </w:tc>
        <w:tc>
          <w:tcPr>
            <w:tcW w:w="789" w:type="dxa"/>
            <w:vMerge w:val="restart"/>
            <w:tcBorders>
              <w:tl2br w:val="nil"/>
              <w:tr2bl w:val="nil"/>
            </w:tcBorders>
            <w:noWrap w:val="0"/>
            <w:vAlign w:val="center"/>
          </w:tcPr>
          <w:p w14:paraId="151D4A4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X</w:t>
            </w:r>
          </w:p>
        </w:tc>
        <w:tc>
          <w:tcPr>
            <w:tcW w:w="750" w:type="dxa"/>
            <w:vMerge w:val="restart"/>
            <w:tcBorders>
              <w:tl2br w:val="nil"/>
              <w:tr2bl w:val="nil"/>
            </w:tcBorders>
            <w:noWrap w:val="0"/>
            <w:vAlign w:val="center"/>
          </w:tcPr>
          <w:p w14:paraId="04AD4EF0">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Y</w:t>
            </w:r>
          </w:p>
        </w:tc>
        <w:tc>
          <w:tcPr>
            <w:tcW w:w="885" w:type="dxa"/>
            <w:vMerge w:val="continue"/>
            <w:tcBorders>
              <w:tl2br w:val="nil"/>
              <w:tr2bl w:val="nil"/>
            </w:tcBorders>
            <w:noWrap w:val="0"/>
            <w:vAlign w:val="center"/>
          </w:tcPr>
          <w:p w14:paraId="36AB7FB4">
            <w:pPr>
              <w:pStyle w:val="25"/>
              <w:bidi w:val="0"/>
              <w:rPr>
                <w:rFonts w:hint="default" w:ascii="Times New Roman" w:hAnsi="Times New Roman" w:cs="Times New Roman"/>
                <w:color w:val="auto"/>
                <w:u w:val="none" w:color="auto"/>
              </w:rPr>
            </w:pPr>
          </w:p>
        </w:tc>
        <w:tc>
          <w:tcPr>
            <w:tcW w:w="885" w:type="dxa"/>
            <w:vMerge w:val="continue"/>
            <w:tcBorders>
              <w:tl2br w:val="nil"/>
              <w:tr2bl w:val="nil"/>
            </w:tcBorders>
            <w:noWrap w:val="0"/>
            <w:vAlign w:val="center"/>
          </w:tcPr>
          <w:p w14:paraId="6174E6DD">
            <w:pPr>
              <w:pStyle w:val="25"/>
              <w:bidi w:val="0"/>
              <w:rPr>
                <w:rFonts w:hint="default" w:ascii="Times New Roman" w:hAnsi="Times New Roman" w:cs="Times New Roman"/>
                <w:color w:val="auto"/>
                <w:u w:val="none" w:color="auto"/>
              </w:rPr>
            </w:pPr>
          </w:p>
        </w:tc>
        <w:tc>
          <w:tcPr>
            <w:tcW w:w="900" w:type="dxa"/>
            <w:vMerge w:val="continue"/>
            <w:tcBorders>
              <w:tl2br w:val="nil"/>
              <w:tr2bl w:val="nil"/>
            </w:tcBorders>
            <w:noWrap w:val="0"/>
            <w:vAlign w:val="center"/>
          </w:tcPr>
          <w:p w14:paraId="55E0E72B">
            <w:pPr>
              <w:pStyle w:val="25"/>
              <w:bidi w:val="0"/>
              <w:rPr>
                <w:rFonts w:hint="default" w:ascii="Times New Roman" w:hAnsi="Times New Roman" w:cs="Times New Roman"/>
                <w:color w:val="auto"/>
                <w:u w:val="none" w:color="auto"/>
              </w:rPr>
            </w:pPr>
          </w:p>
        </w:tc>
        <w:tc>
          <w:tcPr>
            <w:tcW w:w="1005" w:type="dxa"/>
            <w:vMerge w:val="continue"/>
            <w:tcBorders>
              <w:tl2br w:val="nil"/>
              <w:tr2bl w:val="nil"/>
            </w:tcBorders>
            <w:noWrap w:val="0"/>
            <w:vAlign w:val="center"/>
          </w:tcPr>
          <w:p w14:paraId="1CD2B3DA">
            <w:pPr>
              <w:pStyle w:val="25"/>
              <w:bidi w:val="0"/>
              <w:rPr>
                <w:rFonts w:hint="default" w:ascii="Times New Roman" w:hAnsi="Times New Roman" w:cs="Times New Roman"/>
                <w:color w:val="auto"/>
                <w:u w:val="none" w:color="auto"/>
              </w:rPr>
            </w:pPr>
          </w:p>
        </w:tc>
        <w:tc>
          <w:tcPr>
            <w:tcW w:w="1275" w:type="dxa"/>
            <w:vMerge w:val="continue"/>
            <w:tcBorders>
              <w:tl2br w:val="nil"/>
              <w:tr2bl w:val="nil"/>
            </w:tcBorders>
            <w:noWrap w:val="0"/>
            <w:vAlign w:val="center"/>
          </w:tcPr>
          <w:p w14:paraId="4C819ABD">
            <w:pPr>
              <w:pStyle w:val="25"/>
              <w:bidi w:val="0"/>
              <w:rPr>
                <w:rFonts w:hint="default" w:ascii="Times New Roman" w:hAnsi="Times New Roman" w:cs="Times New Roman"/>
                <w:color w:val="auto"/>
                <w:u w:val="none" w:color="auto"/>
              </w:rPr>
            </w:pPr>
          </w:p>
        </w:tc>
        <w:tc>
          <w:tcPr>
            <w:tcW w:w="1065" w:type="dxa"/>
            <w:vMerge w:val="continue"/>
            <w:tcBorders>
              <w:tl2br w:val="nil"/>
              <w:tr2bl w:val="nil"/>
            </w:tcBorders>
            <w:noWrap w:val="0"/>
            <w:vAlign w:val="center"/>
          </w:tcPr>
          <w:p w14:paraId="5E2FCDDF">
            <w:pPr>
              <w:pStyle w:val="25"/>
              <w:bidi w:val="0"/>
              <w:rPr>
                <w:rFonts w:hint="default" w:ascii="Times New Roman" w:hAnsi="Times New Roman" w:cs="Times New Roman"/>
                <w:color w:val="auto"/>
                <w:u w:val="none" w:color="auto"/>
              </w:rPr>
            </w:pPr>
          </w:p>
        </w:tc>
        <w:tc>
          <w:tcPr>
            <w:tcW w:w="1110" w:type="dxa"/>
            <w:vMerge w:val="continue"/>
            <w:tcBorders>
              <w:tl2br w:val="nil"/>
              <w:tr2bl w:val="nil"/>
            </w:tcBorders>
            <w:noWrap w:val="0"/>
            <w:vAlign w:val="center"/>
          </w:tcPr>
          <w:p w14:paraId="45A06D4A">
            <w:pPr>
              <w:pStyle w:val="25"/>
              <w:bidi w:val="0"/>
              <w:rPr>
                <w:rFonts w:hint="default" w:ascii="Times New Roman" w:hAnsi="Times New Roman" w:cs="Times New Roman"/>
                <w:color w:val="auto"/>
                <w:u w:val="none" w:color="auto"/>
              </w:rPr>
            </w:pPr>
          </w:p>
        </w:tc>
        <w:tc>
          <w:tcPr>
            <w:tcW w:w="4437" w:type="dxa"/>
            <w:gridSpan w:val="3"/>
            <w:vMerge w:val="continue"/>
            <w:tcBorders>
              <w:tl2br w:val="nil"/>
              <w:tr2bl w:val="nil"/>
            </w:tcBorders>
            <w:noWrap w:val="0"/>
            <w:vAlign w:val="center"/>
          </w:tcPr>
          <w:p w14:paraId="6E486AE7">
            <w:pPr>
              <w:pStyle w:val="25"/>
              <w:bidi w:val="0"/>
              <w:rPr>
                <w:rFonts w:hint="default" w:ascii="Times New Roman" w:hAnsi="Times New Roman" w:cs="Times New Roman"/>
                <w:color w:val="auto"/>
                <w:u w:val="none" w:color="auto"/>
              </w:rPr>
            </w:pPr>
          </w:p>
        </w:tc>
      </w:tr>
      <w:tr w14:paraId="43F34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noWrap w:val="0"/>
            <w:vAlign w:val="center"/>
          </w:tcPr>
          <w:p w14:paraId="05261235">
            <w:pPr>
              <w:pStyle w:val="25"/>
              <w:bidi w:val="0"/>
              <w:rPr>
                <w:rFonts w:hint="default" w:ascii="Times New Roman" w:hAnsi="Times New Roman" w:cs="Times New Roman"/>
                <w:color w:val="auto"/>
                <w:u w:val="none" w:color="auto"/>
              </w:rPr>
            </w:pPr>
          </w:p>
        </w:tc>
        <w:tc>
          <w:tcPr>
            <w:tcW w:w="789" w:type="dxa"/>
            <w:vMerge w:val="continue"/>
            <w:tcBorders>
              <w:tl2br w:val="nil"/>
              <w:tr2bl w:val="nil"/>
            </w:tcBorders>
            <w:noWrap w:val="0"/>
            <w:vAlign w:val="center"/>
          </w:tcPr>
          <w:p w14:paraId="43F95892">
            <w:pPr>
              <w:pStyle w:val="25"/>
              <w:bidi w:val="0"/>
              <w:rPr>
                <w:rFonts w:hint="default" w:ascii="Times New Roman" w:hAnsi="Times New Roman" w:cs="Times New Roman"/>
                <w:color w:val="auto"/>
                <w:u w:val="none" w:color="auto"/>
              </w:rPr>
            </w:pPr>
          </w:p>
        </w:tc>
        <w:tc>
          <w:tcPr>
            <w:tcW w:w="750" w:type="dxa"/>
            <w:vMerge w:val="continue"/>
            <w:tcBorders>
              <w:tl2br w:val="nil"/>
              <w:tr2bl w:val="nil"/>
            </w:tcBorders>
            <w:noWrap w:val="0"/>
            <w:vAlign w:val="center"/>
          </w:tcPr>
          <w:p w14:paraId="64621FD5">
            <w:pPr>
              <w:pStyle w:val="25"/>
              <w:bidi w:val="0"/>
              <w:rPr>
                <w:rFonts w:hint="default" w:ascii="Times New Roman" w:hAnsi="Times New Roman" w:cs="Times New Roman"/>
                <w:color w:val="auto"/>
                <w:u w:val="none" w:color="auto"/>
              </w:rPr>
            </w:pPr>
          </w:p>
        </w:tc>
        <w:tc>
          <w:tcPr>
            <w:tcW w:w="885" w:type="dxa"/>
            <w:vMerge w:val="continue"/>
            <w:tcBorders>
              <w:tl2br w:val="nil"/>
              <w:tr2bl w:val="nil"/>
            </w:tcBorders>
            <w:noWrap w:val="0"/>
            <w:vAlign w:val="center"/>
          </w:tcPr>
          <w:p w14:paraId="2E22B8FB">
            <w:pPr>
              <w:pStyle w:val="25"/>
              <w:bidi w:val="0"/>
              <w:rPr>
                <w:rFonts w:hint="default" w:ascii="Times New Roman" w:hAnsi="Times New Roman" w:cs="Times New Roman"/>
                <w:color w:val="auto"/>
                <w:u w:val="none" w:color="auto"/>
              </w:rPr>
            </w:pPr>
          </w:p>
        </w:tc>
        <w:tc>
          <w:tcPr>
            <w:tcW w:w="885" w:type="dxa"/>
            <w:vMerge w:val="continue"/>
            <w:tcBorders>
              <w:tl2br w:val="nil"/>
              <w:tr2bl w:val="nil"/>
            </w:tcBorders>
            <w:noWrap w:val="0"/>
            <w:vAlign w:val="center"/>
          </w:tcPr>
          <w:p w14:paraId="6133732D">
            <w:pPr>
              <w:pStyle w:val="25"/>
              <w:bidi w:val="0"/>
              <w:rPr>
                <w:rFonts w:hint="default" w:ascii="Times New Roman" w:hAnsi="Times New Roman" w:cs="Times New Roman"/>
                <w:color w:val="auto"/>
                <w:u w:val="none" w:color="auto"/>
              </w:rPr>
            </w:pPr>
          </w:p>
        </w:tc>
        <w:tc>
          <w:tcPr>
            <w:tcW w:w="900" w:type="dxa"/>
            <w:vMerge w:val="continue"/>
            <w:tcBorders>
              <w:tl2br w:val="nil"/>
              <w:tr2bl w:val="nil"/>
            </w:tcBorders>
            <w:noWrap w:val="0"/>
            <w:vAlign w:val="center"/>
          </w:tcPr>
          <w:p w14:paraId="6831261C">
            <w:pPr>
              <w:pStyle w:val="25"/>
              <w:bidi w:val="0"/>
              <w:rPr>
                <w:rFonts w:hint="default" w:ascii="Times New Roman" w:hAnsi="Times New Roman" w:cs="Times New Roman"/>
                <w:color w:val="auto"/>
                <w:u w:val="none" w:color="auto"/>
              </w:rPr>
            </w:pPr>
          </w:p>
        </w:tc>
        <w:tc>
          <w:tcPr>
            <w:tcW w:w="1005" w:type="dxa"/>
            <w:vMerge w:val="continue"/>
            <w:tcBorders>
              <w:tl2br w:val="nil"/>
              <w:tr2bl w:val="nil"/>
            </w:tcBorders>
            <w:noWrap w:val="0"/>
            <w:vAlign w:val="center"/>
          </w:tcPr>
          <w:p w14:paraId="44B27BFC">
            <w:pPr>
              <w:pStyle w:val="25"/>
              <w:bidi w:val="0"/>
              <w:rPr>
                <w:rFonts w:hint="default" w:ascii="Times New Roman" w:hAnsi="Times New Roman" w:cs="Times New Roman"/>
                <w:color w:val="auto"/>
                <w:u w:val="none" w:color="auto"/>
              </w:rPr>
            </w:pPr>
          </w:p>
        </w:tc>
        <w:tc>
          <w:tcPr>
            <w:tcW w:w="1275" w:type="dxa"/>
            <w:vMerge w:val="continue"/>
            <w:tcBorders>
              <w:tl2br w:val="nil"/>
              <w:tr2bl w:val="nil"/>
            </w:tcBorders>
            <w:noWrap w:val="0"/>
            <w:vAlign w:val="center"/>
          </w:tcPr>
          <w:p w14:paraId="4DF11A97">
            <w:pPr>
              <w:pStyle w:val="25"/>
              <w:bidi w:val="0"/>
              <w:rPr>
                <w:rFonts w:hint="default" w:ascii="Times New Roman" w:hAnsi="Times New Roman" w:cs="Times New Roman"/>
                <w:color w:val="auto"/>
                <w:u w:val="none" w:color="auto"/>
              </w:rPr>
            </w:pPr>
          </w:p>
        </w:tc>
        <w:tc>
          <w:tcPr>
            <w:tcW w:w="1065" w:type="dxa"/>
            <w:vMerge w:val="continue"/>
            <w:tcBorders>
              <w:tl2br w:val="nil"/>
              <w:tr2bl w:val="nil"/>
            </w:tcBorders>
            <w:noWrap w:val="0"/>
            <w:vAlign w:val="center"/>
          </w:tcPr>
          <w:p w14:paraId="554E0C2C">
            <w:pPr>
              <w:pStyle w:val="25"/>
              <w:bidi w:val="0"/>
              <w:rPr>
                <w:rFonts w:hint="default" w:ascii="Times New Roman" w:hAnsi="Times New Roman" w:cs="Times New Roman"/>
                <w:color w:val="auto"/>
                <w:u w:val="none" w:color="auto"/>
              </w:rPr>
            </w:pPr>
          </w:p>
        </w:tc>
        <w:tc>
          <w:tcPr>
            <w:tcW w:w="1110" w:type="dxa"/>
            <w:vMerge w:val="continue"/>
            <w:tcBorders>
              <w:tl2br w:val="nil"/>
              <w:tr2bl w:val="nil"/>
            </w:tcBorders>
            <w:noWrap w:val="0"/>
            <w:vAlign w:val="center"/>
          </w:tcPr>
          <w:p w14:paraId="5A2122E1">
            <w:pPr>
              <w:pStyle w:val="25"/>
              <w:bidi w:val="0"/>
              <w:rPr>
                <w:rFonts w:hint="default" w:ascii="Times New Roman" w:hAnsi="Times New Roman" w:cs="Times New Roman"/>
                <w:color w:val="auto"/>
                <w:u w:val="none" w:color="auto"/>
              </w:rPr>
            </w:pPr>
          </w:p>
        </w:tc>
        <w:tc>
          <w:tcPr>
            <w:tcW w:w="1485" w:type="dxa"/>
            <w:tcBorders>
              <w:tl2br w:val="nil"/>
              <w:tr2bl w:val="nil"/>
            </w:tcBorders>
            <w:noWrap w:val="0"/>
            <w:vAlign w:val="center"/>
          </w:tcPr>
          <w:p w14:paraId="2C55B170">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TSP</w:t>
            </w:r>
          </w:p>
        </w:tc>
        <w:tc>
          <w:tcPr>
            <w:tcW w:w="1515" w:type="dxa"/>
            <w:tcBorders>
              <w:tl2br w:val="nil"/>
              <w:tr2bl w:val="nil"/>
            </w:tcBorders>
            <w:noWrap w:val="0"/>
            <w:vAlign w:val="center"/>
          </w:tcPr>
          <w:p w14:paraId="1C2B0084">
            <w:pPr>
              <w:pStyle w:val="25"/>
              <w:jc w:val="center"/>
              <w:rPr>
                <w:rFonts w:hint="default" w:ascii="Times New Roman" w:hAnsi="Times New Roman" w:eastAsia="宋体" w:cs="Times New Roman"/>
                <w:b w:val="0"/>
                <w:bCs w:val="0"/>
                <w:color w:val="auto"/>
                <w:kern w:val="2"/>
                <w:sz w:val="21"/>
                <w:szCs w:val="21"/>
                <w:u w:val="none" w:color="auto"/>
                <w:lang w:val="en-US" w:eastAsia="zh-CN" w:bidi="ar-SA"/>
              </w:rPr>
            </w:pPr>
            <w:r>
              <w:rPr>
                <w:color w:val="auto"/>
                <w:u w:val="none" w:color="auto"/>
              </w:rPr>
              <w:t>TVOC</w:t>
            </w:r>
          </w:p>
        </w:tc>
        <w:tc>
          <w:tcPr>
            <w:tcW w:w="1437" w:type="dxa"/>
            <w:tcBorders>
              <w:tl2br w:val="nil"/>
              <w:tr2bl w:val="nil"/>
            </w:tcBorders>
            <w:noWrap w:val="0"/>
            <w:vAlign w:val="center"/>
          </w:tcPr>
          <w:p w14:paraId="77F7079A">
            <w:pPr>
              <w:pStyle w:val="25"/>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甲醛</w:t>
            </w:r>
          </w:p>
        </w:tc>
      </w:tr>
      <w:tr w14:paraId="2C3CB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l2br w:val="nil"/>
              <w:tr2bl w:val="nil"/>
            </w:tcBorders>
            <w:noWrap w:val="0"/>
            <w:vAlign w:val="center"/>
          </w:tcPr>
          <w:p w14:paraId="0C980308">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厂区</w:t>
            </w:r>
          </w:p>
        </w:tc>
        <w:tc>
          <w:tcPr>
            <w:tcW w:w="789" w:type="dxa"/>
            <w:tcBorders>
              <w:tl2br w:val="nil"/>
              <w:tr2bl w:val="nil"/>
            </w:tcBorders>
            <w:noWrap w:val="0"/>
            <w:vAlign w:val="center"/>
          </w:tcPr>
          <w:p w14:paraId="002E54FC">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w:t>
            </w:r>
          </w:p>
        </w:tc>
        <w:tc>
          <w:tcPr>
            <w:tcW w:w="750" w:type="dxa"/>
            <w:tcBorders>
              <w:tl2br w:val="nil"/>
              <w:tr2bl w:val="nil"/>
            </w:tcBorders>
            <w:noWrap w:val="0"/>
            <w:vAlign w:val="center"/>
          </w:tcPr>
          <w:p w14:paraId="2BA50132">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50</w:t>
            </w:r>
          </w:p>
        </w:tc>
        <w:tc>
          <w:tcPr>
            <w:tcW w:w="885" w:type="dxa"/>
            <w:tcBorders>
              <w:tl2br w:val="nil"/>
              <w:tr2bl w:val="nil"/>
            </w:tcBorders>
            <w:noWrap w:val="0"/>
            <w:vAlign w:val="center"/>
          </w:tcPr>
          <w:p w14:paraId="561C6185">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83</w:t>
            </w:r>
          </w:p>
        </w:tc>
        <w:tc>
          <w:tcPr>
            <w:tcW w:w="885" w:type="dxa"/>
            <w:tcBorders>
              <w:tl2br w:val="nil"/>
              <w:tr2bl w:val="nil"/>
            </w:tcBorders>
            <w:noWrap w:val="0"/>
            <w:vAlign w:val="center"/>
          </w:tcPr>
          <w:p w14:paraId="661198CB">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40</w:t>
            </w:r>
          </w:p>
        </w:tc>
        <w:tc>
          <w:tcPr>
            <w:tcW w:w="900" w:type="dxa"/>
            <w:tcBorders>
              <w:tl2br w:val="nil"/>
              <w:tr2bl w:val="nil"/>
            </w:tcBorders>
            <w:noWrap w:val="0"/>
            <w:vAlign w:val="center"/>
          </w:tcPr>
          <w:p w14:paraId="58DC9F4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100</w:t>
            </w:r>
          </w:p>
        </w:tc>
        <w:tc>
          <w:tcPr>
            <w:tcW w:w="1005" w:type="dxa"/>
            <w:tcBorders>
              <w:tl2br w:val="nil"/>
              <w:tr2bl w:val="nil"/>
            </w:tcBorders>
            <w:noWrap w:val="0"/>
            <w:vAlign w:val="center"/>
          </w:tcPr>
          <w:p w14:paraId="34DC3493">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275" w:type="dxa"/>
            <w:tcBorders>
              <w:tl2br w:val="nil"/>
              <w:tr2bl w:val="nil"/>
            </w:tcBorders>
            <w:noWrap w:val="0"/>
            <w:vAlign w:val="center"/>
          </w:tcPr>
          <w:p w14:paraId="0C422DBA">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12</w:t>
            </w:r>
          </w:p>
        </w:tc>
        <w:tc>
          <w:tcPr>
            <w:tcW w:w="1065" w:type="dxa"/>
            <w:tcBorders>
              <w:tl2br w:val="nil"/>
              <w:tr2bl w:val="nil"/>
            </w:tcBorders>
            <w:noWrap w:val="0"/>
            <w:vAlign w:val="center"/>
          </w:tcPr>
          <w:p w14:paraId="770A2E9C">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2400</w:t>
            </w:r>
          </w:p>
        </w:tc>
        <w:tc>
          <w:tcPr>
            <w:tcW w:w="1110" w:type="dxa"/>
            <w:tcBorders>
              <w:tl2br w:val="nil"/>
              <w:tr2bl w:val="nil"/>
            </w:tcBorders>
            <w:noWrap w:val="0"/>
            <w:vAlign w:val="center"/>
          </w:tcPr>
          <w:p w14:paraId="088FACE9">
            <w:pPr>
              <w:pStyle w:val="2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正常排放</w:t>
            </w:r>
          </w:p>
        </w:tc>
        <w:tc>
          <w:tcPr>
            <w:tcW w:w="1485" w:type="dxa"/>
            <w:tcBorders>
              <w:tl2br w:val="nil"/>
              <w:tr2bl w:val="nil"/>
            </w:tcBorders>
            <w:noWrap w:val="0"/>
            <w:vAlign w:val="center"/>
          </w:tcPr>
          <w:p w14:paraId="19D0FB54">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0.448</w:t>
            </w:r>
          </w:p>
        </w:tc>
        <w:tc>
          <w:tcPr>
            <w:tcW w:w="1515" w:type="dxa"/>
            <w:tcBorders>
              <w:tl2br w:val="nil"/>
              <w:tr2bl w:val="nil"/>
            </w:tcBorders>
            <w:noWrap w:val="0"/>
            <w:vAlign w:val="center"/>
          </w:tcPr>
          <w:p w14:paraId="55F6975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0.019</w:t>
            </w:r>
          </w:p>
        </w:tc>
        <w:tc>
          <w:tcPr>
            <w:tcW w:w="1437" w:type="dxa"/>
            <w:tcBorders>
              <w:tl2br w:val="nil"/>
              <w:tr2bl w:val="nil"/>
            </w:tcBorders>
            <w:noWrap w:val="0"/>
            <w:vAlign w:val="center"/>
          </w:tcPr>
          <w:p w14:paraId="4332F43E">
            <w:pPr>
              <w:pStyle w:val="25"/>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0.025</w:t>
            </w:r>
          </w:p>
        </w:tc>
      </w:tr>
      <w:tr w14:paraId="1E919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3" w:type="dxa"/>
            <w:gridSpan w:val="13"/>
            <w:tcBorders>
              <w:tl2br w:val="nil"/>
              <w:tr2bl w:val="nil"/>
            </w:tcBorders>
            <w:noWrap w:val="0"/>
            <w:vAlign w:val="center"/>
          </w:tcPr>
          <w:p w14:paraId="7E40EC07">
            <w:pPr>
              <w:pStyle w:val="32"/>
              <w:bidi w:val="0"/>
              <w:jc w:val="left"/>
              <w:rPr>
                <w:rFonts w:hint="eastAsia" w:ascii="Times New Roman" w:hAnsi="Times New Roman" w:cs="Times New Roman"/>
                <w:color w:val="auto"/>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备注：（0，0）坐标为（东经113.150629、北纬28.484262）</w:t>
            </w:r>
          </w:p>
        </w:tc>
      </w:tr>
    </w:tbl>
    <w:p w14:paraId="27AB7D9B">
      <w:pPr>
        <w:pStyle w:val="21"/>
        <w:ind w:firstLine="480"/>
        <w:rPr>
          <w:rFonts w:hint="default" w:ascii="Times New Roman" w:hAnsi="Times New Roman" w:cs="Times New Roman"/>
          <w:color w:val="auto"/>
          <w:u w:val="non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96515F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④计算结果见表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.2-</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w:t>
      </w:r>
    </w:p>
    <w:p w14:paraId="0461EF1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rPr>
        <w:t>.2-</w:t>
      </w:r>
      <w:r>
        <w:rPr>
          <w:rFonts w:hint="eastAsia"/>
          <w:color w:val="auto"/>
          <w:u w:val="none" w:color="auto"/>
          <w:lang w:val="en-US" w:eastAsia="zh-CN"/>
        </w:rPr>
        <w:t>5</w:t>
      </w:r>
      <w:r>
        <w:rPr>
          <w:rFonts w:hint="default"/>
          <w:color w:val="auto"/>
          <w:u w:val="none" w:color="auto"/>
        </w:rPr>
        <w:t xml:space="preserve"> 大气环境影响评价等级结果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25"/>
        <w:gridCol w:w="990"/>
        <w:gridCol w:w="690"/>
        <w:gridCol w:w="1500"/>
        <w:gridCol w:w="1065"/>
        <w:gridCol w:w="854"/>
        <w:gridCol w:w="765"/>
        <w:gridCol w:w="787"/>
      </w:tblGrid>
      <w:tr w14:paraId="11D9F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036D0A10">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污染源</w:t>
            </w:r>
          </w:p>
        </w:tc>
        <w:tc>
          <w:tcPr>
            <w:tcW w:w="825" w:type="dxa"/>
            <w:tcBorders>
              <w:tl2br w:val="nil"/>
              <w:tr2bl w:val="nil"/>
            </w:tcBorders>
            <w:noWrap w:val="0"/>
            <w:vAlign w:val="center"/>
          </w:tcPr>
          <w:p w14:paraId="1D534A64">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类型</w:t>
            </w:r>
          </w:p>
        </w:tc>
        <w:tc>
          <w:tcPr>
            <w:tcW w:w="1680" w:type="dxa"/>
            <w:gridSpan w:val="2"/>
            <w:tcBorders>
              <w:tl2br w:val="nil"/>
              <w:tr2bl w:val="nil"/>
            </w:tcBorders>
            <w:noWrap w:val="0"/>
            <w:vAlign w:val="center"/>
          </w:tcPr>
          <w:p w14:paraId="036AA8BA">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标准</w:t>
            </w:r>
          </w:p>
          <w:p w14:paraId="491CF47E">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（μg/m</w:t>
            </w:r>
            <w:r>
              <w:rPr>
                <w:rFonts w:hint="default" w:ascii="Times New Roman" w:hAnsi="Times New Roman" w:cs="Times New Roman"/>
                <w:b w:val="0"/>
                <w:bCs w:val="0"/>
                <w:color w:val="auto"/>
                <w:sz w:val="21"/>
                <w:szCs w:val="21"/>
                <w:u w:val="none" w:color="auto"/>
                <w:vertAlign w:val="superscript"/>
                <w:lang w:eastAsia="zh-CN"/>
              </w:rPr>
              <w:t>3</w:t>
            </w:r>
            <w:r>
              <w:rPr>
                <w:rFonts w:hint="default" w:ascii="Times New Roman" w:hAnsi="Times New Roman" w:cs="Times New Roman"/>
                <w:b w:val="0"/>
                <w:bCs w:val="0"/>
                <w:color w:val="auto"/>
                <w:sz w:val="21"/>
                <w:szCs w:val="21"/>
                <w:u w:val="none" w:color="auto"/>
                <w:lang w:eastAsia="zh-CN"/>
              </w:rPr>
              <w:t>）</w:t>
            </w:r>
          </w:p>
        </w:tc>
        <w:tc>
          <w:tcPr>
            <w:tcW w:w="1500" w:type="dxa"/>
            <w:tcBorders>
              <w:tl2br w:val="nil"/>
              <w:tr2bl w:val="nil"/>
            </w:tcBorders>
            <w:noWrap w:val="0"/>
            <w:vAlign w:val="center"/>
          </w:tcPr>
          <w:p w14:paraId="1A85A8F0">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最大落地浓度</w:t>
            </w:r>
          </w:p>
          <w:p w14:paraId="74B66B77">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（μg/m</w:t>
            </w:r>
            <w:r>
              <w:rPr>
                <w:rFonts w:hint="default" w:ascii="Times New Roman" w:hAnsi="Times New Roman" w:cs="Times New Roman"/>
                <w:b w:val="0"/>
                <w:bCs w:val="0"/>
                <w:color w:val="auto"/>
                <w:sz w:val="21"/>
                <w:szCs w:val="21"/>
                <w:u w:val="none" w:color="auto"/>
                <w:vertAlign w:val="superscript"/>
              </w:rPr>
              <w:t>3</w:t>
            </w:r>
            <w:r>
              <w:rPr>
                <w:rFonts w:hint="default" w:ascii="Times New Roman" w:hAnsi="Times New Roman" w:cs="Times New Roman"/>
                <w:b w:val="0"/>
                <w:bCs w:val="0"/>
                <w:color w:val="auto"/>
                <w:sz w:val="21"/>
                <w:szCs w:val="21"/>
                <w:u w:val="none" w:color="auto"/>
              </w:rPr>
              <w:t>）</w:t>
            </w:r>
          </w:p>
        </w:tc>
        <w:tc>
          <w:tcPr>
            <w:tcW w:w="1065" w:type="dxa"/>
            <w:tcBorders>
              <w:tl2br w:val="nil"/>
              <w:tr2bl w:val="nil"/>
            </w:tcBorders>
            <w:noWrap w:val="0"/>
            <w:vAlign w:val="center"/>
          </w:tcPr>
          <w:p w14:paraId="23AE6801">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出现距离</w:t>
            </w:r>
          </w:p>
          <w:p w14:paraId="325F944E">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c>
          <w:tcPr>
            <w:tcW w:w="854" w:type="dxa"/>
            <w:tcBorders>
              <w:tl2br w:val="nil"/>
              <w:tr2bl w:val="nil"/>
            </w:tcBorders>
            <w:noWrap w:val="0"/>
            <w:vAlign w:val="center"/>
          </w:tcPr>
          <w:p w14:paraId="32357A49">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占标率</w:t>
            </w:r>
          </w:p>
          <w:p w14:paraId="38F96E44">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65" w:type="dxa"/>
            <w:tcBorders>
              <w:tl2br w:val="nil"/>
              <w:tr2bl w:val="nil"/>
            </w:tcBorders>
            <w:noWrap w:val="0"/>
            <w:vAlign w:val="center"/>
          </w:tcPr>
          <w:p w14:paraId="54B69F0D">
            <w:pPr>
              <w:pStyle w:val="25"/>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Pmax</w:t>
            </w:r>
          </w:p>
          <w:p w14:paraId="3614F862">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87" w:type="dxa"/>
            <w:tcBorders>
              <w:tl2br w:val="nil"/>
              <w:tr2bl w:val="nil"/>
            </w:tcBorders>
            <w:noWrap w:val="0"/>
            <w:vAlign w:val="center"/>
          </w:tcPr>
          <w:p w14:paraId="03EEA422">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D10%</w:t>
            </w:r>
          </w:p>
          <w:p w14:paraId="0AF24DC8">
            <w:pPr>
              <w:pStyle w:val="25"/>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r>
      <w:tr w14:paraId="46747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69B2F2B2">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DA001排气筒</w:t>
            </w:r>
          </w:p>
        </w:tc>
        <w:tc>
          <w:tcPr>
            <w:tcW w:w="825" w:type="dxa"/>
            <w:vMerge w:val="restart"/>
            <w:tcBorders>
              <w:tl2br w:val="nil"/>
              <w:tr2bl w:val="nil"/>
            </w:tcBorders>
            <w:noWrap w:val="0"/>
            <w:vAlign w:val="center"/>
          </w:tcPr>
          <w:p w14:paraId="23B64E05">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7033874A">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690" w:type="dxa"/>
            <w:tcBorders>
              <w:tl2br w:val="nil"/>
              <w:tr2bl w:val="nil"/>
            </w:tcBorders>
            <w:noWrap w:val="0"/>
            <w:vAlign w:val="center"/>
          </w:tcPr>
          <w:p w14:paraId="7A8340B9">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450</w:t>
            </w:r>
          </w:p>
        </w:tc>
        <w:tc>
          <w:tcPr>
            <w:tcW w:w="1500" w:type="dxa"/>
            <w:tcBorders>
              <w:tl2br w:val="nil"/>
              <w:tr2bl w:val="nil"/>
            </w:tcBorders>
            <w:noWrap w:val="0"/>
            <w:vAlign w:val="center"/>
          </w:tcPr>
          <w:p w14:paraId="20C9D885">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0.409</w:t>
            </w:r>
          </w:p>
        </w:tc>
        <w:tc>
          <w:tcPr>
            <w:tcW w:w="1065" w:type="dxa"/>
            <w:vMerge w:val="restart"/>
            <w:tcBorders>
              <w:tl2br w:val="nil"/>
              <w:tr2bl w:val="nil"/>
            </w:tcBorders>
            <w:noWrap w:val="0"/>
            <w:vAlign w:val="center"/>
          </w:tcPr>
          <w:p w14:paraId="32F01938">
            <w:pPr>
              <w:pStyle w:val="25"/>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71</w:t>
            </w:r>
          </w:p>
        </w:tc>
        <w:tc>
          <w:tcPr>
            <w:tcW w:w="854" w:type="dxa"/>
            <w:tcBorders>
              <w:tl2br w:val="nil"/>
              <w:tr2bl w:val="nil"/>
            </w:tcBorders>
            <w:noWrap w:val="0"/>
            <w:vAlign w:val="center"/>
          </w:tcPr>
          <w:p w14:paraId="2DCB4648">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0.09</w:t>
            </w:r>
          </w:p>
        </w:tc>
        <w:tc>
          <w:tcPr>
            <w:tcW w:w="765" w:type="dxa"/>
            <w:vMerge w:val="restart"/>
            <w:tcBorders>
              <w:tl2br w:val="nil"/>
              <w:tr2bl w:val="nil"/>
            </w:tcBorders>
            <w:noWrap w:val="0"/>
            <w:vAlign w:val="center"/>
          </w:tcPr>
          <w:p w14:paraId="4B161446">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7.02</w:t>
            </w:r>
          </w:p>
        </w:tc>
        <w:tc>
          <w:tcPr>
            <w:tcW w:w="787" w:type="dxa"/>
            <w:vMerge w:val="restart"/>
            <w:tcBorders>
              <w:tl2br w:val="nil"/>
              <w:tr2bl w:val="nil"/>
            </w:tcBorders>
            <w:noWrap w:val="0"/>
            <w:vAlign w:val="center"/>
          </w:tcPr>
          <w:p w14:paraId="610C504C">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15D7E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3DEFAA2">
            <w:pPr>
              <w:pStyle w:val="25"/>
              <w:bidi w:val="0"/>
              <w:rPr>
                <w:rFonts w:hint="eastAsia" w:ascii="Times New Roman" w:hAnsi="Times New Roman"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3DD29F88">
            <w:pPr>
              <w:pStyle w:val="25"/>
              <w:bidi w:val="0"/>
              <w:rPr>
                <w:rFonts w:hint="eastAsia" w:ascii="Times New Roman" w:hAnsi="Times New Roman" w:cs="Times New Roman"/>
                <w:b w:val="0"/>
                <w:bCs w:val="0"/>
                <w:color w:val="auto"/>
                <w:sz w:val="21"/>
                <w:szCs w:val="21"/>
                <w:u w:val="none" w:color="auto"/>
                <w:lang w:val="en-US" w:eastAsia="zh-CN"/>
              </w:rPr>
            </w:pPr>
          </w:p>
        </w:tc>
        <w:tc>
          <w:tcPr>
            <w:tcW w:w="990" w:type="dxa"/>
            <w:tcBorders>
              <w:tl2br w:val="nil"/>
              <w:tr2bl w:val="nil"/>
            </w:tcBorders>
            <w:noWrap w:val="0"/>
            <w:vAlign w:val="center"/>
          </w:tcPr>
          <w:p w14:paraId="303BBC7B">
            <w:pPr>
              <w:pStyle w:val="25"/>
              <w:bidi w:val="0"/>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3DDF7A27">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06D42E11">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1.153</w:t>
            </w:r>
          </w:p>
        </w:tc>
        <w:tc>
          <w:tcPr>
            <w:tcW w:w="1065" w:type="dxa"/>
            <w:vMerge w:val="continue"/>
            <w:tcBorders>
              <w:tl2br w:val="nil"/>
              <w:tr2bl w:val="nil"/>
            </w:tcBorders>
            <w:noWrap w:val="0"/>
            <w:vAlign w:val="center"/>
          </w:tcPr>
          <w:p w14:paraId="40BE7849">
            <w:pPr>
              <w:pStyle w:val="25"/>
              <w:rPr>
                <w:rFonts w:hint="eastAsia" w:ascii="Times New Roman" w:hAnsi="Times New Roman" w:eastAsia="宋体"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81C8419">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0.10</w:t>
            </w:r>
          </w:p>
        </w:tc>
        <w:tc>
          <w:tcPr>
            <w:tcW w:w="765" w:type="dxa"/>
            <w:vMerge w:val="continue"/>
            <w:tcBorders>
              <w:tl2br w:val="nil"/>
              <w:tr2bl w:val="nil"/>
            </w:tcBorders>
            <w:noWrap w:val="0"/>
            <w:vAlign w:val="center"/>
          </w:tcPr>
          <w:p w14:paraId="1B6B39CF">
            <w:pPr>
              <w:pStyle w:val="25"/>
              <w:bidi w:val="0"/>
              <w:rPr>
                <w:rFonts w:hint="eastAsia"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09426BC9">
            <w:pPr>
              <w:pStyle w:val="25"/>
              <w:bidi w:val="0"/>
              <w:rPr>
                <w:rFonts w:hint="eastAsia" w:ascii="Times New Roman" w:hAnsi="Times New Roman" w:cs="Times New Roman"/>
                <w:b w:val="0"/>
                <w:bCs w:val="0"/>
                <w:color w:val="auto"/>
                <w:sz w:val="21"/>
                <w:szCs w:val="21"/>
                <w:u w:val="none" w:color="auto"/>
                <w:lang w:val="en-US" w:eastAsia="zh-CN"/>
              </w:rPr>
            </w:pPr>
          </w:p>
        </w:tc>
      </w:tr>
      <w:tr w14:paraId="4A6BB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420C17FF">
            <w:pPr>
              <w:pStyle w:val="25"/>
              <w:bidi w:val="0"/>
              <w:rPr>
                <w:rFonts w:hint="eastAsia" w:ascii="Times New Roman" w:hAnsi="Times New Roman"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62B7EBBD">
            <w:pPr>
              <w:pStyle w:val="25"/>
              <w:bidi w:val="0"/>
              <w:rPr>
                <w:rFonts w:hint="eastAsia" w:ascii="Times New Roman" w:hAnsi="Times New Roman" w:cs="Times New Roman"/>
                <w:b w:val="0"/>
                <w:bCs w:val="0"/>
                <w:color w:val="auto"/>
                <w:sz w:val="21"/>
                <w:szCs w:val="21"/>
                <w:u w:val="none" w:color="auto"/>
                <w:lang w:val="en-US" w:eastAsia="zh-CN"/>
              </w:rPr>
            </w:pPr>
          </w:p>
        </w:tc>
        <w:tc>
          <w:tcPr>
            <w:tcW w:w="990" w:type="dxa"/>
            <w:tcBorders>
              <w:tl2br w:val="nil"/>
              <w:tr2bl w:val="nil"/>
            </w:tcBorders>
            <w:noWrap w:val="0"/>
            <w:vAlign w:val="center"/>
          </w:tcPr>
          <w:p w14:paraId="60101481">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甲醛</w:t>
            </w:r>
          </w:p>
        </w:tc>
        <w:tc>
          <w:tcPr>
            <w:tcW w:w="690" w:type="dxa"/>
            <w:tcBorders>
              <w:tl2br w:val="nil"/>
              <w:tr2bl w:val="nil"/>
            </w:tcBorders>
            <w:noWrap w:val="0"/>
            <w:vAlign w:val="center"/>
          </w:tcPr>
          <w:p w14:paraId="373C4AA5">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2E3C5169">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1.542</w:t>
            </w:r>
          </w:p>
        </w:tc>
        <w:tc>
          <w:tcPr>
            <w:tcW w:w="1065" w:type="dxa"/>
            <w:vMerge w:val="continue"/>
            <w:tcBorders>
              <w:tl2br w:val="nil"/>
              <w:tr2bl w:val="nil"/>
            </w:tcBorders>
            <w:noWrap w:val="0"/>
            <w:vAlign w:val="center"/>
          </w:tcPr>
          <w:p w14:paraId="6498C158">
            <w:pPr>
              <w:pStyle w:val="25"/>
              <w:rPr>
                <w:rFonts w:hint="eastAsia" w:ascii="Times New Roman" w:hAnsi="Times New Roman" w:eastAsia="宋体"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109A7F3E">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3.08</w:t>
            </w:r>
          </w:p>
        </w:tc>
        <w:tc>
          <w:tcPr>
            <w:tcW w:w="765" w:type="dxa"/>
            <w:vMerge w:val="continue"/>
            <w:tcBorders>
              <w:tl2br w:val="nil"/>
              <w:tr2bl w:val="nil"/>
            </w:tcBorders>
            <w:noWrap w:val="0"/>
            <w:vAlign w:val="center"/>
          </w:tcPr>
          <w:p w14:paraId="08FA1854">
            <w:pPr>
              <w:pStyle w:val="25"/>
              <w:bidi w:val="0"/>
              <w:rPr>
                <w:rFonts w:hint="eastAsia"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4C31256F">
            <w:pPr>
              <w:pStyle w:val="25"/>
              <w:bidi w:val="0"/>
              <w:rPr>
                <w:rFonts w:hint="eastAsia" w:ascii="Times New Roman" w:hAnsi="Times New Roman" w:cs="Times New Roman"/>
                <w:b w:val="0"/>
                <w:bCs w:val="0"/>
                <w:color w:val="auto"/>
                <w:sz w:val="21"/>
                <w:szCs w:val="21"/>
                <w:u w:val="none" w:color="auto"/>
                <w:lang w:val="en-US" w:eastAsia="zh-CN"/>
              </w:rPr>
            </w:pPr>
          </w:p>
        </w:tc>
      </w:tr>
      <w:tr w14:paraId="4F9B9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1C119EB6">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DA002</w:t>
            </w:r>
            <w:r>
              <w:rPr>
                <w:rFonts w:hint="default" w:ascii="Times New Roman" w:hAnsi="Times New Roman" w:cs="Times New Roman"/>
                <w:b w:val="0"/>
                <w:bCs w:val="0"/>
                <w:color w:val="auto"/>
                <w:sz w:val="21"/>
                <w:szCs w:val="21"/>
                <w:u w:val="none" w:color="auto"/>
                <w:lang w:eastAsia="zh-CN"/>
              </w:rPr>
              <w:t>排气筒</w:t>
            </w:r>
          </w:p>
        </w:tc>
        <w:tc>
          <w:tcPr>
            <w:tcW w:w="825" w:type="dxa"/>
            <w:vMerge w:val="restart"/>
            <w:tcBorders>
              <w:tl2br w:val="nil"/>
              <w:tr2bl w:val="nil"/>
            </w:tcBorders>
            <w:noWrap w:val="0"/>
            <w:vAlign w:val="center"/>
          </w:tcPr>
          <w:p w14:paraId="45B3DF41">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eastAsia="zh-CN"/>
              </w:rPr>
              <w:t>点</w:t>
            </w:r>
            <w:r>
              <w:rPr>
                <w:rFonts w:hint="default" w:ascii="Times New Roman" w:hAnsi="Times New Roman" w:cs="Times New Roman"/>
                <w:b w:val="0"/>
                <w:bCs w:val="0"/>
                <w:color w:val="auto"/>
                <w:sz w:val="21"/>
                <w:szCs w:val="21"/>
                <w:u w:val="none" w:color="auto"/>
              </w:rPr>
              <w:t>源</w:t>
            </w:r>
          </w:p>
        </w:tc>
        <w:tc>
          <w:tcPr>
            <w:tcW w:w="990" w:type="dxa"/>
            <w:tcBorders>
              <w:tl2br w:val="nil"/>
              <w:tr2bl w:val="nil"/>
            </w:tcBorders>
            <w:noWrap w:val="0"/>
            <w:vAlign w:val="center"/>
          </w:tcPr>
          <w:p w14:paraId="09C08031">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5D67073A">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4D01AA2C">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7.767</w:t>
            </w:r>
          </w:p>
        </w:tc>
        <w:tc>
          <w:tcPr>
            <w:tcW w:w="1065" w:type="dxa"/>
            <w:vMerge w:val="restart"/>
            <w:tcBorders>
              <w:tl2br w:val="nil"/>
              <w:tr2bl w:val="nil"/>
            </w:tcBorders>
            <w:noWrap w:val="0"/>
            <w:vAlign w:val="center"/>
          </w:tcPr>
          <w:p w14:paraId="51655CE0">
            <w:pPr>
              <w:pStyle w:val="25"/>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45</w:t>
            </w:r>
          </w:p>
        </w:tc>
        <w:tc>
          <w:tcPr>
            <w:tcW w:w="854" w:type="dxa"/>
            <w:tcBorders>
              <w:tl2br w:val="nil"/>
              <w:tr2bl w:val="nil"/>
            </w:tcBorders>
            <w:noWrap w:val="0"/>
            <w:vAlign w:val="center"/>
          </w:tcPr>
          <w:p w14:paraId="3A338FA9">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0.65</w:t>
            </w:r>
          </w:p>
        </w:tc>
        <w:tc>
          <w:tcPr>
            <w:tcW w:w="765" w:type="dxa"/>
            <w:vMerge w:val="continue"/>
            <w:tcBorders>
              <w:tl2br w:val="nil"/>
              <w:tr2bl w:val="nil"/>
            </w:tcBorders>
            <w:noWrap w:val="0"/>
            <w:vAlign w:val="center"/>
          </w:tcPr>
          <w:p w14:paraId="0C17ECC2">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7AC77355">
            <w:pPr>
              <w:pStyle w:val="25"/>
              <w:bidi w:val="0"/>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3722D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6E108E4">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7ECC5731">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65BE47F6">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01C9582E">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36D2BC10">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23DCEBEC">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A52B428">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0.04</w:t>
            </w:r>
          </w:p>
        </w:tc>
        <w:tc>
          <w:tcPr>
            <w:tcW w:w="765" w:type="dxa"/>
            <w:vMerge w:val="continue"/>
            <w:tcBorders>
              <w:tl2br w:val="nil"/>
              <w:tr2bl w:val="nil"/>
            </w:tcBorders>
            <w:noWrap w:val="0"/>
            <w:vAlign w:val="center"/>
          </w:tcPr>
          <w:p w14:paraId="4D69F362">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6244FFD4">
            <w:pPr>
              <w:pStyle w:val="25"/>
              <w:bidi w:val="0"/>
              <w:rPr>
                <w:rFonts w:hint="default" w:ascii="Times New Roman" w:hAnsi="Times New Roman" w:cs="Times New Roman"/>
                <w:b w:val="0"/>
                <w:bCs w:val="0"/>
                <w:color w:val="auto"/>
                <w:sz w:val="21"/>
                <w:szCs w:val="21"/>
                <w:u w:val="none" w:color="auto"/>
                <w:lang w:val="en-US" w:eastAsia="zh-CN"/>
              </w:rPr>
            </w:pPr>
          </w:p>
        </w:tc>
      </w:tr>
      <w:tr w14:paraId="638AB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7261307A">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543A11B3">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277BD762">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二氧化硫</w:t>
            </w:r>
          </w:p>
        </w:tc>
        <w:tc>
          <w:tcPr>
            <w:tcW w:w="690" w:type="dxa"/>
            <w:tcBorders>
              <w:tl2br w:val="nil"/>
              <w:tr2bl w:val="nil"/>
            </w:tcBorders>
            <w:noWrap w:val="0"/>
            <w:vAlign w:val="center"/>
          </w:tcPr>
          <w:p w14:paraId="76FAAF0E">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500</w:t>
            </w:r>
          </w:p>
        </w:tc>
        <w:tc>
          <w:tcPr>
            <w:tcW w:w="1500" w:type="dxa"/>
            <w:tcBorders>
              <w:tl2br w:val="nil"/>
              <w:tr2bl w:val="nil"/>
            </w:tcBorders>
            <w:noWrap w:val="0"/>
            <w:vAlign w:val="center"/>
          </w:tcPr>
          <w:p w14:paraId="4C61E320">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69039A66">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7EE3A55">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0.07</w:t>
            </w:r>
          </w:p>
        </w:tc>
        <w:tc>
          <w:tcPr>
            <w:tcW w:w="765" w:type="dxa"/>
            <w:vMerge w:val="continue"/>
            <w:tcBorders>
              <w:tl2br w:val="nil"/>
              <w:tr2bl w:val="nil"/>
            </w:tcBorders>
            <w:noWrap w:val="0"/>
            <w:vAlign w:val="center"/>
          </w:tcPr>
          <w:p w14:paraId="17E05066">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68D19455">
            <w:pPr>
              <w:pStyle w:val="25"/>
              <w:bidi w:val="0"/>
              <w:rPr>
                <w:rFonts w:hint="default" w:ascii="Times New Roman" w:hAnsi="Times New Roman" w:cs="Times New Roman"/>
                <w:b w:val="0"/>
                <w:bCs w:val="0"/>
                <w:color w:val="auto"/>
                <w:sz w:val="21"/>
                <w:szCs w:val="21"/>
                <w:u w:val="none" w:color="auto"/>
                <w:lang w:val="en-US" w:eastAsia="zh-CN"/>
              </w:rPr>
            </w:pPr>
          </w:p>
        </w:tc>
      </w:tr>
      <w:tr w14:paraId="73955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681A952D">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1482A660">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45C12B27">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二氧化氮</w:t>
            </w:r>
          </w:p>
        </w:tc>
        <w:tc>
          <w:tcPr>
            <w:tcW w:w="690" w:type="dxa"/>
            <w:tcBorders>
              <w:tl2br w:val="nil"/>
              <w:tr2bl w:val="nil"/>
            </w:tcBorders>
            <w:noWrap w:val="0"/>
            <w:vAlign w:val="center"/>
          </w:tcPr>
          <w:p w14:paraId="745B758E">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200</w:t>
            </w:r>
          </w:p>
        </w:tc>
        <w:tc>
          <w:tcPr>
            <w:tcW w:w="1500" w:type="dxa"/>
            <w:tcBorders>
              <w:tl2br w:val="nil"/>
              <w:tr2bl w:val="nil"/>
            </w:tcBorders>
            <w:noWrap w:val="0"/>
            <w:vAlign w:val="center"/>
          </w:tcPr>
          <w:p w14:paraId="1071A031">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5.015</w:t>
            </w:r>
          </w:p>
        </w:tc>
        <w:tc>
          <w:tcPr>
            <w:tcW w:w="1065" w:type="dxa"/>
            <w:vMerge w:val="continue"/>
            <w:tcBorders>
              <w:tl2br w:val="nil"/>
              <w:tr2bl w:val="nil"/>
            </w:tcBorders>
            <w:noWrap w:val="0"/>
            <w:vAlign w:val="center"/>
          </w:tcPr>
          <w:p w14:paraId="4EB0F828">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B1AD85B">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2.51</w:t>
            </w:r>
          </w:p>
        </w:tc>
        <w:tc>
          <w:tcPr>
            <w:tcW w:w="765" w:type="dxa"/>
            <w:vMerge w:val="continue"/>
            <w:tcBorders>
              <w:tl2br w:val="nil"/>
              <w:tr2bl w:val="nil"/>
            </w:tcBorders>
            <w:noWrap w:val="0"/>
            <w:vAlign w:val="center"/>
          </w:tcPr>
          <w:p w14:paraId="2DD137C1">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5B10D8BD">
            <w:pPr>
              <w:pStyle w:val="25"/>
              <w:bidi w:val="0"/>
              <w:rPr>
                <w:rFonts w:hint="default" w:ascii="Times New Roman" w:hAnsi="Times New Roman" w:cs="Times New Roman"/>
                <w:b w:val="0"/>
                <w:bCs w:val="0"/>
                <w:color w:val="auto"/>
                <w:sz w:val="21"/>
                <w:szCs w:val="21"/>
                <w:u w:val="none" w:color="auto"/>
                <w:lang w:val="en-US" w:eastAsia="zh-CN"/>
              </w:rPr>
            </w:pPr>
          </w:p>
        </w:tc>
      </w:tr>
      <w:tr w14:paraId="14419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612E1DF1">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DA003排气筒</w:t>
            </w:r>
          </w:p>
        </w:tc>
        <w:tc>
          <w:tcPr>
            <w:tcW w:w="825" w:type="dxa"/>
            <w:vMerge w:val="restart"/>
            <w:tcBorders>
              <w:tl2br w:val="nil"/>
              <w:tr2bl w:val="nil"/>
            </w:tcBorders>
            <w:noWrap w:val="0"/>
            <w:vAlign w:val="center"/>
          </w:tcPr>
          <w:p w14:paraId="5430139E">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414E2B01">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3FEFF1AB">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77DA9BD6">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7.767</w:t>
            </w:r>
          </w:p>
        </w:tc>
        <w:tc>
          <w:tcPr>
            <w:tcW w:w="1065" w:type="dxa"/>
            <w:vMerge w:val="restart"/>
            <w:tcBorders>
              <w:tl2br w:val="nil"/>
              <w:tr2bl w:val="nil"/>
            </w:tcBorders>
            <w:noWrap w:val="0"/>
            <w:vAlign w:val="center"/>
          </w:tcPr>
          <w:p w14:paraId="2D0A2FE0">
            <w:pPr>
              <w:pStyle w:val="25"/>
              <w:rPr>
                <w:rFonts w:hint="default" w:cs="Times New Roman"/>
                <w:b w:val="0"/>
                <w:bCs w:val="0"/>
                <w:i w:val="0"/>
                <w:color w:val="auto"/>
                <w:kern w:val="0"/>
                <w:sz w:val="21"/>
                <w:szCs w:val="21"/>
                <w:highlight w:val="none"/>
                <w:u w:val="none" w:color="auto"/>
                <w:lang w:val="en-US" w:eastAsia="zh-CN" w:bidi="ar"/>
              </w:rPr>
            </w:pPr>
            <w:r>
              <w:rPr>
                <w:rFonts w:hint="eastAsia" w:cs="Times New Roman"/>
                <w:b w:val="0"/>
                <w:bCs w:val="0"/>
                <w:i w:val="0"/>
                <w:color w:val="auto"/>
                <w:kern w:val="0"/>
                <w:sz w:val="21"/>
                <w:szCs w:val="21"/>
                <w:highlight w:val="none"/>
                <w:u w:val="none" w:color="auto"/>
                <w:lang w:val="en-US" w:eastAsia="zh-CN" w:bidi="ar"/>
              </w:rPr>
              <w:t>45</w:t>
            </w:r>
          </w:p>
        </w:tc>
        <w:tc>
          <w:tcPr>
            <w:tcW w:w="854" w:type="dxa"/>
            <w:tcBorders>
              <w:tl2br w:val="nil"/>
              <w:tr2bl w:val="nil"/>
            </w:tcBorders>
            <w:noWrap w:val="0"/>
            <w:vAlign w:val="center"/>
          </w:tcPr>
          <w:p w14:paraId="66279437">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0.65</w:t>
            </w:r>
          </w:p>
        </w:tc>
        <w:tc>
          <w:tcPr>
            <w:tcW w:w="765" w:type="dxa"/>
            <w:vMerge w:val="continue"/>
            <w:tcBorders>
              <w:tl2br w:val="nil"/>
              <w:tr2bl w:val="nil"/>
            </w:tcBorders>
            <w:noWrap w:val="0"/>
            <w:vAlign w:val="center"/>
          </w:tcPr>
          <w:p w14:paraId="40BABAD5">
            <w:pPr>
              <w:pStyle w:val="25"/>
              <w:bidi w:val="0"/>
              <w:rPr>
                <w:rFonts w:hint="eastAsia"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29988BD5">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6F128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5FFF4CF5">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2EF108D2">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357847C2">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2E0EEEFE">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2EB21A43">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5B25C342">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0AD2C08C">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0.04</w:t>
            </w:r>
          </w:p>
        </w:tc>
        <w:tc>
          <w:tcPr>
            <w:tcW w:w="765" w:type="dxa"/>
            <w:vMerge w:val="continue"/>
            <w:tcBorders>
              <w:tl2br w:val="nil"/>
              <w:tr2bl w:val="nil"/>
            </w:tcBorders>
            <w:noWrap w:val="0"/>
            <w:vAlign w:val="center"/>
          </w:tcPr>
          <w:p w14:paraId="16AC29AA">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974152F">
            <w:pPr>
              <w:pStyle w:val="25"/>
              <w:bidi w:val="0"/>
              <w:rPr>
                <w:rFonts w:hint="eastAsia" w:ascii="Times New Roman" w:hAnsi="Times New Roman" w:cs="Times New Roman"/>
                <w:b w:val="0"/>
                <w:bCs w:val="0"/>
                <w:color w:val="auto"/>
                <w:sz w:val="21"/>
                <w:szCs w:val="21"/>
                <w:u w:val="none" w:color="auto"/>
                <w:lang w:val="en-US" w:eastAsia="zh-CN"/>
              </w:rPr>
            </w:pPr>
          </w:p>
        </w:tc>
      </w:tr>
      <w:tr w14:paraId="1E975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3557D12A">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72E36CF6">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7E464AB0">
            <w:pPr>
              <w:pStyle w:val="25"/>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二氧化硫</w:t>
            </w:r>
          </w:p>
        </w:tc>
        <w:tc>
          <w:tcPr>
            <w:tcW w:w="690" w:type="dxa"/>
            <w:tcBorders>
              <w:tl2br w:val="nil"/>
              <w:tr2bl w:val="nil"/>
            </w:tcBorders>
            <w:noWrap w:val="0"/>
            <w:vAlign w:val="center"/>
          </w:tcPr>
          <w:p w14:paraId="5988AC72">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500</w:t>
            </w:r>
          </w:p>
        </w:tc>
        <w:tc>
          <w:tcPr>
            <w:tcW w:w="1500" w:type="dxa"/>
            <w:tcBorders>
              <w:tl2br w:val="nil"/>
              <w:tr2bl w:val="nil"/>
            </w:tcBorders>
            <w:noWrap w:val="0"/>
            <w:vAlign w:val="center"/>
          </w:tcPr>
          <w:p w14:paraId="5F5071AD">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0.332</w:t>
            </w:r>
          </w:p>
        </w:tc>
        <w:tc>
          <w:tcPr>
            <w:tcW w:w="1065" w:type="dxa"/>
            <w:vMerge w:val="continue"/>
            <w:tcBorders>
              <w:tl2br w:val="nil"/>
              <w:tr2bl w:val="nil"/>
            </w:tcBorders>
            <w:noWrap w:val="0"/>
            <w:vAlign w:val="center"/>
          </w:tcPr>
          <w:p w14:paraId="67AA7A45">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970C802">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0.07</w:t>
            </w:r>
          </w:p>
        </w:tc>
        <w:tc>
          <w:tcPr>
            <w:tcW w:w="765" w:type="dxa"/>
            <w:vMerge w:val="continue"/>
            <w:tcBorders>
              <w:tl2br w:val="nil"/>
              <w:tr2bl w:val="nil"/>
            </w:tcBorders>
            <w:noWrap w:val="0"/>
            <w:vAlign w:val="center"/>
          </w:tcPr>
          <w:p w14:paraId="44C697CE">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325B37DA">
            <w:pPr>
              <w:pStyle w:val="25"/>
              <w:bidi w:val="0"/>
              <w:rPr>
                <w:rFonts w:hint="eastAsia" w:ascii="Times New Roman" w:hAnsi="Times New Roman" w:cs="Times New Roman"/>
                <w:b w:val="0"/>
                <w:bCs w:val="0"/>
                <w:color w:val="auto"/>
                <w:sz w:val="21"/>
                <w:szCs w:val="21"/>
                <w:u w:val="none" w:color="auto"/>
                <w:lang w:val="en-US" w:eastAsia="zh-CN"/>
              </w:rPr>
            </w:pPr>
          </w:p>
        </w:tc>
      </w:tr>
      <w:tr w14:paraId="30C43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5C48F505">
            <w:pPr>
              <w:pStyle w:val="25"/>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225410CD">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4B1CE8A8">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二氧化氮</w:t>
            </w:r>
          </w:p>
        </w:tc>
        <w:tc>
          <w:tcPr>
            <w:tcW w:w="690" w:type="dxa"/>
            <w:tcBorders>
              <w:tl2br w:val="nil"/>
              <w:tr2bl w:val="nil"/>
            </w:tcBorders>
            <w:noWrap w:val="0"/>
            <w:vAlign w:val="center"/>
          </w:tcPr>
          <w:p w14:paraId="190E1D66">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200</w:t>
            </w:r>
          </w:p>
        </w:tc>
        <w:tc>
          <w:tcPr>
            <w:tcW w:w="1500" w:type="dxa"/>
            <w:tcBorders>
              <w:tl2br w:val="nil"/>
              <w:tr2bl w:val="nil"/>
            </w:tcBorders>
            <w:noWrap w:val="0"/>
            <w:vAlign w:val="center"/>
          </w:tcPr>
          <w:p w14:paraId="7F0BCC29">
            <w:pPr>
              <w:pStyle w:val="25"/>
              <w:rPr>
                <w:rFonts w:hint="default" w:ascii="Times New Roman" w:hAnsi="Times New Roman" w:eastAsia="宋体"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5.015</w:t>
            </w:r>
          </w:p>
        </w:tc>
        <w:tc>
          <w:tcPr>
            <w:tcW w:w="1065" w:type="dxa"/>
            <w:vMerge w:val="continue"/>
            <w:tcBorders>
              <w:tl2br w:val="nil"/>
              <w:tr2bl w:val="nil"/>
            </w:tcBorders>
            <w:noWrap w:val="0"/>
            <w:vAlign w:val="center"/>
          </w:tcPr>
          <w:p w14:paraId="549A7079">
            <w:pPr>
              <w:pStyle w:val="25"/>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05D48288">
            <w:pPr>
              <w:pStyle w:val="25"/>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2.51</w:t>
            </w:r>
          </w:p>
        </w:tc>
        <w:tc>
          <w:tcPr>
            <w:tcW w:w="765" w:type="dxa"/>
            <w:vMerge w:val="continue"/>
            <w:tcBorders>
              <w:tl2br w:val="nil"/>
              <w:tr2bl w:val="nil"/>
            </w:tcBorders>
            <w:noWrap w:val="0"/>
            <w:vAlign w:val="center"/>
          </w:tcPr>
          <w:p w14:paraId="533C28B0">
            <w:pPr>
              <w:pStyle w:val="25"/>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70148EF3">
            <w:pPr>
              <w:pStyle w:val="25"/>
              <w:bidi w:val="0"/>
              <w:rPr>
                <w:rFonts w:hint="default" w:ascii="Times New Roman" w:hAnsi="Times New Roman" w:cs="Times New Roman"/>
                <w:b w:val="0"/>
                <w:bCs w:val="0"/>
                <w:color w:val="auto"/>
                <w:sz w:val="21"/>
                <w:szCs w:val="21"/>
                <w:u w:val="none" w:color="auto"/>
                <w:lang w:val="en-US" w:eastAsia="zh-CN"/>
              </w:rPr>
            </w:pPr>
          </w:p>
        </w:tc>
      </w:tr>
      <w:tr w14:paraId="6469F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7B9CF5AA">
            <w:pPr>
              <w:pStyle w:val="25"/>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厂区</w:t>
            </w:r>
          </w:p>
        </w:tc>
        <w:tc>
          <w:tcPr>
            <w:tcW w:w="825" w:type="dxa"/>
            <w:vMerge w:val="restart"/>
            <w:tcBorders>
              <w:tl2br w:val="nil"/>
              <w:tr2bl w:val="nil"/>
            </w:tcBorders>
            <w:noWrap w:val="0"/>
            <w:vAlign w:val="center"/>
          </w:tcPr>
          <w:p w14:paraId="3D3E4541">
            <w:pPr>
              <w:pStyle w:val="25"/>
              <w:bidi w:val="0"/>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面源</w:t>
            </w:r>
          </w:p>
        </w:tc>
        <w:tc>
          <w:tcPr>
            <w:tcW w:w="990" w:type="dxa"/>
            <w:tcBorders>
              <w:tl2br w:val="nil"/>
              <w:tr2bl w:val="nil"/>
            </w:tcBorders>
            <w:noWrap w:val="0"/>
            <w:vAlign w:val="center"/>
          </w:tcPr>
          <w:p w14:paraId="682418E5">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66957933">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69F543F4">
            <w:pPr>
              <w:pStyle w:val="25"/>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62.905</w:t>
            </w:r>
          </w:p>
        </w:tc>
        <w:tc>
          <w:tcPr>
            <w:tcW w:w="1065" w:type="dxa"/>
            <w:vMerge w:val="restart"/>
            <w:tcBorders>
              <w:tl2br w:val="nil"/>
              <w:tr2bl w:val="nil"/>
            </w:tcBorders>
            <w:noWrap w:val="0"/>
            <w:vAlign w:val="center"/>
          </w:tcPr>
          <w:p w14:paraId="65457ED2">
            <w:pPr>
              <w:pStyle w:val="25"/>
              <w:rPr>
                <w:rFonts w:hint="default" w:ascii="Times New Roman" w:hAnsi="Times New Roman"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51</w:t>
            </w:r>
          </w:p>
        </w:tc>
        <w:tc>
          <w:tcPr>
            <w:tcW w:w="854" w:type="dxa"/>
            <w:tcBorders>
              <w:tl2br w:val="nil"/>
              <w:tr2bl w:val="nil"/>
            </w:tcBorders>
            <w:noWrap w:val="0"/>
            <w:vAlign w:val="center"/>
          </w:tcPr>
          <w:p w14:paraId="12958F61">
            <w:pPr>
              <w:pStyle w:val="25"/>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6.99</w:t>
            </w:r>
          </w:p>
        </w:tc>
        <w:tc>
          <w:tcPr>
            <w:tcW w:w="765" w:type="dxa"/>
            <w:vMerge w:val="continue"/>
            <w:tcBorders>
              <w:tl2br w:val="nil"/>
              <w:tr2bl w:val="nil"/>
            </w:tcBorders>
            <w:noWrap w:val="0"/>
            <w:vAlign w:val="center"/>
          </w:tcPr>
          <w:p w14:paraId="6AF83126">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2D4AF10C">
            <w:pPr>
              <w:pStyle w:val="25"/>
              <w:bidi w:val="0"/>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0035F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DB56DAF">
            <w:pPr>
              <w:pStyle w:val="25"/>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68D740A2">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0C7BC576">
            <w:pPr>
              <w:pStyle w:val="25"/>
              <w:bidi w:val="0"/>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0872918D">
            <w:pPr>
              <w:pStyle w:val="25"/>
              <w:bidi w:val="0"/>
              <w:rPr>
                <w:rFonts w:hint="default" w:ascii="Times New Roman" w:hAnsi="Times New Roman"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322C4B1B">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2.667</w:t>
            </w:r>
          </w:p>
        </w:tc>
        <w:tc>
          <w:tcPr>
            <w:tcW w:w="1065" w:type="dxa"/>
            <w:vMerge w:val="continue"/>
            <w:tcBorders>
              <w:tl2br w:val="nil"/>
              <w:tr2bl w:val="nil"/>
            </w:tcBorders>
            <w:noWrap w:val="0"/>
            <w:vAlign w:val="center"/>
          </w:tcPr>
          <w:p w14:paraId="26AF0E0D">
            <w:pPr>
              <w:pStyle w:val="25"/>
              <w:rPr>
                <w:rFonts w:hint="default"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2E954C4">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0.22</w:t>
            </w:r>
          </w:p>
        </w:tc>
        <w:tc>
          <w:tcPr>
            <w:tcW w:w="765" w:type="dxa"/>
            <w:vMerge w:val="continue"/>
            <w:tcBorders>
              <w:tl2br w:val="nil"/>
              <w:tr2bl w:val="nil"/>
            </w:tcBorders>
            <w:noWrap w:val="0"/>
            <w:vAlign w:val="center"/>
          </w:tcPr>
          <w:p w14:paraId="6AC4F475">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1649BA8">
            <w:pPr>
              <w:pStyle w:val="25"/>
              <w:bidi w:val="0"/>
              <w:rPr>
                <w:rFonts w:hint="default" w:ascii="Times New Roman" w:hAnsi="Times New Roman" w:cs="Times New Roman"/>
                <w:b w:val="0"/>
                <w:bCs w:val="0"/>
                <w:color w:val="auto"/>
                <w:sz w:val="21"/>
                <w:szCs w:val="21"/>
                <w:u w:val="none" w:color="auto"/>
                <w:lang w:val="en-US" w:eastAsia="zh-CN"/>
              </w:rPr>
            </w:pPr>
          </w:p>
        </w:tc>
      </w:tr>
      <w:tr w14:paraId="3A24E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FE83F14">
            <w:pPr>
              <w:pStyle w:val="25"/>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7B4447AC">
            <w:pPr>
              <w:pStyle w:val="25"/>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537EEC4A">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甲醛</w:t>
            </w:r>
          </w:p>
        </w:tc>
        <w:tc>
          <w:tcPr>
            <w:tcW w:w="690" w:type="dxa"/>
            <w:tcBorders>
              <w:tl2br w:val="nil"/>
              <w:tr2bl w:val="nil"/>
            </w:tcBorders>
            <w:noWrap w:val="0"/>
            <w:vAlign w:val="center"/>
          </w:tcPr>
          <w:p w14:paraId="7284BBD1">
            <w:pPr>
              <w:pStyle w:val="25"/>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50</w:t>
            </w:r>
          </w:p>
        </w:tc>
        <w:tc>
          <w:tcPr>
            <w:tcW w:w="1500" w:type="dxa"/>
            <w:tcBorders>
              <w:tl2br w:val="nil"/>
              <w:tr2bl w:val="nil"/>
            </w:tcBorders>
            <w:noWrap w:val="0"/>
            <w:vAlign w:val="center"/>
          </w:tcPr>
          <w:p w14:paraId="02989860">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3.510</w:t>
            </w:r>
          </w:p>
        </w:tc>
        <w:tc>
          <w:tcPr>
            <w:tcW w:w="1065" w:type="dxa"/>
            <w:vMerge w:val="continue"/>
            <w:tcBorders>
              <w:tl2br w:val="nil"/>
              <w:tr2bl w:val="nil"/>
            </w:tcBorders>
            <w:noWrap w:val="0"/>
            <w:vAlign w:val="center"/>
          </w:tcPr>
          <w:p w14:paraId="294F7D14">
            <w:pPr>
              <w:pStyle w:val="25"/>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BE0BA93">
            <w:pPr>
              <w:pStyle w:val="25"/>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7.02</w:t>
            </w:r>
          </w:p>
        </w:tc>
        <w:tc>
          <w:tcPr>
            <w:tcW w:w="765" w:type="dxa"/>
            <w:vMerge w:val="continue"/>
            <w:tcBorders>
              <w:tl2br w:val="nil"/>
              <w:tr2bl w:val="nil"/>
            </w:tcBorders>
            <w:noWrap w:val="0"/>
            <w:vAlign w:val="center"/>
          </w:tcPr>
          <w:p w14:paraId="556820A9">
            <w:pPr>
              <w:pStyle w:val="25"/>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667DFD69">
            <w:pPr>
              <w:pStyle w:val="25"/>
              <w:bidi w:val="0"/>
              <w:rPr>
                <w:rFonts w:hint="default" w:ascii="Times New Roman" w:hAnsi="Times New Roman" w:cs="Times New Roman"/>
                <w:b w:val="0"/>
                <w:bCs w:val="0"/>
                <w:color w:val="auto"/>
                <w:sz w:val="21"/>
                <w:szCs w:val="21"/>
                <w:u w:val="none" w:color="auto"/>
                <w:lang w:val="en-US" w:eastAsia="zh-CN"/>
              </w:rPr>
            </w:pPr>
          </w:p>
        </w:tc>
      </w:tr>
    </w:tbl>
    <w:p w14:paraId="51FEF7C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从估算结果可知，本项目Pmax最大值出现为</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lang w:eastAsia="zh-CN"/>
        </w:rPr>
        <w:t>组织</w:t>
      </w:r>
      <w:r>
        <w:rPr>
          <w:rFonts w:hint="default" w:ascii="Times New Roman" w:hAnsi="Times New Roman" w:cs="Times New Roman"/>
          <w:color w:val="auto"/>
          <w:u w:val="none" w:color="auto"/>
        </w:rPr>
        <w:t>排放的</w:t>
      </w:r>
      <w:r>
        <w:rPr>
          <w:rFonts w:hint="eastAsia" w:ascii="Times New Roman" w:hAnsi="Times New Roman" w:cs="Times New Roman"/>
          <w:color w:val="auto"/>
          <w:u w:val="none" w:color="auto"/>
          <w:lang w:val="en-US" w:eastAsia="zh-CN"/>
        </w:rPr>
        <w:t>甲醛</w:t>
      </w:r>
      <w:r>
        <w:rPr>
          <w:rFonts w:hint="default" w:ascii="Times New Roman" w:hAnsi="Times New Roman" w:cs="Times New Roman"/>
          <w:color w:val="auto"/>
          <w:u w:val="none" w:color="auto"/>
        </w:rPr>
        <w:t>，Cmax为</w:t>
      </w:r>
      <w:r>
        <w:rPr>
          <w:rFonts w:hint="eastAsia" w:ascii="Times New Roman" w:hAnsi="Times New Roman" w:cs="Times New Roman"/>
          <w:color w:val="auto"/>
          <w:u w:val="none" w:color="auto"/>
          <w:lang w:val="en-US" w:eastAsia="zh-CN"/>
        </w:rPr>
        <w:t>3.510</w:t>
      </w:r>
      <w:r>
        <w:rPr>
          <w:rFonts w:hint="default" w:ascii="Times New Roman" w:hAnsi="Times New Roman" w:cs="Times New Roman"/>
          <w:color w:val="auto"/>
          <w:u w:val="none" w:color="auto"/>
        </w:rPr>
        <w:t>ug/m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，Pmax</w:t>
      </w:r>
      <w:r>
        <w:rPr>
          <w:rFonts w:hint="eastAsia" w:ascii="Times New Roman" w:hAnsi="Times New Roman" w:cs="Times New Roman"/>
          <w:color w:val="auto"/>
          <w:u w:val="none" w:color="auto"/>
          <w:lang w:val="en-US" w:eastAsia="zh-CN"/>
        </w:rPr>
        <w:t>7.02</w:t>
      </w:r>
      <w:r>
        <w:rPr>
          <w:rFonts w:hint="default" w:ascii="Times New Roman" w:hAnsi="Times New Roman" w:cs="Times New Roman"/>
          <w:color w:val="auto"/>
          <w:u w:val="none" w:color="auto"/>
        </w:rPr>
        <w:t>%。根据《环境影响评价技术导则大气环境》（HJ2.2-2018）分级判据，确定本项目大气环境影响评价工作等级为二级，不进行进一步预测和分析，只对污染物排放量进行核算，可不设大气环境防护距离。</w:t>
      </w:r>
    </w:p>
    <w:p w14:paraId="25F3779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⑤污染源结果表</w:t>
      </w:r>
    </w:p>
    <w:p w14:paraId="1E1F57B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项目正常情况下排放的废气预测情况见表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6~5.2-11</w:t>
      </w:r>
      <w:r>
        <w:rPr>
          <w:rFonts w:hint="default" w:ascii="Times New Roman" w:hAnsi="Times New Roman" w:cs="Times New Roman"/>
          <w:color w:val="auto"/>
          <w:u w:val="none" w:color="auto"/>
          <w:lang w:val="en-US" w:eastAsia="zh-CN"/>
        </w:rPr>
        <w:t>。</w:t>
      </w:r>
    </w:p>
    <w:p w14:paraId="46B99A5D">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5.2-6</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990"/>
        <w:gridCol w:w="1169"/>
        <w:gridCol w:w="960"/>
        <w:gridCol w:w="849"/>
        <w:gridCol w:w="936"/>
        <w:gridCol w:w="873"/>
        <w:gridCol w:w="867"/>
        <w:gridCol w:w="943"/>
      </w:tblGrid>
      <w:tr w14:paraId="13FD9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noWrap w:val="0"/>
            <w:vAlign w:val="center"/>
          </w:tcPr>
          <w:p w14:paraId="7459FEE8">
            <w:pPr>
              <w:pStyle w:val="25"/>
              <w:bidi w:val="0"/>
              <w:rPr>
                <w:color w:val="auto"/>
                <w:u w:val="none" w:color="auto"/>
              </w:rPr>
            </w:pPr>
            <w:r>
              <w:rPr>
                <w:rFonts w:hint="eastAsia"/>
                <w:color w:val="auto"/>
                <w:u w:val="none" w:color="auto"/>
              </w:rPr>
              <w:t>方位角(度)</w:t>
            </w:r>
          </w:p>
        </w:tc>
        <w:tc>
          <w:tcPr>
            <w:tcW w:w="582" w:type="pct"/>
            <w:vMerge w:val="restart"/>
            <w:noWrap w:val="0"/>
            <w:vAlign w:val="center"/>
          </w:tcPr>
          <w:p w14:paraId="3599C023">
            <w:pPr>
              <w:pStyle w:val="25"/>
              <w:bidi w:val="0"/>
              <w:rPr>
                <w:color w:val="auto"/>
                <w:u w:val="none" w:color="auto"/>
              </w:rPr>
            </w:pPr>
            <w:r>
              <w:rPr>
                <w:rFonts w:hint="eastAsia"/>
                <w:color w:val="auto"/>
                <w:u w:val="none" w:color="auto"/>
              </w:rPr>
              <w:t>相对源高(m)</w:t>
            </w:r>
          </w:p>
        </w:tc>
        <w:tc>
          <w:tcPr>
            <w:tcW w:w="687" w:type="pct"/>
            <w:vMerge w:val="restart"/>
            <w:noWrap w:val="0"/>
            <w:vAlign w:val="center"/>
          </w:tcPr>
          <w:p w14:paraId="52DCFB5A">
            <w:pPr>
              <w:pStyle w:val="25"/>
              <w:bidi w:val="0"/>
              <w:rPr>
                <w:color w:val="auto"/>
                <w:u w:val="none" w:color="auto"/>
              </w:rPr>
            </w:pPr>
            <w:r>
              <w:rPr>
                <w:rFonts w:hint="eastAsia"/>
                <w:color w:val="auto"/>
                <w:u w:val="none" w:color="auto"/>
              </w:rPr>
              <w:t>离源距离(m)</w:t>
            </w:r>
          </w:p>
        </w:tc>
        <w:tc>
          <w:tcPr>
            <w:tcW w:w="3191" w:type="pct"/>
            <w:gridSpan w:val="6"/>
            <w:noWrap w:val="0"/>
            <w:vAlign w:val="center"/>
          </w:tcPr>
          <w:p w14:paraId="2A85BA8F">
            <w:pPr>
              <w:pStyle w:val="25"/>
              <w:bidi w:val="0"/>
              <w:rPr>
                <w:rFonts w:hint="default" w:eastAsia="宋体"/>
                <w:color w:val="auto"/>
                <w:u w:val="none" w:color="auto"/>
                <w:lang w:val="en-US" w:eastAsia="zh-CN"/>
              </w:rPr>
            </w:pPr>
            <w:r>
              <w:rPr>
                <w:rFonts w:hint="eastAsia"/>
                <w:color w:val="auto"/>
                <w:u w:val="none" w:color="auto"/>
                <w:lang w:val="en-US" w:eastAsia="zh-CN"/>
              </w:rPr>
              <w:t>DA001排气筒</w:t>
            </w:r>
          </w:p>
        </w:tc>
      </w:tr>
      <w:tr w14:paraId="5C9A3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noWrap w:val="0"/>
            <w:vAlign w:val="center"/>
          </w:tcPr>
          <w:p w14:paraId="4EB68361">
            <w:pPr>
              <w:pStyle w:val="25"/>
              <w:bidi w:val="0"/>
              <w:rPr>
                <w:color w:val="auto"/>
                <w:u w:val="none" w:color="auto"/>
              </w:rPr>
            </w:pPr>
          </w:p>
        </w:tc>
        <w:tc>
          <w:tcPr>
            <w:tcW w:w="582" w:type="pct"/>
            <w:vMerge w:val="continue"/>
            <w:noWrap w:val="0"/>
            <w:vAlign w:val="center"/>
          </w:tcPr>
          <w:p w14:paraId="0271B57B">
            <w:pPr>
              <w:pStyle w:val="25"/>
              <w:bidi w:val="0"/>
              <w:rPr>
                <w:rFonts w:hint="eastAsia"/>
                <w:color w:val="auto"/>
                <w:u w:val="none" w:color="auto"/>
                <w:lang w:eastAsia="zh-CN"/>
              </w:rPr>
            </w:pPr>
          </w:p>
        </w:tc>
        <w:tc>
          <w:tcPr>
            <w:tcW w:w="687" w:type="pct"/>
            <w:vMerge w:val="continue"/>
            <w:noWrap w:val="0"/>
            <w:vAlign w:val="center"/>
          </w:tcPr>
          <w:p w14:paraId="364436A1">
            <w:pPr>
              <w:pStyle w:val="25"/>
              <w:bidi w:val="0"/>
              <w:rPr>
                <w:rFonts w:hint="eastAsia"/>
                <w:color w:val="auto"/>
                <w:u w:val="none" w:color="auto"/>
                <w:lang w:eastAsia="zh-CN"/>
              </w:rPr>
            </w:pPr>
          </w:p>
        </w:tc>
        <w:tc>
          <w:tcPr>
            <w:tcW w:w="1063" w:type="pct"/>
            <w:gridSpan w:val="2"/>
            <w:noWrap w:val="0"/>
            <w:vAlign w:val="center"/>
          </w:tcPr>
          <w:p w14:paraId="5326354B">
            <w:pPr>
              <w:pStyle w:val="25"/>
              <w:bidi w:val="0"/>
              <w:rPr>
                <w:rFonts w:hint="eastAsia"/>
                <w:color w:val="auto"/>
                <w:u w:val="none" w:color="auto"/>
                <w:lang w:eastAsia="zh-CN"/>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1063" w:type="pct"/>
            <w:gridSpan w:val="2"/>
            <w:noWrap w:val="0"/>
            <w:vAlign w:val="center"/>
          </w:tcPr>
          <w:p w14:paraId="1D39DF84">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1064" w:type="pct"/>
            <w:gridSpan w:val="2"/>
            <w:noWrap w:val="0"/>
            <w:vAlign w:val="center"/>
          </w:tcPr>
          <w:p w14:paraId="6D6A9C9D">
            <w:pPr>
              <w:pStyle w:val="25"/>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甲醛</w:t>
            </w:r>
          </w:p>
        </w:tc>
      </w:tr>
      <w:tr w14:paraId="529D2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noWrap w:val="0"/>
            <w:vAlign w:val="center"/>
          </w:tcPr>
          <w:p w14:paraId="00B4D13B">
            <w:pPr>
              <w:pStyle w:val="25"/>
              <w:bidi w:val="0"/>
              <w:rPr>
                <w:color w:val="auto"/>
                <w:u w:val="none" w:color="auto"/>
              </w:rPr>
            </w:pPr>
          </w:p>
        </w:tc>
        <w:tc>
          <w:tcPr>
            <w:tcW w:w="582" w:type="pct"/>
            <w:vMerge w:val="continue"/>
            <w:noWrap w:val="0"/>
            <w:vAlign w:val="center"/>
          </w:tcPr>
          <w:p w14:paraId="129B752F">
            <w:pPr>
              <w:pStyle w:val="25"/>
              <w:bidi w:val="0"/>
              <w:rPr>
                <w:color w:val="auto"/>
                <w:u w:val="none" w:color="auto"/>
              </w:rPr>
            </w:pPr>
          </w:p>
        </w:tc>
        <w:tc>
          <w:tcPr>
            <w:tcW w:w="687" w:type="pct"/>
            <w:vMerge w:val="continue"/>
            <w:noWrap w:val="0"/>
            <w:vAlign w:val="center"/>
          </w:tcPr>
          <w:p w14:paraId="6A2A08B4">
            <w:pPr>
              <w:pStyle w:val="25"/>
              <w:bidi w:val="0"/>
              <w:rPr>
                <w:color w:val="auto"/>
                <w:u w:val="none" w:color="auto"/>
              </w:rPr>
            </w:pPr>
          </w:p>
        </w:tc>
        <w:tc>
          <w:tcPr>
            <w:tcW w:w="564" w:type="pct"/>
            <w:noWrap w:val="0"/>
            <w:vAlign w:val="center"/>
          </w:tcPr>
          <w:p w14:paraId="19B5928B">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499" w:type="pct"/>
            <w:noWrap w:val="0"/>
            <w:vAlign w:val="center"/>
          </w:tcPr>
          <w:p w14:paraId="16394F93">
            <w:pPr>
              <w:pStyle w:val="25"/>
              <w:bidi w:val="0"/>
              <w:rPr>
                <w:color w:val="auto"/>
                <w:u w:val="none" w:color="auto"/>
              </w:rPr>
            </w:pPr>
            <w:r>
              <w:rPr>
                <w:color w:val="auto"/>
                <w:u w:val="none" w:color="auto"/>
              </w:rPr>
              <w:t>占标率%</w:t>
            </w:r>
          </w:p>
        </w:tc>
        <w:tc>
          <w:tcPr>
            <w:tcW w:w="550" w:type="pct"/>
            <w:noWrap w:val="0"/>
            <w:vAlign w:val="center"/>
          </w:tcPr>
          <w:p w14:paraId="5CCFE858">
            <w:pPr>
              <w:pStyle w:val="25"/>
              <w:bidi w:val="0"/>
              <w:rPr>
                <w:rFonts w:ascii="Times New Roman" w:hAnsi="Times New Roman" w:eastAsia="宋体" w:cs="Times New Roman"/>
                <w:color w:val="auto"/>
                <w:kern w:val="2"/>
                <w:sz w:val="21"/>
                <w:szCs w:val="21"/>
                <w:u w:val="none" w:color="auto"/>
                <w:lang w:val="en-US" w:eastAsia="zh-CN" w:bidi="ar-SA"/>
              </w:rPr>
            </w:pPr>
            <w:r>
              <w:rPr>
                <w:color w:val="auto"/>
                <w:u w:val="none" w:color="auto"/>
              </w:rPr>
              <w:t>预测质量浓度μg/m</w:t>
            </w:r>
            <w:r>
              <w:rPr>
                <w:color w:val="auto"/>
                <w:u w:val="none" w:color="auto"/>
                <w:vertAlign w:val="superscript"/>
              </w:rPr>
              <w:t>3</w:t>
            </w:r>
          </w:p>
        </w:tc>
        <w:tc>
          <w:tcPr>
            <w:tcW w:w="513" w:type="pct"/>
            <w:noWrap w:val="0"/>
            <w:vAlign w:val="center"/>
          </w:tcPr>
          <w:p w14:paraId="7178028F">
            <w:pPr>
              <w:pStyle w:val="25"/>
              <w:bidi w:val="0"/>
              <w:rPr>
                <w:rFonts w:ascii="Times New Roman" w:hAnsi="Times New Roman" w:eastAsia="宋体" w:cs="Times New Roman"/>
                <w:color w:val="auto"/>
                <w:kern w:val="2"/>
                <w:sz w:val="21"/>
                <w:szCs w:val="21"/>
                <w:u w:val="none" w:color="auto"/>
                <w:lang w:val="en-US" w:eastAsia="zh-CN" w:bidi="ar-SA"/>
              </w:rPr>
            </w:pPr>
            <w:r>
              <w:rPr>
                <w:color w:val="auto"/>
                <w:u w:val="none" w:color="auto"/>
              </w:rPr>
              <w:t>占标率%</w:t>
            </w:r>
          </w:p>
        </w:tc>
        <w:tc>
          <w:tcPr>
            <w:tcW w:w="509" w:type="pct"/>
            <w:noWrap w:val="0"/>
            <w:vAlign w:val="center"/>
          </w:tcPr>
          <w:p w14:paraId="4B9211B2">
            <w:pPr>
              <w:pStyle w:val="25"/>
              <w:bidi w:val="0"/>
              <w:rPr>
                <w:rFonts w:ascii="Times New Roman" w:hAnsi="Times New Roman" w:eastAsia="宋体" w:cs="Times New Roman"/>
                <w:color w:val="auto"/>
                <w:kern w:val="2"/>
                <w:sz w:val="21"/>
                <w:szCs w:val="21"/>
                <w:u w:val="none" w:color="auto"/>
                <w:lang w:val="en-US" w:eastAsia="zh-CN" w:bidi="ar-SA"/>
              </w:rPr>
            </w:pPr>
            <w:r>
              <w:rPr>
                <w:color w:val="auto"/>
                <w:u w:val="none" w:color="auto"/>
              </w:rPr>
              <w:t>预测质量浓度μg/m</w:t>
            </w:r>
            <w:r>
              <w:rPr>
                <w:color w:val="auto"/>
                <w:u w:val="none" w:color="auto"/>
                <w:vertAlign w:val="superscript"/>
              </w:rPr>
              <w:t>3</w:t>
            </w:r>
          </w:p>
        </w:tc>
        <w:tc>
          <w:tcPr>
            <w:tcW w:w="554" w:type="pct"/>
            <w:noWrap w:val="0"/>
            <w:vAlign w:val="center"/>
          </w:tcPr>
          <w:p w14:paraId="349A0432">
            <w:pPr>
              <w:pStyle w:val="25"/>
              <w:bidi w:val="0"/>
              <w:rPr>
                <w:rFonts w:ascii="Times New Roman" w:hAnsi="Times New Roman" w:eastAsia="宋体" w:cs="Times New Roman"/>
                <w:color w:val="auto"/>
                <w:kern w:val="2"/>
                <w:sz w:val="21"/>
                <w:szCs w:val="21"/>
                <w:u w:val="none" w:color="auto"/>
                <w:lang w:val="en-US" w:eastAsia="zh-CN" w:bidi="ar-SA"/>
              </w:rPr>
            </w:pPr>
            <w:r>
              <w:rPr>
                <w:color w:val="auto"/>
                <w:u w:val="none" w:color="auto"/>
              </w:rPr>
              <w:t>占标率%</w:t>
            </w:r>
          </w:p>
        </w:tc>
      </w:tr>
      <w:tr w14:paraId="3A2BE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035032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2" w:type="pct"/>
            <w:noWrap w:val="0"/>
            <w:vAlign w:val="center"/>
          </w:tcPr>
          <w:p w14:paraId="5554FC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7" w:type="pct"/>
            <w:noWrap w:val="0"/>
            <w:vAlign w:val="center"/>
          </w:tcPr>
          <w:p w14:paraId="366F93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4" w:type="pct"/>
            <w:noWrap w:val="0"/>
            <w:vAlign w:val="center"/>
          </w:tcPr>
          <w:p w14:paraId="1F0BED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499" w:type="pct"/>
            <w:noWrap w:val="0"/>
            <w:vAlign w:val="center"/>
          </w:tcPr>
          <w:p w14:paraId="5A629A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50" w:type="pct"/>
            <w:noWrap w:val="0"/>
            <w:vAlign w:val="center"/>
          </w:tcPr>
          <w:p w14:paraId="3164B3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513" w:type="pct"/>
            <w:noWrap w:val="0"/>
            <w:vAlign w:val="center"/>
          </w:tcPr>
          <w:p w14:paraId="77CDB4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09" w:type="pct"/>
            <w:noWrap w:val="0"/>
            <w:vAlign w:val="center"/>
          </w:tcPr>
          <w:p w14:paraId="6CF380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0.0027</w:t>
            </w:r>
          </w:p>
        </w:tc>
        <w:tc>
          <w:tcPr>
            <w:tcW w:w="554" w:type="pct"/>
            <w:noWrap w:val="0"/>
            <w:vAlign w:val="center"/>
          </w:tcPr>
          <w:p w14:paraId="7F4B82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11978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17C3A7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82" w:type="pct"/>
            <w:noWrap w:val="0"/>
            <w:vAlign w:val="center"/>
          </w:tcPr>
          <w:p w14:paraId="2D8FD6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687" w:type="pct"/>
            <w:noWrap w:val="0"/>
            <w:vAlign w:val="center"/>
          </w:tcPr>
          <w:p w14:paraId="6B0B85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4" w:type="pct"/>
            <w:noWrap w:val="0"/>
            <w:vAlign w:val="center"/>
          </w:tcPr>
          <w:p w14:paraId="248D3A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0.3265</w:t>
            </w:r>
          </w:p>
        </w:tc>
        <w:tc>
          <w:tcPr>
            <w:tcW w:w="499" w:type="pct"/>
            <w:noWrap w:val="0"/>
            <w:vAlign w:val="center"/>
          </w:tcPr>
          <w:p w14:paraId="6C2987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550" w:type="pct"/>
            <w:noWrap w:val="0"/>
            <w:vAlign w:val="center"/>
          </w:tcPr>
          <w:p w14:paraId="52AD49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0.9192</w:t>
            </w:r>
          </w:p>
        </w:tc>
        <w:tc>
          <w:tcPr>
            <w:tcW w:w="513" w:type="pct"/>
            <w:noWrap w:val="0"/>
            <w:vAlign w:val="center"/>
          </w:tcPr>
          <w:p w14:paraId="6DFCBF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09" w:type="pct"/>
            <w:noWrap w:val="0"/>
            <w:vAlign w:val="center"/>
          </w:tcPr>
          <w:p w14:paraId="04A132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1.2285</w:t>
            </w:r>
          </w:p>
        </w:tc>
        <w:tc>
          <w:tcPr>
            <w:tcW w:w="554" w:type="pct"/>
            <w:noWrap w:val="0"/>
            <w:vAlign w:val="center"/>
          </w:tcPr>
          <w:p w14:paraId="554CCE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w:t>
            </w:r>
          </w:p>
        </w:tc>
      </w:tr>
      <w:tr w14:paraId="28C33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0559E6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82" w:type="pct"/>
            <w:noWrap w:val="0"/>
            <w:vAlign w:val="center"/>
          </w:tcPr>
          <w:p w14:paraId="5A29E9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687" w:type="pct"/>
            <w:noWrap w:val="0"/>
            <w:vAlign w:val="center"/>
          </w:tcPr>
          <w:p w14:paraId="22B683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564" w:type="pct"/>
            <w:noWrap w:val="0"/>
            <w:vAlign w:val="center"/>
          </w:tcPr>
          <w:p w14:paraId="184F25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0.4098</w:t>
            </w:r>
          </w:p>
        </w:tc>
        <w:tc>
          <w:tcPr>
            <w:tcW w:w="499" w:type="pct"/>
            <w:noWrap w:val="0"/>
            <w:vAlign w:val="center"/>
          </w:tcPr>
          <w:p w14:paraId="6B5675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50" w:type="pct"/>
            <w:noWrap w:val="0"/>
            <w:vAlign w:val="center"/>
          </w:tcPr>
          <w:p w14:paraId="4F94BF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1.1539</w:t>
            </w:r>
          </w:p>
        </w:tc>
        <w:tc>
          <w:tcPr>
            <w:tcW w:w="513" w:type="pct"/>
            <w:noWrap w:val="0"/>
            <w:vAlign w:val="center"/>
          </w:tcPr>
          <w:p w14:paraId="15780E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509" w:type="pct"/>
            <w:noWrap w:val="0"/>
            <w:vAlign w:val="center"/>
          </w:tcPr>
          <w:p w14:paraId="76AC63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1.5422</w:t>
            </w:r>
          </w:p>
        </w:tc>
        <w:tc>
          <w:tcPr>
            <w:tcW w:w="554" w:type="pct"/>
            <w:noWrap w:val="0"/>
            <w:vAlign w:val="center"/>
          </w:tcPr>
          <w:p w14:paraId="06F554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3.08</w:t>
            </w:r>
          </w:p>
        </w:tc>
      </w:tr>
      <w:tr w14:paraId="44B5D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337570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82" w:type="pct"/>
            <w:noWrap w:val="0"/>
            <w:vAlign w:val="center"/>
          </w:tcPr>
          <w:p w14:paraId="17331F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87" w:type="pct"/>
            <w:noWrap w:val="0"/>
            <w:vAlign w:val="center"/>
          </w:tcPr>
          <w:p w14:paraId="67F126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4" w:type="pct"/>
            <w:noWrap w:val="0"/>
            <w:vAlign w:val="center"/>
          </w:tcPr>
          <w:p w14:paraId="11A9C4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0.3836</w:t>
            </w:r>
          </w:p>
        </w:tc>
        <w:tc>
          <w:tcPr>
            <w:tcW w:w="499" w:type="pct"/>
            <w:noWrap w:val="0"/>
            <w:vAlign w:val="center"/>
          </w:tcPr>
          <w:p w14:paraId="4ED90E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50" w:type="pct"/>
            <w:noWrap w:val="0"/>
            <w:vAlign w:val="center"/>
          </w:tcPr>
          <w:p w14:paraId="527F97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1.0802</w:t>
            </w:r>
          </w:p>
        </w:tc>
        <w:tc>
          <w:tcPr>
            <w:tcW w:w="513" w:type="pct"/>
            <w:noWrap w:val="0"/>
            <w:vAlign w:val="center"/>
          </w:tcPr>
          <w:p w14:paraId="2E2740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09" w:type="pct"/>
            <w:noWrap w:val="0"/>
            <w:vAlign w:val="center"/>
          </w:tcPr>
          <w:p w14:paraId="342BF9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1.4437</w:t>
            </w:r>
          </w:p>
        </w:tc>
        <w:tc>
          <w:tcPr>
            <w:tcW w:w="554" w:type="pct"/>
            <w:noWrap w:val="0"/>
            <w:vAlign w:val="center"/>
          </w:tcPr>
          <w:p w14:paraId="44D757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2.89</w:t>
            </w:r>
          </w:p>
        </w:tc>
      </w:tr>
      <w:tr w14:paraId="73B34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531A4E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82" w:type="pct"/>
            <w:noWrap w:val="0"/>
            <w:vAlign w:val="center"/>
          </w:tcPr>
          <w:p w14:paraId="529BDA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687" w:type="pct"/>
            <w:noWrap w:val="0"/>
            <w:vAlign w:val="center"/>
          </w:tcPr>
          <w:p w14:paraId="050B93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4" w:type="pct"/>
            <w:noWrap w:val="0"/>
            <w:vAlign w:val="center"/>
          </w:tcPr>
          <w:p w14:paraId="6DF357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0.2349</w:t>
            </w:r>
          </w:p>
        </w:tc>
        <w:tc>
          <w:tcPr>
            <w:tcW w:w="499" w:type="pct"/>
            <w:noWrap w:val="0"/>
            <w:vAlign w:val="center"/>
          </w:tcPr>
          <w:p w14:paraId="0EAE29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550" w:type="pct"/>
            <w:noWrap w:val="0"/>
            <w:vAlign w:val="center"/>
          </w:tcPr>
          <w:p w14:paraId="0AFB4D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0.6614</w:t>
            </w:r>
          </w:p>
        </w:tc>
        <w:tc>
          <w:tcPr>
            <w:tcW w:w="513" w:type="pct"/>
            <w:noWrap w:val="0"/>
            <w:vAlign w:val="center"/>
          </w:tcPr>
          <w:p w14:paraId="1E0687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509" w:type="pct"/>
            <w:noWrap w:val="0"/>
            <w:vAlign w:val="center"/>
          </w:tcPr>
          <w:p w14:paraId="1D03C4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0.8839</w:t>
            </w:r>
          </w:p>
        </w:tc>
        <w:tc>
          <w:tcPr>
            <w:tcW w:w="554" w:type="pct"/>
            <w:noWrap w:val="0"/>
            <w:vAlign w:val="center"/>
          </w:tcPr>
          <w:p w14:paraId="0AA8F2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w:t>
            </w:r>
          </w:p>
        </w:tc>
      </w:tr>
      <w:tr w14:paraId="7B9C3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149506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82" w:type="pct"/>
            <w:noWrap w:val="0"/>
            <w:vAlign w:val="center"/>
          </w:tcPr>
          <w:p w14:paraId="1CC96E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687" w:type="pct"/>
            <w:noWrap w:val="0"/>
            <w:vAlign w:val="center"/>
          </w:tcPr>
          <w:p w14:paraId="578AE4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564" w:type="pct"/>
            <w:noWrap w:val="0"/>
            <w:vAlign w:val="center"/>
          </w:tcPr>
          <w:p w14:paraId="2FF3CB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0.1746</w:t>
            </w:r>
          </w:p>
        </w:tc>
        <w:tc>
          <w:tcPr>
            <w:tcW w:w="499" w:type="pct"/>
            <w:noWrap w:val="0"/>
            <w:vAlign w:val="center"/>
          </w:tcPr>
          <w:p w14:paraId="5329F0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550" w:type="pct"/>
            <w:noWrap w:val="0"/>
            <w:vAlign w:val="center"/>
          </w:tcPr>
          <w:p w14:paraId="4AD519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0.4915</w:t>
            </w:r>
          </w:p>
        </w:tc>
        <w:tc>
          <w:tcPr>
            <w:tcW w:w="513" w:type="pct"/>
            <w:noWrap w:val="0"/>
            <w:vAlign w:val="center"/>
          </w:tcPr>
          <w:p w14:paraId="0D7037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509" w:type="pct"/>
            <w:noWrap w:val="0"/>
            <w:vAlign w:val="center"/>
          </w:tcPr>
          <w:p w14:paraId="62F5ED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0.6569</w:t>
            </w:r>
          </w:p>
        </w:tc>
        <w:tc>
          <w:tcPr>
            <w:tcW w:w="554" w:type="pct"/>
            <w:noWrap w:val="0"/>
            <w:vAlign w:val="center"/>
          </w:tcPr>
          <w:p w14:paraId="1B4659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1.31</w:t>
            </w:r>
          </w:p>
        </w:tc>
      </w:tr>
      <w:tr w14:paraId="7DCAA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326471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82" w:type="pct"/>
            <w:noWrap w:val="0"/>
            <w:vAlign w:val="center"/>
          </w:tcPr>
          <w:p w14:paraId="5B9BA3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5.19</w:t>
            </w:r>
          </w:p>
        </w:tc>
        <w:tc>
          <w:tcPr>
            <w:tcW w:w="687" w:type="pct"/>
            <w:noWrap w:val="0"/>
            <w:vAlign w:val="center"/>
          </w:tcPr>
          <w:p w14:paraId="1D62CE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64" w:type="pct"/>
            <w:noWrap w:val="0"/>
            <w:vAlign w:val="center"/>
          </w:tcPr>
          <w:p w14:paraId="039E14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0.139</w:t>
            </w:r>
          </w:p>
        </w:tc>
        <w:tc>
          <w:tcPr>
            <w:tcW w:w="499" w:type="pct"/>
            <w:noWrap w:val="0"/>
            <w:vAlign w:val="center"/>
          </w:tcPr>
          <w:p w14:paraId="5A2517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50" w:type="pct"/>
            <w:noWrap w:val="0"/>
            <w:vAlign w:val="center"/>
          </w:tcPr>
          <w:p w14:paraId="102F48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0.3914</w:t>
            </w:r>
          </w:p>
        </w:tc>
        <w:tc>
          <w:tcPr>
            <w:tcW w:w="513" w:type="pct"/>
            <w:noWrap w:val="0"/>
            <w:vAlign w:val="center"/>
          </w:tcPr>
          <w:p w14:paraId="515377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09" w:type="pct"/>
            <w:noWrap w:val="0"/>
            <w:vAlign w:val="center"/>
          </w:tcPr>
          <w:p w14:paraId="282354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0.523</w:t>
            </w:r>
          </w:p>
        </w:tc>
        <w:tc>
          <w:tcPr>
            <w:tcW w:w="554" w:type="pct"/>
            <w:noWrap w:val="0"/>
            <w:vAlign w:val="center"/>
          </w:tcPr>
          <w:p w14:paraId="606C11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r>
      <w:tr w14:paraId="53796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639FC0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82" w:type="pct"/>
            <w:noWrap w:val="0"/>
            <w:vAlign w:val="center"/>
          </w:tcPr>
          <w:p w14:paraId="3D1DC9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7.62</w:t>
            </w:r>
          </w:p>
        </w:tc>
        <w:tc>
          <w:tcPr>
            <w:tcW w:w="687" w:type="pct"/>
            <w:noWrap w:val="0"/>
            <w:vAlign w:val="center"/>
          </w:tcPr>
          <w:p w14:paraId="50DAA0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564" w:type="pct"/>
            <w:noWrap w:val="0"/>
            <w:vAlign w:val="center"/>
          </w:tcPr>
          <w:p w14:paraId="6C46D4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0.1132</w:t>
            </w:r>
          </w:p>
        </w:tc>
        <w:tc>
          <w:tcPr>
            <w:tcW w:w="499" w:type="pct"/>
            <w:noWrap w:val="0"/>
            <w:vAlign w:val="center"/>
          </w:tcPr>
          <w:p w14:paraId="38DB3B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50" w:type="pct"/>
            <w:noWrap w:val="0"/>
            <w:vAlign w:val="center"/>
          </w:tcPr>
          <w:p w14:paraId="138ACF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0.3188</w:t>
            </w:r>
          </w:p>
        </w:tc>
        <w:tc>
          <w:tcPr>
            <w:tcW w:w="513" w:type="pct"/>
            <w:noWrap w:val="0"/>
            <w:vAlign w:val="center"/>
          </w:tcPr>
          <w:p w14:paraId="26124B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09" w:type="pct"/>
            <w:noWrap w:val="0"/>
            <w:vAlign w:val="center"/>
          </w:tcPr>
          <w:p w14:paraId="2150DD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0.426</w:t>
            </w:r>
          </w:p>
        </w:tc>
        <w:tc>
          <w:tcPr>
            <w:tcW w:w="554" w:type="pct"/>
            <w:noWrap w:val="0"/>
            <w:vAlign w:val="center"/>
          </w:tcPr>
          <w:p w14:paraId="4C309A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0.85</w:t>
            </w:r>
          </w:p>
        </w:tc>
      </w:tr>
      <w:tr w14:paraId="10F63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5A9C8C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82" w:type="pct"/>
            <w:noWrap w:val="0"/>
            <w:vAlign w:val="center"/>
          </w:tcPr>
          <w:p w14:paraId="735EA7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687" w:type="pct"/>
            <w:noWrap w:val="0"/>
            <w:vAlign w:val="center"/>
          </w:tcPr>
          <w:p w14:paraId="603940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564" w:type="pct"/>
            <w:noWrap w:val="0"/>
            <w:vAlign w:val="center"/>
          </w:tcPr>
          <w:p w14:paraId="6007CF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0.0907</w:t>
            </w:r>
          </w:p>
        </w:tc>
        <w:tc>
          <w:tcPr>
            <w:tcW w:w="499" w:type="pct"/>
            <w:noWrap w:val="0"/>
            <w:vAlign w:val="center"/>
          </w:tcPr>
          <w:p w14:paraId="536E35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077EF8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0.2555</w:t>
            </w:r>
          </w:p>
        </w:tc>
        <w:tc>
          <w:tcPr>
            <w:tcW w:w="513" w:type="pct"/>
            <w:noWrap w:val="0"/>
            <w:vAlign w:val="center"/>
          </w:tcPr>
          <w:p w14:paraId="358732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227EBA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0.3415</w:t>
            </w:r>
          </w:p>
        </w:tc>
        <w:tc>
          <w:tcPr>
            <w:tcW w:w="554" w:type="pct"/>
            <w:noWrap w:val="0"/>
            <w:vAlign w:val="center"/>
          </w:tcPr>
          <w:p w14:paraId="422EAC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w:t>
            </w:r>
          </w:p>
        </w:tc>
      </w:tr>
      <w:tr w14:paraId="3B1E9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60D67E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82" w:type="pct"/>
            <w:noWrap w:val="0"/>
            <w:vAlign w:val="center"/>
          </w:tcPr>
          <w:p w14:paraId="5FFA11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0.92</w:t>
            </w:r>
          </w:p>
        </w:tc>
        <w:tc>
          <w:tcPr>
            <w:tcW w:w="687" w:type="pct"/>
            <w:noWrap w:val="0"/>
            <w:vAlign w:val="center"/>
          </w:tcPr>
          <w:p w14:paraId="7F23DC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564" w:type="pct"/>
            <w:noWrap w:val="0"/>
            <w:vAlign w:val="center"/>
          </w:tcPr>
          <w:p w14:paraId="412950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0.0781</w:t>
            </w:r>
          </w:p>
        </w:tc>
        <w:tc>
          <w:tcPr>
            <w:tcW w:w="499" w:type="pct"/>
            <w:noWrap w:val="0"/>
            <w:vAlign w:val="center"/>
          </w:tcPr>
          <w:p w14:paraId="443B29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7EF986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0.2199</w:t>
            </w:r>
          </w:p>
        </w:tc>
        <w:tc>
          <w:tcPr>
            <w:tcW w:w="513" w:type="pct"/>
            <w:noWrap w:val="0"/>
            <w:vAlign w:val="center"/>
          </w:tcPr>
          <w:p w14:paraId="0A2F93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58A1C3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0.2939</w:t>
            </w:r>
          </w:p>
        </w:tc>
        <w:tc>
          <w:tcPr>
            <w:tcW w:w="554" w:type="pct"/>
            <w:noWrap w:val="0"/>
            <w:vAlign w:val="center"/>
          </w:tcPr>
          <w:p w14:paraId="0B6D9A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0.59</w:t>
            </w:r>
          </w:p>
        </w:tc>
      </w:tr>
      <w:tr w14:paraId="61CA6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13ACB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82" w:type="pct"/>
            <w:noWrap w:val="0"/>
            <w:vAlign w:val="center"/>
          </w:tcPr>
          <w:p w14:paraId="5A5195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687" w:type="pct"/>
            <w:noWrap w:val="0"/>
            <w:vAlign w:val="center"/>
          </w:tcPr>
          <w:p w14:paraId="746726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564" w:type="pct"/>
            <w:noWrap w:val="0"/>
            <w:vAlign w:val="center"/>
          </w:tcPr>
          <w:p w14:paraId="6174A3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0.0712</w:t>
            </w:r>
          </w:p>
        </w:tc>
        <w:tc>
          <w:tcPr>
            <w:tcW w:w="499" w:type="pct"/>
            <w:noWrap w:val="0"/>
            <w:vAlign w:val="center"/>
          </w:tcPr>
          <w:p w14:paraId="298815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5CD954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0.2006</w:t>
            </w:r>
          </w:p>
        </w:tc>
        <w:tc>
          <w:tcPr>
            <w:tcW w:w="513" w:type="pct"/>
            <w:noWrap w:val="0"/>
            <w:vAlign w:val="center"/>
          </w:tcPr>
          <w:p w14:paraId="5A822B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40E5EF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0.2681</w:t>
            </w:r>
          </w:p>
        </w:tc>
        <w:tc>
          <w:tcPr>
            <w:tcW w:w="554" w:type="pct"/>
            <w:noWrap w:val="0"/>
            <w:vAlign w:val="center"/>
          </w:tcPr>
          <w:p w14:paraId="29B876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154AB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3D6554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82" w:type="pct"/>
            <w:noWrap w:val="0"/>
            <w:vAlign w:val="center"/>
          </w:tcPr>
          <w:p w14:paraId="7F1829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0.87</w:t>
            </w:r>
          </w:p>
        </w:tc>
        <w:tc>
          <w:tcPr>
            <w:tcW w:w="687" w:type="pct"/>
            <w:noWrap w:val="0"/>
            <w:vAlign w:val="center"/>
          </w:tcPr>
          <w:p w14:paraId="2686D5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564" w:type="pct"/>
            <w:noWrap w:val="0"/>
            <w:vAlign w:val="center"/>
          </w:tcPr>
          <w:p w14:paraId="2FF9C9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0.0755</w:t>
            </w:r>
          </w:p>
        </w:tc>
        <w:tc>
          <w:tcPr>
            <w:tcW w:w="499" w:type="pct"/>
            <w:noWrap w:val="0"/>
            <w:vAlign w:val="center"/>
          </w:tcPr>
          <w:p w14:paraId="767C43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53BC6B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0.2125</w:t>
            </w:r>
          </w:p>
        </w:tc>
        <w:tc>
          <w:tcPr>
            <w:tcW w:w="513" w:type="pct"/>
            <w:noWrap w:val="0"/>
            <w:vAlign w:val="center"/>
          </w:tcPr>
          <w:p w14:paraId="4F4EC2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2A3848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0.2841</w:t>
            </w:r>
          </w:p>
        </w:tc>
        <w:tc>
          <w:tcPr>
            <w:tcW w:w="554" w:type="pct"/>
            <w:noWrap w:val="0"/>
            <w:vAlign w:val="center"/>
          </w:tcPr>
          <w:p w14:paraId="20B123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0.57</w:t>
            </w:r>
          </w:p>
        </w:tc>
      </w:tr>
      <w:tr w14:paraId="3A3B1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6EEEC1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82" w:type="pct"/>
            <w:noWrap w:val="0"/>
            <w:vAlign w:val="center"/>
          </w:tcPr>
          <w:p w14:paraId="35306C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687" w:type="pct"/>
            <w:noWrap w:val="0"/>
            <w:vAlign w:val="center"/>
          </w:tcPr>
          <w:p w14:paraId="1A1541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564" w:type="pct"/>
            <w:noWrap w:val="0"/>
            <w:vAlign w:val="center"/>
          </w:tcPr>
          <w:p w14:paraId="668C35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0.0775</w:t>
            </w:r>
          </w:p>
        </w:tc>
        <w:tc>
          <w:tcPr>
            <w:tcW w:w="499" w:type="pct"/>
            <w:noWrap w:val="0"/>
            <w:vAlign w:val="center"/>
          </w:tcPr>
          <w:p w14:paraId="195DB7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141297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0.2183</w:t>
            </w:r>
          </w:p>
        </w:tc>
        <w:tc>
          <w:tcPr>
            <w:tcW w:w="513" w:type="pct"/>
            <w:noWrap w:val="0"/>
            <w:vAlign w:val="center"/>
          </w:tcPr>
          <w:p w14:paraId="5DE47E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404FE3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0.2917</w:t>
            </w:r>
          </w:p>
        </w:tc>
        <w:tc>
          <w:tcPr>
            <w:tcW w:w="554" w:type="pct"/>
            <w:noWrap w:val="0"/>
            <w:vAlign w:val="center"/>
          </w:tcPr>
          <w:p w14:paraId="3F1DC6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r>
      <w:tr w14:paraId="5C4A5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27F9A0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82" w:type="pct"/>
            <w:noWrap w:val="0"/>
            <w:vAlign w:val="center"/>
          </w:tcPr>
          <w:p w14:paraId="0713F4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0.81</w:t>
            </w:r>
          </w:p>
        </w:tc>
        <w:tc>
          <w:tcPr>
            <w:tcW w:w="687" w:type="pct"/>
            <w:noWrap w:val="0"/>
            <w:vAlign w:val="center"/>
          </w:tcPr>
          <w:p w14:paraId="4EDB06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564" w:type="pct"/>
            <w:noWrap w:val="0"/>
            <w:vAlign w:val="center"/>
          </w:tcPr>
          <w:p w14:paraId="530FE5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0.0767</w:t>
            </w:r>
          </w:p>
        </w:tc>
        <w:tc>
          <w:tcPr>
            <w:tcW w:w="499" w:type="pct"/>
            <w:noWrap w:val="0"/>
            <w:vAlign w:val="center"/>
          </w:tcPr>
          <w:p w14:paraId="1B74F2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5C9C22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0.2159</w:t>
            </w:r>
          </w:p>
        </w:tc>
        <w:tc>
          <w:tcPr>
            <w:tcW w:w="513" w:type="pct"/>
            <w:noWrap w:val="0"/>
            <w:vAlign w:val="center"/>
          </w:tcPr>
          <w:p w14:paraId="181F77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0CD8AE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0.2885</w:t>
            </w:r>
          </w:p>
        </w:tc>
        <w:tc>
          <w:tcPr>
            <w:tcW w:w="554" w:type="pct"/>
            <w:noWrap w:val="0"/>
            <w:vAlign w:val="center"/>
          </w:tcPr>
          <w:p w14:paraId="380EBE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r>
      <w:tr w14:paraId="00BC5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6F8884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82" w:type="pct"/>
            <w:noWrap w:val="0"/>
            <w:vAlign w:val="center"/>
          </w:tcPr>
          <w:p w14:paraId="13EE7B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687" w:type="pct"/>
            <w:noWrap w:val="0"/>
            <w:vAlign w:val="center"/>
          </w:tcPr>
          <w:p w14:paraId="69797E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564" w:type="pct"/>
            <w:noWrap w:val="0"/>
            <w:vAlign w:val="center"/>
          </w:tcPr>
          <w:p w14:paraId="6E9BC3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0.0752</w:t>
            </w:r>
          </w:p>
        </w:tc>
        <w:tc>
          <w:tcPr>
            <w:tcW w:w="499" w:type="pct"/>
            <w:noWrap w:val="0"/>
            <w:vAlign w:val="center"/>
          </w:tcPr>
          <w:p w14:paraId="00200C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691CDC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0.2118</w:t>
            </w:r>
          </w:p>
        </w:tc>
        <w:tc>
          <w:tcPr>
            <w:tcW w:w="513" w:type="pct"/>
            <w:noWrap w:val="0"/>
            <w:vAlign w:val="center"/>
          </w:tcPr>
          <w:p w14:paraId="7895FC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043A78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0.2831</w:t>
            </w:r>
          </w:p>
        </w:tc>
        <w:tc>
          <w:tcPr>
            <w:tcW w:w="554" w:type="pct"/>
            <w:noWrap w:val="0"/>
            <w:vAlign w:val="center"/>
          </w:tcPr>
          <w:p w14:paraId="07E07D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0.57</w:t>
            </w:r>
          </w:p>
        </w:tc>
      </w:tr>
      <w:tr w14:paraId="40AB9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49790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82" w:type="pct"/>
            <w:noWrap w:val="0"/>
            <w:vAlign w:val="center"/>
          </w:tcPr>
          <w:p w14:paraId="35BF21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687" w:type="pct"/>
            <w:noWrap w:val="0"/>
            <w:vAlign w:val="center"/>
          </w:tcPr>
          <w:p w14:paraId="7DA06B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564" w:type="pct"/>
            <w:noWrap w:val="0"/>
            <w:vAlign w:val="center"/>
          </w:tcPr>
          <w:p w14:paraId="13D892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0.0738</w:t>
            </w:r>
          </w:p>
        </w:tc>
        <w:tc>
          <w:tcPr>
            <w:tcW w:w="499" w:type="pct"/>
            <w:noWrap w:val="0"/>
            <w:vAlign w:val="center"/>
          </w:tcPr>
          <w:p w14:paraId="13DA6B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770D94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0.2078</w:t>
            </w:r>
          </w:p>
        </w:tc>
        <w:tc>
          <w:tcPr>
            <w:tcW w:w="513" w:type="pct"/>
            <w:noWrap w:val="0"/>
            <w:vAlign w:val="center"/>
          </w:tcPr>
          <w:p w14:paraId="6D09CA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0C3441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0.2777</w:t>
            </w:r>
          </w:p>
        </w:tc>
        <w:tc>
          <w:tcPr>
            <w:tcW w:w="554" w:type="pct"/>
            <w:noWrap w:val="0"/>
            <w:vAlign w:val="center"/>
          </w:tcPr>
          <w:p w14:paraId="11959C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w:t>
            </w:r>
          </w:p>
        </w:tc>
      </w:tr>
      <w:tr w14:paraId="12010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32CB96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82" w:type="pct"/>
            <w:noWrap w:val="0"/>
            <w:vAlign w:val="center"/>
          </w:tcPr>
          <w:p w14:paraId="44118F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687" w:type="pct"/>
            <w:noWrap w:val="0"/>
            <w:vAlign w:val="center"/>
          </w:tcPr>
          <w:p w14:paraId="4CB71E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564" w:type="pct"/>
            <w:noWrap w:val="0"/>
            <w:vAlign w:val="center"/>
          </w:tcPr>
          <w:p w14:paraId="44C713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0.0717</w:t>
            </w:r>
          </w:p>
        </w:tc>
        <w:tc>
          <w:tcPr>
            <w:tcW w:w="499" w:type="pct"/>
            <w:noWrap w:val="0"/>
            <w:vAlign w:val="center"/>
          </w:tcPr>
          <w:p w14:paraId="065B77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46503F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0.2019</w:t>
            </w:r>
          </w:p>
        </w:tc>
        <w:tc>
          <w:tcPr>
            <w:tcW w:w="513" w:type="pct"/>
            <w:noWrap w:val="0"/>
            <w:vAlign w:val="center"/>
          </w:tcPr>
          <w:p w14:paraId="0891A8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19DD8E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0.2698</w:t>
            </w:r>
          </w:p>
        </w:tc>
        <w:tc>
          <w:tcPr>
            <w:tcW w:w="554" w:type="pct"/>
            <w:noWrap w:val="0"/>
            <w:vAlign w:val="center"/>
          </w:tcPr>
          <w:p w14:paraId="78B83C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274BF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4D3AA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82" w:type="pct"/>
            <w:noWrap w:val="0"/>
            <w:vAlign w:val="center"/>
          </w:tcPr>
          <w:p w14:paraId="1AF61D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46.32</w:t>
            </w:r>
          </w:p>
        </w:tc>
        <w:tc>
          <w:tcPr>
            <w:tcW w:w="687" w:type="pct"/>
            <w:noWrap w:val="0"/>
            <w:vAlign w:val="center"/>
          </w:tcPr>
          <w:p w14:paraId="4EB2AE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564" w:type="pct"/>
            <w:noWrap w:val="0"/>
            <w:vAlign w:val="center"/>
          </w:tcPr>
          <w:p w14:paraId="784E43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0.0704</w:t>
            </w:r>
          </w:p>
        </w:tc>
        <w:tc>
          <w:tcPr>
            <w:tcW w:w="499" w:type="pct"/>
            <w:noWrap w:val="0"/>
            <w:vAlign w:val="center"/>
          </w:tcPr>
          <w:p w14:paraId="2905BE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50" w:type="pct"/>
            <w:noWrap w:val="0"/>
            <w:vAlign w:val="center"/>
          </w:tcPr>
          <w:p w14:paraId="385F69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0.1984</w:t>
            </w:r>
          </w:p>
        </w:tc>
        <w:tc>
          <w:tcPr>
            <w:tcW w:w="513" w:type="pct"/>
            <w:noWrap w:val="0"/>
            <w:vAlign w:val="center"/>
          </w:tcPr>
          <w:p w14:paraId="1F247C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3003D6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0.2651</w:t>
            </w:r>
          </w:p>
        </w:tc>
        <w:tc>
          <w:tcPr>
            <w:tcW w:w="554" w:type="pct"/>
            <w:noWrap w:val="0"/>
            <w:vAlign w:val="center"/>
          </w:tcPr>
          <w:p w14:paraId="35229C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w:t>
            </w:r>
          </w:p>
        </w:tc>
      </w:tr>
      <w:tr w14:paraId="2F88B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8159E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582" w:type="pct"/>
            <w:noWrap w:val="0"/>
            <w:vAlign w:val="center"/>
          </w:tcPr>
          <w:p w14:paraId="656E71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87" w:type="pct"/>
            <w:noWrap w:val="0"/>
            <w:vAlign w:val="center"/>
          </w:tcPr>
          <w:p w14:paraId="4DBE81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564" w:type="pct"/>
            <w:noWrap w:val="0"/>
            <w:vAlign w:val="center"/>
          </w:tcPr>
          <w:p w14:paraId="78BD0C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0.0671</w:t>
            </w:r>
          </w:p>
        </w:tc>
        <w:tc>
          <w:tcPr>
            <w:tcW w:w="499" w:type="pct"/>
            <w:noWrap w:val="0"/>
            <w:vAlign w:val="center"/>
          </w:tcPr>
          <w:p w14:paraId="51E8DB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5B75E8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w:t>
            </w:r>
          </w:p>
        </w:tc>
        <w:tc>
          <w:tcPr>
            <w:tcW w:w="513" w:type="pct"/>
            <w:noWrap w:val="0"/>
            <w:vAlign w:val="center"/>
          </w:tcPr>
          <w:p w14:paraId="3FA058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61ABBF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0.2526</w:t>
            </w:r>
          </w:p>
        </w:tc>
        <w:tc>
          <w:tcPr>
            <w:tcW w:w="554" w:type="pct"/>
            <w:noWrap w:val="0"/>
            <w:vAlign w:val="center"/>
          </w:tcPr>
          <w:p w14:paraId="02ECB1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0.51</w:t>
            </w:r>
          </w:p>
        </w:tc>
      </w:tr>
      <w:tr w14:paraId="22692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5B8C45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82" w:type="pct"/>
            <w:noWrap w:val="0"/>
            <w:vAlign w:val="center"/>
          </w:tcPr>
          <w:p w14:paraId="33683F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687" w:type="pct"/>
            <w:noWrap w:val="0"/>
            <w:vAlign w:val="center"/>
          </w:tcPr>
          <w:p w14:paraId="37B480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564" w:type="pct"/>
            <w:noWrap w:val="0"/>
            <w:vAlign w:val="center"/>
          </w:tcPr>
          <w:p w14:paraId="7E1A69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0.0646</w:t>
            </w:r>
          </w:p>
        </w:tc>
        <w:tc>
          <w:tcPr>
            <w:tcW w:w="499" w:type="pct"/>
            <w:noWrap w:val="0"/>
            <w:vAlign w:val="center"/>
          </w:tcPr>
          <w:p w14:paraId="0A73C6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5E1F27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0.182</w:t>
            </w:r>
          </w:p>
        </w:tc>
        <w:tc>
          <w:tcPr>
            <w:tcW w:w="513" w:type="pct"/>
            <w:noWrap w:val="0"/>
            <w:vAlign w:val="center"/>
          </w:tcPr>
          <w:p w14:paraId="52A9F7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09" w:type="pct"/>
            <w:noWrap w:val="0"/>
            <w:vAlign w:val="center"/>
          </w:tcPr>
          <w:p w14:paraId="688134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0.2432</w:t>
            </w:r>
          </w:p>
        </w:tc>
        <w:tc>
          <w:tcPr>
            <w:tcW w:w="554" w:type="pct"/>
            <w:noWrap w:val="0"/>
            <w:vAlign w:val="center"/>
          </w:tcPr>
          <w:p w14:paraId="35D9D5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r>
      <w:tr w14:paraId="2413A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62716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82" w:type="pct"/>
            <w:noWrap w:val="0"/>
            <w:vAlign w:val="center"/>
          </w:tcPr>
          <w:p w14:paraId="4BEB9B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687" w:type="pct"/>
            <w:noWrap w:val="0"/>
            <w:vAlign w:val="center"/>
          </w:tcPr>
          <w:p w14:paraId="3B985E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564" w:type="pct"/>
            <w:noWrap w:val="0"/>
            <w:vAlign w:val="center"/>
          </w:tcPr>
          <w:p w14:paraId="17BC6A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0.0624</w:t>
            </w:r>
          </w:p>
        </w:tc>
        <w:tc>
          <w:tcPr>
            <w:tcW w:w="499" w:type="pct"/>
            <w:noWrap w:val="0"/>
            <w:vAlign w:val="center"/>
          </w:tcPr>
          <w:p w14:paraId="5DEC66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275172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0.1756</w:t>
            </w:r>
          </w:p>
        </w:tc>
        <w:tc>
          <w:tcPr>
            <w:tcW w:w="513" w:type="pct"/>
            <w:noWrap w:val="0"/>
            <w:vAlign w:val="center"/>
          </w:tcPr>
          <w:p w14:paraId="2D86E2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7E59B0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0.2347</w:t>
            </w:r>
          </w:p>
        </w:tc>
        <w:tc>
          <w:tcPr>
            <w:tcW w:w="554" w:type="pct"/>
            <w:noWrap w:val="0"/>
            <w:vAlign w:val="center"/>
          </w:tcPr>
          <w:p w14:paraId="6B3DD9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0.47</w:t>
            </w:r>
          </w:p>
        </w:tc>
      </w:tr>
      <w:tr w14:paraId="17F86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4EBC0A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82" w:type="pct"/>
            <w:noWrap w:val="0"/>
            <w:vAlign w:val="center"/>
          </w:tcPr>
          <w:p w14:paraId="6ED95E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687" w:type="pct"/>
            <w:noWrap w:val="0"/>
            <w:vAlign w:val="center"/>
          </w:tcPr>
          <w:p w14:paraId="17460F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564" w:type="pct"/>
            <w:noWrap w:val="0"/>
            <w:vAlign w:val="center"/>
          </w:tcPr>
          <w:p w14:paraId="413440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0.0602</w:t>
            </w:r>
          </w:p>
        </w:tc>
        <w:tc>
          <w:tcPr>
            <w:tcW w:w="499" w:type="pct"/>
            <w:noWrap w:val="0"/>
            <w:vAlign w:val="center"/>
          </w:tcPr>
          <w:p w14:paraId="7EB851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5680D9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0.1695</w:t>
            </w:r>
          </w:p>
        </w:tc>
        <w:tc>
          <w:tcPr>
            <w:tcW w:w="513" w:type="pct"/>
            <w:noWrap w:val="0"/>
            <w:vAlign w:val="center"/>
          </w:tcPr>
          <w:p w14:paraId="2E6340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482145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0.2265</w:t>
            </w:r>
          </w:p>
        </w:tc>
        <w:tc>
          <w:tcPr>
            <w:tcW w:w="554" w:type="pct"/>
            <w:noWrap w:val="0"/>
            <w:vAlign w:val="center"/>
          </w:tcPr>
          <w:p w14:paraId="6D25A8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w:t>
            </w:r>
          </w:p>
        </w:tc>
      </w:tr>
      <w:tr w14:paraId="3DE2E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2D7520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82" w:type="pct"/>
            <w:noWrap w:val="0"/>
            <w:vAlign w:val="center"/>
          </w:tcPr>
          <w:p w14:paraId="726D5E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87" w:type="pct"/>
            <w:noWrap w:val="0"/>
            <w:vAlign w:val="center"/>
          </w:tcPr>
          <w:p w14:paraId="1FA0D1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564" w:type="pct"/>
            <w:noWrap w:val="0"/>
            <w:vAlign w:val="center"/>
          </w:tcPr>
          <w:p w14:paraId="3E1CF7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499" w:type="pct"/>
            <w:noWrap w:val="0"/>
            <w:vAlign w:val="center"/>
          </w:tcPr>
          <w:p w14:paraId="5662D1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3906C2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0.1632</w:t>
            </w:r>
          </w:p>
        </w:tc>
        <w:tc>
          <w:tcPr>
            <w:tcW w:w="513" w:type="pct"/>
            <w:noWrap w:val="0"/>
            <w:vAlign w:val="center"/>
          </w:tcPr>
          <w:p w14:paraId="371621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60FD9C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0.2182</w:t>
            </w:r>
          </w:p>
        </w:tc>
        <w:tc>
          <w:tcPr>
            <w:tcW w:w="554" w:type="pct"/>
            <w:noWrap w:val="0"/>
            <w:vAlign w:val="center"/>
          </w:tcPr>
          <w:p w14:paraId="3D89AD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r>
      <w:tr w14:paraId="0EFB5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342867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82" w:type="pct"/>
            <w:noWrap w:val="0"/>
            <w:vAlign w:val="center"/>
          </w:tcPr>
          <w:p w14:paraId="787ED0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87" w:type="pct"/>
            <w:noWrap w:val="0"/>
            <w:vAlign w:val="center"/>
          </w:tcPr>
          <w:p w14:paraId="604FBE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564" w:type="pct"/>
            <w:noWrap w:val="0"/>
            <w:vAlign w:val="center"/>
          </w:tcPr>
          <w:p w14:paraId="49792C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0.0558</w:t>
            </w:r>
          </w:p>
        </w:tc>
        <w:tc>
          <w:tcPr>
            <w:tcW w:w="499" w:type="pct"/>
            <w:noWrap w:val="0"/>
            <w:vAlign w:val="center"/>
          </w:tcPr>
          <w:p w14:paraId="758E33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38AD50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0.1571</w:t>
            </w:r>
          </w:p>
        </w:tc>
        <w:tc>
          <w:tcPr>
            <w:tcW w:w="513" w:type="pct"/>
            <w:noWrap w:val="0"/>
            <w:vAlign w:val="center"/>
          </w:tcPr>
          <w:p w14:paraId="02C108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784990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0.2099</w:t>
            </w:r>
          </w:p>
        </w:tc>
        <w:tc>
          <w:tcPr>
            <w:tcW w:w="554" w:type="pct"/>
            <w:noWrap w:val="0"/>
            <w:vAlign w:val="center"/>
          </w:tcPr>
          <w:p w14:paraId="528A26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r>
      <w:tr w14:paraId="4DFF4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1FA853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82" w:type="pct"/>
            <w:noWrap w:val="0"/>
            <w:vAlign w:val="center"/>
          </w:tcPr>
          <w:p w14:paraId="451476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87" w:type="pct"/>
            <w:noWrap w:val="0"/>
            <w:vAlign w:val="center"/>
          </w:tcPr>
          <w:p w14:paraId="0CB772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564" w:type="pct"/>
            <w:noWrap w:val="0"/>
            <w:vAlign w:val="center"/>
          </w:tcPr>
          <w:p w14:paraId="30ECFB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0.0539</w:t>
            </w:r>
          </w:p>
        </w:tc>
        <w:tc>
          <w:tcPr>
            <w:tcW w:w="499" w:type="pct"/>
            <w:noWrap w:val="0"/>
            <w:vAlign w:val="center"/>
          </w:tcPr>
          <w:p w14:paraId="4EE7E7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5040DD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0.1518</w:t>
            </w:r>
          </w:p>
        </w:tc>
        <w:tc>
          <w:tcPr>
            <w:tcW w:w="513" w:type="pct"/>
            <w:noWrap w:val="0"/>
            <w:vAlign w:val="center"/>
          </w:tcPr>
          <w:p w14:paraId="7C9199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4EFEF1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0.2029</w:t>
            </w:r>
          </w:p>
        </w:tc>
        <w:tc>
          <w:tcPr>
            <w:tcW w:w="554" w:type="pct"/>
            <w:noWrap w:val="0"/>
            <w:vAlign w:val="center"/>
          </w:tcPr>
          <w:p w14:paraId="5AA5EA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w:t>
            </w:r>
          </w:p>
        </w:tc>
      </w:tr>
      <w:tr w14:paraId="24073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1B853A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82" w:type="pct"/>
            <w:noWrap w:val="0"/>
            <w:vAlign w:val="center"/>
          </w:tcPr>
          <w:p w14:paraId="33C254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87" w:type="pct"/>
            <w:noWrap w:val="0"/>
            <w:vAlign w:val="center"/>
          </w:tcPr>
          <w:p w14:paraId="407897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564" w:type="pct"/>
            <w:noWrap w:val="0"/>
            <w:vAlign w:val="center"/>
          </w:tcPr>
          <w:p w14:paraId="01AA00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499" w:type="pct"/>
            <w:noWrap w:val="0"/>
            <w:vAlign w:val="center"/>
          </w:tcPr>
          <w:p w14:paraId="746A42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09797B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0.1465</w:t>
            </w:r>
          </w:p>
        </w:tc>
        <w:tc>
          <w:tcPr>
            <w:tcW w:w="513" w:type="pct"/>
            <w:noWrap w:val="0"/>
            <w:vAlign w:val="center"/>
          </w:tcPr>
          <w:p w14:paraId="139A54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32C8F9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0.1957</w:t>
            </w:r>
          </w:p>
        </w:tc>
        <w:tc>
          <w:tcPr>
            <w:tcW w:w="554" w:type="pct"/>
            <w:noWrap w:val="0"/>
            <w:vAlign w:val="center"/>
          </w:tcPr>
          <w:p w14:paraId="479D8F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w:t>
            </w:r>
          </w:p>
        </w:tc>
      </w:tr>
      <w:tr w14:paraId="37801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189445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82" w:type="pct"/>
            <w:noWrap w:val="0"/>
            <w:vAlign w:val="center"/>
          </w:tcPr>
          <w:p w14:paraId="649ED7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687" w:type="pct"/>
            <w:noWrap w:val="0"/>
            <w:vAlign w:val="center"/>
          </w:tcPr>
          <w:p w14:paraId="48F7C0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564" w:type="pct"/>
            <w:noWrap w:val="0"/>
            <w:vAlign w:val="center"/>
          </w:tcPr>
          <w:p w14:paraId="2D7908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0.0502</w:t>
            </w:r>
          </w:p>
        </w:tc>
        <w:tc>
          <w:tcPr>
            <w:tcW w:w="499" w:type="pct"/>
            <w:noWrap w:val="0"/>
            <w:vAlign w:val="center"/>
          </w:tcPr>
          <w:p w14:paraId="649F1E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787585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0.1414</w:t>
            </w:r>
          </w:p>
        </w:tc>
        <w:tc>
          <w:tcPr>
            <w:tcW w:w="513" w:type="pct"/>
            <w:noWrap w:val="0"/>
            <w:vAlign w:val="center"/>
          </w:tcPr>
          <w:p w14:paraId="686621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72AF7E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w:t>
            </w:r>
          </w:p>
        </w:tc>
        <w:tc>
          <w:tcPr>
            <w:tcW w:w="554" w:type="pct"/>
            <w:noWrap w:val="0"/>
            <w:vAlign w:val="center"/>
          </w:tcPr>
          <w:p w14:paraId="3AA4B1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r>
      <w:tr w14:paraId="6E996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0"/>
            <w:vAlign w:val="center"/>
          </w:tcPr>
          <w:p w14:paraId="70850C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82" w:type="pct"/>
            <w:noWrap w:val="0"/>
            <w:vAlign w:val="center"/>
          </w:tcPr>
          <w:p w14:paraId="730BE0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5.48</w:t>
            </w:r>
          </w:p>
        </w:tc>
        <w:tc>
          <w:tcPr>
            <w:tcW w:w="687" w:type="pct"/>
            <w:noWrap w:val="0"/>
            <w:vAlign w:val="center"/>
          </w:tcPr>
          <w:p w14:paraId="7B55E0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564" w:type="pct"/>
            <w:noWrap w:val="0"/>
            <w:vAlign w:val="center"/>
          </w:tcPr>
          <w:p w14:paraId="760586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0.0486</w:t>
            </w:r>
          </w:p>
        </w:tc>
        <w:tc>
          <w:tcPr>
            <w:tcW w:w="499" w:type="pct"/>
            <w:noWrap w:val="0"/>
            <w:vAlign w:val="center"/>
          </w:tcPr>
          <w:p w14:paraId="2BF2A1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50" w:type="pct"/>
            <w:noWrap w:val="0"/>
            <w:vAlign w:val="center"/>
          </w:tcPr>
          <w:p w14:paraId="3AE62B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0.1367</w:t>
            </w:r>
          </w:p>
        </w:tc>
        <w:tc>
          <w:tcPr>
            <w:tcW w:w="513" w:type="pct"/>
            <w:noWrap w:val="0"/>
            <w:vAlign w:val="center"/>
          </w:tcPr>
          <w:p w14:paraId="57F122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509" w:type="pct"/>
            <w:noWrap w:val="0"/>
            <w:vAlign w:val="center"/>
          </w:tcPr>
          <w:p w14:paraId="23B087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0.1827</w:t>
            </w:r>
          </w:p>
        </w:tc>
        <w:tc>
          <w:tcPr>
            <w:tcW w:w="554" w:type="pct"/>
            <w:noWrap w:val="0"/>
            <w:vAlign w:val="center"/>
          </w:tcPr>
          <w:p w14:paraId="4BB425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w:t>
            </w:r>
          </w:p>
        </w:tc>
      </w:tr>
      <w:tr w14:paraId="179F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pct"/>
            <w:gridSpan w:val="3"/>
            <w:noWrap w:val="0"/>
            <w:vAlign w:val="center"/>
          </w:tcPr>
          <w:p w14:paraId="03F86AF5">
            <w:pPr>
              <w:pStyle w:val="25"/>
              <w:bidi w:val="0"/>
              <w:rPr>
                <w:rFonts w:hint="eastAsia"/>
                <w:color w:val="auto"/>
                <w:u w:val="none" w:color="auto"/>
                <w:lang w:val="en-US" w:eastAsia="zh-CN"/>
              </w:rPr>
            </w:pPr>
            <w:r>
              <w:rPr>
                <w:color w:val="auto"/>
                <w:u w:val="none" w:color="auto"/>
              </w:rPr>
              <w:t>下风向最大质量浓度及占标率</w:t>
            </w:r>
          </w:p>
        </w:tc>
        <w:tc>
          <w:tcPr>
            <w:tcW w:w="564" w:type="pct"/>
            <w:noWrap w:val="0"/>
            <w:vAlign w:val="center"/>
          </w:tcPr>
          <w:p w14:paraId="5810B99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0.4098</w:t>
            </w:r>
          </w:p>
        </w:tc>
        <w:tc>
          <w:tcPr>
            <w:tcW w:w="499" w:type="pct"/>
            <w:noWrap w:val="0"/>
            <w:vAlign w:val="center"/>
          </w:tcPr>
          <w:p w14:paraId="4C1B5C5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0.09</w:t>
            </w:r>
          </w:p>
        </w:tc>
        <w:tc>
          <w:tcPr>
            <w:tcW w:w="550" w:type="pct"/>
            <w:noWrap w:val="0"/>
            <w:vAlign w:val="center"/>
          </w:tcPr>
          <w:p w14:paraId="0CE9FF7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1.1539</w:t>
            </w:r>
          </w:p>
        </w:tc>
        <w:tc>
          <w:tcPr>
            <w:tcW w:w="513" w:type="pct"/>
            <w:noWrap w:val="0"/>
            <w:vAlign w:val="center"/>
          </w:tcPr>
          <w:p w14:paraId="59C30050">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0.1</w:t>
            </w:r>
          </w:p>
        </w:tc>
        <w:tc>
          <w:tcPr>
            <w:tcW w:w="509" w:type="pct"/>
            <w:noWrap w:val="0"/>
            <w:vAlign w:val="center"/>
          </w:tcPr>
          <w:p w14:paraId="7AA6F97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1.5422</w:t>
            </w:r>
          </w:p>
        </w:tc>
        <w:tc>
          <w:tcPr>
            <w:tcW w:w="554" w:type="pct"/>
            <w:noWrap w:val="0"/>
            <w:vAlign w:val="center"/>
          </w:tcPr>
          <w:p w14:paraId="76677FA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3.08</w:t>
            </w:r>
          </w:p>
        </w:tc>
      </w:tr>
      <w:tr w14:paraId="51189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pct"/>
            <w:gridSpan w:val="3"/>
            <w:noWrap w:val="0"/>
            <w:vAlign w:val="center"/>
          </w:tcPr>
          <w:p w14:paraId="249BB4AB">
            <w:pPr>
              <w:pStyle w:val="25"/>
              <w:bidi w:val="0"/>
              <w:rPr>
                <w:color w:val="auto"/>
                <w:u w:val="none" w:color="auto"/>
              </w:rPr>
            </w:pPr>
            <w:r>
              <w:rPr>
                <w:color w:val="auto"/>
                <w:u w:val="none" w:color="auto"/>
              </w:rPr>
              <w:t>D10%最远距离/m</w:t>
            </w:r>
          </w:p>
        </w:tc>
        <w:tc>
          <w:tcPr>
            <w:tcW w:w="3191" w:type="pct"/>
            <w:gridSpan w:val="6"/>
            <w:noWrap w:val="0"/>
            <w:vAlign w:val="center"/>
          </w:tcPr>
          <w:p w14:paraId="16C5E178">
            <w:pPr>
              <w:pStyle w:val="25"/>
              <w:bidi w:val="0"/>
              <w:rPr>
                <w:color w:val="auto"/>
                <w:u w:val="none" w:color="auto"/>
              </w:rPr>
            </w:pPr>
            <w:r>
              <w:rPr>
                <w:color w:val="auto"/>
                <w:u w:val="none" w:color="auto"/>
              </w:rPr>
              <w:t>/</w:t>
            </w:r>
          </w:p>
        </w:tc>
      </w:tr>
    </w:tbl>
    <w:p w14:paraId="739D214C">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5.2-7</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41CD9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06102459">
            <w:pPr>
              <w:pStyle w:val="25"/>
              <w:bidi w:val="0"/>
              <w:rPr>
                <w:color w:val="auto"/>
                <w:u w:val="none" w:color="auto"/>
              </w:rPr>
            </w:pPr>
            <w:r>
              <w:rPr>
                <w:rFonts w:hint="eastAsia"/>
                <w:color w:val="auto"/>
                <w:u w:val="none" w:color="auto"/>
              </w:rPr>
              <w:t>方位角(度)</w:t>
            </w:r>
          </w:p>
        </w:tc>
        <w:tc>
          <w:tcPr>
            <w:tcW w:w="566" w:type="pct"/>
            <w:vMerge w:val="restart"/>
            <w:noWrap w:val="0"/>
            <w:vAlign w:val="center"/>
          </w:tcPr>
          <w:p w14:paraId="5368992E">
            <w:pPr>
              <w:pStyle w:val="25"/>
              <w:bidi w:val="0"/>
              <w:rPr>
                <w:color w:val="auto"/>
                <w:u w:val="none" w:color="auto"/>
              </w:rPr>
            </w:pPr>
            <w:r>
              <w:rPr>
                <w:rFonts w:hint="eastAsia"/>
                <w:color w:val="auto"/>
                <w:u w:val="none" w:color="auto"/>
              </w:rPr>
              <w:t>相对源高(m)</w:t>
            </w:r>
          </w:p>
        </w:tc>
        <w:tc>
          <w:tcPr>
            <w:tcW w:w="648" w:type="pct"/>
            <w:vMerge w:val="restart"/>
            <w:noWrap w:val="0"/>
            <w:vAlign w:val="center"/>
          </w:tcPr>
          <w:p w14:paraId="06FFEC37">
            <w:pPr>
              <w:pStyle w:val="25"/>
              <w:bidi w:val="0"/>
              <w:rPr>
                <w:color w:val="auto"/>
                <w:u w:val="none" w:color="auto"/>
              </w:rPr>
            </w:pPr>
            <w:r>
              <w:rPr>
                <w:rFonts w:hint="eastAsia"/>
                <w:color w:val="auto"/>
                <w:u w:val="none" w:color="auto"/>
              </w:rPr>
              <w:t>离源距离(m)</w:t>
            </w:r>
          </w:p>
        </w:tc>
        <w:tc>
          <w:tcPr>
            <w:tcW w:w="3107" w:type="pct"/>
            <w:gridSpan w:val="4"/>
            <w:noWrap w:val="0"/>
            <w:vAlign w:val="center"/>
          </w:tcPr>
          <w:p w14:paraId="5531CA54">
            <w:pPr>
              <w:pStyle w:val="25"/>
              <w:bidi w:val="0"/>
              <w:rPr>
                <w:rFonts w:hint="eastAsia"/>
                <w:color w:val="auto"/>
                <w:u w:val="none" w:color="auto"/>
                <w:lang w:val="en-US" w:eastAsia="zh-CN"/>
              </w:rPr>
            </w:pPr>
            <w:r>
              <w:rPr>
                <w:rFonts w:hint="eastAsia"/>
                <w:color w:val="auto"/>
                <w:u w:val="none" w:color="auto"/>
                <w:lang w:val="en-US" w:eastAsia="zh-CN"/>
              </w:rPr>
              <w:t>DA002排气筒</w:t>
            </w:r>
          </w:p>
        </w:tc>
      </w:tr>
      <w:tr w14:paraId="7FE1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1A3342F6">
            <w:pPr>
              <w:pStyle w:val="25"/>
              <w:bidi w:val="0"/>
              <w:rPr>
                <w:color w:val="auto"/>
                <w:u w:val="none" w:color="auto"/>
              </w:rPr>
            </w:pPr>
          </w:p>
        </w:tc>
        <w:tc>
          <w:tcPr>
            <w:tcW w:w="566" w:type="pct"/>
            <w:vMerge w:val="continue"/>
            <w:noWrap w:val="0"/>
            <w:vAlign w:val="center"/>
          </w:tcPr>
          <w:p w14:paraId="17AA830C">
            <w:pPr>
              <w:pStyle w:val="25"/>
              <w:bidi w:val="0"/>
              <w:rPr>
                <w:rFonts w:hint="eastAsia"/>
                <w:color w:val="auto"/>
                <w:u w:val="none" w:color="auto"/>
                <w:lang w:eastAsia="zh-CN"/>
              </w:rPr>
            </w:pPr>
          </w:p>
        </w:tc>
        <w:tc>
          <w:tcPr>
            <w:tcW w:w="648" w:type="pct"/>
            <w:vMerge w:val="continue"/>
            <w:noWrap w:val="0"/>
            <w:vAlign w:val="center"/>
          </w:tcPr>
          <w:p w14:paraId="414B24B0">
            <w:pPr>
              <w:pStyle w:val="25"/>
              <w:bidi w:val="0"/>
              <w:rPr>
                <w:rFonts w:hint="eastAsia"/>
                <w:color w:val="auto"/>
                <w:u w:val="none" w:color="auto"/>
                <w:lang w:eastAsia="zh-CN"/>
              </w:rPr>
            </w:pPr>
          </w:p>
        </w:tc>
        <w:tc>
          <w:tcPr>
            <w:tcW w:w="1553" w:type="pct"/>
            <w:gridSpan w:val="2"/>
            <w:noWrap w:val="0"/>
            <w:vAlign w:val="center"/>
          </w:tcPr>
          <w:p w14:paraId="3BFE48DD">
            <w:pPr>
              <w:pStyle w:val="25"/>
              <w:bidi w:val="0"/>
              <w:rPr>
                <w:rFonts w:hint="default"/>
                <w:color w:val="auto"/>
                <w:u w:val="none" w:color="auto"/>
                <w:lang w:val="en-US" w:eastAsia="zh-CN"/>
              </w:rPr>
            </w:pPr>
            <w:r>
              <w:rPr>
                <w:rFonts w:hint="eastAsia"/>
                <w:color w:val="auto"/>
                <w:u w:val="none" w:color="auto"/>
                <w:lang w:val="en-US" w:eastAsia="zh-CN"/>
              </w:rPr>
              <w:t>二氧化硫</w:t>
            </w:r>
          </w:p>
        </w:tc>
        <w:tc>
          <w:tcPr>
            <w:tcW w:w="1553" w:type="pct"/>
            <w:gridSpan w:val="2"/>
            <w:noWrap w:val="0"/>
            <w:vAlign w:val="center"/>
          </w:tcPr>
          <w:p w14:paraId="7E756EE9">
            <w:pPr>
              <w:pStyle w:val="25"/>
              <w:bidi w:val="0"/>
              <w:rPr>
                <w:rFonts w:hint="default"/>
                <w:color w:val="auto"/>
                <w:u w:val="none" w:color="auto"/>
                <w:lang w:val="en-US" w:eastAsia="zh-CN"/>
              </w:rPr>
            </w:pPr>
            <w:r>
              <w:rPr>
                <w:rFonts w:hint="eastAsia"/>
                <w:color w:val="auto"/>
                <w:u w:val="none" w:color="auto"/>
                <w:lang w:val="en-US" w:eastAsia="zh-CN"/>
              </w:rPr>
              <w:t>二氧化氮</w:t>
            </w:r>
          </w:p>
        </w:tc>
      </w:tr>
      <w:tr w14:paraId="2F9A5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5E4EF71F">
            <w:pPr>
              <w:pStyle w:val="25"/>
              <w:bidi w:val="0"/>
              <w:rPr>
                <w:color w:val="auto"/>
                <w:u w:val="none" w:color="auto"/>
              </w:rPr>
            </w:pPr>
          </w:p>
        </w:tc>
        <w:tc>
          <w:tcPr>
            <w:tcW w:w="566" w:type="pct"/>
            <w:vMerge w:val="continue"/>
            <w:noWrap w:val="0"/>
            <w:vAlign w:val="center"/>
          </w:tcPr>
          <w:p w14:paraId="0C2B32F8">
            <w:pPr>
              <w:pStyle w:val="25"/>
              <w:bidi w:val="0"/>
              <w:rPr>
                <w:color w:val="auto"/>
                <w:u w:val="none" w:color="auto"/>
              </w:rPr>
            </w:pPr>
          </w:p>
        </w:tc>
        <w:tc>
          <w:tcPr>
            <w:tcW w:w="648" w:type="pct"/>
            <w:vMerge w:val="continue"/>
            <w:noWrap w:val="0"/>
            <w:vAlign w:val="center"/>
          </w:tcPr>
          <w:p w14:paraId="606BDBC9">
            <w:pPr>
              <w:pStyle w:val="25"/>
              <w:bidi w:val="0"/>
              <w:rPr>
                <w:color w:val="auto"/>
                <w:u w:val="none" w:color="auto"/>
              </w:rPr>
            </w:pPr>
          </w:p>
        </w:tc>
        <w:tc>
          <w:tcPr>
            <w:tcW w:w="776" w:type="pct"/>
            <w:noWrap w:val="0"/>
            <w:vAlign w:val="center"/>
          </w:tcPr>
          <w:p w14:paraId="5F3CCE95">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7D54AD87">
            <w:pPr>
              <w:pStyle w:val="25"/>
              <w:bidi w:val="0"/>
              <w:rPr>
                <w:color w:val="auto"/>
                <w:u w:val="none" w:color="auto"/>
              </w:rPr>
            </w:pPr>
            <w:r>
              <w:rPr>
                <w:color w:val="auto"/>
                <w:u w:val="none" w:color="auto"/>
              </w:rPr>
              <w:t>占标率%</w:t>
            </w:r>
          </w:p>
        </w:tc>
        <w:tc>
          <w:tcPr>
            <w:tcW w:w="776" w:type="pct"/>
            <w:noWrap w:val="0"/>
            <w:vAlign w:val="center"/>
          </w:tcPr>
          <w:p w14:paraId="079EE450">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2EA0D878">
            <w:pPr>
              <w:pStyle w:val="25"/>
              <w:bidi w:val="0"/>
              <w:rPr>
                <w:color w:val="auto"/>
                <w:u w:val="none" w:color="auto"/>
                <w:lang w:val="en-US" w:eastAsia="zh-CN"/>
              </w:rPr>
            </w:pPr>
            <w:r>
              <w:rPr>
                <w:color w:val="auto"/>
                <w:u w:val="none" w:color="auto"/>
              </w:rPr>
              <w:t>占标率%</w:t>
            </w:r>
          </w:p>
        </w:tc>
      </w:tr>
      <w:tr w14:paraId="28BFB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BA294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6" w:type="pct"/>
            <w:noWrap w:val="0"/>
            <w:vAlign w:val="center"/>
          </w:tcPr>
          <w:p w14:paraId="2D2A10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noWrap w:val="0"/>
            <w:vAlign w:val="center"/>
          </w:tcPr>
          <w:p w14:paraId="71EEA0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19D3CB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77" w:type="pct"/>
            <w:noWrap w:val="0"/>
            <w:vAlign w:val="center"/>
          </w:tcPr>
          <w:p w14:paraId="632D48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2EE307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0.0147</w:t>
            </w:r>
          </w:p>
        </w:tc>
        <w:tc>
          <w:tcPr>
            <w:tcW w:w="777" w:type="pct"/>
            <w:noWrap w:val="0"/>
            <w:vAlign w:val="center"/>
          </w:tcPr>
          <w:p w14:paraId="2791DD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5812E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59C74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0B425E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48" w:type="pct"/>
            <w:noWrap w:val="0"/>
            <w:vAlign w:val="center"/>
          </w:tcPr>
          <w:p w14:paraId="5C49F9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76" w:type="pct"/>
            <w:noWrap w:val="0"/>
            <w:vAlign w:val="center"/>
          </w:tcPr>
          <w:p w14:paraId="4AA127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0.3329</w:t>
            </w:r>
          </w:p>
        </w:tc>
        <w:tc>
          <w:tcPr>
            <w:tcW w:w="777" w:type="pct"/>
            <w:noWrap w:val="0"/>
            <w:vAlign w:val="center"/>
          </w:tcPr>
          <w:p w14:paraId="71BF08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776" w:type="pct"/>
            <w:noWrap w:val="0"/>
            <w:vAlign w:val="center"/>
          </w:tcPr>
          <w:p w14:paraId="3A170A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5.0157</w:t>
            </w:r>
          </w:p>
        </w:tc>
        <w:tc>
          <w:tcPr>
            <w:tcW w:w="777" w:type="pct"/>
            <w:noWrap w:val="0"/>
            <w:vAlign w:val="center"/>
          </w:tcPr>
          <w:p w14:paraId="442798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r>
      <w:tr w14:paraId="08ECA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5A4F8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2FA815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48" w:type="pct"/>
            <w:noWrap w:val="0"/>
            <w:vAlign w:val="center"/>
          </w:tcPr>
          <w:p w14:paraId="186F2C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3DDA71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0.319</w:t>
            </w:r>
          </w:p>
        </w:tc>
        <w:tc>
          <w:tcPr>
            <w:tcW w:w="777" w:type="pct"/>
            <w:noWrap w:val="0"/>
            <w:vAlign w:val="center"/>
          </w:tcPr>
          <w:p w14:paraId="7F8019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76" w:type="pct"/>
            <w:noWrap w:val="0"/>
            <w:vAlign w:val="center"/>
          </w:tcPr>
          <w:p w14:paraId="630A27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4.8055</w:t>
            </w:r>
          </w:p>
        </w:tc>
        <w:tc>
          <w:tcPr>
            <w:tcW w:w="777" w:type="pct"/>
            <w:noWrap w:val="0"/>
            <w:vAlign w:val="center"/>
          </w:tcPr>
          <w:p w14:paraId="477399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r>
      <w:tr w14:paraId="71BE8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D8651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2B2DDB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48" w:type="pct"/>
            <w:noWrap w:val="0"/>
            <w:vAlign w:val="center"/>
          </w:tcPr>
          <w:p w14:paraId="410AB5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1CC7A7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0.2535</w:t>
            </w:r>
          </w:p>
        </w:tc>
        <w:tc>
          <w:tcPr>
            <w:tcW w:w="777" w:type="pct"/>
            <w:noWrap w:val="0"/>
            <w:vAlign w:val="center"/>
          </w:tcPr>
          <w:p w14:paraId="41171E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4ACD82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3.8191</w:t>
            </w:r>
          </w:p>
        </w:tc>
        <w:tc>
          <w:tcPr>
            <w:tcW w:w="777" w:type="pct"/>
            <w:noWrap w:val="0"/>
            <w:vAlign w:val="center"/>
          </w:tcPr>
          <w:p w14:paraId="64601F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1.91</w:t>
            </w:r>
          </w:p>
        </w:tc>
      </w:tr>
      <w:tr w14:paraId="29282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BA2D4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08CA71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648" w:type="pct"/>
            <w:noWrap w:val="0"/>
            <w:vAlign w:val="center"/>
          </w:tcPr>
          <w:p w14:paraId="53BC4E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005E8D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0.1892</w:t>
            </w:r>
          </w:p>
        </w:tc>
        <w:tc>
          <w:tcPr>
            <w:tcW w:w="777" w:type="pct"/>
            <w:noWrap w:val="0"/>
            <w:vAlign w:val="center"/>
          </w:tcPr>
          <w:p w14:paraId="42B1D9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3C878B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2.8508</w:t>
            </w:r>
          </w:p>
        </w:tc>
        <w:tc>
          <w:tcPr>
            <w:tcW w:w="777" w:type="pct"/>
            <w:noWrap w:val="0"/>
            <w:vAlign w:val="center"/>
          </w:tcPr>
          <w:p w14:paraId="75BA36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w:t>
            </w:r>
          </w:p>
        </w:tc>
      </w:tr>
      <w:tr w14:paraId="74DE8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4C56B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66" w:type="pct"/>
            <w:noWrap w:val="0"/>
            <w:vAlign w:val="center"/>
          </w:tcPr>
          <w:p w14:paraId="0C725F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48" w:type="pct"/>
            <w:noWrap w:val="0"/>
            <w:vAlign w:val="center"/>
          </w:tcPr>
          <w:p w14:paraId="2A82B3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29C260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0.228</w:t>
            </w:r>
          </w:p>
        </w:tc>
        <w:tc>
          <w:tcPr>
            <w:tcW w:w="777" w:type="pct"/>
            <w:noWrap w:val="0"/>
            <w:vAlign w:val="center"/>
          </w:tcPr>
          <w:p w14:paraId="3B0CFC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6E587D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3.4355</w:t>
            </w:r>
          </w:p>
        </w:tc>
        <w:tc>
          <w:tcPr>
            <w:tcW w:w="777" w:type="pct"/>
            <w:noWrap w:val="0"/>
            <w:vAlign w:val="center"/>
          </w:tcPr>
          <w:p w14:paraId="4FC606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w:t>
            </w:r>
          </w:p>
        </w:tc>
      </w:tr>
      <w:tr w14:paraId="56EC4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71E0A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6" w:type="pct"/>
            <w:noWrap w:val="0"/>
            <w:vAlign w:val="center"/>
          </w:tcPr>
          <w:p w14:paraId="510B3A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40FB9B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1D735A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0.1979</w:t>
            </w:r>
          </w:p>
        </w:tc>
        <w:tc>
          <w:tcPr>
            <w:tcW w:w="777" w:type="pct"/>
            <w:noWrap w:val="0"/>
            <w:vAlign w:val="center"/>
          </w:tcPr>
          <w:p w14:paraId="761854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3C8F88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2.9818</w:t>
            </w:r>
          </w:p>
        </w:tc>
        <w:tc>
          <w:tcPr>
            <w:tcW w:w="777" w:type="pct"/>
            <w:noWrap w:val="0"/>
            <w:vAlign w:val="center"/>
          </w:tcPr>
          <w:p w14:paraId="4C7383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1.49</w:t>
            </w:r>
          </w:p>
        </w:tc>
      </w:tr>
      <w:tr w14:paraId="3555D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10F00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07E919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7.62</w:t>
            </w:r>
          </w:p>
        </w:tc>
        <w:tc>
          <w:tcPr>
            <w:tcW w:w="648" w:type="pct"/>
            <w:noWrap w:val="0"/>
            <w:vAlign w:val="center"/>
          </w:tcPr>
          <w:p w14:paraId="1A6576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103B9C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777" w:type="pct"/>
            <w:noWrap w:val="0"/>
            <w:vAlign w:val="center"/>
          </w:tcPr>
          <w:p w14:paraId="0E5BC7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219527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2.6058</w:t>
            </w:r>
          </w:p>
        </w:tc>
        <w:tc>
          <w:tcPr>
            <w:tcW w:w="777" w:type="pct"/>
            <w:noWrap w:val="0"/>
            <w:vAlign w:val="center"/>
          </w:tcPr>
          <w:p w14:paraId="143B49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r>
      <w:tr w14:paraId="3C94B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FE5D6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2AA85B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648" w:type="pct"/>
            <w:noWrap w:val="0"/>
            <w:vAlign w:val="center"/>
          </w:tcPr>
          <w:p w14:paraId="09F78C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04FCA2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0.1503</w:t>
            </w:r>
          </w:p>
        </w:tc>
        <w:tc>
          <w:tcPr>
            <w:tcW w:w="777" w:type="pct"/>
            <w:noWrap w:val="0"/>
            <w:vAlign w:val="center"/>
          </w:tcPr>
          <w:p w14:paraId="7EC1BE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16146C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2.2644</w:t>
            </w:r>
          </w:p>
        </w:tc>
        <w:tc>
          <w:tcPr>
            <w:tcW w:w="777" w:type="pct"/>
            <w:noWrap w:val="0"/>
            <w:vAlign w:val="center"/>
          </w:tcPr>
          <w:p w14:paraId="4263C5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r>
      <w:tr w14:paraId="2DEB6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782DB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566" w:type="pct"/>
            <w:noWrap w:val="0"/>
            <w:vAlign w:val="center"/>
          </w:tcPr>
          <w:p w14:paraId="66EDB4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48" w:type="pct"/>
            <w:noWrap w:val="0"/>
            <w:vAlign w:val="center"/>
          </w:tcPr>
          <w:p w14:paraId="341DA7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0F4EA6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0.1309</w:t>
            </w:r>
          </w:p>
        </w:tc>
        <w:tc>
          <w:tcPr>
            <w:tcW w:w="777" w:type="pct"/>
            <w:noWrap w:val="0"/>
            <w:vAlign w:val="center"/>
          </w:tcPr>
          <w:p w14:paraId="30D4FD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0DBD51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1.9721</w:t>
            </w:r>
          </w:p>
        </w:tc>
        <w:tc>
          <w:tcPr>
            <w:tcW w:w="777" w:type="pct"/>
            <w:noWrap w:val="0"/>
            <w:vAlign w:val="center"/>
          </w:tcPr>
          <w:p w14:paraId="54A78B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0.99</w:t>
            </w:r>
          </w:p>
        </w:tc>
      </w:tr>
      <w:tr w14:paraId="44A55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25D46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66" w:type="pct"/>
            <w:noWrap w:val="0"/>
            <w:vAlign w:val="center"/>
          </w:tcPr>
          <w:p w14:paraId="64F579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648" w:type="pct"/>
            <w:noWrap w:val="0"/>
            <w:vAlign w:val="center"/>
          </w:tcPr>
          <w:p w14:paraId="736BD6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235E63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0.1139</w:t>
            </w:r>
          </w:p>
        </w:tc>
        <w:tc>
          <w:tcPr>
            <w:tcW w:w="777" w:type="pct"/>
            <w:noWrap w:val="0"/>
            <w:vAlign w:val="center"/>
          </w:tcPr>
          <w:p w14:paraId="668F88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6CB7E1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1.7162</w:t>
            </w:r>
          </w:p>
        </w:tc>
        <w:tc>
          <w:tcPr>
            <w:tcW w:w="777" w:type="pct"/>
            <w:noWrap w:val="0"/>
            <w:vAlign w:val="center"/>
          </w:tcPr>
          <w:p w14:paraId="0ED792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w:t>
            </w:r>
          </w:p>
        </w:tc>
      </w:tr>
      <w:tr w14:paraId="46EA5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FDC48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562C8F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648" w:type="pct"/>
            <w:noWrap w:val="0"/>
            <w:vAlign w:val="center"/>
          </w:tcPr>
          <w:p w14:paraId="32E04A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76B123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0.0996</w:t>
            </w:r>
          </w:p>
        </w:tc>
        <w:tc>
          <w:tcPr>
            <w:tcW w:w="777" w:type="pct"/>
            <w:noWrap w:val="0"/>
            <w:vAlign w:val="center"/>
          </w:tcPr>
          <w:p w14:paraId="28C032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655E3D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1.5002</w:t>
            </w:r>
          </w:p>
        </w:tc>
        <w:tc>
          <w:tcPr>
            <w:tcW w:w="777" w:type="pct"/>
            <w:noWrap w:val="0"/>
            <w:vAlign w:val="center"/>
          </w:tcPr>
          <w:p w14:paraId="0AEF85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0.75</w:t>
            </w:r>
          </w:p>
        </w:tc>
      </w:tr>
      <w:tr w14:paraId="64D2A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ED1D8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3EB4E3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648" w:type="pct"/>
            <w:noWrap w:val="0"/>
            <w:vAlign w:val="center"/>
          </w:tcPr>
          <w:p w14:paraId="159016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4A0A80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0.0862</w:t>
            </w:r>
          </w:p>
        </w:tc>
        <w:tc>
          <w:tcPr>
            <w:tcW w:w="777" w:type="pct"/>
            <w:noWrap w:val="0"/>
            <w:vAlign w:val="center"/>
          </w:tcPr>
          <w:p w14:paraId="1CAF21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61F85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1.2984</w:t>
            </w:r>
          </w:p>
        </w:tc>
        <w:tc>
          <w:tcPr>
            <w:tcW w:w="777" w:type="pct"/>
            <w:noWrap w:val="0"/>
            <w:vAlign w:val="center"/>
          </w:tcPr>
          <w:p w14:paraId="388EF8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w:t>
            </w:r>
          </w:p>
        </w:tc>
      </w:tr>
      <w:tr w14:paraId="263EF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EDE7A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6FE23B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648" w:type="pct"/>
            <w:noWrap w:val="0"/>
            <w:vAlign w:val="center"/>
          </w:tcPr>
          <w:p w14:paraId="09B83A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74BC8D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0.0775</w:t>
            </w:r>
          </w:p>
        </w:tc>
        <w:tc>
          <w:tcPr>
            <w:tcW w:w="777" w:type="pct"/>
            <w:noWrap w:val="0"/>
            <w:vAlign w:val="center"/>
          </w:tcPr>
          <w:p w14:paraId="6AB8C3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A966E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1.1672</w:t>
            </w:r>
          </w:p>
        </w:tc>
        <w:tc>
          <w:tcPr>
            <w:tcW w:w="777" w:type="pct"/>
            <w:noWrap w:val="0"/>
            <w:vAlign w:val="center"/>
          </w:tcPr>
          <w:p w14:paraId="5010B0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r>
      <w:tr w14:paraId="5C83A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E1A20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74694B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48" w:type="pct"/>
            <w:noWrap w:val="0"/>
            <w:vAlign w:val="center"/>
          </w:tcPr>
          <w:p w14:paraId="56E0BB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0A84B5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0.0733</w:t>
            </w:r>
          </w:p>
        </w:tc>
        <w:tc>
          <w:tcPr>
            <w:tcW w:w="777" w:type="pct"/>
            <w:noWrap w:val="0"/>
            <w:vAlign w:val="center"/>
          </w:tcPr>
          <w:p w14:paraId="5581F7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C31C3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1.1037</w:t>
            </w:r>
          </w:p>
        </w:tc>
        <w:tc>
          <w:tcPr>
            <w:tcW w:w="777" w:type="pct"/>
            <w:noWrap w:val="0"/>
            <w:vAlign w:val="center"/>
          </w:tcPr>
          <w:p w14:paraId="0B3129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w:t>
            </w:r>
          </w:p>
        </w:tc>
      </w:tr>
      <w:tr w14:paraId="04E8A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314C6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6D2BE3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10.25</w:t>
            </w:r>
          </w:p>
        </w:tc>
        <w:tc>
          <w:tcPr>
            <w:tcW w:w="648" w:type="pct"/>
            <w:noWrap w:val="0"/>
            <w:vAlign w:val="center"/>
          </w:tcPr>
          <w:p w14:paraId="749BA6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3850CC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0.0716</w:t>
            </w:r>
          </w:p>
        </w:tc>
        <w:tc>
          <w:tcPr>
            <w:tcW w:w="777" w:type="pct"/>
            <w:noWrap w:val="0"/>
            <w:vAlign w:val="center"/>
          </w:tcPr>
          <w:p w14:paraId="6AF303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7D026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1.0784</w:t>
            </w:r>
          </w:p>
        </w:tc>
        <w:tc>
          <w:tcPr>
            <w:tcW w:w="777" w:type="pct"/>
            <w:noWrap w:val="0"/>
            <w:vAlign w:val="center"/>
          </w:tcPr>
          <w:p w14:paraId="4725B9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48E78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BB69B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0909EF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17.18</w:t>
            </w:r>
          </w:p>
        </w:tc>
        <w:tc>
          <w:tcPr>
            <w:tcW w:w="648" w:type="pct"/>
            <w:noWrap w:val="0"/>
            <w:vAlign w:val="center"/>
          </w:tcPr>
          <w:p w14:paraId="5B68E4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43D1EA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0.0695</w:t>
            </w:r>
          </w:p>
        </w:tc>
        <w:tc>
          <w:tcPr>
            <w:tcW w:w="777" w:type="pct"/>
            <w:noWrap w:val="0"/>
            <w:vAlign w:val="center"/>
          </w:tcPr>
          <w:p w14:paraId="59327A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99A1C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1.0468</w:t>
            </w:r>
          </w:p>
        </w:tc>
        <w:tc>
          <w:tcPr>
            <w:tcW w:w="777" w:type="pct"/>
            <w:noWrap w:val="0"/>
            <w:vAlign w:val="center"/>
          </w:tcPr>
          <w:p w14:paraId="589A6C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r>
      <w:tr w14:paraId="09E7C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3C1EF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0E106B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24.48</w:t>
            </w:r>
          </w:p>
        </w:tc>
        <w:tc>
          <w:tcPr>
            <w:tcW w:w="648" w:type="pct"/>
            <w:noWrap w:val="0"/>
            <w:vAlign w:val="center"/>
          </w:tcPr>
          <w:p w14:paraId="394C5B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51D22D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0.0656</w:t>
            </w:r>
          </w:p>
        </w:tc>
        <w:tc>
          <w:tcPr>
            <w:tcW w:w="777" w:type="pct"/>
            <w:noWrap w:val="0"/>
            <w:vAlign w:val="center"/>
          </w:tcPr>
          <w:p w14:paraId="740BBB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3F69B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0.9879</w:t>
            </w:r>
          </w:p>
        </w:tc>
        <w:tc>
          <w:tcPr>
            <w:tcW w:w="777" w:type="pct"/>
            <w:noWrap w:val="0"/>
            <w:vAlign w:val="center"/>
          </w:tcPr>
          <w:p w14:paraId="6F8427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r>
      <w:tr w14:paraId="5130D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B59C8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066E66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27.97</w:t>
            </w:r>
          </w:p>
        </w:tc>
        <w:tc>
          <w:tcPr>
            <w:tcW w:w="648" w:type="pct"/>
            <w:noWrap w:val="0"/>
            <w:vAlign w:val="center"/>
          </w:tcPr>
          <w:p w14:paraId="29D39E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2A9FB5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0.0612</w:t>
            </w:r>
          </w:p>
        </w:tc>
        <w:tc>
          <w:tcPr>
            <w:tcW w:w="777" w:type="pct"/>
            <w:noWrap w:val="0"/>
            <w:vAlign w:val="center"/>
          </w:tcPr>
          <w:p w14:paraId="13D517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0DC28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0.9224</w:t>
            </w:r>
          </w:p>
        </w:tc>
        <w:tc>
          <w:tcPr>
            <w:tcW w:w="777" w:type="pct"/>
            <w:noWrap w:val="0"/>
            <w:vAlign w:val="center"/>
          </w:tcPr>
          <w:p w14:paraId="109320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w:t>
            </w:r>
          </w:p>
        </w:tc>
      </w:tr>
      <w:tr w14:paraId="7F678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88167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4A6698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28.31</w:t>
            </w:r>
          </w:p>
        </w:tc>
        <w:tc>
          <w:tcPr>
            <w:tcW w:w="648" w:type="pct"/>
            <w:noWrap w:val="0"/>
            <w:vAlign w:val="center"/>
          </w:tcPr>
          <w:p w14:paraId="626EBE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38C0E4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0.0574</w:t>
            </w:r>
          </w:p>
        </w:tc>
        <w:tc>
          <w:tcPr>
            <w:tcW w:w="777" w:type="pct"/>
            <w:noWrap w:val="0"/>
            <w:vAlign w:val="center"/>
          </w:tcPr>
          <w:p w14:paraId="26C1FE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F9822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0.8645</w:t>
            </w:r>
          </w:p>
        </w:tc>
        <w:tc>
          <w:tcPr>
            <w:tcW w:w="777" w:type="pct"/>
            <w:noWrap w:val="0"/>
            <w:vAlign w:val="center"/>
          </w:tcPr>
          <w:p w14:paraId="296349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r>
      <w:tr w14:paraId="2F18C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38D0C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58DCE9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19.68</w:t>
            </w:r>
          </w:p>
        </w:tc>
        <w:tc>
          <w:tcPr>
            <w:tcW w:w="648" w:type="pct"/>
            <w:noWrap w:val="0"/>
            <w:vAlign w:val="center"/>
          </w:tcPr>
          <w:p w14:paraId="2F9322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5D8F4C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777" w:type="pct"/>
            <w:noWrap w:val="0"/>
            <w:vAlign w:val="center"/>
          </w:tcPr>
          <w:p w14:paraId="2909CA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62AF0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0.7992</w:t>
            </w:r>
          </w:p>
        </w:tc>
        <w:tc>
          <w:tcPr>
            <w:tcW w:w="777" w:type="pct"/>
            <w:noWrap w:val="0"/>
            <w:vAlign w:val="center"/>
          </w:tcPr>
          <w:p w14:paraId="13DF44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p>
        </w:tc>
      </w:tr>
      <w:tr w14:paraId="449CD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65C90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5487D2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25.43</w:t>
            </w:r>
          </w:p>
        </w:tc>
        <w:tc>
          <w:tcPr>
            <w:tcW w:w="648" w:type="pct"/>
            <w:noWrap w:val="0"/>
            <w:vAlign w:val="center"/>
          </w:tcPr>
          <w:p w14:paraId="20D695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434B9B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0.0507</w:t>
            </w:r>
          </w:p>
        </w:tc>
        <w:tc>
          <w:tcPr>
            <w:tcW w:w="777" w:type="pct"/>
            <w:noWrap w:val="0"/>
            <w:vAlign w:val="center"/>
          </w:tcPr>
          <w:p w14:paraId="6920DD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D9A44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0.7644</w:t>
            </w:r>
          </w:p>
        </w:tc>
        <w:tc>
          <w:tcPr>
            <w:tcW w:w="777" w:type="pct"/>
            <w:noWrap w:val="0"/>
            <w:vAlign w:val="center"/>
          </w:tcPr>
          <w:p w14:paraId="7ED4BF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r>
      <w:tr w14:paraId="00922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2A8B2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7DF9E1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30.94</w:t>
            </w:r>
          </w:p>
        </w:tc>
        <w:tc>
          <w:tcPr>
            <w:tcW w:w="648" w:type="pct"/>
            <w:noWrap w:val="0"/>
            <w:vAlign w:val="center"/>
          </w:tcPr>
          <w:p w14:paraId="67A526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1DE21F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0.0481</w:t>
            </w:r>
          </w:p>
        </w:tc>
        <w:tc>
          <w:tcPr>
            <w:tcW w:w="777" w:type="pct"/>
            <w:noWrap w:val="0"/>
            <w:vAlign w:val="center"/>
          </w:tcPr>
          <w:p w14:paraId="0A834C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FF276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0.7244</w:t>
            </w:r>
          </w:p>
        </w:tc>
        <w:tc>
          <w:tcPr>
            <w:tcW w:w="777" w:type="pct"/>
            <w:noWrap w:val="0"/>
            <w:vAlign w:val="center"/>
          </w:tcPr>
          <w:p w14:paraId="464BA1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r>
      <w:tr w14:paraId="4EF7E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E6111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C1DF3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30.57</w:t>
            </w:r>
          </w:p>
        </w:tc>
        <w:tc>
          <w:tcPr>
            <w:tcW w:w="648" w:type="pct"/>
            <w:noWrap w:val="0"/>
            <w:vAlign w:val="center"/>
          </w:tcPr>
          <w:p w14:paraId="550AF3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1CE21D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777" w:type="pct"/>
            <w:noWrap w:val="0"/>
            <w:vAlign w:val="center"/>
          </w:tcPr>
          <w:p w14:paraId="346291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D5E8C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0.6868</w:t>
            </w:r>
          </w:p>
        </w:tc>
        <w:tc>
          <w:tcPr>
            <w:tcW w:w="777" w:type="pct"/>
            <w:noWrap w:val="0"/>
            <w:vAlign w:val="center"/>
          </w:tcPr>
          <w:p w14:paraId="44B2A6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r>
      <w:tr w14:paraId="65469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7D49F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66" w:type="pct"/>
            <w:noWrap w:val="0"/>
            <w:vAlign w:val="center"/>
          </w:tcPr>
          <w:p w14:paraId="6DB259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648" w:type="pct"/>
            <w:noWrap w:val="0"/>
            <w:vAlign w:val="center"/>
          </w:tcPr>
          <w:p w14:paraId="090808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033EA6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0.0433</w:t>
            </w:r>
          </w:p>
        </w:tc>
        <w:tc>
          <w:tcPr>
            <w:tcW w:w="777" w:type="pct"/>
            <w:noWrap w:val="0"/>
            <w:vAlign w:val="center"/>
          </w:tcPr>
          <w:p w14:paraId="306715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5D73B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0.6522</w:t>
            </w:r>
          </w:p>
        </w:tc>
        <w:tc>
          <w:tcPr>
            <w:tcW w:w="777" w:type="pct"/>
            <w:noWrap w:val="0"/>
            <w:vAlign w:val="center"/>
          </w:tcPr>
          <w:p w14:paraId="07C549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w:t>
            </w:r>
          </w:p>
        </w:tc>
      </w:tr>
      <w:tr w14:paraId="573E6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FD813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407C9D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28.78</w:t>
            </w:r>
          </w:p>
        </w:tc>
        <w:tc>
          <w:tcPr>
            <w:tcW w:w="648" w:type="pct"/>
            <w:noWrap w:val="0"/>
            <w:vAlign w:val="center"/>
          </w:tcPr>
          <w:p w14:paraId="66C384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326856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0.0411</w:t>
            </w:r>
          </w:p>
        </w:tc>
        <w:tc>
          <w:tcPr>
            <w:tcW w:w="777" w:type="pct"/>
            <w:noWrap w:val="0"/>
            <w:vAlign w:val="center"/>
          </w:tcPr>
          <w:p w14:paraId="61C9C7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D7B54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0.6196</w:t>
            </w:r>
          </w:p>
        </w:tc>
        <w:tc>
          <w:tcPr>
            <w:tcW w:w="777" w:type="pct"/>
            <w:noWrap w:val="0"/>
            <w:vAlign w:val="center"/>
          </w:tcPr>
          <w:p w14:paraId="472871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r>
      <w:tr w14:paraId="6EA76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2FF87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6A0E22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32.05</w:t>
            </w:r>
          </w:p>
        </w:tc>
        <w:tc>
          <w:tcPr>
            <w:tcW w:w="648" w:type="pct"/>
            <w:noWrap w:val="0"/>
            <w:vAlign w:val="center"/>
          </w:tcPr>
          <w:p w14:paraId="413368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250D39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0.0393</w:t>
            </w:r>
          </w:p>
        </w:tc>
        <w:tc>
          <w:tcPr>
            <w:tcW w:w="777" w:type="pct"/>
            <w:noWrap w:val="0"/>
            <w:vAlign w:val="center"/>
          </w:tcPr>
          <w:p w14:paraId="30CBCB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D84E8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0.5919</w:t>
            </w:r>
          </w:p>
        </w:tc>
        <w:tc>
          <w:tcPr>
            <w:tcW w:w="777" w:type="pct"/>
            <w:noWrap w:val="0"/>
            <w:vAlign w:val="center"/>
          </w:tcPr>
          <w:p w14:paraId="0C9759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p>
        </w:tc>
      </w:tr>
      <w:tr w14:paraId="0CA5F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6985A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73818E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648" w:type="pct"/>
            <w:noWrap w:val="0"/>
            <w:vAlign w:val="center"/>
          </w:tcPr>
          <w:p w14:paraId="31FA4B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7C380D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777" w:type="pct"/>
            <w:noWrap w:val="0"/>
            <w:vAlign w:val="center"/>
          </w:tcPr>
          <w:p w14:paraId="2F3A19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17AA2E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0.5576</w:t>
            </w:r>
          </w:p>
        </w:tc>
        <w:tc>
          <w:tcPr>
            <w:tcW w:w="777" w:type="pct"/>
            <w:noWrap w:val="0"/>
            <w:vAlign w:val="center"/>
          </w:tcPr>
          <w:p w14:paraId="40348D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10288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2D7105D0">
            <w:pPr>
              <w:pStyle w:val="25"/>
              <w:bidi w:val="0"/>
              <w:rPr>
                <w:rFonts w:hint="eastAsia"/>
                <w:color w:val="auto"/>
                <w:u w:val="none" w:color="auto"/>
                <w:lang w:val="en-US" w:eastAsia="zh-CN"/>
              </w:rPr>
            </w:pPr>
            <w:r>
              <w:rPr>
                <w:color w:val="auto"/>
                <w:u w:val="none" w:color="auto"/>
              </w:rPr>
              <w:t>下风向最大质量浓度及占标率</w:t>
            </w:r>
          </w:p>
        </w:tc>
        <w:tc>
          <w:tcPr>
            <w:tcW w:w="776" w:type="pct"/>
            <w:noWrap w:val="0"/>
            <w:vAlign w:val="center"/>
          </w:tcPr>
          <w:p w14:paraId="3682B08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0.3329</w:t>
            </w:r>
          </w:p>
        </w:tc>
        <w:tc>
          <w:tcPr>
            <w:tcW w:w="777" w:type="pct"/>
            <w:noWrap w:val="0"/>
            <w:vAlign w:val="center"/>
          </w:tcPr>
          <w:p w14:paraId="5BB70450">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0.07</w:t>
            </w:r>
          </w:p>
        </w:tc>
        <w:tc>
          <w:tcPr>
            <w:tcW w:w="776" w:type="pct"/>
            <w:noWrap w:val="0"/>
            <w:vAlign w:val="center"/>
          </w:tcPr>
          <w:p w14:paraId="7A36B19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5.0157</w:t>
            </w:r>
          </w:p>
        </w:tc>
        <w:tc>
          <w:tcPr>
            <w:tcW w:w="777" w:type="pct"/>
            <w:noWrap w:val="0"/>
            <w:vAlign w:val="center"/>
          </w:tcPr>
          <w:p w14:paraId="6549021E">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2.51</w:t>
            </w:r>
          </w:p>
        </w:tc>
      </w:tr>
      <w:tr w14:paraId="71580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03BAF3F8">
            <w:pPr>
              <w:pStyle w:val="25"/>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190C15EB">
            <w:pPr>
              <w:pStyle w:val="25"/>
              <w:bidi w:val="0"/>
              <w:rPr>
                <w:rFonts w:hint="eastAsia"/>
                <w:color w:val="auto"/>
                <w:u w:val="none" w:color="auto"/>
                <w:lang w:val="en-US" w:eastAsia="zh-CN"/>
              </w:rPr>
            </w:pPr>
            <w:r>
              <w:rPr>
                <w:color w:val="auto"/>
                <w:u w:val="none" w:color="auto"/>
              </w:rPr>
              <w:t>/</w:t>
            </w:r>
          </w:p>
        </w:tc>
        <w:tc>
          <w:tcPr>
            <w:tcW w:w="777" w:type="pct"/>
            <w:noWrap w:val="0"/>
            <w:vAlign w:val="center"/>
          </w:tcPr>
          <w:p w14:paraId="500970E1">
            <w:pPr>
              <w:pStyle w:val="25"/>
              <w:bidi w:val="0"/>
              <w:rPr>
                <w:color w:val="auto"/>
                <w:u w:val="none" w:color="auto"/>
              </w:rPr>
            </w:pPr>
          </w:p>
        </w:tc>
        <w:tc>
          <w:tcPr>
            <w:tcW w:w="776" w:type="pct"/>
            <w:noWrap w:val="0"/>
            <w:vAlign w:val="center"/>
          </w:tcPr>
          <w:p w14:paraId="70ED70B2">
            <w:pPr>
              <w:pStyle w:val="25"/>
              <w:bidi w:val="0"/>
              <w:rPr>
                <w:color w:val="auto"/>
                <w:u w:val="none" w:color="auto"/>
              </w:rPr>
            </w:pPr>
          </w:p>
        </w:tc>
        <w:tc>
          <w:tcPr>
            <w:tcW w:w="777" w:type="pct"/>
            <w:noWrap w:val="0"/>
            <w:vAlign w:val="center"/>
          </w:tcPr>
          <w:p w14:paraId="14CACBDD">
            <w:pPr>
              <w:pStyle w:val="25"/>
              <w:bidi w:val="0"/>
              <w:rPr>
                <w:color w:val="auto"/>
                <w:u w:val="none" w:color="auto"/>
              </w:rPr>
            </w:pPr>
          </w:p>
        </w:tc>
      </w:tr>
    </w:tbl>
    <w:p w14:paraId="30A4D5BA">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5.2-8</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5D6E7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3ACB360B">
            <w:pPr>
              <w:pStyle w:val="25"/>
              <w:bidi w:val="0"/>
              <w:rPr>
                <w:color w:val="auto"/>
                <w:u w:val="none" w:color="auto"/>
              </w:rPr>
            </w:pPr>
            <w:r>
              <w:rPr>
                <w:rFonts w:hint="eastAsia"/>
                <w:color w:val="auto"/>
                <w:u w:val="none" w:color="auto"/>
              </w:rPr>
              <w:t>方位角(度)</w:t>
            </w:r>
          </w:p>
        </w:tc>
        <w:tc>
          <w:tcPr>
            <w:tcW w:w="566" w:type="pct"/>
            <w:vMerge w:val="restart"/>
            <w:noWrap w:val="0"/>
            <w:vAlign w:val="center"/>
          </w:tcPr>
          <w:p w14:paraId="3572FCEF">
            <w:pPr>
              <w:pStyle w:val="25"/>
              <w:bidi w:val="0"/>
              <w:rPr>
                <w:color w:val="auto"/>
                <w:u w:val="none" w:color="auto"/>
              </w:rPr>
            </w:pPr>
            <w:r>
              <w:rPr>
                <w:rFonts w:hint="eastAsia"/>
                <w:color w:val="auto"/>
                <w:u w:val="none" w:color="auto"/>
              </w:rPr>
              <w:t>相对源高(m)</w:t>
            </w:r>
          </w:p>
        </w:tc>
        <w:tc>
          <w:tcPr>
            <w:tcW w:w="648" w:type="pct"/>
            <w:vMerge w:val="restart"/>
            <w:noWrap w:val="0"/>
            <w:vAlign w:val="center"/>
          </w:tcPr>
          <w:p w14:paraId="6A2FB0D2">
            <w:pPr>
              <w:pStyle w:val="25"/>
              <w:bidi w:val="0"/>
              <w:rPr>
                <w:color w:val="auto"/>
                <w:u w:val="none" w:color="auto"/>
              </w:rPr>
            </w:pPr>
            <w:r>
              <w:rPr>
                <w:rFonts w:hint="eastAsia"/>
                <w:color w:val="auto"/>
                <w:u w:val="none" w:color="auto"/>
              </w:rPr>
              <w:t>离源距离(m)</w:t>
            </w:r>
          </w:p>
        </w:tc>
        <w:tc>
          <w:tcPr>
            <w:tcW w:w="3107" w:type="pct"/>
            <w:gridSpan w:val="4"/>
            <w:noWrap w:val="0"/>
            <w:vAlign w:val="center"/>
          </w:tcPr>
          <w:p w14:paraId="28FA8C09">
            <w:pPr>
              <w:pStyle w:val="25"/>
              <w:bidi w:val="0"/>
              <w:rPr>
                <w:rFonts w:hint="eastAsia"/>
                <w:color w:val="auto"/>
                <w:u w:val="none" w:color="auto"/>
                <w:lang w:val="en-US" w:eastAsia="zh-CN"/>
              </w:rPr>
            </w:pPr>
            <w:r>
              <w:rPr>
                <w:rFonts w:hint="eastAsia"/>
                <w:color w:val="auto"/>
                <w:u w:val="none" w:color="auto"/>
                <w:lang w:val="en-US" w:eastAsia="zh-CN"/>
              </w:rPr>
              <w:t>DA002排气筒</w:t>
            </w:r>
          </w:p>
        </w:tc>
      </w:tr>
      <w:tr w14:paraId="2208C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27345B78">
            <w:pPr>
              <w:pStyle w:val="25"/>
              <w:bidi w:val="0"/>
              <w:rPr>
                <w:color w:val="auto"/>
                <w:u w:val="none" w:color="auto"/>
              </w:rPr>
            </w:pPr>
          </w:p>
        </w:tc>
        <w:tc>
          <w:tcPr>
            <w:tcW w:w="566" w:type="pct"/>
            <w:vMerge w:val="continue"/>
            <w:noWrap w:val="0"/>
            <w:vAlign w:val="center"/>
          </w:tcPr>
          <w:p w14:paraId="21E50B2F">
            <w:pPr>
              <w:pStyle w:val="25"/>
              <w:bidi w:val="0"/>
              <w:rPr>
                <w:rFonts w:hint="eastAsia"/>
                <w:color w:val="auto"/>
                <w:u w:val="none" w:color="auto"/>
                <w:lang w:eastAsia="zh-CN"/>
              </w:rPr>
            </w:pPr>
          </w:p>
        </w:tc>
        <w:tc>
          <w:tcPr>
            <w:tcW w:w="648" w:type="pct"/>
            <w:vMerge w:val="continue"/>
            <w:noWrap w:val="0"/>
            <w:vAlign w:val="center"/>
          </w:tcPr>
          <w:p w14:paraId="466914BE">
            <w:pPr>
              <w:pStyle w:val="25"/>
              <w:bidi w:val="0"/>
              <w:rPr>
                <w:rFonts w:hint="eastAsia"/>
                <w:color w:val="auto"/>
                <w:u w:val="none" w:color="auto"/>
                <w:lang w:eastAsia="zh-CN"/>
              </w:rPr>
            </w:pPr>
          </w:p>
        </w:tc>
        <w:tc>
          <w:tcPr>
            <w:tcW w:w="1553" w:type="pct"/>
            <w:gridSpan w:val="2"/>
            <w:noWrap w:val="0"/>
            <w:vAlign w:val="center"/>
          </w:tcPr>
          <w:p w14:paraId="5A56739A">
            <w:pPr>
              <w:pStyle w:val="25"/>
              <w:bidi w:val="0"/>
              <w:rPr>
                <w:rFonts w:hint="default"/>
                <w:color w:val="auto"/>
                <w:u w:val="none" w:color="auto"/>
                <w:lang w:val="en-US" w:eastAsia="zh-CN"/>
              </w:rPr>
            </w:pPr>
            <w:r>
              <w:rPr>
                <w:rFonts w:hint="eastAsia"/>
                <w:color w:val="auto"/>
                <w:u w:val="none" w:color="auto"/>
                <w:lang w:val="en-US" w:eastAsia="zh-CN"/>
              </w:rPr>
              <w:t>TSP</w:t>
            </w:r>
          </w:p>
        </w:tc>
        <w:tc>
          <w:tcPr>
            <w:tcW w:w="1553" w:type="pct"/>
            <w:gridSpan w:val="2"/>
            <w:noWrap w:val="0"/>
            <w:vAlign w:val="center"/>
          </w:tcPr>
          <w:p w14:paraId="0FBA7002">
            <w:pPr>
              <w:pStyle w:val="25"/>
              <w:bidi w:val="0"/>
              <w:rPr>
                <w:rFonts w:hint="default"/>
                <w:color w:val="auto"/>
                <w:u w:val="none" w:color="auto"/>
                <w:lang w:val="en-US" w:eastAsia="zh-CN"/>
              </w:rPr>
            </w:pPr>
            <w:r>
              <w:rPr>
                <w:rFonts w:hint="eastAsia"/>
                <w:color w:val="auto"/>
                <w:u w:val="none" w:color="auto"/>
                <w:lang w:val="en-US" w:eastAsia="zh-CN"/>
              </w:rPr>
              <w:t>TVOC</w:t>
            </w:r>
          </w:p>
        </w:tc>
      </w:tr>
      <w:tr w14:paraId="05697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6370BA80">
            <w:pPr>
              <w:pStyle w:val="25"/>
              <w:bidi w:val="0"/>
              <w:rPr>
                <w:color w:val="auto"/>
                <w:u w:val="none" w:color="auto"/>
              </w:rPr>
            </w:pPr>
          </w:p>
        </w:tc>
        <w:tc>
          <w:tcPr>
            <w:tcW w:w="566" w:type="pct"/>
            <w:vMerge w:val="continue"/>
            <w:noWrap w:val="0"/>
            <w:vAlign w:val="center"/>
          </w:tcPr>
          <w:p w14:paraId="296C3EE0">
            <w:pPr>
              <w:pStyle w:val="25"/>
              <w:bidi w:val="0"/>
              <w:rPr>
                <w:color w:val="auto"/>
                <w:u w:val="none" w:color="auto"/>
              </w:rPr>
            </w:pPr>
          </w:p>
        </w:tc>
        <w:tc>
          <w:tcPr>
            <w:tcW w:w="648" w:type="pct"/>
            <w:vMerge w:val="continue"/>
            <w:noWrap w:val="0"/>
            <w:vAlign w:val="center"/>
          </w:tcPr>
          <w:p w14:paraId="7AAE70CE">
            <w:pPr>
              <w:pStyle w:val="25"/>
              <w:bidi w:val="0"/>
              <w:rPr>
                <w:color w:val="auto"/>
                <w:u w:val="none" w:color="auto"/>
              </w:rPr>
            </w:pPr>
          </w:p>
        </w:tc>
        <w:tc>
          <w:tcPr>
            <w:tcW w:w="776" w:type="pct"/>
            <w:noWrap w:val="0"/>
            <w:vAlign w:val="center"/>
          </w:tcPr>
          <w:p w14:paraId="4C1C1AEF">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5428A64E">
            <w:pPr>
              <w:pStyle w:val="25"/>
              <w:bidi w:val="0"/>
              <w:rPr>
                <w:color w:val="auto"/>
                <w:u w:val="none" w:color="auto"/>
              </w:rPr>
            </w:pPr>
            <w:r>
              <w:rPr>
                <w:color w:val="auto"/>
                <w:u w:val="none" w:color="auto"/>
              </w:rPr>
              <w:t>占标率%</w:t>
            </w:r>
          </w:p>
        </w:tc>
        <w:tc>
          <w:tcPr>
            <w:tcW w:w="776" w:type="pct"/>
            <w:noWrap w:val="0"/>
            <w:vAlign w:val="center"/>
          </w:tcPr>
          <w:p w14:paraId="45DCCFB2">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34621729">
            <w:pPr>
              <w:pStyle w:val="25"/>
              <w:bidi w:val="0"/>
              <w:rPr>
                <w:color w:val="auto"/>
                <w:u w:val="none" w:color="auto"/>
                <w:lang w:val="en-US" w:eastAsia="zh-CN"/>
              </w:rPr>
            </w:pPr>
            <w:r>
              <w:rPr>
                <w:color w:val="auto"/>
                <w:u w:val="none" w:color="auto"/>
              </w:rPr>
              <w:t>占标率%</w:t>
            </w:r>
          </w:p>
        </w:tc>
      </w:tr>
      <w:tr w14:paraId="69836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74042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6" w:type="pct"/>
            <w:noWrap w:val="0"/>
            <w:vAlign w:val="center"/>
          </w:tcPr>
          <w:p w14:paraId="187F14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noWrap w:val="0"/>
            <w:vAlign w:val="center"/>
          </w:tcPr>
          <w:p w14:paraId="3CEC62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213B09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77" w:type="pct"/>
            <w:noWrap w:val="0"/>
            <w:vAlign w:val="center"/>
          </w:tcPr>
          <w:p w14:paraId="0C4B26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1CD252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0.0228</w:t>
            </w:r>
          </w:p>
        </w:tc>
        <w:tc>
          <w:tcPr>
            <w:tcW w:w="777" w:type="pct"/>
            <w:noWrap w:val="0"/>
            <w:vAlign w:val="center"/>
          </w:tcPr>
          <w:p w14:paraId="100C06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C43F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85E20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6B8721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48" w:type="pct"/>
            <w:noWrap w:val="0"/>
            <w:vAlign w:val="center"/>
          </w:tcPr>
          <w:p w14:paraId="5EC0A8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76" w:type="pct"/>
            <w:noWrap w:val="0"/>
            <w:vAlign w:val="center"/>
          </w:tcPr>
          <w:p w14:paraId="1D90FB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0.3329</w:t>
            </w:r>
          </w:p>
        </w:tc>
        <w:tc>
          <w:tcPr>
            <w:tcW w:w="777" w:type="pct"/>
            <w:noWrap w:val="0"/>
            <w:vAlign w:val="center"/>
          </w:tcPr>
          <w:p w14:paraId="04E74F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4F561D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7.7677</w:t>
            </w:r>
          </w:p>
        </w:tc>
        <w:tc>
          <w:tcPr>
            <w:tcW w:w="777" w:type="pct"/>
            <w:noWrap w:val="0"/>
            <w:vAlign w:val="center"/>
          </w:tcPr>
          <w:p w14:paraId="4565C4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w:t>
            </w:r>
          </w:p>
        </w:tc>
      </w:tr>
      <w:tr w14:paraId="133F1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09CD2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3C53C7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48" w:type="pct"/>
            <w:noWrap w:val="0"/>
            <w:vAlign w:val="center"/>
          </w:tcPr>
          <w:p w14:paraId="01D4D6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3FCAA3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0.319</w:t>
            </w:r>
          </w:p>
        </w:tc>
        <w:tc>
          <w:tcPr>
            <w:tcW w:w="777" w:type="pct"/>
            <w:noWrap w:val="0"/>
            <w:vAlign w:val="center"/>
          </w:tcPr>
          <w:p w14:paraId="6D6FCE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2EA4B0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7.4422</w:t>
            </w:r>
          </w:p>
        </w:tc>
        <w:tc>
          <w:tcPr>
            <w:tcW w:w="777" w:type="pct"/>
            <w:noWrap w:val="0"/>
            <w:vAlign w:val="center"/>
          </w:tcPr>
          <w:p w14:paraId="1558A4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w:t>
            </w:r>
          </w:p>
        </w:tc>
      </w:tr>
      <w:tr w14:paraId="681E4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06EF0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4F3AC5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48" w:type="pct"/>
            <w:noWrap w:val="0"/>
            <w:vAlign w:val="center"/>
          </w:tcPr>
          <w:p w14:paraId="108E3B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659065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0.2535</w:t>
            </w:r>
          </w:p>
        </w:tc>
        <w:tc>
          <w:tcPr>
            <w:tcW w:w="777" w:type="pct"/>
            <w:noWrap w:val="0"/>
            <w:vAlign w:val="center"/>
          </w:tcPr>
          <w:p w14:paraId="1C2C40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348727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5.9145</w:t>
            </w:r>
          </w:p>
        </w:tc>
        <w:tc>
          <w:tcPr>
            <w:tcW w:w="777" w:type="pct"/>
            <w:noWrap w:val="0"/>
            <w:vAlign w:val="center"/>
          </w:tcPr>
          <w:p w14:paraId="76F123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r>
      <w:tr w14:paraId="6B998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0FD92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503956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648" w:type="pct"/>
            <w:noWrap w:val="0"/>
            <w:vAlign w:val="center"/>
          </w:tcPr>
          <w:p w14:paraId="6B10CE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135FC4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0.1892</w:t>
            </w:r>
          </w:p>
        </w:tc>
        <w:tc>
          <w:tcPr>
            <w:tcW w:w="777" w:type="pct"/>
            <w:noWrap w:val="0"/>
            <w:vAlign w:val="center"/>
          </w:tcPr>
          <w:p w14:paraId="23586F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FB31A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4.4149</w:t>
            </w:r>
          </w:p>
        </w:tc>
        <w:tc>
          <w:tcPr>
            <w:tcW w:w="777" w:type="pct"/>
            <w:noWrap w:val="0"/>
            <w:vAlign w:val="center"/>
          </w:tcPr>
          <w:p w14:paraId="02DBCB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w:t>
            </w:r>
          </w:p>
        </w:tc>
      </w:tr>
      <w:tr w14:paraId="12AB4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389D4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66" w:type="pct"/>
            <w:noWrap w:val="0"/>
            <w:vAlign w:val="center"/>
          </w:tcPr>
          <w:p w14:paraId="6D04EC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48" w:type="pct"/>
            <w:noWrap w:val="0"/>
            <w:vAlign w:val="center"/>
          </w:tcPr>
          <w:p w14:paraId="1758A8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7624F6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0.228</w:t>
            </w:r>
          </w:p>
        </w:tc>
        <w:tc>
          <w:tcPr>
            <w:tcW w:w="777" w:type="pct"/>
            <w:noWrap w:val="0"/>
            <w:vAlign w:val="center"/>
          </w:tcPr>
          <w:p w14:paraId="42F4F5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25428D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5.3205</w:t>
            </w:r>
          </w:p>
        </w:tc>
        <w:tc>
          <w:tcPr>
            <w:tcW w:w="777" w:type="pct"/>
            <w:noWrap w:val="0"/>
            <w:vAlign w:val="center"/>
          </w:tcPr>
          <w:p w14:paraId="092D6D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r>
      <w:tr w14:paraId="7F05C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A7568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6" w:type="pct"/>
            <w:noWrap w:val="0"/>
            <w:vAlign w:val="center"/>
          </w:tcPr>
          <w:p w14:paraId="340A43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5D3B5C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2553DA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0.1979</w:t>
            </w:r>
          </w:p>
        </w:tc>
        <w:tc>
          <w:tcPr>
            <w:tcW w:w="777" w:type="pct"/>
            <w:noWrap w:val="0"/>
            <w:vAlign w:val="center"/>
          </w:tcPr>
          <w:p w14:paraId="0E4F11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6227B6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4.6179</w:t>
            </w:r>
          </w:p>
        </w:tc>
        <w:tc>
          <w:tcPr>
            <w:tcW w:w="777" w:type="pct"/>
            <w:noWrap w:val="0"/>
            <w:vAlign w:val="center"/>
          </w:tcPr>
          <w:p w14:paraId="6E2731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r>
      <w:tr w14:paraId="697AE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F67F2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0CA383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7.62</w:t>
            </w:r>
          </w:p>
        </w:tc>
        <w:tc>
          <w:tcPr>
            <w:tcW w:w="648" w:type="pct"/>
            <w:noWrap w:val="0"/>
            <w:vAlign w:val="center"/>
          </w:tcPr>
          <w:p w14:paraId="045C5D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48DB7D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777" w:type="pct"/>
            <w:noWrap w:val="0"/>
            <w:vAlign w:val="center"/>
          </w:tcPr>
          <w:p w14:paraId="58990C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88A00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4.0355</w:t>
            </w:r>
          </w:p>
        </w:tc>
        <w:tc>
          <w:tcPr>
            <w:tcW w:w="777" w:type="pct"/>
            <w:noWrap w:val="0"/>
            <w:vAlign w:val="center"/>
          </w:tcPr>
          <w:p w14:paraId="6DAAED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r>
      <w:tr w14:paraId="7F017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269E8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70CE81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648" w:type="pct"/>
            <w:noWrap w:val="0"/>
            <w:vAlign w:val="center"/>
          </w:tcPr>
          <w:p w14:paraId="68E45B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2EF066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0.1503</w:t>
            </w:r>
          </w:p>
        </w:tc>
        <w:tc>
          <w:tcPr>
            <w:tcW w:w="777" w:type="pct"/>
            <w:noWrap w:val="0"/>
            <w:vAlign w:val="center"/>
          </w:tcPr>
          <w:p w14:paraId="0D46D3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00B0DA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3.5068</w:t>
            </w:r>
          </w:p>
        </w:tc>
        <w:tc>
          <w:tcPr>
            <w:tcW w:w="777" w:type="pct"/>
            <w:noWrap w:val="0"/>
            <w:vAlign w:val="center"/>
          </w:tcPr>
          <w:p w14:paraId="4A2869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w:t>
            </w:r>
          </w:p>
        </w:tc>
      </w:tr>
      <w:tr w14:paraId="772BD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295DC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566" w:type="pct"/>
            <w:noWrap w:val="0"/>
            <w:vAlign w:val="center"/>
          </w:tcPr>
          <w:p w14:paraId="676A37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48" w:type="pct"/>
            <w:noWrap w:val="0"/>
            <w:vAlign w:val="center"/>
          </w:tcPr>
          <w:p w14:paraId="46F5E8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23DA80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0.1309</w:t>
            </w:r>
          </w:p>
        </w:tc>
        <w:tc>
          <w:tcPr>
            <w:tcW w:w="777" w:type="pct"/>
            <w:noWrap w:val="0"/>
            <w:vAlign w:val="center"/>
          </w:tcPr>
          <w:p w14:paraId="5F3479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EB9E0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3.0541</w:t>
            </w:r>
          </w:p>
        </w:tc>
        <w:tc>
          <w:tcPr>
            <w:tcW w:w="777" w:type="pct"/>
            <w:noWrap w:val="0"/>
            <w:vAlign w:val="center"/>
          </w:tcPr>
          <w:p w14:paraId="4D0C08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50987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28731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66" w:type="pct"/>
            <w:noWrap w:val="0"/>
            <w:vAlign w:val="center"/>
          </w:tcPr>
          <w:p w14:paraId="204A5C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648" w:type="pct"/>
            <w:noWrap w:val="0"/>
            <w:vAlign w:val="center"/>
          </w:tcPr>
          <w:p w14:paraId="6E5BC6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56C076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0.1139</w:t>
            </w:r>
          </w:p>
        </w:tc>
        <w:tc>
          <w:tcPr>
            <w:tcW w:w="777" w:type="pct"/>
            <w:noWrap w:val="0"/>
            <w:vAlign w:val="center"/>
          </w:tcPr>
          <w:p w14:paraId="676C00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05375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2.6579</w:t>
            </w:r>
          </w:p>
        </w:tc>
        <w:tc>
          <w:tcPr>
            <w:tcW w:w="777" w:type="pct"/>
            <w:noWrap w:val="0"/>
            <w:vAlign w:val="center"/>
          </w:tcPr>
          <w:p w14:paraId="1F7124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r>
      <w:tr w14:paraId="7283C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6A7B3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404535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648" w:type="pct"/>
            <w:noWrap w:val="0"/>
            <w:vAlign w:val="center"/>
          </w:tcPr>
          <w:p w14:paraId="25E274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79FE0D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0.0996</w:t>
            </w:r>
          </w:p>
        </w:tc>
        <w:tc>
          <w:tcPr>
            <w:tcW w:w="777" w:type="pct"/>
            <w:noWrap w:val="0"/>
            <w:vAlign w:val="center"/>
          </w:tcPr>
          <w:p w14:paraId="5C6E9C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5A5AA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2.3233</w:t>
            </w:r>
          </w:p>
        </w:tc>
        <w:tc>
          <w:tcPr>
            <w:tcW w:w="777" w:type="pct"/>
            <w:noWrap w:val="0"/>
            <w:vAlign w:val="center"/>
          </w:tcPr>
          <w:p w14:paraId="5A415D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r>
      <w:tr w14:paraId="2330C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DDA8A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60B92E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648" w:type="pct"/>
            <w:noWrap w:val="0"/>
            <w:vAlign w:val="center"/>
          </w:tcPr>
          <w:p w14:paraId="3B3E5B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117EFC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0.0862</w:t>
            </w:r>
          </w:p>
        </w:tc>
        <w:tc>
          <w:tcPr>
            <w:tcW w:w="777" w:type="pct"/>
            <w:noWrap w:val="0"/>
            <w:vAlign w:val="center"/>
          </w:tcPr>
          <w:p w14:paraId="1627A5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2F68E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2.0109</w:t>
            </w:r>
          </w:p>
        </w:tc>
        <w:tc>
          <w:tcPr>
            <w:tcW w:w="777" w:type="pct"/>
            <w:noWrap w:val="0"/>
            <w:vAlign w:val="center"/>
          </w:tcPr>
          <w:p w14:paraId="157688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5C49D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64398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43AAA6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648" w:type="pct"/>
            <w:noWrap w:val="0"/>
            <w:vAlign w:val="center"/>
          </w:tcPr>
          <w:p w14:paraId="694CA6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6729FC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0.0775</w:t>
            </w:r>
          </w:p>
        </w:tc>
        <w:tc>
          <w:tcPr>
            <w:tcW w:w="777" w:type="pct"/>
            <w:noWrap w:val="0"/>
            <w:vAlign w:val="center"/>
          </w:tcPr>
          <w:p w14:paraId="067E37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F2A09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1.8076</w:t>
            </w:r>
          </w:p>
        </w:tc>
        <w:tc>
          <w:tcPr>
            <w:tcW w:w="777" w:type="pct"/>
            <w:noWrap w:val="0"/>
            <w:vAlign w:val="center"/>
          </w:tcPr>
          <w:p w14:paraId="2342B7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r>
      <w:tr w14:paraId="241A1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F4BC0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003EA5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48" w:type="pct"/>
            <w:noWrap w:val="0"/>
            <w:vAlign w:val="center"/>
          </w:tcPr>
          <w:p w14:paraId="7CEB87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127122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0.0733</w:t>
            </w:r>
          </w:p>
        </w:tc>
        <w:tc>
          <w:tcPr>
            <w:tcW w:w="777" w:type="pct"/>
            <w:noWrap w:val="0"/>
            <w:vAlign w:val="center"/>
          </w:tcPr>
          <w:p w14:paraId="728B58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2113A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1.7093</w:t>
            </w:r>
          </w:p>
        </w:tc>
        <w:tc>
          <w:tcPr>
            <w:tcW w:w="777" w:type="pct"/>
            <w:noWrap w:val="0"/>
            <w:vAlign w:val="center"/>
          </w:tcPr>
          <w:p w14:paraId="0D3A2F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1F43A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36441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57301A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10.25</w:t>
            </w:r>
          </w:p>
        </w:tc>
        <w:tc>
          <w:tcPr>
            <w:tcW w:w="648" w:type="pct"/>
            <w:noWrap w:val="0"/>
            <w:vAlign w:val="center"/>
          </w:tcPr>
          <w:p w14:paraId="25C33C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289A18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0.0716</w:t>
            </w:r>
          </w:p>
        </w:tc>
        <w:tc>
          <w:tcPr>
            <w:tcW w:w="777" w:type="pct"/>
            <w:noWrap w:val="0"/>
            <w:vAlign w:val="center"/>
          </w:tcPr>
          <w:p w14:paraId="5EEF8B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B7360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1.6702</w:t>
            </w:r>
          </w:p>
        </w:tc>
        <w:tc>
          <w:tcPr>
            <w:tcW w:w="777" w:type="pct"/>
            <w:noWrap w:val="0"/>
            <w:vAlign w:val="center"/>
          </w:tcPr>
          <w:p w14:paraId="78824D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4234E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1DC4A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1C1BF3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17.18</w:t>
            </w:r>
          </w:p>
        </w:tc>
        <w:tc>
          <w:tcPr>
            <w:tcW w:w="648" w:type="pct"/>
            <w:noWrap w:val="0"/>
            <w:vAlign w:val="center"/>
          </w:tcPr>
          <w:p w14:paraId="54100A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6CC4DC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0.0695</w:t>
            </w:r>
          </w:p>
        </w:tc>
        <w:tc>
          <w:tcPr>
            <w:tcW w:w="777" w:type="pct"/>
            <w:noWrap w:val="0"/>
            <w:vAlign w:val="center"/>
          </w:tcPr>
          <w:p w14:paraId="1F308A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6816B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1.6212</w:t>
            </w:r>
          </w:p>
        </w:tc>
        <w:tc>
          <w:tcPr>
            <w:tcW w:w="777" w:type="pct"/>
            <w:noWrap w:val="0"/>
            <w:vAlign w:val="center"/>
          </w:tcPr>
          <w:p w14:paraId="4DC94F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753E7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FD355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763676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24.48</w:t>
            </w:r>
          </w:p>
        </w:tc>
        <w:tc>
          <w:tcPr>
            <w:tcW w:w="648" w:type="pct"/>
            <w:noWrap w:val="0"/>
            <w:vAlign w:val="center"/>
          </w:tcPr>
          <w:p w14:paraId="12BCA2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1AA015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0.0656</w:t>
            </w:r>
          </w:p>
        </w:tc>
        <w:tc>
          <w:tcPr>
            <w:tcW w:w="777" w:type="pct"/>
            <w:noWrap w:val="0"/>
            <w:vAlign w:val="center"/>
          </w:tcPr>
          <w:p w14:paraId="594DB1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54EEC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1.5299</w:t>
            </w:r>
          </w:p>
        </w:tc>
        <w:tc>
          <w:tcPr>
            <w:tcW w:w="777" w:type="pct"/>
            <w:noWrap w:val="0"/>
            <w:vAlign w:val="center"/>
          </w:tcPr>
          <w:p w14:paraId="6004C8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24C73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F17C7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6FEED6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27.97</w:t>
            </w:r>
          </w:p>
        </w:tc>
        <w:tc>
          <w:tcPr>
            <w:tcW w:w="648" w:type="pct"/>
            <w:noWrap w:val="0"/>
            <w:vAlign w:val="center"/>
          </w:tcPr>
          <w:p w14:paraId="435B87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389A8E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0.0612</w:t>
            </w:r>
          </w:p>
        </w:tc>
        <w:tc>
          <w:tcPr>
            <w:tcW w:w="777" w:type="pct"/>
            <w:noWrap w:val="0"/>
            <w:vAlign w:val="center"/>
          </w:tcPr>
          <w:p w14:paraId="3220EC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5769A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1.4284</w:t>
            </w:r>
          </w:p>
        </w:tc>
        <w:tc>
          <w:tcPr>
            <w:tcW w:w="777" w:type="pct"/>
            <w:noWrap w:val="0"/>
            <w:vAlign w:val="center"/>
          </w:tcPr>
          <w:p w14:paraId="5D3B49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r>
      <w:tr w14:paraId="6AA77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7412F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170F4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28.31</w:t>
            </w:r>
          </w:p>
        </w:tc>
        <w:tc>
          <w:tcPr>
            <w:tcW w:w="648" w:type="pct"/>
            <w:noWrap w:val="0"/>
            <w:vAlign w:val="center"/>
          </w:tcPr>
          <w:p w14:paraId="1ED558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3F1DDE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0.0574</w:t>
            </w:r>
          </w:p>
        </w:tc>
        <w:tc>
          <w:tcPr>
            <w:tcW w:w="777" w:type="pct"/>
            <w:noWrap w:val="0"/>
            <w:vAlign w:val="center"/>
          </w:tcPr>
          <w:p w14:paraId="02B339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75726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1.3388</w:t>
            </w:r>
          </w:p>
        </w:tc>
        <w:tc>
          <w:tcPr>
            <w:tcW w:w="777" w:type="pct"/>
            <w:noWrap w:val="0"/>
            <w:vAlign w:val="center"/>
          </w:tcPr>
          <w:p w14:paraId="4B6996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54958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C3286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02A73F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19.68</w:t>
            </w:r>
          </w:p>
        </w:tc>
        <w:tc>
          <w:tcPr>
            <w:tcW w:w="648" w:type="pct"/>
            <w:noWrap w:val="0"/>
            <w:vAlign w:val="center"/>
          </w:tcPr>
          <w:p w14:paraId="212840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5163CD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777" w:type="pct"/>
            <w:noWrap w:val="0"/>
            <w:vAlign w:val="center"/>
          </w:tcPr>
          <w:p w14:paraId="36941B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4EF10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1.2378</w:t>
            </w:r>
          </w:p>
        </w:tc>
        <w:tc>
          <w:tcPr>
            <w:tcW w:w="777" w:type="pct"/>
            <w:noWrap w:val="0"/>
            <w:vAlign w:val="center"/>
          </w:tcPr>
          <w:p w14:paraId="334152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75F04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4DC9E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22FD76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25.43</w:t>
            </w:r>
          </w:p>
        </w:tc>
        <w:tc>
          <w:tcPr>
            <w:tcW w:w="648" w:type="pct"/>
            <w:noWrap w:val="0"/>
            <w:vAlign w:val="center"/>
          </w:tcPr>
          <w:p w14:paraId="5A861A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06BD89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0.0507</w:t>
            </w:r>
          </w:p>
        </w:tc>
        <w:tc>
          <w:tcPr>
            <w:tcW w:w="777" w:type="pct"/>
            <w:noWrap w:val="0"/>
            <w:vAlign w:val="center"/>
          </w:tcPr>
          <w:p w14:paraId="7ACA46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60F6D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1.1838</w:t>
            </w:r>
          </w:p>
        </w:tc>
        <w:tc>
          <w:tcPr>
            <w:tcW w:w="777" w:type="pct"/>
            <w:noWrap w:val="0"/>
            <w:vAlign w:val="center"/>
          </w:tcPr>
          <w:p w14:paraId="41984A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264F1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A90E5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681FBC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30.94</w:t>
            </w:r>
          </w:p>
        </w:tc>
        <w:tc>
          <w:tcPr>
            <w:tcW w:w="648" w:type="pct"/>
            <w:noWrap w:val="0"/>
            <w:vAlign w:val="center"/>
          </w:tcPr>
          <w:p w14:paraId="780E90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050CB0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0.0481</w:t>
            </w:r>
          </w:p>
        </w:tc>
        <w:tc>
          <w:tcPr>
            <w:tcW w:w="777" w:type="pct"/>
            <w:noWrap w:val="0"/>
            <w:vAlign w:val="center"/>
          </w:tcPr>
          <w:p w14:paraId="456959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0ED44A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1.1219</w:t>
            </w:r>
          </w:p>
        </w:tc>
        <w:tc>
          <w:tcPr>
            <w:tcW w:w="777" w:type="pct"/>
            <w:noWrap w:val="0"/>
            <w:vAlign w:val="center"/>
          </w:tcPr>
          <w:p w14:paraId="02F33D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43981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83364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28C2C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30.57</w:t>
            </w:r>
          </w:p>
        </w:tc>
        <w:tc>
          <w:tcPr>
            <w:tcW w:w="648" w:type="pct"/>
            <w:noWrap w:val="0"/>
            <w:vAlign w:val="center"/>
          </w:tcPr>
          <w:p w14:paraId="46967F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7EA232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777" w:type="pct"/>
            <w:noWrap w:val="0"/>
            <w:vAlign w:val="center"/>
          </w:tcPr>
          <w:p w14:paraId="029A06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25F7B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1.0637</w:t>
            </w:r>
          </w:p>
        </w:tc>
        <w:tc>
          <w:tcPr>
            <w:tcW w:w="777" w:type="pct"/>
            <w:noWrap w:val="0"/>
            <w:vAlign w:val="center"/>
          </w:tcPr>
          <w:p w14:paraId="27495D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4081C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58766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66" w:type="pct"/>
            <w:noWrap w:val="0"/>
            <w:vAlign w:val="center"/>
          </w:tcPr>
          <w:p w14:paraId="1D5007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648" w:type="pct"/>
            <w:noWrap w:val="0"/>
            <w:vAlign w:val="center"/>
          </w:tcPr>
          <w:p w14:paraId="42BBE2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46CB96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0.0433</w:t>
            </w:r>
          </w:p>
        </w:tc>
        <w:tc>
          <w:tcPr>
            <w:tcW w:w="777" w:type="pct"/>
            <w:noWrap w:val="0"/>
            <w:vAlign w:val="center"/>
          </w:tcPr>
          <w:p w14:paraId="7E01E5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3C13B0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1.0101</w:t>
            </w:r>
          </w:p>
        </w:tc>
        <w:tc>
          <w:tcPr>
            <w:tcW w:w="777" w:type="pct"/>
            <w:noWrap w:val="0"/>
            <w:vAlign w:val="center"/>
          </w:tcPr>
          <w:p w14:paraId="7004A0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50432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48414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073441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28.78</w:t>
            </w:r>
          </w:p>
        </w:tc>
        <w:tc>
          <w:tcPr>
            <w:tcW w:w="648" w:type="pct"/>
            <w:noWrap w:val="0"/>
            <w:vAlign w:val="center"/>
          </w:tcPr>
          <w:p w14:paraId="78319C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6D59E8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0.0411</w:t>
            </w:r>
          </w:p>
        </w:tc>
        <w:tc>
          <w:tcPr>
            <w:tcW w:w="777" w:type="pct"/>
            <w:noWrap w:val="0"/>
            <w:vAlign w:val="center"/>
          </w:tcPr>
          <w:p w14:paraId="20C852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49BE3D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0.9596</w:t>
            </w:r>
          </w:p>
        </w:tc>
        <w:tc>
          <w:tcPr>
            <w:tcW w:w="777" w:type="pct"/>
            <w:noWrap w:val="0"/>
            <w:vAlign w:val="center"/>
          </w:tcPr>
          <w:p w14:paraId="5F179F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7FB24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12698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418C32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32.05</w:t>
            </w:r>
          </w:p>
        </w:tc>
        <w:tc>
          <w:tcPr>
            <w:tcW w:w="648" w:type="pct"/>
            <w:noWrap w:val="0"/>
            <w:vAlign w:val="center"/>
          </w:tcPr>
          <w:p w14:paraId="2A6620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301E96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0.0393</w:t>
            </w:r>
          </w:p>
        </w:tc>
        <w:tc>
          <w:tcPr>
            <w:tcW w:w="777" w:type="pct"/>
            <w:noWrap w:val="0"/>
            <w:vAlign w:val="center"/>
          </w:tcPr>
          <w:p w14:paraId="18C147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608D68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0.9167</w:t>
            </w:r>
          </w:p>
        </w:tc>
        <w:tc>
          <w:tcPr>
            <w:tcW w:w="777" w:type="pct"/>
            <w:noWrap w:val="0"/>
            <w:vAlign w:val="center"/>
          </w:tcPr>
          <w:p w14:paraId="59634E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45328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E2F89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5A3FD8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648" w:type="pct"/>
            <w:noWrap w:val="0"/>
            <w:vAlign w:val="center"/>
          </w:tcPr>
          <w:p w14:paraId="628CE0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052A59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777" w:type="pct"/>
            <w:noWrap w:val="0"/>
            <w:vAlign w:val="center"/>
          </w:tcPr>
          <w:p w14:paraId="499802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05B3DE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0.8636</w:t>
            </w:r>
          </w:p>
        </w:tc>
        <w:tc>
          <w:tcPr>
            <w:tcW w:w="777" w:type="pct"/>
            <w:noWrap w:val="0"/>
            <w:vAlign w:val="center"/>
          </w:tcPr>
          <w:p w14:paraId="596E5B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60E16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7DB67922">
            <w:pPr>
              <w:pStyle w:val="25"/>
              <w:bidi w:val="0"/>
              <w:rPr>
                <w:rFonts w:hint="eastAsia"/>
                <w:color w:val="auto"/>
                <w:u w:val="none" w:color="auto"/>
                <w:lang w:val="en-US" w:eastAsia="zh-CN"/>
              </w:rPr>
            </w:pPr>
            <w:r>
              <w:rPr>
                <w:color w:val="auto"/>
                <w:u w:val="none" w:color="auto"/>
              </w:rPr>
              <w:t>下风向最大质量浓度及占标率</w:t>
            </w:r>
          </w:p>
        </w:tc>
        <w:tc>
          <w:tcPr>
            <w:tcW w:w="776" w:type="pct"/>
            <w:noWrap w:val="0"/>
            <w:vAlign w:val="center"/>
          </w:tcPr>
          <w:p w14:paraId="589FF93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0.3329</w:t>
            </w:r>
          </w:p>
        </w:tc>
        <w:tc>
          <w:tcPr>
            <w:tcW w:w="777" w:type="pct"/>
            <w:noWrap w:val="0"/>
            <w:vAlign w:val="center"/>
          </w:tcPr>
          <w:p w14:paraId="0AA7C02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0.04</w:t>
            </w:r>
          </w:p>
        </w:tc>
        <w:tc>
          <w:tcPr>
            <w:tcW w:w="776" w:type="pct"/>
            <w:noWrap w:val="0"/>
            <w:vAlign w:val="center"/>
          </w:tcPr>
          <w:p w14:paraId="00B156B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7.7677</w:t>
            </w:r>
          </w:p>
        </w:tc>
        <w:tc>
          <w:tcPr>
            <w:tcW w:w="777" w:type="pct"/>
            <w:noWrap w:val="0"/>
            <w:vAlign w:val="center"/>
          </w:tcPr>
          <w:p w14:paraId="7010F7F8">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0.65</w:t>
            </w:r>
          </w:p>
        </w:tc>
      </w:tr>
      <w:tr w14:paraId="68939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763F4A61">
            <w:pPr>
              <w:pStyle w:val="25"/>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0BB21D75">
            <w:pPr>
              <w:pStyle w:val="25"/>
              <w:bidi w:val="0"/>
              <w:rPr>
                <w:rFonts w:hint="eastAsia"/>
                <w:color w:val="auto"/>
                <w:u w:val="none" w:color="auto"/>
                <w:lang w:val="en-US" w:eastAsia="zh-CN"/>
              </w:rPr>
            </w:pPr>
            <w:r>
              <w:rPr>
                <w:color w:val="auto"/>
                <w:u w:val="none" w:color="auto"/>
              </w:rPr>
              <w:t>/</w:t>
            </w:r>
          </w:p>
        </w:tc>
        <w:tc>
          <w:tcPr>
            <w:tcW w:w="777" w:type="pct"/>
            <w:noWrap w:val="0"/>
            <w:vAlign w:val="center"/>
          </w:tcPr>
          <w:p w14:paraId="3CBA08A3">
            <w:pPr>
              <w:pStyle w:val="25"/>
              <w:bidi w:val="0"/>
              <w:rPr>
                <w:color w:val="auto"/>
                <w:u w:val="none" w:color="auto"/>
              </w:rPr>
            </w:pPr>
          </w:p>
        </w:tc>
        <w:tc>
          <w:tcPr>
            <w:tcW w:w="776" w:type="pct"/>
            <w:noWrap w:val="0"/>
            <w:vAlign w:val="center"/>
          </w:tcPr>
          <w:p w14:paraId="54644456">
            <w:pPr>
              <w:pStyle w:val="25"/>
              <w:bidi w:val="0"/>
              <w:rPr>
                <w:color w:val="auto"/>
                <w:u w:val="none" w:color="auto"/>
              </w:rPr>
            </w:pPr>
          </w:p>
        </w:tc>
        <w:tc>
          <w:tcPr>
            <w:tcW w:w="777" w:type="pct"/>
            <w:noWrap w:val="0"/>
            <w:vAlign w:val="center"/>
          </w:tcPr>
          <w:p w14:paraId="15A4D808">
            <w:pPr>
              <w:pStyle w:val="25"/>
              <w:bidi w:val="0"/>
              <w:rPr>
                <w:color w:val="auto"/>
                <w:u w:val="none" w:color="auto"/>
              </w:rPr>
            </w:pPr>
          </w:p>
        </w:tc>
      </w:tr>
    </w:tbl>
    <w:p w14:paraId="207C33ED">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5.2-9</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16BBE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4FE52003">
            <w:pPr>
              <w:pStyle w:val="25"/>
              <w:bidi w:val="0"/>
              <w:rPr>
                <w:color w:val="auto"/>
                <w:u w:val="none" w:color="auto"/>
              </w:rPr>
            </w:pPr>
            <w:r>
              <w:rPr>
                <w:rFonts w:hint="eastAsia"/>
                <w:color w:val="auto"/>
                <w:u w:val="none" w:color="auto"/>
              </w:rPr>
              <w:t>方位角(度)</w:t>
            </w:r>
          </w:p>
        </w:tc>
        <w:tc>
          <w:tcPr>
            <w:tcW w:w="566" w:type="pct"/>
            <w:vMerge w:val="restart"/>
            <w:noWrap w:val="0"/>
            <w:vAlign w:val="center"/>
          </w:tcPr>
          <w:p w14:paraId="54E1CD79">
            <w:pPr>
              <w:pStyle w:val="25"/>
              <w:bidi w:val="0"/>
              <w:rPr>
                <w:color w:val="auto"/>
                <w:u w:val="none" w:color="auto"/>
              </w:rPr>
            </w:pPr>
            <w:r>
              <w:rPr>
                <w:rFonts w:hint="eastAsia"/>
                <w:color w:val="auto"/>
                <w:u w:val="none" w:color="auto"/>
              </w:rPr>
              <w:t>相对源高(m)</w:t>
            </w:r>
          </w:p>
        </w:tc>
        <w:tc>
          <w:tcPr>
            <w:tcW w:w="648" w:type="pct"/>
            <w:vMerge w:val="restart"/>
            <w:noWrap w:val="0"/>
            <w:vAlign w:val="center"/>
          </w:tcPr>
          <w:p w14:paraId="5D4C565B">
            <w:pPr>
              <w:pStyle w:val="25"/>
              <w:bidi w:val="0"/>
              <w:rPr>
                <w:color w:val="auto"/>
                <w:u w:val="none" w:color="auto"/>
              </w:rPr>
            </w:pPr>
            <w:r>
              <w:rPr>
                <w:rFonts w:hint="eastAsia"/>
                <w:color w:val="auto"/>
                <w:u w:val="none" w:color="auto"/>
              </w:rPr>
              <w:t>离源距离(m)</w:t>
            </w:r>
          </w:p>
        </w:tc>
        <w:tc>
          <w:tcPr>
            <w:tcW w:w="3107" w:type="pct"/>
            <w:gridSpan w:val="4"/>
            <w:noWrap w:val="0"/>
            <w:vAlign w:val="center"/>
          </w:tcPr>
          <w:p w14:paraId="00B21D43">
            <w:pPr>
              <w:pStyle w:val="25"/>
              <w:bidi w:val="0"/>
              <w:rPr>
                <w:rFonts w:hint="eastAsia"/>
                <w:color w:val="auto"/>
                <w:u w:val="none" w:color="auto"/>
                <w:lang w:val="en-US" w:eastAsia="zh-CN"/>
              </w:rPr>
            </w:pPr>
            <w:r>
              <w:rPr>
                <w:rFonts w:hint="eastAsia"/>
                <w:color w:val="auto"/>
                <w:u w:val="none" w:color="auto"/>
                <w:lang w:val="en-US" w:eastAsia="zh-CN"/>
              </w:rPr>
              <w:t>DA003排气筒</w:t>
            </w:r>
          </w:p>
        </w:tc>
      </w:tr>
      <w:tr w14:paraId="41468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011445DF">
            <w:pPr>
              <w:pStyle w:val="25"/>
              <w:bidi w:val="0"/>
              <w:rPr>
                <w:color w:val="auto"/>
                <w:u w:val="none" w:color="auto"/>
              </w:rPr>
            </w:pPr>
          </w:p>
        </w:tc>
        <w:tc>
          <w:tcPr>
            <w:tcW w:w="566" w:type="pct"/>
            <w:vMerge w:val="continue"/>
            <w:noWrap w:val="0"/>
            <w:vAlign w:val="center"/>
          </w:tcPr>
          <w:p w14:paraId="76EA5005">
            <w:pPr>
              <w:pStyle w:val="25"/>
              <w:bidi w:val="0"/>
              <w:rPr>
                <w:rFonts w:hint="eastAsia"/>
                <w:color w:val="auto"/>
                <w:u w:val="none" w:color="auto"/>
                <w:lang w:eastAsia="zh-CN"/>
              </w:rPr>
            </w:pPr>
          </w:p>
        </w:tc>
        <w:tc>
          <w:tcPr>
            <w:tcW w:w="648" w:type="pct"/>
            <w:vMerge w:val="continue"/>
            <w:noWrap w:val="0"/>
            <w:vAlign w:val="center"/>
          </w:tcPr>
          <w:p w14:paraId="0EDD0886">
            <w:pPr>
              <w:pStyle w:val="25"/>
              <w:bidi w:val="0"/>
              <w:rPr>
                <w:rFonts w:hint="eastAsia"/>
                <w:color w:val="auto"/>
                <w:u w:val="none" w:color="auto"/>
                <w:lang w:eastAsia="zh-CN"/>
              </w:rPr>
            </w:pPr>
          </w:p>
        </w:tc>
        <w:tc>
          <w:tcPr>
            <w:tcW w:w="1553" w:type="pct"/>
            <w:gridSpan w:val="2"/>
            <w:noWrap w:val="0"/>
            <w:vAlign w:val="center"/>
          </w:tcPr>
          <w:p w14:paraId="5BA0F6F4">
            <w:pPr>
              <w:pStyle w:val="25"/>
              <w:bidi w:val="0"/>
              <w:rPr>
                <w:rFonts w:hint="default"/>
                <w:color w:val="auto"/>
                <w:u w:val="none" w:color="auto"/>
                <w:lang w:val="en-US" w:eastAsia="zh-CN"/>
              </w:rPr>
            </w:pPr>
            <w:r>
              <w:rPr>
                <w:rFonts w:hint="eastAsia"/>
                <w:color w:val="auto"/>
                <w:u w:val="none" w:color="auto"/>
                <w:lang w:val="en-US" w:eastAsia="zh-CN"/>
              </w:rPr>
              <w:t>二氧化硫</w:t>
            </w:r>
          </w:p>
        </w:tc>
        <w:tc>
          <w:tcPr>
            <w:tcW w:w="1553" w:type="pct"/>
            <w:gridSpan w:val="2"/>
            <w:noWrap w:val="0"/>
            <w:vAlign w:val="center"/>
          </w:tcPr>
          <w:p w14:paraId="74E133C7">
            <w:pPr>
              <w:pStyle w:val="25"/>
              <w:bidi w:val="0"/>
              <w:rPr>
                <w:rFonts w:hint="default"/>
                <w:color w:val="auto"/>
                <w:u w:val="none" w:color="auto"/>
                <w:lang w:val="en-US" w:eastAsia="zh-CN"/>
              </w:rPr>
            </w:pPr>
            <w:r>
              <w:rPr>
                <w:rFonts w:hint="eastAsia"/>
                <w:color w:val="auto"/>
                <w:u w:val="none" w:color="auto"/>
                <w:lang w:val="en-US" w:eastAsia="zh-CN"/>
              </w:rPr>
              <w:t>二氧化氮</w:t>
            </w:r>
          </w:p>
        </w:tc>
      </w:tr>
      <w:tr w14:paraId="0F1CA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6370D9D4">
            <w:pPr>
              <w:pStyle w:val="25"/>
              <w:bidi w:val="0"/>
              <w:rPr>
                <w:color w:val="auto"/>
                <w:u w:val="none" w:color="auto"/>
              </w:rPr>
            </w:pPr>
          </w:p>
        </w:tc>
        <w:tc>
          <w:tcPr>
            <w:tcW w:w="566" w:type="pct"/>
            <w:vMerge w:val="continue"/>
            <w:noWrap w:val="0"/>
            <w:vAlign w:val="center"/>
          </w:tcPr>
          <w:p w14:paraId="49348EB9">
            <w:pPr>
              <w:pStyle w:val="25"/>
              <w:bidi w:val="0"/>
              <w:rPr>
                <w:color w:val="auto"/>
                <w:u w:val="none" w:color="auto"/>
              </w:rPr>
            </w:pPr>
          </w:p>
        </w:tc>
        <w:tc>
          <w:tcPr>
            <w:tcW w:w="648" w:type="pct"/>
            <w:vMerge w:val="continue"/>
            <w:noWrap w:val="0"/>
            <w:vAlign w:val="center"/>
          </w:tcPr>
          <w:p w14:paraId="2C239F3D">
            <w:pPr>
              <w:pStyle w:val="25"/>
              <w:bidi w:val="0"/>
              <w:rPr>
                <w:color w:val="auto"/>
                <w:u w:val="none" w:color="auto"/>
              </w:rPr>
            </w:pPr>
          </w:p>
        </w:tc>
        <w:tc>
          <w:tcPr>
            <w:tcW w:w="776" w:type="pct"/>
            <w:noWrap w:val="0"/>
            <w:vAlign w:val="center"/>
          </w:tcPr>
          <w:p w14:paraId="519A50FC">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2451E436">
            <w:pPr>
              <w:pStyle w:val="25"/>
              <w:bidi w:val="0"/>
              <w:rPr>
                <w:color w:val="auto"/>
                <w:u w:val="none" w:color="auto"/>
              </w:rPr>
            </w:pPr>
            <w:r>
              <w:rPr>
                <w:color w:val="auto"/>
                <w:u w:val="none" w:color="auto"/>
              </w:rPr>
              <w:t>占标率%</w:t>
            </w:r>
          </w:p>
        </w:tc>
        <w:tc>
          <w:tcPr>
            <w:tcW w:w="776" w:type="pct"/>
            <w:noWrap w:val="0"/>
            <w:vAlign w:val="center"/>
          </w:tcPr>
          <w:p w14:paraId="7A1B5575">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13867C3C">
            <w:pPr>
              <w:pStyle w:val="25"/>
              <w:bidi w:val="0"/>
              <w:rPr>
                <w:color w:val="auto"/>
                <w:u w:val="none" w:color="auto"/>
                <w:lang w:val="en-US" w:eastAsia="zh-CN"/>
              </w:rPr>
            </w:pPr>
            <w:r>
              <w:rPr>
                <w:color w:val="auto"/>
                <w:u w:val="none" w:color="auto"/>
              </w:rPr>
              <w:t>占标率%</w:t>
            </w:r>
          </w:p>
        </w:tc>
      </w:tr>
      <w:tr w14:paraId="4B24F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BD542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6" w:type="pct"/>
            <w:noWrap w:val="0"/>
            <w:vAlign w:val="center"/>
          </w:tcPr>
          <w:p w14:paraId="654E59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noWrap w:val="0"/>
            <w:vAlign w:val="center"/>
          </w:tcPr>
          <w:p w14:paraId="043FD3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3D5DFF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77" w:type="pct"/>
            <w:noWrap w:val="0"/>
            <w:vAlign w:val="center"/>
          </w:tcPr>
          <w:p w14:paraId="390BA8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7FB4FD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0.0147</w:t>
            </w:r>
          </w:p>
        </w:tc>
        <w:tc>
          <w:tcPr>
            <w:tcW w:w="777" w:type="pct"/>
            <w:noWrap w:val="0"/>
            <w:vAlign w:val="center"/>
          </w:tcPr>
          <w:p w14:paraId="07EDE0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2351B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1CC4B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77D08A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48" w:type="pct"/>
            <w:noWrap w:val="0"/>
            <w:vAlign w:val="center"/>
          </w:tcPr>
          <w:p w14:paraId="7C554C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76" w:type="pct"/>
            <w:noWrap w:val="0"/>
            <w:vAlign w:val="center"/>
          </w:tcPr>
          <w:p w14:paraId="2BCD90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0.3329</w:t>
            </w:r>
          </w:p>
        </w:tc>
        <w:tc>
          <w:tcPr>
            <w:tcW w:w="777" w:type="pct"/>
            <w:noWrap w:val="0"/>
            <w:vAlign w:val="center"/>
          </w:tcPr>
          <w:p w14:paraId="0950D1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776" w:type="pct"/>
            <w:noWrap w:val="0"/>
            <w:vAlign w:val="center"/>
          </w:tcPr>
          <w:p w14:paraId="37B901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5.0157</w:t>
            </w:r>
          </w:p>
        </w:tc>
        <w:tc>
          <w:tcPr>
            <w:tcW w:w="777" w:type="pct"/>
            <w:noWrap w:val="0"/>
            <w:vAlign w:val="center"/>
          </w:tcPr>
          <w:p w14:paraId="19A241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w:t>
            </w:r>
          </w:p>
        </w:tc>
      </w:tr>
      <w:tr w14:paraId="77BF7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2E6C9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0B0D43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48" w:type="pct"/>
            <w:noWrap w:val="0"/>
            <w:vAlign w:val="center"/>
          </w:tcPr>
          <w:p w14:paraId="0B29C6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3359A5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0.319</w:t>
            </w:r>
          </w:p>
        </w:tc>
        <w:tc>
          <w:tcPr>
            <w:tcW w:w="777" w:type="pct"/>
            <w:noWrap w:val="0"/>
            <w:vAlign w:val="center"/>
          </w:tcPr>
          <w:p w14:paraId="2F66CA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76" w:type="pct"/>
            <w:noWrap w:val="0"/>
            <w:vAlign w:val="center"/>
          </w:tcPr>
          <w:p w14:paraId="442CCE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4.8055</w:t>
            </w:r>
          </w:p>
        </w:tc>
        <w:tc>
          <w:tcPr>
            <w:tcW w:w="777" w:type="pct"/>
            <w:noWrap w:val="0"/>
            <w:vAlign w:val="center"/>
          </w:tcPr>
          <w:p w14:paraId="71170F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r>
      <w:tr w14:paraId="03883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B20AF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28ED57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48" w:type="pct"/>
            <w:noWrap w:val="0"/>
            <w:vAlign w:val="center"/>
          </w:tcPr>
          <w:p w14:paraId="0F5042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6493C7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0.2535</w:t>
            </w:r>
          </w:p>
        </w:tc>
        <w:tc>
          <w:tcPr>
            <w:tcW w:w="777" w:type="pct"/>
            <w:noWrap w:val="0"/>
            <w:vAlign w:val="center"/>
          </w:tcPr>
          <w:p w14:paraId="457CF1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0EAA94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3.8191</w:t>
            </w:r>
          </w:p>
        </w:tc>
        <w:tc>
          <w:tcPr>
            <w:tcW w:w="777" w:type="pct"/>
            <w:noWrap w:val="0"/>
            <w:vAlign w:val="center"/>
          </w:tcPr>
          <w:p w14:paraId="2B300A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1.91</w:t>
            </w:r>
          </w:p>
        </w:tc>
      </w:tr>
      <w:tr w14:paraId="290F8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3E20A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356535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648" w:type="pct"/>
            <w:noWrap w:val="0"/>
            <w:vAlign w:val="center"/>
          </w:tcPr>
          <w:p w14:paraId="626D16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6D0705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0.1892</w:t>
            </w:r>
          </w:p>
        </w:tc>
        <w:tc>
          <w:tcPr>
            <w:tcW w:w="777" w:type="pct"/>
            <w:noWrap w:val="0"/>
            <w:vAlign w:val="center"/>
          </w:tcPr>
          <w:p w14:paraId="44B411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296989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2.8508</w:t>
            </w:r>
          </w:p>
        </w:tc>
        <w:tc>
          <w:tcPr>
            <w:tcW w:w="777" w:type="pct"/>
            <w:noWrap w:val="0"/>
            <w:vAlign w:val="center"/>
          </w:tcPr>
          <w:p w14:paraId="17616C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w:t>
            </w:r>
          </w:p>
        </w:tc>
      </w:tr>
      <w:tr w14:paraId="66D9A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C692C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66" w:type="pct"/>
            <w:noWrap w:val="0"/>
            <w:vAlign w:val="center"/>
          </w:tcPr>
          <w:p w14:paraId="14EF6C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48" w:type="pct"/>
            <w:noWrap w:val="0"/>
            <w:vAlign w:val="center"/>
          </w:tcPr>
          <w:p w14:paraId="3EA3FD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57CD7C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0.228</w:t>
            </w:r>
          </w:p>
        </w:tc>
        <w:tc>
          <w:tcPr>
            <w:tcW w:w="777" w:type="pct"/>
            <w:noWrap w:val="0"/>
            <w:vAlign w:val="center"/>
          </w:tcPr>
          <w:p w14:paraId="657960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588AD5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3.4355</w:t>
            </w:r>
          </w:p>
        </w:tc>
        <w:tc>
          <w:tcPr>
            <w:tcW w:w="777" w:type="pct"/>
            <w:noWrap w:val="0"/>
            <w:vAlign w:val="center"/>
          </w:tcPr>
          <w:p w14:paraId="4A02F2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w:t>
            </w:r>
          </w:p>
        </w:tc>
      </w:tr>
      <w:tr w14:paraId="0AEE0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ADB5E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6" w:type="pct"/>
            <w:noWrap w:val="0"/>
            <w:vAlign w:val="center"/>
          </w:tcPr>
          <w:p w14:paraId="180357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7736EE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642D33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0.1979</w:t>
            </w:r>
          </w:p>
        </w:tc>
        <w:tc>
          <w:tcPr>
            <w:tcW w:w="777" w:type="pct"/>
            <w:noWrap w:val="0"/>
            <w:vAlign w:val="center"/>
          </w:tcPr>
          <w:p w14:paraId="38EF8D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5F06F6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2.9818</w:t>
            </w:r>
          </w:p>
        </w:tc>
        <w:tc>
          <w:tcPr>
            <w:tcW w:w="777" w:type="pct"/>
            <w:noWrap w:val="0"/>
            <w:vAlign w:val="center"/>
          </w:tcPr>
          <w:p w14:paraId="145D14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1.49</w:t>
            </w:r>
          </w:p>
        </w:tc>
      </w:tr>
      <w:tr w14:paraId="299FE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7CCDB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525360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7.62</w:t>
            </w:r>
          </w:p>
        </w:tc>
        <w:tc>
          <w:tcPr>
            <w:tcW w:w="648" w:type="pct"/>
            <w:noWrap w:val="0"/>
            <w:vAlign w:val="center"/>
          </w:tcPr>
          <w:p w14:paraId="71DCE4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42D30E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777" w:type="pct"/>
            <w:noWrap w:val="0"/>
            <w:vAlign w:val="center"/>
          </w:tcPr>
          <w:p w14:paraId="61BB10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38F7B6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2.6058</w:t>
            </w:r>
          </w:p>
        </w:tc>
        <w:tc>
          <w:tcPr>
            <w:tcW w:w="777" w:type="pct"/>
            <w:noWrap w:val="0"/>
            <w:vAlign w:val="center"/>
          </w:tcPr>
          <w:p w14:paraId="48CD76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r>
      <w:tr w14:paraId="64A0B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95F8D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0DE53F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648" w:type="pct"/>
            <w:noWrap w:val="0"/>
            <w:vAlign w:val="center"/>
          </w:tcPr>
          <w:p w14:paraId="5BDDF8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51840F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0.1503</w:t>
            </w:r>
          </w:p>
        </w:tc>
        <w:tc>
          <w:tcPr>
            <w:tcW w:w="777" w:type="pct"/>
            <w:noWrap w:val="0"/>
            <w:vAlign w:val="center"/>
          </w:tcPr>
          <w:p w14:paraId="62CE90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79E944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2.2644</w:t>
            </w:r>
          </w:p>
        </w:tc>
        <w:tc>
          <w:tcPr>
            <w:tcW w:w="777" w:type="pct"/>
            <w:noWrap w:val="0"/>
            <w:vAlign w:val="center"/>
          </w:tcPr>
          <w:p w14:paraId="5205D3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r>
      <w:tr w14:paraId="63C01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81984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566" w:type="pct"/>
            <w:noWrap w:val="0"/>
            <w:vAlign w:val="center"/>
          </w:tcPr>
          <w:p w14:paraId="14AD1C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48" w:type="pct"/>
            <w:noWrap w:val="0"/>
            <w:vAlign w:val="center"/>
          </w:tcPr>
          <w:p w14:paraId="7AF8E0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6BC959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0.1309</w:t>
            </w:r>
          </w:p>
        </w:tc>
        <w:tc>
          <w:tcPr>
            <w:tcW w:w="777" w:type="pct"/>
            <w:noWrap w:val="0"/>
            <w:vAlign w:val="center"/>
          </w:tcPr>
          <w:p w14:paraId="59876F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2D42AF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1.9721</w:t>
            </w:r>
          </w:p>
        </w:tc>
        <w:tc>
          <w:tcPr>
            <w:tcW w:w="777" w:type="pct"/>
            <w:noWrap w:val="0"/>
            <w:vAlign w:val="center"/>
          </w:tcPr>
          <w:p w14:paraId="6E45A6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0.99</w:t>
            </w:r>
          </w:p>
        </w:tc>
      </w:tr>
      <w:tr w14:paraId="7C2B0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197DE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66" w:type="pct"/>
            <w:noWrap w:val="0"/>
            <w:vAlign w:val="center"/>
          </w:tcPr>
          <w:p w14:paraId="7141EE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648" w:type="pct"/>
            <w:noWrap w:val="0"/>
            <w:vAlign w:val="center"/>
          </w:tcPr>
          <w:p w14:paraId="38F15E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56EA7D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0.1139</w:t>
            </w:r>
          </w:p>
        </w:tc>
        <w:tc>
          <w:tcPr>
            <w:tcW w:w="777" w:type="pct"/>
            <w:noWrap w:val="0"/>
            <w:vAlign w:val="center"/>
          </w:tcPr>
          <w:p w14:paraId="0A6FEA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B392C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1.7162</w:t>
            </w:r>
          </w:p>
        </w:tc>
        <w:tc>
          <w:tcPr>
            <w:tcW w:w="777" w:type="pct"/>
            <w:noWrap w:val="0"/>
            <w:vAlign w:val="center"/>
          </w:tcPr>
          <w:p w14:paraId="041B56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w:t>
            </w:r>
          </w:p>
        </w:tc>
      </w:tr>
      <w:tr w14:paraId="447C2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5B2C1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165628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648" w:type="pct"/>
            <w:noWrap w:val="0"/>
            <w:vAlign w:val="center"/>
          </w:tcPr>
          <w:p w14:paraId="4E6360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001EA0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0.0996</w:t>
            </w:r>
          </w:p>
        </w:tc>
        <w:tc>
          <w:tcPr>
            <w:tcW w:w="777" w:type="pct"/>
            <w:noWrap w:val="0"/>
            <w:vAlign w:val="center"/>
          </w:tcPr>
          <w:p w14:paraId="794560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75B17B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1.5002</w:t>
            </w:r>
          </w:p>
        </w:tc>
        <w:tc>
          <w:tcPr>
            <w:tcW w:w="777" w:type="pct"/>
            <w:noWrap w:val="0"/>
            <w:vAlign w:val="center"/>
          </w:tcPr>
          <w:p w14:paraId="1502B2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0.75</w:t>
            </w:r>
          </w:p>
        </w:tc>
      </w:tr>
      <w:tr w14:paraId="26ED6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984D0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742896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648" w:type="pct"/>
            <w:noWrap w:val="0"/>
            <w:vAlign w:val="center"/>
          </w:tcPr>
          <w:p w14:paraId="0797A8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7E205E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0.0862</w:t>
            </w:r>
          </w:p>
        </w:tc>
        <w:tc>
          <w:tcPr>
            <w:tcW w:w="777" w:type="pct"/>
            <w:noWrap w:val="0"/>
            <w:vAlign w:val="center"/>
          </w:tcPr>
          <w:p w14:paraId="6B1238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38F157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1.2984</w:t>
            </w:r>
          </w:p>
        </w:tc>
        <w:tc>
          <w:tcPr>
            <w:tcW w:w="777" w:type="pct"/>
            <w:noWrap w:val="0"/>
            <w:vAlign w:val="center"/>
          </w:tcPr>
          <w:p w14:paraId="28D791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w:t>
            </w:r>
          </w:p>
        </w:tc>
      </w:tr>
      <w:tr w14:paraId="326D5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D3ABF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5FA9D0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648" w:type="pct"/>
            <w:noWrap w:val="0"/>
            <w:vAlign w:val="center"/>
          </w:tcPr>
          <w:p w14:paraId="55374F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621EEC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0.0775</w:t>
            </w:r>
          </w:p>
        </w:tc>
        <w:tc>
          <w:tcPr>
            <w:tcW w:w="777" w:type="pct"/>
            <w:noWrap w:val="0"/>
            <w:vAlign w:val="center"/>
          </w:tcPr>
          <w:p w14:paraId="432B15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3FF365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1.1672</w:t>
            </w:r>
          </w:p>
        </w:tc>
        <w:tc>
          <w:tcPr>
            <w:tcW w:w="777" w:type="pct"/>
            <w:noWrap w:val="0"/>
            <w:vAlign w:val="center"/>
          </w:tcPr>
          <w:p w14:paraId="1948FE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r>
      <w:tr w14:paraId="0EEC4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9EE71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611923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48" w:type="pct"/>
            <w:noWrap w:val="0"/>
            <w:vAlign w:val="center"/>
          </w:tcPr>
          <w:p w14:paraId="49FB33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4F1BC3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0.0733</w:t>
            </w:r>
          </w:p>
        </w:tc>
        <w:tc>
          <w:tcPr>
            <w:tcW w:w="777" w:type="pct"/>
            <w:noWrap w:val="0"/>
            <w:vAlign w:val="center"/>
          </w:tcPr>
          <w:p w14:paraId="46A2C9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BADD0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1.1037</w:t>
            </w:r>
          </w:p>
        </w:tc>
        <w:tc>
          <w:tcPr>
            <w:tcW w:w="777" w:type="pct"/>
            <w:noWrap w:val="0"/>
            <w:vAlign w:val="center"/>
          </w:tcPr>
          <w:p w14:paraId="531125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w:t>
            </w:r>
          </w:p>
        </w:tc>
      </w:tr>
      <w:tr w14:paraId="1BC2D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BC993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6BC504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10.25</w:t>
            </w:r>
          </w:p>
        </w:tc>
        <w:tc>
          <w:tcPr>
            <w:tcW w:w="648" w:type="pct"/>
            <w:noWrap w:val="0"/>
            <w:vAlign w:val="center"/>
          </w:tcPr>
          <w:p w14:paraId="333BEC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66C2BC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0.0716</w:t>
            </w:r>
          </w:p>
        </w:tc>
        <w:tc>
          <w:tcPr>
            <w:tcW w:w="777" w:type="pct"/>
            <w:noWrap w:val="0"/>
            <w:vAlign w:val="center"/>
          </w:tcPr>
          <w:p w14:paraId="703A21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CE9BB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1.0784</w:t>
            </w:r>
          </w:p>
        </w:tc>
        <w:tc>
          <w:tcPr>
            <w:tcW w:w="777" w:type="pct"/>
            <w:noWrap w:val="0"/>
            <w:vAlign w:val="center"/>
          </w:tcPr>
          <w:p w14:paraId="672CD0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5063F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2571F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40B4E0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17.18</w:t>
            </w:r>
          </w:p>
        </w:tc>
        <w:tc>
          <w:tcPr>
            <w:tcW w:w="648" w:type="pct"/>
            <w:noWrap w:val="0"/>
            <w:vAlign w:val="center"/>
          </w:tcPr>
          <w:p w14:paraId="61D943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21760A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0.0695</w:t>
            </w:r>
          </w:p>
        </w:tc>
        <w:tc>
          <w:tcPr>
            <w:tcW w:w="777" w:type="pct"/>
            <w:noWrap w:val="0"/>
            <w:vAlign w:val="center"/>
          </w:tcPr>
          <w:p w14:paraId="5253B2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23DF5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1.0468</w:t>
            </w:r>
          </w:p>
        </w:tc>
        <w:tc>
          <w:tcPr>
            <w:tcW w:w="777" w:type="pct"/>
            <w:noWrap w:val="0"/>
            <w:vAlign w:val="center"/>
          </w:tcPr>
          <w:p w14:paraId="700581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r>
      <w:tr w14:paraId="2D944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ED4A6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40602D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24.48</w:t>
            </w:r>
          </w:p>
        </w:tc>
        <w:tc>
          <w:tcPr>
            <w:tcW w:w="648" w:type="pct"/>
            <w:noWrap w:val="0"/>
            <w:vAlign w:val="center"/>
          </w:tcPr>
          <w:p w14:paraId="4BFCD7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7FBB77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0.0656</w:t>
            </w:r>
          </w:p>
        </w:tc>
        <w:tc>
          <w:tcPr>
            <w:tcW w:w="777" w:type="pct"/>
            <w:noWrap w:val="0"/>
            <w:vAlign w:val="center"/>
          </w:tcPr>
          <w:p w14:paraId="706C22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55F3C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0.9879</w:t>
            </w:r>
          </w:p>
        </w:tc>
        <w:tc>
          <w:tcPr>
            <w:tcW w:w="777" w:type="pct"/>
            <w:noWrap w:val="0"/>
            <w:vAlign w:val="center"/>
          </w:tcPr>
          <w:p w14:paraId="46674F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r>
      <w:tr w14:paraId="6EF4E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29445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504273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27.97</w:t>
            </w:r>
          </w:p>
        </w:tc>
        <w:tc>
          <w:tcPr>
            <w:tcW w:w="648" w:type="pct"/>
            <w:noWrap w:val="0"/>
            <w:vAlign w:val="center"/>
          </w:tcPr>
          <w:p w14:paraId="03F396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38A1B2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0.0612</w:t>
            </w:r>
          </w:p>
        </w:tc>
        <w:tc>
          <w:tcPr>
            <w:tcW w:w="777" w:type="pct"/>
            <w:noWrap w:val="0"/>
            <w:vAlign w:val="center"/>
          </w:tcPr>
          <w:p w14:paraId="0257B0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ED024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0.9224</w:t>
            </w:r>
          </w:p>
        </w:tc>
        <w:tc>
          <w:tcPr>
            <w:tcW w:w="777" w:type="pct"/>
            <w:noWrap w:val="0"/>
            <w:vAlign w:val="center"/>
          </w:tcPr>
          <w:p w14:paraId="058F31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w:t>
            </w:r>
          </w:p>
        </w:tc>
      </w:tr>
      <w:tr w14:paraId="655D1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1E3BD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24BA20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28.31</w:t>
            </w:r>
          </w:p>
        </w:tc>
        <w:tc>
          <w:tcPr>
            <w:tcW w:w="648" w:type="pct"/>
            <w:noWrap w:val="0"/>
            <w:vAlign w:val="center"/>
          </w:tcPr>
          <w:p w14:paraId="202C65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5A3F97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0.0574</w:t>
            </w:r>
          </w:p>
        </w:tc>
        <w:tc>
          <w:tcPr>
            <w:tcW w:w="777" w:type="pct"/>
            <w:noWrap w:val="0"/>
            <w:vAlign w:val="center"/>
          </w:tcPr>
          <w:p w14:paraId="2C0BEC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E2ABE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0.8645</w:t>
            </w:r>
          </w:p>
        </w:tc>
        <w:tc>
          <w:tcPr>
            <w:tcW w:w="777" w:type="pct"/>
            <w:noWrap w:val="0"/>
            <w:vAlign w:val="center"/>
          </w:tcPr>
          <w:p w14:paraId="7A9485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r>
      <w:tr w14:paraId="369E0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289C3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4BD98E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19.68</w:t>
            </w:r>
          </w:p>
        </w:tc>
        <w:tc>
          <w:tcPr>
            <w:tcW w:w="648" w:type="pct"/>
            <w:noWrap w:val="0"/>
            <w:vAlign w:val="center"/>
          </w:tcPr>
          <w:p w14:paraId="4D0FAD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1CDD21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777" w:type="pct"/>
            <w:noWrap w:val="0"/>
            <w:vAlign w:val="center"/>
          </w:tcPr>
          <w:p w14:paraId="27F452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166BD0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0.7992</w:t>
            </w:r>
          </w:p>
        </w:tc>
        <w:tc>
          <w:tcPr>
            <w:tcW w:w="777" w:type="pct"/>
            <w:noWrap w:val="0"/>
            <w:vAlign w:val="center"/>
          </w:tcPr>
          <w:p w14:paraId="2A9788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p>
        </w:tc>
      </w:tr>
      <w:tr w14:paraId="7718F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4CB39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642CA7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25.43</w:t>
            </w:r>
          </w:p>
        </w:tc>
        <w:tc>
          <w:tcPr>
            <w:tcW w:w="648" w:type="pct"/>
            <w:noWrap w:val="0"/>
            <w:vAlign w:val="center"/>
          </w:tcPr>
          <w:p w14:paraId="660708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53C17C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0.0507</w:t>
            </w:r>
          </w:p>
        </w:tc>
        <w:tc>
          <w:tcPr>
            <w:tcW w:w="777" w:type="pct"/>
            <w:noWrap w:val="0"/>
            <w:vAlign w:val="center"/>
          </w:tcPr>
          <w:p w14:paraId="49BDFF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142209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0.7644</w:t>
            </w:r>
          </w:p>
        </w:tc>
        <w:tc>
          <w:tcPr>
            <w:tcW w:w="777" w:type="pct"/>
            <w:noWrap w:val="0"/>
            <w:vAlign w:val="center"/>
          </w:tcPr>
          <w:p w14:paraId="0C3ED9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r>
      <w:tr w14:paraId="1BE65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259BE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2EFCD2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30.94</w:t>
            </w:r>
          </w:p>
        </w:tc>
        <w:tc>
          <w:tcPr>
            <w:tcW w:w="648" w:type="pct"/>
            <w:noWrap w:val="0"/>
            <w:vAlign w:val="center"/>
          </w:tcPr>
          <w:p w14:paraId="714692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345E08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0.0481</w:t>
            </w:r>
          </w:p>
        </w:tc>
        <w:tc>
          <w:tcPr>
            <w:tcW w:w="777" w:type="pct"/>
            <w:noWrap w:val="0"/>
            <w:vAlign w:val="center"/>
          </w:tcPr>
          <w:p w14:paraId="348FA6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328CEF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0.7244</w:t>
            </w:r>
          </w:p>
        </w:tc>
        <w:tc>
          <w:tcPr>
            <w:tcW w:w="777" w:type="pct"/>
            <w:noWrap w:val="0"/>
            <w:vAlign w:val="center"/>
          </w:tcPr>
          <w:p w14:paraId="02603A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r>
      <w:tr w14:paraId="401FB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13516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7C11E0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30.57</w:t>
            </w:r>
          </w:p>
        </w:tc>
        <w:tc>
          <w:tcPr>
            <w:tcW w:w="648" w:type="pct"/>
            <w:noWrap w:val="0"/>
            <w:vAlign w:val="center"/>
          </w:tcPr>
          <w:p w14:paraId="5DBC5E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6A7336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777" w:type="pct"/>
            <w:noWrap w:val="0"/>
            <w:vAlign w:val="center"/>
          </w:tcPr>
          <w:p w14:paraId="48DB29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72C4E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0.6868</w:t>
            </w:r>
          </w:p>
        </w:tc>
        <w:tc>
          <w:tcPr>
            <w:tcW w:w="777" w:type="pct"/>
            <w:noWrap w:val="0"/>
            <w:vAlign w:val="center"/>
          </w:tcPr>
          <w:p w14:paraId="22A1DF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r>
      <w:tr w14:paraId="68B95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1C84F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66" w:type="pct"/>
            <w:noWrap w:val="0"/>
            <w:vAlign w:val="center"/>
          </w:tcPr>
          <w:p w14:paraId="1D6CCB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648" w:type="pct"/>
            <w:noWrap w:val="0"/>
            <w:vAlign w:val="center"/>
          </w:tcPr>
          <w:p w14:paraId="437EF5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225A12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0.0433</w:t>
            </w:r>
          </w:p>
        </w:tc>
        <w:tc>
          <w:tcPr>
            <w:tcW w:w="777" w:type="pct"/>
            <w:noWrap w:val="0"/>
            <w:vAlign w:val="center"/>
          </w:tcPr>
          <w:p w14:paraId="5C83D4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67700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0.6522</w:t>
            </w:r>
          </w:p>
        </w:tc>
        <w:tc>
          <w:tcPr>
            <w:tcW w:w="777" w:type="pct"/>
            <w:noWrap w:val="0"/>
            <w:vAlign w:val="center"/>
          </w:tcPr>
          <w:p w14:paraId="5CBBC7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w:t>
            </w:r>
          </w:p>
        </w:tc>
      </w:tr>
      <w:tr w14:paraId="2ABB5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650B4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2FC857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28.78</w:t>
            </w:r>
          </w:p>
        </w:tc>
        <w:tc>
          <w:tcPr>
            <w:tcW w:w="648" w:type="pct"/>
            <w:noWrap w:val="0"/>
            <w:vAlign w:val="center"/>
          </w:tcPr>
          <w:p w14:paraId="23709A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1D9273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0.0411</w:t>
            </w:r>
          </w:p>
        </w:tc>
        <w:tc>
          <w:tcPr>
            <w:tcW w:w="777" w:type="pct"/>
            <w:noWrap w:val="0"/>
            <w:vAlign w:val="center"/>
          </w:tcPr>
          <w:p w14:paraId="736E93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73CB4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0.6196</w:t>
            </w:r>
          </w:p>
        </w:tc>
        <w:tc>
          <w:tcPr>
            <w:tcW w:w="777" w:type="pct"/>
            <w:noWrap w:val="0"/>
            <w:vAlign w:val="center"/>
          </w:tcPr>
          <w:p w14:paraId="011CAF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r>
      <w:tr w14:paraId="71979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6DE21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3A35A5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32.05</w:t>
            </w:r>
          </w:p>
        </w:tc>
        <w:tc>
          <w:tcPr>
            <w:tcW w:w="648" w:type="pct"/>
            <w:noWrap w:val="0"/>
            <w:vAlign w:val="center"/>
          </w:tcPr>
          <w:p w14:paraId="56DF77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5C7DD5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0.0393</w:t>
            </w:r>
          </w:p>
        </w:tc>
        <w:tc>
          <w:tcPr>
            <w:tcW w:w="777" w:type="pct"/>
            <w:noWrap w:val="0"/>
            <w:vAlign w:val="center"/>
          </w:tcPr>
          <w:p w14:paraId="3B3568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E4720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0.5919</w:t>
            </w:r>
          </w:p>
        </w:tc>
        <w:tc>
          <w:tcPr>
            <w:tcW w:w="777" w:type="pct"/>
            <w:noWrap w:val="0"/>
            <w:vAlign w:val="center"/>
          </w:tcPr>
          <w:p w14:paraId="7F1997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p>
        </w:tc>
      </w:tr>
      <w:tr w14:paraId="069EC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B636F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6C68FE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648" w:type="pct"/>
            <w:noWrap w:val="0"/>
            <w:vAlign w:val="center"/>
          </w:tcPr>
          <w:p w14:paraId="2BE21F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218404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777" w:type="pct"/>
            <w:noWrap w:val="0"/>
            <w:vAlign w:val="center"/>
          </w:tcPr>
          <w:p w14:paraId="5289CE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5A5E4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0.5576</w:t>
            </w:r>
          </w:p>
        </w:tc>
        <w:tc>
          <w:tcPr>
            <w:tcW w:w="777" w:type="pct"/>
            <w:noWrap w:val="0"/>
            <w:vAlign w:val="center"/>
          </w:tcPr>
          <w:p w14:paraId="5CA41C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19C4D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3B02199C">
            <w:pPr>
              <w:pStyle w:val="25"/>
              <w:bidi w:val="0"/>
              <w:rPr>
                <w:rFonts w:hint="eastAsia" w:ascii="Times New Roman" w:hAnsi="Times New Roman" w:eastAsia="宋体" w:cs="Times New Roman"/>
                <w:color w:val="auto"/>
                <w:kern w:val="2"/>
                <w:sz w:val="21"/>
                <w:szCs w:val="21"/>
                <w:u w:val="none" w:color="auto"/>
                <w:lang w:val="en-US" w:eastAsia="zh-CN" w:bidi="ar-SA"/>
              </w:rPr>
            </w:pPr>
            <w:r>
              <w:rPr>
                <w:color w:val="auto"/>
                <w:u w:val="none" w:color="auto"/>
              </w:rPr>
              <w:t>下风向最大质量浓度及占标率</w:t>
            </w:r>
          </w:p>
        </w:tc>
        <w:tc>
          <w:tcPr>
            <w:tcW w:w="776" w:type="pct"/>
            <w:noWrap w:val="0"/>
            <w:vAlign w:val="center"/>
          </w:tcPr>
          <w:p w14:paraId="2B7344F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0.3329</w:t>
            </w:r>
          </w:p>
        </w:tc>
        <w:tc>
          <w:tcPr>
            <w:tcW w:w="777" w:type="pct"/>
            <w:noWrap w:val="0"/>
            <w:vAlign w:val="center"/>
          </w:tcPr>
          <w:p w14:paraId="3A2E240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0.07</w:t>
            </w:r>
          </w:p>
        </w:tc>
        <w:tc>
          <w:tcPr>
            <w:tcW w:w="776" w:type="pct"/>
            <w:noWrap w:val="0"/>
            <w:vAlign w:val="center"/>
          </w:tcPr>
          <w:p w14:paraId="371E778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5.0157</w:t>
            </w:r>
          </w:p>
        </w:tc>
        <w:tc>
          <w:tcPr>
            <w:tcW w:w="777" w:type="pct"/>
            <w:noWrap w:val="0"/>
            <w:vAlign w:val="center"/>
          </w:tcPr>
          <w:p w14:paraId="4535DB1E">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2.51</w:t>
            </w:r>
          </w:p>
        </w:tc>
      </w:tr>
      <w:tr w14:paraId="15312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4D4A3A5A">
            <w:pPr>
              <w:pStyle w:val="25"/>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71D06574">
            <w:pPr>
              <w:pStyle w:val="25"/>
              <w:bidi w:val="0"/>
              <w:rPr>
                <w:rFonts w:hint="eastAsia"/>
                <w:color w:val="auto"/>
                <w:u w:val="none" w:color="auto"/>
                <w:lang w:val="en-US" w:eastAsia="zh-CN"/>
              </w:rPr>
            </w:pPr>
            <w:r>
              <w:rPr>
                <w:color w:val="auto"/>
                <w:u w:val="none" w:color="auto"/>
              </w:rPr>
              <w:t>/</w:t>
            </w:r>
          </w:p>
        </w:tc>
        <w:tc>
          <w:tcPr>
            <w:tcW w:w="777" w:type="pct"/>
            <w:noWrap w:val="0"/>
            <w:vAlign w:val="center"/>
          </w:tcPr>
          <w:p w14:paraId="169DAE5D">
            <w:pPr>
              <w:pStyle w:val="25"/>
              <w:bidi w:val="0"/>
              <w:rPr>
                <w:color w:val="auto"/>
                <w:u w:val="none" w:color="auto"/>
              </w:rPr>
            </w:pPr>
          </w:p>
        </w:tc>
        <w:tc>
          <w:tcPr>
            <w:tcW w:w="776" w:type="pct"/>
            <w:noWrap w:val="0"/>
            <w:vAlign w:val="center"/>
          </w:tcPr>
          <w:p w14:paraId="11B954A6">
            <w:pPr>
              <w:pStyle w:val="25"/>
              <w:bidi w:val="0"/>
              <w:rPr>
                <w:color w:val="auto"/>
                <w:u w:val="none" w:color="auto"/>
              </w:rPr>
            </w:pPr>
          </w:p>
        </w:tc>
        <w:tc>
          <w:tcPr>
            <w:tcW w:w="777" w:type="pct"/>
            <w:noWrap w:val="0"/>
            <w:vAlign w:val="center"/>
          </w:tcPr>
          <w:p w14:paraId="6397A176">
            <w:pPr>
              <w:pStyle w:val="25"/>
              <w:bidi w:val="0"/>
              <w:rPr>
                <w:color w:val="auto"/>
                <w:u w:val="none" w:color="auto"/>
              </w:rPr>
            </w:pPr>
          </w:p>
        </w:tc>
      </w:tr>
    </w:tbl>
    <w:p w14:paraId="0BB7FC61">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5.2-10</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0E110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0B9C7A7F">
            <w:pPr>
              <w:pStyle w:val="25"/>
              <w:bidi w:val="0"/>
              <w:rPr>
                <w:color w:val="auto"/>
                <w:u w:val="none" w:color="auto"/>
              </w:rPr>
            </w:pPr>
            <w:r>
              <w:rPr>
                <w:rFonts w:hint="eastAsia"/>
                <w:color w:val="auto"/>
                <w:u w:val="none" w:color="auto"/>
              </w:rPr>
              <w:t>方位角(度)</w:t>
            </w:r>
          </w:p>
        </w:tc>
        <w:tc>
          <w:tcPr>
            <w:tcW w:w="566" w:type="pct"/>
            <w:vMerge w:val="restart"/>
            <w:noWrap w:val="0"/>
            <w:vAlign w:val="center"/>
          </w:tcPr>
          <w:p w14:paraId="2D79C814">
            <w:pPr>
              <w:pStyle w:val="25"/>
              <w:bidi w:val="0"/>
              <w:rPr>
                <w:color w:val="auto"/>
                <w:u w:val="none" w:color="auto"/>
              </w:rPr>
            </w:pPr>
            <w:r>
              <w:rPr>
                <w:rFonts w:hint="eastAsia"/>
                <w:color w:val="auto"/>
                <w:u w:val="none" w:color="auto"/>
              </w:rPr>
              <w:t>相对源高(m)</w:t>
            </w:r>
          </w:p>
        </w:tc>
        <w:tc>
          <w:tcPr>
            <w:tcW w:w="648" w:type="pct"/>
            <w:vMerge w:val="restart"/>
            <w:noWrap w:val="0"/>
            <w:vAlign w:val="center"/>
          </w:tcPr>
          <w:p w14:paraId="5CE4E572">
            <w:pPr>
              <w:pStyle w:val="25"/>
              <w:bidi w:val="0"/>
              <w:rPr>
                <w:color w:val="auto"/>
                <w:u w:val="none" w:color="auto"/>
              </w:rPr>
            </w:pPr>
            <w:r>
              <w:rPr>
                <w:rFonts w:hint="eastAsia"/>
                <w:color w:val="auto"/>
                <w:u w:val="none" w:color="auto"/>
              </w:rPr>
              <w:t>离源距离(m)</w:t>
            </w:r>
          </w:p>
        </w:tc>
        <w:tc>
          <w:tcPr>
            <w:tcW w:w="3107" w:type="pct"/>
            <w:gridSpan w:val="4"/>
            <w:noWrap w:val="0"/>
            <w:vAlign w:val="center"/>
          </w:tcPr>
          <w:p w14:paraId="7F8EBB23">
            <w:pPr>
              <w:pStyle w:val="25"/>
              <w:bidi w:val="0"/>
              <w:rPr>
                <w:rFonts w:hint="eastAsia"/>
                <w:color w:val="auto"/>
                <w:u w:val="none" w:color="auto"/>
                <w:lang w:val="en-US" w:eastAsia="zh-CN"/>
              </w:rPr>
            </w:pPr>
            <w:r>
              <w:rPr>
                <w:rFonts w:hint="eastAsia"/>
                <w:color w:val="auto"/>
                <w:u w:val="none" w:color="auto"/>
                <w:lang w:val="en-US" w:eastAsia="zh-CN"/>
              </w:rPr>
              <w:t>DA003排气筒</w:t>
            </w:r>
          </w:p>
        </w:tc>
      </w:tr>
      <w:tr w14:paraId="2F384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396A38FD">
            <w:pPr>
              <w:pStyle w:val="25"/>
              <w:bidi w:val="0"/>
              <w:rPr>
                <w:color w:val="auto"/>
                <w:u w:val="none" w:color="auto"/>
              </w:rPr>
            </w:pPr>
          </w:p>
        </w:tc>
        <w:tc>
          <w:tcPr>
            <w:tcW w:w="566" w:type="pct"/>
            <w:vMerge w:val="continue"/>
            <w:noWrap w:val="0"/>
            <w:vAlign w:val="center"/>
          </w:tcPr>
          <w:p w14:paraId="47EC5A6F">
            <w:pPr>
              <w:pStyle w:val="25"/>
              <w:bidi w:val="0"/>
              <w:rPr>
                <w:rFonts w:hint="eastAsia"/>
                <w:color w:val="auto"/>
                <w:u w:val="none" w:color="auto"/>
                <w:lang w:eastAsia="zh-CN"/>
              </w:rPr>
            </w:pPr>
          </w:p>
        </w:tc>
        <w:tc>
          <w:tcPr>
            <w:tcW w:w="648" w:type="pct"/>
            <w:vMerge w:val="continue"/>
            <w:noWrap w:val="0"/>
            <w:vAlign w:val="center"/>
          </w:tcPr>
          <w:p w14:paraId="2999CDCD">
            <w:pPr>
              <w:pStyle w:val="25"/>
              <w:bidi w:val="0"/>
              <w:rPr>
                <w:rFonts w:hint="eastAsia"/>
                <w:color w:val="auto"/>
                <w:u w:val="none" w:color="auto"/>
                <w:lang w:eastAsia="zh-CN"/>
              </w:rPr>
            </w:pPr>
          </w:p>
        </w:tc>
        <w:tc>
          <w:tcPr>
            <w:tcW w:w="1553" w:type="pct"/>
            <w:gridSpan w:val="2"/>
            <w:noWrap w:val="0"/>
            <w:vAlign w:val="center"/>
          </w:tcPr>
          <w:p w14:paraId="62EED654">
            <w:pPr>
              <w:pStyle w:val="25"/>
              <w:bidi w:val="0"/>
              <w:rPr>
                <w:rFonts w:hint="default"/>
                <w:color w:val="auto"/>
                <w:u w:val="none" w:color="auto"/>
                <w:lang w:val="en-US" w:eastAsia="zh-CN"/>
              </w:rPr>
            </w:pPr>
            <w:r>
              <w:rPr>
                <w:rFonts w:hint="eastAsia"/>
                <w:color w:val="auto"/>
                <w:u w:val="none" w:color="auto"/>
                <w:lang w:val="en-US" w:eastAsia="zh-CN"/>
              </w:rPr>
              <w:t>TSP</w:t>
            </w:r>
          </w:p>
        </w:tc>
        <w:tc>
          <w:tcPr>
            <w:tcW w:w="1553" w:type="pct"/>
            <w:gridSpan w:val="2"/>
            <w:noWrap w:val="0"/>
            <w:vAlign w:val="center"/>
          </w:tcPr>
          <w:p w14:paraId="5600A5DB">
            <w:pPr>
              <w:pStyle w:val="25"/>
              <w:bidi w:val="0"/>
              <w:rPr>
                <w:rFonts w:hint="default"/>
                <w:color w:val="auto"/>
                <w:u w:val="none" w:color="auto"/>
                <w:lang w:val="en-US" w:eastAsia="zh-CN"/>
              </w:rPr>
            </w:pPr>
            <w:r>
              <w:rPr>
                <w:rFonts w:hint="eastAsia"/>
                <w:color w:val="auto"/>
                <w:u w:val="none" w:color="auto"/>
                <w:lang w:val="en-US" w:eastAsia="zh-CN"/>
              </w:rPr>
              <w:t>TVOC</w:t>
            </w:r>
          </w:p>
        </w:tc>
      </w:tr>
      <w:tr w14:paraId="5DB67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30CDC7F7">
            <w:pPr>
              <w:pStyle w:val="25"/>
              <w:bidi w:val="0"/>
              <w:rPr>
                <w:color w:val="auto"/>
                <w:u w:val="none" w:color="auto"/>
              </w:rPr>
            </w:pPr>
          </w:p>
        </w:tc>
        <w:tc>
          <w:tcPr>
            <w:tcW w:w="566" w:type="pct"/>
            <w:vMerge w:val="continue"/>
            <w:noWrap w:val="0"/>
            <w:vAlign w:val="center"/>
          </w:tcPr>
          <w:p w14:paraId="07A0F4C2">
            <w:pPr>
              <w:pStyle w:val="25"/>
              <w:bidi w:val="0"/>
              <w:rPr>
                <w:color w:val="auto"/>
                <w:u w:val="none" w:color="auto"/>
              </w:rPr>
            </w:pPr>
          </w:p>
        </w:tc>
        <w:tc>
          <w:tcPr>
            <w:tcW w:w="648" w:type="pct"/>
            <w:vMerge w:val="continue"/>
            <w:noWrap w:val="0"/>
            <w:vAlign w:val="center"/>
          </w:tcPr>
          <w:p w14:paraId="2B245214">
            <w:pPr>
              <w:pStyle w:val="25"/>
              <w:bidi w:val="0"/>
              <w:rPr>
                <w:color w:val="auto"/>
                <w:u w:val="none" w:color="auto"/>
              </w:rPr>
            </w:pPr>
          </w:p>
        </w:tc>
        <w:tc>
          <w:tcPr>
            <w:tcW w:w="776" w:type="pct"/>
            <w:noWrap w:val="0"/>
            <w:vAlign w:val="center"/>
          </w:tcPr>
          <w:p w14:paraId="5F5C43F4">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58C96D94">
            <w:pPr>
              <w:pStyle w:val="25"/>
              <w:bidi w:val="0"/>
              <w:rPr>
                <w:color w:val="auto"/>
                <w:u w:val="none" w:color="auto"/>
              </w:rPr>
            </w:pPr>
            <w:r>
              <w:rPr>
                <w:color w:val="auto"/>
                <w:u w:val="none" w:color="auto"/>
              </w:rPr>
              <w:t>占标率%</w:t>
            </w:r>
          </w:p>
        </w:tc>
        <w:tc>
          <w:tcPr>
            <w:tcW w:w="776" w:type="pct"/>
            <w:noWrap w:val="0"/>
            <w:vAlign w:val="center"/>
          </w:tcPr>
          <w:p w14:paraId="07E638EA">
            <w:pPr>
              <w:pStyle w:val="25"/>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6CE21588">
            <w:pPr>
              <w:pStyle w:val="25"/>
              <w:bidi w:val="0"/>
              <w:rPr>
                <w:color w:val="auto"/>
                <w:u w:val="none" w:color="auto"/>
                <w:lang w:val="en-US" w:eastAsia="zh-CN"/>
              </w:rPr>
            </w:pPr>
            <w:r>
              <w:rPr>
                <w:color w:val="auto"/>
                <w:u w:val="none" w:color="auto"/>
              </w:rPr>
              <w:t>占标率%</w:t>
            </w:r>
          </w:p>
        </w:tc>
      </w:tr>
      <w:tr w14:paraId="2CE4D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0C63F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6" w:type="pct"/>
            <w:noWrap w:val="0"/>
            <w:vAlign w:val="center"/>
          </w:tcPr>
          <w:p w14:paraId="4AAD8B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noWrap w:val="0"/>
            <w:vAlign w:val="center"/>
          </w:tcPr>
          <w:p w14:paraId="4A8669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1522BE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77" w:type="pct"/>
            <w:noWrap w:val="0"/>
            <w:vAlign w:val="center"/>
          </w:tcPr>
          <w:p w14:paraId="26CC2C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6B5341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0.0228</w:t>
            </w:r>
          </w:p>
        </w:tc>
        <w:tc>
          <w:tcPr>
            <w:tcW w:w="777" w:type="pct"/>
            <w:noWrap w:val="0"/>
            <w:vAlign w:val="center"/>
          </w:tcPr>
          <w:p w14:paraId="7E884B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3DDE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ECB3D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79FD43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48" w:type="pct"/>
            <w:noWrap w:val="0"/>
            <w:vAlign w:val="center"/>
          </w:tcPr>
          <w:p w14:paraId="3609AF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76" w:type="pct"/>
            <w:noWrap w:val="0"/>
            <w:vAlign w:val="center"/>
          </w:tcPr>
          <w:p w14:paraId="55C0B7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0.3329</w:t>
            </w:r>
          </w:p>
        </w:tc>
        <w:tc>
          <w:tcPr>
            <w:tcW w:w="777" w:type="pct"/>
            <w:noWrap w:val="0"/>
            <w:vAlign w:val="center"/>
          </w:tcPr>
          <w:p w14:paraId="1108DE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04AA4B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7.7677</w:t>
            </w:r>
          </w:p>
        </w:tc>
        <w:tc>
          <w:tcPr>
            <w:tcW w:w="777" w:type="pct"/>
            <w:noWrap w:val="0"/>
            <w:vAlign w:val="center"/>
          </w:tcPr>
          <w:p w14:paraId="3B9FE2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0.65</w:t>
            </w:r>
          </w:p>
        </w:tc>
      </w:tr>
      <w:tr w14:paraId="158C9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40DEC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71C508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48" w:type="pct"/>
            <w:noWrap w:val="0"/>
            <w:vAlign w:val="center"/>
          </w:tcPr>
          <w:p w14:paraId="09D2D2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6B95D0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0.319</w:t>
            </w:r>
          </w:p>
        </w:tc>
        <w:tc>
          <w:tcPr>
            <w:tcW w:w="777" w:type="pct"/>
            <w:noWrap w:val="0"/>
            <w:vAlign w:val="center"/>
          </w:tcPr>
          <w:p w14:paraId="4714BD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373A34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7.4422</w:t>
            </w:r>
          </w:p>
        </w:tc>
        <w:tc>
          <w:tcPr>
            <w:tcW w:w="777" w:type="pct"/>
            <w:noWrap w:val="0"/>
            <w:vAlign w:val="center"/>
          </w:tcPr>
          <w:p w14:paraId="5C2663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w:t>
            </w:r>
          </w:p>
        </w:tc>
      </w:tr>
      <w:tr w14:paraId="70E03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0C901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7B04C1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48" w:type="pct"/>
            <w:noWrap w:val="0"/>
            <w:vAlign w:val="center"/>
          </w:tcPr>
          <w:p w14:paraId="7A1EA2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29F506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0.2535</w:t>
            </w:r>
          </w:p>
        </w:tc>
        <w:tc>
          <w:tcPr>
            <w:tcW w:w="777" w:type="pct"/>
            <w:noWrap w:val="0"/>
            <w:vAlign w:val="center"/>
          </w:tcPr>
          <w:p w14:paraId="2ED644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168D9F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5.9145</w:t>
            </w:r>
          </w:p>
        </w:tc>
        <w:tc>
          <w:tcPr>
            <w:tcW w:w="777" w:type="pct"/>
            <w:noWrap w:val="0"/>
            <w:vAlign w:val="center"/>
          </w:tcPr>
          <w:p w14:paraId="39D6B6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r>
      <w:tr w14:paraId="4E3ED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E6F12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5A95E5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648" w:type="pct"/>
            <w:noWrap w:val="0"/>
            <w:vAlign w:val="center"/>
          </w:tcPr>
          <w:p w14:paraId="69918C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57464C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0.1892</w:t>
            </w:r>
          </w:p>
        </w:tc>
        <w:tc>
          <w:tcPr>
            <w:tcW w:w="777" w:type="pct"/>
            <w:noWrap w:val="0"/>
            <w:vAlign w:val="center"/>
          </w:tcPr>
          <w:p w14:paraId="0E1DB4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15C435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4.4149</w:t>
            </w:r>
          </w:p>
        </w:tc>
        <w:tc>
          <w:tcPr>
            <w:tcW w:w="777" w:type="pct"/>
            <w:noWrap w:val="0"/>
            <w:vAlign w:val="center"/>
          </w:tcPr>
          <w:p w14:paraId="4DFB17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w:t>
            </w:r>
          </w:p>
        </w:tc>
      </w:tr>
      <w:tr w14:paraId="0B2E4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25D4D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66" w:type="pct"/>
            <w:noWrap w:val="0"/>
            <w:vAlign w:val="center"/>
          </w:tcPr>
          <w:p w14:paraId="64DAEF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48" w:type="pct"/>
            <w:noWrap w:val="0"/>
            <w:vAlign w:val="center"/>
          </w:tcPr>
          <w:p w14:paraId="4D5CF1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3D7B06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0.228</w:t>
            </w:r>
          </w:p>
        </w:tc>
        <w:tc>
          <w:tcPr>
            <w:tcW w:w="777" w:type="pct"/>
            <w:noWrap w:val="0"/>
            <w:vAlign w:val="center"/>
          </w:tcPr>
          <w:p w14:paraId="6353DA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0ABD7C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5.3205</w:t>
            </w:r>
          </w:p>
        </w:tc>
        <w:tc>
          <w:tcPr>
            <w:tcW w:w="777" w:type="pct"/>
            <w:noWrap w:val="0"/>
            <w:vAlign w:val="center"/>
          </w:tcPr>
          <w:p w14:paraId="1BEB6F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r>
      <w:tr w14:paraId="00C98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38080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6" w:type="pct"/>
            <w:noWrap w:val="0"/>
            <w:vAlign w:val="center"/>
          </w:tcPr>
          <w:p w14:paraId="4A3E59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7BC8AE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529396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0.1979</w:t>
            </w:r>
          </w:p>
        </w:tc>
        <w:tc>
          <w:tcPr>
            <w:tcW w:w="777" w:type="pct"/>
            <w:noWrap w:val="0"/>
            <w:vAlign w:val="center"/>
          </w:tcPr>
          <w:p w14:paraId="7C63BD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21EBAA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4.6179</w:t>
            </w:r>
          </w:p>
        </w:tc>
        <w:tc>
          <w:tcPr>
            <w:tcW w:w="777" w:type="pct"/>
            <w:noWrap w:val="0"/>
            <w:vAlign w:val="center"/>
          </w:tcPr>
          <w:p w14:paraId="1D8BBD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r>
      <w:tr w14:paraId="1FF1D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E2C12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43DC47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7.62</w:t>
            </w:r>
          </w:p>
        </w:tc>
        <w:tc>
          <w:tcPr>
            <w:tcW w:w="648" w:type="pct"/>
            <w:noWrap w:val="0"/>
            <w:vAlign w:val="center"/>
          </w:tcPr>
          <w:p w14:paraId="25E4AE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076F93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777" w:type="pct"/>
            <w:noWrap w:val="0"/>
            <w:vAlign w:val="center"/>
          </w:tcPr>
          <w:p w14:paraId="12B79F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06B6E2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4.0355</w:t>
            </w:r>
          </w:p>
        </w:tc>
        <w:tc>
          <w:tcPr>
            <w:tcW w:w="777" w:type="pct"/>
            <w:noWrap w:val="0"/>
            <w:vAlign w:val="center"/>
          </w:tcPr>
          <w:p w14:paraId="17F04B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r>
      <w:tr w14:paraId="5C40C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B3D01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408012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648" w:type="pct"/>
            <w:noWrap w:val="0"/>
            <w:vAlign w:val="center"/>
          </w:tcPr>
          <w:p w14:paraId="6566C9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55BA4C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0.1503</w:t>
            </w:r>
          </w:p>
        </w:tc>
        <w:tc>
          <w:tcPr>
            <w:tcW w:w="777" w:type="pct"/>
            <w:noWrap w:val="0"/>
            <w:vAlign w:val="center"/>
          </w:tcPr>
          <w:p w14:paraId="7D803C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76" w:type="pct"/>
            <w:noWrap w:val="0"/>
            <w:vAlign w:val="center"/>
          </w:tcPr>
          <w:p w14:paraId="4C82F3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3.5068</w:t>
            </w:r>
          </w:p>
        </w:tc>
        <w:tc>
          <w:tcPr>
            <w:tcW w:w="777" w:type="pct"/>
            <w:noWrap w:val="0"/>
            <w:vAlign w:val="center"/>
          </w:tcPr>
          <w:p w14:paraId="62F9B3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w:t>
            </w:r>
          </w:p>
        </w:tc>
      </w:tr>
      <w:tr w14:paraId="2D727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EF780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566" w:type="pct"/>
            <w:noWrap w:val="0"/>
            <w:vAlign w:val="center"/>
          </w:tcPr>
          <w:p w14:paraId="4426E9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48" w:type="pct"/>
            <w:noWrap w:val="0"/>
            <w:vAlign w:val="center"/>
          </w:tcPr>
          <w:p w14:paraId="4747FE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22F3C1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0.1309</w:t>
            </w:r>
          </w:p>
        </w:tc>
        <w:tc>
          <w:tcPr>
            <w:tcW w:w="777" w:type="pct"/>
            <w:noWrap w:val="0"/>
            <w:vAlign w:val="center"/>
          </w:tcPr>
          <w:p w14:paraId="00BE70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06A1B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3.0541</w:t>
            </w:r>
          </w:p>
        </w:tc>
        <w:tc>
          <w:tcPr>
            <w:tcW w:w="777" w:type="pct"/>
            <w:noWrap w:val="0"/>
            <w:vAlign w:val="center"/>
          </w:tcPr>
          <w:p w14:paraId="534E6D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25D5E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10C7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66" w:type="pct"/>
            <w:noWrap w:val="0"/>
            <w:vAlign w:val="center"/>
          </w:tcPr>
          <w:p w14:paraId="1F4BD6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648" w:type="pct"/>
            <w:noWrap w:val="0"/>
            <w:vAlign w:val="center"/>
          </w:tcPr>
          <w:p w14:paraId="1623D0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720996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0.1139</w:t>
            </w:r>
          </w:p>
        </w:tc>
        <w:tc>
          <w:tcPr>
            <w:tcW w:w="777" w:type="pct"/>
            <w:noWrap w:val="0"/>
            <w:vAlign w:val="center"/>
          </w:tcPr>
          <w:p w14:paraId="6761A9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357F1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2.6579</w:t>
            </w:r>
          </w:p>
        </w:tc>
        <w:tc>
          <w:tcPr>
            <w:tcW w:w="777" w:type="pct"/>
            <w:noWrap w:val="0"/>
            <w:vAlign w:val="center"/>
          </w:tcPr>
          <w:p w14:paraId="48B37F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r>
      <w:tr w14:paraId="1F0C7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934FE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282114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648" w:type="pct"/>
            <w:noWrap w:val="0"/>
            <w:vAlign w:val="center"/>
          </w:tcPr>
          <w:p w14:paraId="153982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7B552C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0.0996</w:t>
            </w:r>
          </w:p>
        </w:tc>
        <w:tc>
          <w:tcPr>
            <w:tcW w:w="777" w:type="pct"/>
            <w:noWrap w:val="0"/>
            <w:vAlign w:val="center"/>
          </w:tcPr>
          <w:p w14:paraId="14FEEF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51592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2.3233</w:t>
            </w:r>
          </w:p>
        </w:tc>
        <w:tc>
          <w:tcPr>
            <w:tcW w:w="777" w:type="pct"/>
            <w:noWrap w:val="0"/>
            <w:vAlign w:val="center"/>
          </w:tcPr>
          <w:p w14:paraId="462209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r>
      <w:tr w14:paraId="2F474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3357D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2508EC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648" w:type="pct"/>
            <w:noWrap w:val="0"/>
            <w:vAlign w:val="center"/>
          </w:tcPr>
          <w:p w14:paraId="326676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64D032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0.0862</w:t>
            </w:r>
          </w:p>
        </w:tc>
        <w:tc>
          <w:tcPr>
            <w:tcW w:w="777" w:type="pct"/>
            <w:noWrap w:val="0"/>
            <w:vAlign w:val="center"/>
          </w:tcPr>
          <w:p w14:paraId="471C95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7AF53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2.0109</w:t>
            </w:r>
          </w:p>
        </w:tc>
        <w:tc>
          <w:tcPr>
            <w:tcW w:w="777" w:type="pct"/>
            <w:noWrap w:val="0"/>
            <w:vAlign w:val="center"/>
          </w:tcPr>
          <w:p w14:paraId="6C0E2B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20BE1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AAD34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320E48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648" w:type="pct"/>
            <w:noWrap w:val="0"/>
            <w:vAlign w:val="center"/>
          </w:tcPr>
          <w:p w14:paraId="310118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5587A8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0.0775</w:t>
            </w:r>
          </w:p>
        </w:tc>
        <w:tc>
          <w:tcPr>
            <w:tcW w:w="777" w:type="pct"/>
            <w:noWrap w:val="0"/>
            <w:vAlign w:val="center"/>
          </w:tcPr>
          <w:p w14:paraId="0896CF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E0EA0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1.8076</w:t>
            </w:r>
          </w:p>
        </w:tc>
        <w:tc>
          <w:tcPr>
            <w:tcW w:w="777" w:type="pct"/>
            <w:noWrap w:val="0"/>
            <w:vAlign w:val="center"/>
          </w:tcPr>
          <w:p w14:paraId="19A20D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r>
      <w:tr w14:paraId="33596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45D31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1BF9E6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48" w:type="pct"/>
            <w:noWrap w:val="0"/>
            <w:vAlign w:val="center"/>
          </w:tcPr>
          <w:p w14:paraId="47B40D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262AC1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0.0733</w:t>
            </w:r>
          </w:p>
        </w:tc>
        <w:tc>
          <w:tcPr>
            <w:tcW w:w="777" w:type="pct"/>
            <w:noWrap w:val="0"/>
            <w:vAlign w:val="center"/>
          </w:tcPr>
          <w:p w14:paraId="4080AC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220B3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1.7093</w:t>
            </w:r>
          </w:p>
        </w:tc>
        <w:tc>
          <w:tcPr>
            <w:tcW w:w="777" w:type="pct"/>
            <w:noWrap w:val="0"/>
            <w:vAlign w:val="center"/>
          </w:tcPr>
          <w:p w14:paraId="0645D8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4D683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DBAC9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48B405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10.25</w:t>
            </w:r>
          </w:p>
        </w:tc>
        <w:tc>
          <w:tcPr>
            <w:tcW w:w="648" w:type="pct"/>
            <w:noWrap w:val="0"/>
            <w:vAlign w:val="center"/>
          </w:tcPr>
          <w:p w14:paraId="5B7A51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634AA0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0.0716</w:t>
            </w:r>
          </w:p>
        </w:tc>
        <w:tc>
          <w:tcPr>
            <w:tcW w:w="777" w:type="pct"/>
            <w:noWrap w:val="0"/>
            <w:vAlign w:val="center"/>
          </w:tcPr>
          <w:p w14:paraId="49E02C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3D5C5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1.6702</w:t>
            </w:r>
          </w:p>
        </w:tc>
        <w:tc>
          <w:tcPr>
            <w:tcW w:w="777" w:type="pct"/>
            <w:noWrap w:val="0"/>
            <w:vAlign w:val="center"/>
          </w:tcPr>
          <w:p w14:paraId="4245FC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6A37C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E5202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52D36D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17.18</w:t>
            </w:r>
          </w:p>
        </w:tc>
        <w:tc>
          <w:tcPr>
            <w:tcW w:w="648" w:type="pct"/>
            <w:noWrap w:val="0"/>
            <w:vAlign w:val="center"/>
          </w:tcPr>
          <w:p w14:paraId="65A406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7A53D3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0.0695</w:t>
            </w:r>
          </w:p>
        </w:tc>
        <w:tc>
          <w:tcPr>
            <w:tcW w:w="777" w:type="pct"/>
            <w:noWrap w:val="0"/>
            <w:vAlign w:val="center"/>
          </w:tcPr>
          <w:p w14:paraId="01F722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29AE8B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1.6212</w:t>
            </w:r>
          </w:p>
        </w:tc>
        <w:tc>
          <w:tcPr>
            <w:tcW w:w="777" w:type="pct"/>
            <w:noWrap w:val="0"/>
            <w:vAlign w:val="center"/>
          </w:tcPr>
          <w:p w14:paraId="10E545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4AC60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4E3A5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0CCBAD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24.48</w:t>
            </w:r>
          </w:p>
        </w:tc>
        <w:tc>
          <w:tcPr>
            <w:tcW w:w="648" w:type="pct"/>
            <w:noWrap w:val="0"/>
            <w:vAlign w:val="center"/>
          </w:tcPr>
          <w:p w14:paraId="749016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4D0CC2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0.0656</w:t>
            </w:r>
          </w:p>
        </w:tc>
        <w:tc>
          <w:tcPr>
            <w:tcW w:w="777" w:type="pct"/>
            <w:noWrap w:val="0"/>
            <w:vAlign w:val="center"/>
          </w:tcPr>
          <w:p w14:paraId="6AA2D2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524EF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1.5299</w:t>
            </w:r>
          </w:p>
        </w:tc>
        <w:tc>
          <w:tcPr>
            <w:tcW w:w="777" w:type="pct"/>
            <w:noWrap w:val="0"/>
            <w:vAlign w:val="center"/>
          </w:tcPr>
          <w:p w14:paraId="373507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4D0CA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86B01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66" w:type="pct"/>
            <w:noWrap w:val="0"/>
            <w:vAlign w:val="center"/>
          </w:tcPr>
          <w:p w14:paraId="47EBC9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27.97</w:t>
            </w:r>
          </w:p>
        </w:tc>
        <w:tc>
          <w:tcPr>
            <w:tcW w:w="648" w:type="pct"/>
            <w:noWrap w:val="0"/>
            <w:vAlign w:val="center"/>
          </w:tcPr>
          <w:p w14:paraId="4768A6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24852B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0.0612</w:t>
            </w:r>
          </w:p>
        </w:tc>
        <w:tc>
          <w:tcPr>
            <w:tcW w:w="777" w:type="pct"/>
            <w:noWrap w:val="0"/>
            <w:vAlign w:val="center"/>
          </w:tcPr>
          <w:p w14:paraId="1EF573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5A6FC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1.4284</w:t>
            </w:r>
          </w:p>
        </w:tc>
        <w:tc>
          <w:tcPr>
            <w:tcW w:w="777" w:type="pct"/>
            <w:noWrap w:val="0"/>
            <w:vAlign w:val="center"/>
          </w:tcPr>
          <w:p w14:paraId="6949FC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r>
      <w:tr w14:paraId="5AA85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D321D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A7B15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28.31</w:t>
            </w:r>
          </w:p>
        </w:tc>
        <w:tc>
          <w:tcPr>
            <w:tcW w:w="648" w:type="pct"/>
            <w:noWrap w:val="0"/>
            <w:vAlign w:val="center"/>
          </w:tcPr>
          <w:p w14:paraId="12EEEB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5A17DE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0.0574</w:t>
            </w:r>
          </w:p>
        </w:tc>
        <w:tc>
          <w:tcPr>
            <w:tcW w:w="777" w:type="pct"/>
            <w:noWrap w:val="0"/>
            <w:vAlign w:val="center"/>
          </w:tcPr>
          <w:p w14:paraId="7377FE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1FA436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1.3388</w:t>
            </w:r>
          </w:p>
        </w:tc>
        <w:tc>
          <w:tcPr>
            <w:tcW w:w="777" w:type="pct"/>
            <w:noWrap w:val="0"/>
            <w:vAlign w:val="center"/>
          </w:tcPr>
          <w:p w14:paraId="77AF1D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2597C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E0F8A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633BB8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19.68</w:t>
            </w:r>
          </w:p>
        </w:tc>
        <w:tc>
          <w:tcPr>
            <w:tcW w:w="648" w:type="pct"/>
            <w:noWrap w:val="0"/>
            <w:vAlign w:val="center"/>
          </w:tcPr>
          <w:p w14:paraId="5F5A83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278891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777" w:type="pct"/>
            <w:noWrap w:val="0"/>
            <w:vAlign w:val="center"/>
          </w:tcPr>
          <w:p w14:paraId="29DB1E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4B8CC7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1.2378</w:t>
            </w:r>
          </w:p>
        </w:tc>
        <w:tc>
          <w:tcPr>
            <w:tcW w:w="777" w:type="pct"/>
            <w:noWrap w:val="0"/>
            <w:vAlign w:val="center"/>
          </w:tcPr>
          <w:p w14:paraId="71F885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27835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2BAF7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76A4BA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25.43</w:t>
            </w:r>
          </w:p>
        </w:tc>
        <w:tc>
          <w:tcPr>
            <w:tcW w:w="648" w:type="pct"/>
            <w:noWrap w:val="0"/>
            <w:vAlign w:val="center"/>
          </w:tcPr>
          <w:p w14:paraId="41475E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2A528C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0.0507</w:t>
            </w:r>
          </w:p>
        </w:tc>
        <w:tc>
          <w:tcPr>
            <w:tcW w:w="777" w:type="pct"/>
            <w:noWrap w:val="0"/>
            <w:vAlign w:val="center"/>
          </w:tcPr>
          <w:p w14:paraId="6E2DC6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7A9FC9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1.1838</w:t>
            </w:r>
          </w:p>
        </w:tc>
        <w:tc>
          <w:tcPr>
            <w:tcW w:w="777" w:type="pct"/>
            <w:noWrap w:val="0"/>
            <w:vAlign w:val="center"/>
          </w:tcPr>
          <w:p w14:paraId="3A4013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33CF7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B346F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934E8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30.94</w:t>
            </w:r>
          </w:p>
        </w:tc>
        <w:tc>
          <w:tcPr>
            <w:tcW w:w="648" w:type="pct"/>
            <w:noWrap w:val="0"/>
            <w:vAlign w:val="center"/>
          </w:tcPr>
          <w:p w14:paraId="4F3E81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3CB49F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0.0481</w:t>
            </w:r>
          </w:p>
        </w:tc>
        <w:tc>
          <w:tcPr>
            <w:tcW w:w="777" w:type="pct"/>
            <w:noWrap w:val="0"/>
            <w:vAlign w:val="center"/>
          </w:tcPr>
          <w:p w14:paraId="0C6573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6DF6D3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1.1219</w:t>
            </w:r>
          </w:p>
        </w:tc>
        <w:tc>
          <w:tcPr>
            <w:tcW w:w="777" w:type="pct"/>
            <w:noWrap w:val="0"/>
            <w:vAlign w:val="center"/>
          </w:tcPr>
          <w:p w14:paraId="55802C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01208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A3DAA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6" w:type="pct"/>
            <w:noWrap w:val="0"/>
            <w:vAlign w:val="center"/>
          </w:tcPr>
          <w:p w14:paraId="5BE00B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30.57</w:t>
            </w:r>
          </w:p>
        </w:tc>
        <w:tc>
          <w:tcPr>
            <w:tcW w:w="648" w:type="pct"/>
            <w:noWrap w:val="0"/>
            <w:vAlign w:val="center"/>
          </w:tcPr>
          <w:p w14:paraId="7BABCC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32A6D4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777" w:type="pct"/>
            <w:noWrap w:val="0"/>
            <w:vAlign w:val="center"/>
          </w:tcPr>
          <w:p w14:paraId="259E1E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776" w:type="pct"/>
            <w:noWrap w:val="0"/>
            <w:vAlign w:val="center"/>
          </w:tcPr>
          <w:p w14:paraId="55BD68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1.0637</w:t>
            </w:r>
          </w:p>
        </w:tc>
        <w:tc>
          <w:tcPr>
            <w:tcW w:w="777" w:type="pct"/>
            <w:noWrap w:val="0"/>
            <w:vAlign w:val="center"/>
          </w:tcPr>
          <w:p w14:paraId="26A124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3FE88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73A2B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66" w:type="pct"/>
            <w:noWrap w:val="0"/>
            <w:vAlign w:val="center"/>
          </w:tcPr>
          <w:p w14:paraId="5FD252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648" w:type="pct"/>
            <w:noWrap w:val="0"/>
            <w:vAlign w:val="center"/>
          </w:tcPr>
          <w:p w14:paraId="18378D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32F5D1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0.0433</w:t>
            </w:r>
          </w:p>
        </w:tc>
        <w:tc>
          <w:tcPr>
            <w:tcW w:w="777" w:type="pct"/>
            <w:noWrap w:val="0"/>
            <w:vAlign w:val="center"/>
          </w:tcPr>
          <w:p w14:paraId="303ED3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0BF121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1.0101</w:t>
            </w:r>
          </w:p>
        </w:tc>
        <w:tc>
          <w:tcPr>
            <w:tcW w:w="777" w:type="pct"/>
            <w:noWrap w:val="0"/>
            <w:vAlign w:val="center"/>
          </w:tcPr>
          <w:p w14:paraId="5233C4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260CF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FD104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6" w:type="pct"/>
            <w:noWrap w:val="0"/>
            <w:vAlign w:val="center"/>
          </w:tcPr>
          <w:p w14:paraId="31758D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28.78</w:t>
            </w:r>
          </w:p>
        </w:tc>
        <w:tc>
          <w:tcPr>
            <w:tcW w:w="648" w:type="pct"/>
            <w:noWrap w:val="0"/>
            <w:vAlign w:val="center"/>
          </w:tcPr>
          <w:p w14:paraId="4BDD5C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54828D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0.0411</w:t>
            </w:r>
          </w:p>
        </w:tc>
        <w:tc>
          <w:tcPr>
            <w:tcW w:w="777" w:type="pct"/>
            <w:noWrap w:val="0"/>
            <w:vAlign w:val="center"/>
          </w:tcPr>
          <w:p w14:paraId="0C8F5B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3D9477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0.9596</w:t>
            </w:r>
          </w:p>
        </w:tc>
        <w:tc>
          <w:tcPr>
            <w:tcW w:w="777" w:type="pct"/>
            <w:noWrap w:val="0"/>
            <w:vAlign w:val="center"/>
          </w:tcPr>
          <w:p w14:paraId="665ABE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7AAE2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981A5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6F6779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32.05</w:t>
            </w:r>
          </w:p>
        </w:tc>
        <w:tc>
          <w:tcPr>
            <w:tcW w:w="648" w:type="pct"/>
            <w:noWrap w:val="0"/>
            <w:vAlign w:val="center"/>
          </w:tcPr>
          <w:p w14:paraId="25AFDF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13EE97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0.0393</w:t>
            </w:r>
          </w:p>
        </w:tc>
        <w:tc>
          <w:tcPr>
            <w:tcW w:w="777" w:type="pct"/>
            <w:noWrap w:val="0"/>
            <w:vAlign w:val="center"/>
          </w:tcPr>
          <w:p w14:paraId="68C553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333F4A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0.9167</w:t>
            </w:r>
          </w:p>
        </w:tc>
        <w:tc>
          <w:tcPr>
            <w:tcW w:w="777" w:type="pct"/>
            <w:noWrap w:val="0"/>
            <w:vAlign w:val="center"/>
          </w:tcPr>
          <w:p w14:paraId="0F9298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35E8B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798CF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66" w:type="pct"/>
            <w:noWrap w:val="0"/>
            <w:vAlign w:val="center"/>
          </w:tcPr>
          <w:p w14:paraId="1CCA2E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648" w:type="pct"/>
            <w:noWrap w:val="0"/>
            <w:vAlign w:val="center"/>
          </w:tcPr>
          <w:p w14:paraId="201189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737DF3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777" w:type="pct"/>
            <w:noWrap w:val="0"/>
            <w:vAlign w:val="center"/>
          </w:tcPr>
          <w:p w14:paraId="020065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79F18E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0.8636</w:t>
            </w:r>
          </w:p>
        </w:tc>
        <w:tc>
          <w:tcPr>
            <w:tcW w:w="777" w:type="pct"/>
            <w:noWrap w:val="0"/>
            <w:vAlign w:val="center"/>
          </w:tcPr>
          <w:p w14:paraId="04394E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0458D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27F60583">
            <w:pPr>
              <w:pStyle w:val="25"/>
              <w:bidi w:val="0"/>
              <w:rPr>
                <w:rFonts w:hint="eastAsia" w:ascii="Times New Roman" w:hAnsi="Times New Roman" w:eastAsia="宋体" w:cs="Times New Roman"/>
                <w:color w:val="auto"/>
                <w:kern w:val="2"/>
                <w:sz w:val="21"/>
                <w:szCs w:val="21"/>
                <w:u w:val="none" w:color="auto"/>
                <w:lang w:val="en-US" w:eastAsia="zh-CN" w:bidi="ar-SA"/>
              </w:rPr>
            </w:pPr>
            <w:r>
              <w:rPr>
                <w:color w:val="auto"/>
                <w:u w:val="none" w:color="auto"/>
              </w:rPr>
              <w:t>下风向最大质量浓度及占标率</w:t>
            </w:r>
          </w:p>
        </w:tc>
        <w:tc>
          <w:tcPr>
            <w:tcW w:w="776" w:type="pct"/>
            <w:noWrap w:val="0"/>
            <w:vAlign w:val="center"/>
          </w:tcPr>
          <w:p w14:paraId="2CFB6C9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0.3329</w:t>
            </w:r>
          </w:p>
        </w:tc>
        <w:tc>
          <w:tcPr>
            <w:tcW w:w="777" w:type="pct"/>
            <w:noWrap w:val="0"/>
            <w:vAlign w:val="center"/>
          </w:tcPr>
          <w:p w14:paraId="72ABABE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0.04</w:t>
            </w:r>
          </w:p>
        </w:tc>
        <w:tc>
          <w:tcPr>
            <w:tcW w:w="776" w:type="pct"/>
            <w:noWrap w:val="0"/>
            <w:vAlign w:val="center"/>
          </w:tcPr>
          <w:p w14:paraId="13B4E3C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7.7677</w:t>
            </w:r>
          </w:p>
        </w:tc>
        <w:tc>
          <w:tcPr>
            <w:tcW w:w="777" w:type="pct"/>
            <w:noWrap w:val="0"/>
            <w:vAlign w:val="center"/>
          </w:tcPr>
          <w:p w14:paraId="208ADE94">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0.65</w:t>
            </w:r>
          </w:p>
        </w:tc>
      </w:tr>
      <w:tr w14:paraId="76E4B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639AA7DC">
            <w:pPr>
              <w:pStyle w:val="25"/>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777860BF">
            <w:pPr>
              <w:pStyle w:val="25"/>
              <w:bidi w:val="0"/>
              <w:rPr>
                <w:rFonts w:hint="eastAsia"/>
                <w:color w:val="auto"/>
                <w:u w:val="none" w:color="auto"/>
                <w:lang w:val="en-US" w:eastAsia="zh-CN"/>
              </w:rPr>
            </w:pPr>
            <w:r>
              <w:rPr>
                <w:color w:val="auto"/>
                <w:u w:val="none" w:color="auto"/>
              </w:rPr>
              <w:t>/</w:t>
            </w:r>
          </w:p>
        </w:tc>
        <w:tc>
          <w:tcPr>
            <w:tcW w:w="777" w:type="pct"/>
            <w:noWrap w:val="0"/>
            <w:vAlign w:val="center"/>
          </w:tcPr>
          <w:p w14:paraId="0D883C5F">
            <w:pPr>
              <w:pStyle w:val="25"/>
              <w:bidi w:val="0"/>
              <w:rPr>
                <w:color w:val="auto"/>
                <w:u w:val="none" w:color="auto"/>
              </w:rPr>
            </w:pPr>
          </w:p>
        </w:tc>
        <w:tc>
          <w:tcPr>
            <w:tcW w:w="776" w:type="pct"/>
            <w:noWrap w:val="0"/>
            <w:vAlign w:val="center"/>
          </w:tcPr>
          <w:p w14:paraId="780E014C">
            <w:pPr>
              <w:pStyle w:val="25"/>
              <w:bidi w:val="0"/>
              <w:rPr>
                <w:color w:val="auto"/>
                <w:u w:val="none" w:color="auto"/>
              </w:rPr>
            </w:pPr>
          </w:p>
        </w:tc>
        <w:tc>
          <w:tcPr>
            <w:tcW w:w="777" w:type="pct"/>
            <w:noWrap w:val="0"/>
            <w:vAlign w:val="center"/>
          </w:tcPr>
          <w:p w14:paraId="7DC90AEC">
            <w:pPr>
              <w:pStyle w:val="25"/>
              <w:bidi w:val="0"/>
              <w:rPr>
                <w:color w:val="auto"/>
                <w:u w:val="none" w:color="auto"/>
              </w:rPr>
            </w:pPr>
          </w:p>
        </w:tc>
      </w:tr>
    </w:tbl>
    <w:p w14:paraId="779C8B74">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5.2-11</w:t>
      </w:r>
      <w:r>
        <w:rPr>
          <w:rFonts w:hint="default"/>
          <w:color w:val="auto"/>
          <w:u w:val="none" w:color="auto"/>
        </w:rPr>
        <w:t xml:space="preserve"> </w:t>
      </w:r>
      <w:r>
        <w:rPr>
          <w:rFonts w:hint="eastAsia"/>
          <w:color w:val="auto"/>
          <w:u w:val="none" w:color="auto"/>
          <w:lang w:val="en-US" w:eastAsia="zh-CN"/>
        </w:rPr>
        <w:t>无</w:t>
      </w:r>
      <w:r>
        <w:rPr>
          <w:rFonts w:hint="default"/>
          <w:color w:val="auto"/>
          <w:u w:val="none" w:color="auto"/>
          <w:lang w:eastAsia="zh-CN"/>
        </w:rPr>
        <w:t>组织废气</w:t>
      </w:r>
      <w:r>
        <w:rPr>
          <w:rFonts w:hint="default"/>
          <w:color w:val="auto"/>
          <w:u w:val="none" w:color="auto"/>
        </w:rPr>
        <w:t>估算模式计算结果表</w:t>
      </w:r>
    </w:p>
    <w:tbl>
      <w:tblPr>
        <w:tblStyle w:val="16"/>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4"/>
        <w:gridCol w:w="1061"/>
        <w:gridCol w:w="1061"/>
        <w:gridCol w:w="1"/>
        <w:gridCol w:w="1060"/>
        <w:gridCol w:w="1061"/>
        <w:gridCol w:w="2"/>
        <w:gridCol w:w="1059"/>
        <w:gridCol w:w="1063"/>
        <w:gridCol w:w="1"/>
      </w:tblGrid>
      <w:tr w14:paraId="3AD96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28" w:type="pct"/>
            <w:vMerge w:val="restart"/>
            <w:noWrap w:val="0"/>
            <w:vAlign w:val="center"/>
          </w:tcPr>
          <w:p w14:paraId="5E7F7EF9">
            <w:pPr>
              <w:pStyle w:val="25"/>
              <w:bidi w:val="0"/>
              <w:jc w:val="center"/>
              <w:rPr>
                <w:color w:val="auto"/>
                <w:u w:val="none" w:color="auto"/>
              </w:rPr>
            </w:pPr>
            <w:r>
              <w:rPr>
                <w:rFonts w:hint="eastAsia"/>
                <w:color w:val="auto"/>
                <w:u w:val="none" w:color="auto"/>
              </w:rPr>
              <w:t>方位角(度)</w:t>
            </w:r>
          </w:p>
        </w:tc>
        <w:tc>
          <w:tcPr>
            <w:tcW w:w="625" w:type="pct"/>
            <w:vMerge w:val="restart"/>
            <w:noWrap w:val="0"/>
            <w:vAlign w:val="center"/>
          </w:tcPr>
          <w:p w14:paraId="126416E5">
            <w:pPr>
              <w:pStyle w:val="25"/>
              <w:bidi w:val="0"/>
              <w:jc w:val="center"/>
              <w:rPr>
                <w:color w:val="auto"/>
                <w:u w:val="none" w:color="auto"/>
              </w:rPr>
            </w:pPr>
            <w:r>
              <w:rPr>
                <w:rFonts w:hint="eastAsia"/>
                <w:color w:val="auto"/>
                <w:u w:val="none" w:color="auto"/>
              </w:rPr>
              <w:t>离源距离(m)</w:t>
            </w:r>
          </w:p>
        </w:tc>
        <w:tc>
          <w:tcPr>
            <w:tcW w:w="3745" w:type="pct"/>
            <w:gridSpan w:val="9"/>
            <w:noWrap w:val="0"/>
            <w:vAlign w:val="center"/>
          </w:tcPr>
          <w:p w14:paraId="131A4907">
            <w:pPr>
              <w:pStyle w:val="25"/>
              <w:bidi w:val="0"/>
              <w:jc w:val="center"/>
              <w:rPr>
                <w:rFonts w:hint="default"/>
                <w:color w:val="auto"/>
                <w:u w:val="none" w:color="auto"/>
                <w:lang w:val="en-US" w:eastAsia="zh-CN"/>
              </w:rPr>
            </w:pPr>
            <w:r>
              <w:rPr>
                <w:rFonts w:hint="eastAsia"/>
                <w:color w:val="auto"/>
                <w:u w:val="none" w:color="auto"/>
                <w:lang w:val="en-US" w:eastAsia="zh-CN"/>
              </w:rPr>
              <w:t>1#厂房</w:t>
            </w:r>
          </w:p>
        </w:tc>
      </w:tr>
      <w:tr w14:paraId="13D33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noWrap w:val="0"/>
            <w:vAlign w:val="center"/>
          </w:tcPr>
          <w:p w14:paraId="1DAECFCD">
            <w:pPr>
              <w:pStyle w:val="25"/>
              <w:bidi w:val="0"/>
              <w:jc w:val="center"/>
              <w:rPr>
                <w:rFonts w:hint="eastAsia"/>
                <w:color w:val="auto"/>
                <w:u w:val="none" w:color="auto"/>
                <w:lang w:eastAsia="zh-CN"/>
              </w:rPr>
            </w:pPr>
          </w:p>
        </w:tc>
        <w:tc>
          <w:tcPr>
            <w:tcW w:w="625" w:type="pct"/>
            <w:vMerge w:val="continue"/>
            <w:noWrap w:val="0"/>
            <w:vAlign w:val="center"/>
          </w:tcPr>
          <w:p w14:paraId="20C49F9C">
            <w:pPr>
              <w:pStyle w:val="25"/>
              <w:bidi w:val="0"/>
              <w:jc w:val="center"/>
              <w:rPr>
                <w:rFonts w:hint="eastAsia"/>
                <w:color w:val="auto"/>
                <w:u w:val="none" w:color="auto"/>
                <w:lang w:eastAsia="zh-CN"/>
              </w:rPr>
            </w:pPr>
          </w:p>
        </w:tc>
        <w:tc>
          <w:tcPr>
            <w:tcW w:w="1248" w:type="pct"/>
            <w:gridSpan w:val="3"/>
            <w:noWrap w:val="0"/>
            <w:vAlign w:val="center"/>
          </w:tcPr>
          <w:p w14:paraId="721739CA">
            <w:pPr>
              <w:pStyle w:val="25"/>
              <w:bidi w:val="0"/>
              <w:jc w:val="center"/>
              <w:rPr>
                <w:rFonts w:hint="eastAsia"/>
                <w:color w:val="auto"/>
                <w:u w:val="none" w:color="auto"/>
                <w:lang w:eastAsia="zh-CN"/>
              </w:rPr>
            </w:pPr>
            <w:r>
              <w:rPr>
                <w:rFonts w:hint="eastAsia" w:cs="Times New Roman"/>
                <w:b w:val="0"/>
                <w:bCs w:val="0"/>
                <w:color w:val="auto"/>
                <w:sz w:val="21"/>
                <w:szCs w:val="21"/>
                <w:u w:val="none" w:color="auto"/>
                <w:lang w:val="en-US" w:eastAsia="zh-CN"/>
              </w:rPr>
              <w:t>TSP</w:t>
            </w:r>
          </w:p>
        </w:tc>
        <w:tc>
          <w:tcPr>
            <w:tcW w:w="1248" w:type="pct"/>
            <w:gridSpan w:val="3"/>
            <w:noWrap w:val="0"/>
            <w:vAlign w:val="center"/>
          </w:tcPr>
          <w:p w14:paraId="580767AC">
            <w:pPr>
              <w:pStyle w:val="25"/>
              <w:bidi w:val="0"/>
              <w:jc w:val="center"/>
              <w:rPr>
                <w:rFonts w:hint="eastAsia"/>
                <w:color w:val="auto"/>
                <w:u w:val="none" w:color="auto"/>
                <w:lang w:val="en-US" w:eastAsia="zh-CN"/>
              </w:rPr>
            </w:pPr>
            <w:r>
              <w:rPr>
                <w:rFonts w:hint="eastAsia"/>
                <w:color w:val="auto"/>
                <w:u w:val="none" w:color="auto"/>
                <w:lang w:val="en-US" w:eastAsia="zh-CN"/>
              </w:rPr>
              <w:t>TVOC</w:t>
            </w:r>
          </w:p>
        </w:tc>
        <w:tc>
          <w:tcPr>
            <w:tcW w:w="1248" w:type="pct"/>
            <w:gridSpan w:val="3"/>
            <w:noWrap w:val="0"/>
            <w:vAlign w:val="center"/>
          </w:tcPr>
          <w:p w14:paraId="272A7399">
            <w:pPr>
              <w:pStyle w:val="25"/>
              <w:bidi w:val="0"/>
              <w:jc w:val="center"/>
              <w:rPr>
                <w:rFonts w:hint="default"/>
                <w:color w:val="auto"/>
                <w:u w:val="none" w:color="auto"/>
                <w:lang w:val="en-US" w:eastAsia="zh-CN"/>
              </w:rPr>
            </w:pPr>
            <w:r>
              <w:rPr>
                <w:rFonts w:hint="eastAsia"/>
                <w:color w:val="auto"/>
                <w:u w:val="none" w:color="auto"/>
                <w:lang w:val="en-US" w:eastAsia="zh-CN"/>
              </w:rPr>
              <w:t>甲醛</w:t>
            </w:r>
          </w:p>
        </w:tc>
      </w:tr>
      <w:tr w14:paraId="1C207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noWrap w:val="0"/>
            <w:vAlign w:val="center"/>
          </w:tcPr>
          <w:p w14:paraId="2A7A7169">
            <w:pPr>
              <w:pStyle w:val="25"/>
              <w:bidi w:val="0"/>
              <w:jc w:val="center"/>
              <w:rPr>
                <w:color w:val="auto"/>
                <w:u w:val="none" w:color="auto"/>
              </w:rPr>
            </w:pPr>
          </w:p>
        </w:tc>
        <w:tc>
          <w:tcPr>
            <w:tcW w:w="625" w:type="pct"/>
            <w:vMerge w:val="continue"/>
            <w:noWrap w:val="0"/>
            <w:vAlign w:val="center"/>
          </w:tcPr>
          <w:p w14:paraId="6E477D8F">
            <w:pPr>
              <w:pStyle w:val="25"/>
              <w:bidi w:val="0"/>
              <w:jc w:val="center"/>
              <w:rPr>
                <w:color w:val="auto"/>
                <w:u w:val="none" w:color="auto"/>
              </w:rPr>
            </w:pPr>
          </w:p>
        </w:tc>
        <w:tc>
          <w:tcPr>
            <w:tcW w:w="623" w:type="pct"/>
            <w:noWrap w:val="0"/>
            <w:vAlign w:val="center"/>
          </w:tcPr>
          <w:p w14:paraId="1DA92CEA">
            <w:pPr>
              <w:pStyle w:val="25"/>
              <w:bidi w:val="0"/>
              <w:jc w:val="center"/>
              <w:rPr>
                <w:color w:val="auto"/>
                <w:u w:val="none" w:color="auto"/>
              </w:rPr>
            </w:pPr>
            <w:r>
              <w:rPr>
                <w:color w:val="auto"/>
                <w:u w:val="none" w:color="auto"/>
              </w:rPr>
              <w:t>预测质量浓度μg/m</w:t>
            </w:r>
            <w:r>
              <w:rPr>
                <w:color w:val="auto"/>
                <w:u w:val="none" w:color="auto"/>
                <w:vertAlign w:val="superscript"/>
              </w:rPr>
              <w:t>3</w:t>
            </w:r>
          </w:p>
        </w:tc>
        <w:tc>
          <w:tcPr>
            <w:tcW w:w="623" w:type="pct"/>
            <w:noWrap w:val="0"/>
            <w:vAlign w:val="center"/>
          </w:tcPr>
          <w:p w14:paraId="7AE1CAEF">
            <w:pPr>
              <w:pStyle w:val="25"/>
              <w:bidi w:val="0"/>
              <w:jc w:val="center"/>
              <w:rPr>
                <w:color w:val="auto"/>
                <w:u w:val="none" w:color="auto"/>
              </w:rPr>
            </w:pPr>
            <w:r>
              <w:rPr>
                <w:color w:val="auto"/>
                <w:u w:val="none" w:color="auto"/>
              </w:rPr>
              <w:t>占标率%</w:t>
            </w:r>
          </w:p>
        </w:tc>
        <w:tc>
          <w:tcPr>
            <w:tcW w:w="623" w:type="pct"/>
            <w:gridSpan w:val="2"/>
            <w:noWrap w:val="0"/>
            <w:vAlign w:val="center"/>
          </w:tcPr>
          <w:p w14:paraId="3FB55AE1">
            <w:pPr>
              <w:pStyle w:val="25"/>
              <w:bidi w:val="0"/>
              <w:jc w:val="center"/>
              <w:rPr>
                <w:color w:val="auto"/>
                <w:u w:val="none" w:color="auto"/>
              </w:rPr>
            </w:pPr>
            <w:r>
              <w:rPr>
                <w:color w:val="auto"/>
                <w:u w:val="none" w:color="auto"/>
              </w:rPr>
              <w:t>预测质量浓度μg/m</w:t>
            </w:r>
            <w:r>
              <w:rPr>
                <w:color w:val="auto"/>
                <w:u w:val="none" w:color="auto"/>
                <w:vertAlign w:val="superscript"/>
              </w:rPr>
              <w:t>3</w:t>
            </w:r>
          </w:p>
        </w:tc>
        <w:tc>
          <w:tcPr>
            <w:tcW w:w="623" w:type="pct"/>
            <w:noWrap w:val="0"/>
            <w:vAlign w:val="center"/>
          </w:tcPr>
          <w:p w14:paraId="7ABE9939">
            <w:pPr>
              <w:pStyle w:val="25"/>
              <w:bidi w:val="0"/>
              <w:jc w:val="center"/>
              <w:rPr>
                <w:rFonts w:ascii="Times New Roman" w:hAnsi="Times New Roman" w:eastAsia="宋体" w:cs="Times New Roman"/>
                <w:color w:val="auto"/>
                <w:kern w:val="2"/>
                <w:sz w:val="21"/>
                <w:szCs w:val="21"/>
                <w:u w:val="none" w:color="auto"/>
                <w:lang w:val="en-US" w:eastAsia="zh-CN" w:bidi="ar-SA"/>
              </w:rPr>
            </w:pPr>
            <w:r>
              <w:rPr>
                <w:color w:val="auto"/>
                <w:u w:val="none" w:color="auto"/>
              </w:rPr>
              <w:t>占标率%</w:t>
            </w:r>
          </w:p>
        </w:tc>
        <w:tc>
          <w:tcPr>
            <w:tcW w:w="623" w:type="pct"/>
            <w:gridSpan w:val="2"/>
            <w:noWrap w:val="0"/>
            <w:vAlign w:val="center"/>
          </w:tcPr>
          <w:p w14:paraId="1BCB332B">
            <w:pPr>
              <w:pStyle w:val="25"/>
              <w:bidi w:val="0"/>
              <w:jc w:val="center"/>
              <w:rPr>
                <w:color w:val="auto"/>
                <w:u w:val="none" w:color="auto"/>
              </w:rPr>
            </w:pPr>
            <w:r>
              <w:rPr>
                <w:color w:val="auto"/>
                <w:u w:val="none" w:color="auto"/>
              </w:rPr>
              <w:t>预测质量浓度μg/m</w:t>
            </w:r>
            <w:r>
              <w:rPr>
                <w:color w:val="auto"/>
                <w:u w:val="none" w:color="auto"/>
                <w:vertAlign w:val="superscript"/>
              </w:rPr>
              <w:t>3</w:t>
            </w:r>
          </w:p>
        </w:tc>
        <w:tc>
          <w:tcPr>
            <w:tcW w:w="625" w:type="pct"/>
            <w:noWrap w:val="0"/>
            <w:vAlign w:val="center"/>
          </w:tcPr>
          <w:p w14:paraId="644656FD">
            <w:pPr>
              <w:pStyle w:val="25"/>
              <w:bidi w:val="0"/>
              <w:jc w:val="center"/>
              <w:rPr>
                <w:color w:val="auto"/>
                <w:u w:val="none" w:color="auto"/>
              </w:rPr>
            </w:pPr>
            <w:r>
              <w:rPr>
                <w:color w:val="auto"/>
                <w:u w:val="none" w:color="auto"/>
              </w:rPr>
              <w:t>占标率%</w:t>
            </w:r>
          </w:p>
        </w:tc>
        <w:tc>
          <w:tcPr>
            <w:tcW w:w="0" w:type="auto"/>
            <w:noWrap w:val="0"/>
            <w:vAlign w:val="center"/>
          </w:tcPr>
          <w:p w14:paraId="77AC8824">
            <w:pPr>
              <w:pStyle w:val="25"/>
              <w:bidi w:val="0"/>
              <w:jc w:val="center"/>
              <w:rPr>
                <w:color w:val="auto"/>
                <w:u w:val="none" w:color="auto"/>
              </w:rPr>
            </w:pPr>
          </w:p>
        </w:tc>
      </w:tr>
      <w:tr w14:paraId="5DCF8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2C5BAF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6C1C48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3" w:type="pct"/>
            <w:noWrap w:val="0"/>
            <w:vAlign w:val="center"/>
          </w:tcPr>
          <w:p w14:paraId="13C18D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44.94</w:t>
            </w:r>
          </w:p>
        </w:tc>
        <w:tc>
          <w:tcPr>
            <w:tcW w:w="623" w:type="pct"/>
            <w:noWrap w:val="0"/>
            <w:vAlign w:val="center"/>
          </w:tcPr>
          <w:p w14:paraId="7F501A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4.99</w:t>
            </w:r>
          </w:p>
        </w:tc>
        <w:tc>
          <w:tcPr>
            <w:tcW w:w="623" w:type="pct"/>
            <w:gridSpan w:val="2"/>
            <w:noWrap w:val="0"/>
            <w:vAlign w:val="center"/>
          </w:tcPr>
          <w:p w14:paraId="76F748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1.9059</w:t>
            </w:r>
          </w:p>
        </w:tc>
        <w:tc>
          <w:tcPr>
            <w:tcW w:w="623" w:type="pct"/>
            <w:noWrap w:val="0"/>
            <w:vAlign w:val="center"/>
          </w:tcPr>
          <w:p w14:paraId="3FFDE5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23" w:type="pct"/>
            <w:gridSpan w:val="2"/>
            <w:noWrap w:val="0"/>
            <w:vAlign w:val="center"/>
          </w:tcPr>
          <w:p w14:paraId="6FA286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2.5078</w:t>
            </w:r>
          </w:p>
        </w:tc>
        <w:tc>
          <w:tcPr>
            <w:tcW w:w="625" w:type="pct"/>
            <w:noWrap w:val="0"/>
            <w:vAlign w:val="center"/>
          </w:tcPr>
          <w:p w14:paraId="6F9790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5.02</w:t>
            </w:r>
          </w:p>
        </w:tc>
        <w:tc>
          <w:tcPr>
            <w:tcW w:w="0" w:type="auto"/>
            <w:noWrap w:val="0"/>
            <w:vAlign w:val="center"/>
          </w:tcPr>
          <w:p w14:paraId="3E19A2DD">
            <w:pPr>
              <w:pStyle w:val="25"/>
              <w:bidi w:val="0"/>
              <w:jc w:val="center"/>
              <w:rPr>
                <w:color w:val="auto"/>
                <w:u w:val="none" w:color="auto"/>
              </w:rPr>
            </w:pPr>
          </w:p>
        </w:tc>
      </w:tr>
      <w:tr w14:paraId="60889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DD9B0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7EAE6A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23" w:type="pct"/>
            <w:noWrap w:val="0"/>
            <w:vAlign w:val="center"/>
          </w:tcPr>
          <w:p w14:paraId="3F6BCD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62.597</w:t>
            </w:r>
          </w:p>
        </w:tc>
        <w:tc>
          <w:tcPr>
            <w:tcW w:w="623" w:type="pct"/>
            <w:noWrap w:val="0"/>
            <w:vAlign w:val="center"/>
          </w:tcPr>
          <w:p w14:paraId="5F8E2E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6.96</w:t>
            </w:r>
          </w:p>
        </w:tc>
        <w:tc>
          <w:tcPr>
            <w:tcW w:w="623" w:type="pct"/>
            <w:gridSpan w:val="2"/>
            <w:noWrap w:val="0"/>
            <w:vAlign w:val="center"/>
          </w:tcPr>
          <w:p w14:paraId="6BC54B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2.6548</w:t>
            </w:r>
          </w:p>
        </w:tc>
        <w:tc>
          <w:tcPr>
            <w:tcW w:w="623" w:type="pct"/>
            <w:noWrap w:val="0"/>
            <w:vAlign w:val="center"/>
          </w:tcPr>
          <w:p w14:paraId="5E6327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23" w:type="pct"/>
            <w:gridSpan w:val="2"/>
            <w:noWrap w:val="0"/>
            <w:vAlign w:val="center"/>
          </w:tcPr>
          <w:p w14:paraId="19F4B9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3.4931</w:t>
            </w:r>
          </w:p>
        </w:tc>
        <w:tc>
          <w:tcPr>
            <w:tcW w:w="625" w:type="pct"/>
            <w:noWrap w:val="0"/>
            <w:vAlign w:val="center"/>
          </w:tcPr>
          <w:p w14:paraId="477714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6.99</w:t>
            </w:r>
          </w:p>
        </w:tc>
        <w:tc>
          <w:tcPr>
            <w:tcW w:w="0" w:type="auto"/>
            <w:noWrap w:val="0"/>
            <w:vAlign w:val="center"/>
          </w:tcPr>
          <w:p w14:paraId="49CE677E">
            <w:pPr>
              <w:pStyle w:val="25"/>
              <w:bidi w:val="0"/>
              <w:jc w:val="center"/>
              <w:rPr>
                <w:color w:val="auto"/>
                <w:u w:val="none" w:color="auto"/>
              </w:rPr>
            </w:pPr>
          </w:p>
        </w:tc>
      </w:tr>
      <w:tr w14:paraId="07556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0EA6D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686A07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623" w:type="pct"/>
            <w:noWrap w:val="0"/>
            <w:vAlign w:val="center"/>
          </w:tcPr>
          <w:p w14:paraId="665E80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62.905</w:t>
            </w:r>
          </w:p>
        </w:tc>
        <w:tc>
          <w:tcPr>
            <w:tcW w:w="623" w:type="pct"/>
            <w:noWrap w:val="0"/>
            <w:vAlign w:val="center"/>
          </w:tcPr>
          <w:p w14:paraId="2AF216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6.99</w:t>
            </w:r>
          </w:p>
        </w:tc>
        <w:tc>
          <w:tcPr>
            <w:tcW w:w="623" w:type="pct"/>
            <w:gridSpan w:val="2"/>
            <w:noWrap w:val="0"/>
            <w:vAlign w:val="center"/>
          </w:tcPr>
          <w:p w14:paraId="613FB1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2.6678</w:t>
            </w:r>
          </w:p>
        </w:tc>
        <w:tc>
          <w:tcPr>
            <w:tcW w:w="623" w:type="pct"/>
            <w:noWrap w:val="0"/>
            <w:vAlign w:val="center"/>
          </w:tcPr>
          <w:p w14:paraId="45E6E2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23" w:type="pct"/>
            <w:gridSpan w:val="2"/>
            <w:noWrap w:val="0"/>
            <w:vAlign w:val="center"/>
          </w:tcPr>
          <w:p w14:paraId="740EAC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3.5103</w:t>
            </w:r>
          </w:p>
        </w:tc>
        <w:tc>
          <w:tcPr>
            <w:tcW w:w="625" w:type="pct"/>
            <w:noWrap w:val="0"/>
            <w:vAlign w:val="center"/>
          </w:tcPr>
          <w:p w14:paraId="46A480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7.02</w:t>
            </w:r>
          </w:p>
        </w:tc>
        <w:tc>
          <w:tcPr>
            <w:tcW w:w="0" w:type="auto"/>
            <w:noWrap w:val="0"/>
            <w:vAlign w:val="center"/>
          </w:tcPr>
          <w:p w14:paraId="173260F5">
            <w:pPr>
              <w:pStyle w:val="25"/>
              <w:bidi w:val="0"/>
              <w:jc w:val="center"/>
              <w:rPr>
                <w:color w:val="auto"/>
                <w:u w:val="none" w:color="auto"/>
              </w:rPr>
            </w:pPr>
          </w:p>
        </w:tc>
      </w:tr>
      <w:tr w14:paraId="58199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F5102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6BF66E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23" w:type="pct"/>
            <w:noWrap w:val="0"/>
            <w:vAlign w:val="center"/>
          </w:tcPr>
          <w:p w14:paraId="41D62F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50.463</w:t>
            </w:r>
          </w:p>
        </w:tc>
        <w:tc>
          <w:tcPr>
            <w:tcW w:w="623" w:type="pct"/>
            <w:noWrap w:val="0"/>
            <w:vAlign w:val="center"/>
          </w:tcPr>
          <w:p w14:paraId="293E90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5.61</w:t>
            </w:r>
          </w:p>
        </w:tc>
        <w:tc>
          <w:tcPr>
            <w:tcW w:w="623" w:type="pct"/>
            <w:gridSpan w:val="2"/>
            <w:noWrap w:val="0"/>
            <w:vAlign w:val="center"/>
          </w:tcPr>
          <w:p w14:paraId="30BE89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2.1402</w:t>
            </w:r>
          </w:p>
        </w:tc>
        <w:tc>
          <w:tcPr>
            <w:tcW w:w="623" w:type="pct"/>
            <w:noWrap w:val="0"/>
            <w:vAlign w:val="center"/>
          </w:tcPr>
          <w:p w14:paraId="426B74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623" w:type="pct"/>
            <w:gridSpan w:val="2"/>
            <w:noWrap w:val="0"/>
            <w:vAlign w:val="center"/>
          </w:tcPr>
          <w:p w14:paraId="6474EA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2.816</w:t>
            </w:r>
          </w:p>
        </w:tc>
        <w:tc>
          <w:tcPr>
            <w:tcW w:w="625" w:type="pct"/>
            <w:noWrap w:val="0"/>
            <w:vAlign w:val="center"/>
          </w:tcPr>
          <w:p w14:paraId="1F891E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5.63</w:t>
            </w:r>
          </w:p>
        </w:tc>
        <w:tc>
          <w:tcPr>
            <w:tcW w:w="0" w:type="auto"/>
            <w:noWrap w:val="0"/>
            <w:vAlign w:val="center"/>
          </w:tcPr>
          <w:p w14:paraId="40C228DB">
            <w:pPr>
              <w:pStyle w:val="25"/>
              <w:bidi w:val="0"/>
              <w:jc w:val="center"/>
              <w:rPr>
                <w:color w:val="auto"/>
                <w:u w:val="none" w:color="auto"/>
              </w:rPr>
            </w:pPr>
          </w:p>
        </w:tc>
      </w:tr>
      <w:tr w14:paraId="61ADA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86AE4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5EEA43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623" w:type="pct"/>
            <w:noWrap w:val="0"/>
            <w:vAlign w:val="center"/>
          </w:tcPr>
          <w:p w14:paraId="05B195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25.744</w:t>
            </w:r>
          </w:p>
        </w:tc>
        <w:tc>
          <w:tcPr>
            <w:tcW w:w="623" w:type="pct"/>
            <w:noWrap w:val="0"/>
            <w:vAlign w:val="center"/>
          </w:tcPr>
          <w:p w14:paraId="54C35C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623" w:type="pct"/>
            <w:gridSpan w:val="2"/>
            <w:noWrap w:val="0"/>
            <w:vAlign w:val="center"/>
          </w:tcPr>
          <w:p w14:paraId="007FF0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1.0918</w:t>
            </w:r>
          </w:p>
        </w:tc>
        <w:tc>
          <w:tcPr>
            <w:tcW w:w="623" w:type="pct"/>
            <w:noWrap w:val="0"/>
            <w:vAlign w:val="center"/>
          </w:tcPr>
          <w:p w14:paraId="3C2415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23" w:type="pct"/>
            <w:gridSpan w:val="2"/>
            <w:noWrap w:val="0"/>
            <w:vAlign w:val="center"/>
          </w:tcPr>
          <w:p w14:paraId="756C32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1.4366</w:t>
            </w:r>
          </w:p>
        </w:tc>
        <w:tc>
          <w:tcPr>
            <w:tcW w:w="625" w:type="pct"/>
            <w:noWrap w:val="0"/>
            <w:vAlign w:val="center"/>
          </w:tcPr>
          <w:p w14:paraId="69835C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0" w:type="auto"/>
            <w:noWrap w:val="0"/>
            <w:vAlign w:val="center"/>
          </w:tcPr>
          <w:p w14:paraId="074946BB">
            <w:pPr>
              <w:pStyle w:val="25"/>
              <w:bidi w:val="0"/>
              <w:jc w:val="center"/>
              <w:rPr>
                <w:color w:val="auto"/>
                <w:u w:val="none" w:color="auto"/>
              </w:rPr>
            </w:pPr>
          </w:p>
        </w:tc>
      </w:tr>
      <w:tr w14:paraId="3DF83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C8742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53F220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623" w:type="pct"/>
            <w:noWrap w:val="0"/>
            <w:vAlign w:val="center"/>
          </w:tcPr>
          <w:p w14:paraId="024602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15.809</w:t>
            </w:r>
          </w:p>
        </w:tc>
        <w:tc>
          <w:tcPr>
            <w:tcW w:w="623" w:type="pct"/>
            <w:noWrap w:val="0"/>
            <w:vAlign w:val="center"/>
          </w:tcPr>
          <w:p w14:paraId="4EBAEA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623" w:type="pct"/>
            <w:gridSpan w:val="2"/>
            <w:noWrap w:val="0"/>
            <w:vAlign w:val="center"/>
          </w:tcPr>
          <w:p w14:paraId="773589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0.6705</w:t>
            </w:r>
          </w:p>
        </w:tc>
        <w:tc>
          <w:tcPr>
            <w:tcW w:w="623" w:type="pct"/>
            <w:noWrap w:val="0"/>
            <w:vAlign w:val="center"/>
          </w:tcPr>
          <w:p w14:paraId="7D49E5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623" w:type="pct"/>
            <w:gridSpan w:val="2"/>
            <w:noWrap w:val="0"/>
            <w:vAlign w:val="center"/>
          </w:tcPr>
          <w:p w14:paraId="1BF468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0.8822</w:t>
            </w:r>
          </w:p>
        </w:tc>
        <w:tc>
          <w:tcPr>
            <w:tcW w:w="625" w:type="pct"/>
            <w:noWrap w:val="0"/>
            <w:vAlign w:val="center"/>
          </w:tcPr>
          <w:p w14:paraId="5E04CA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0" w:type="auto"/>
            <w:noWrap w:val="0"/>
            <w:vAlign w:val="center"/>
          </w:tcPr>
          <w:p w14:paraId="6C4FF0CA">
            <w:pPr>
              <w:pStyle w:val="25"/>
              <w:bidi w:val="0"/>
              <w:jc w:val="center"/>
              <w:rPr>
                <w:color w:val="auto"/>
                <w:u w:val="none" w:color="auto"/>
              </w:rPr>
            </w:pPr>
          </w:p>
        </w:tc>
      </w:tr>
      <w:tr w14:paraId="385C5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14A91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2498A4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623" w:type="pct"/>
            <w:noWrap w:val="0"/>
            <w:vAlign w:val="center"/>
          </w:tcPr>
          <w:p w14:paraId="078780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10.963</w:t>
            </w:r>
          </w:p>
        </w:tc>
        <w:tc>
          <w:tcPr>
            <w:tcW w:w="623" w:type="pct"/>
            <w:noWrap w:val="0"/>
            <w:vAlign w:val="center"/>
          </w:tcPr>
          <w:p w14:paraId="34F032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623" w:type="pct"/>
            <w:gridSpan w:val="2"/>
            <w:noWrap w:val="0"/>
            <w:vAlign w:val="center"/>
          </w:tcPr>
          <w:p w14:paraId="2A2857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0.4649</w:t>
            </w:r>
          </w:p>
        </w:tc>
        <w:tc>
          <w:tcPr>
            <w:tcW w:w="623" w:type="pct"/>
            <w:noWrap w:val="0"/>
            <w:vAlign w:val="center"/>
          </w:tcPr>
          <w:p w14:paraId="644FA0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623" w:type="pct"/>
            <w:gridSpan w:val="2"/>
            <w:noWrap w:val="0"/>
            <w:vAlign w:val="center"/>
          </w:tcPr>
          <w:p w14:paraId="44AB9D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0.6118</w:t>
            </w:r>
          </w:p>
        </w:tc>
        <w:tc>
          <w:tcPr>
            <w:tcW w:w="625" w:type="pct"/>
            <w:noWrap w:val="0"/>
            <w:vAlign w:val="center"/>
          </w:tcPr>
          <w:p w14:paraId="56395C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0" w:type="auto"/>
            <w:noWrap w:val="0"/>
            <w:vAlign w:val="center"/>
          </w:tcPr>
          <w:p w14:paraId="26456A1C">
            <w:pPr>
              <w:pStyle w:val="25"/>
              <w:bidi w:val="0"/>
              <w:jc w:val="center"/>
              <w:rPr>
                <w:color w:val="auto"/>
                <w:u w:val="none" w:color="auto"/>
              </w:rPr>
            </w:pPr>
          </w:p>
        </w:tc>
      </w:tr>
      <w:tr w14:paraId="3A0E8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6D804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58C4B2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623" w:type="pct"/>
            <w:noWrap w:val="0"/>
            <w:vAlign w:val="center"/>
          </w:tcPr>
          <w:p w14:paraId="792C14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8.1961</w:t>
            </w:r>
          </w:p>
        </w:tc>
        <w:tc>
          <w:tcPr>
            <w:tcW w:w="623" w:type="pct"/>
            <w:noWrap w:val="0"/>
            <w:vAlign w:val="center"/>
          </w:tcPr>
          <w:p w14:paraId="136ED0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w:t>
            </w:r>
          </w:p>
        </w:tc>
        <w:tc>
          <w:tcPr>
            <w:tcW w:w="623" w:type="pct"/>
            <w:gridSpan w:val="2"/>
            <w:noWrap w:val="0"/>
            <w:vAlign w:val="center"/>
          </w:tcPr>
          <w:p w14:paraId="038CAD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0.3476</w:t>
            </w:r>
          </w:p>
        </w:tc>
        <w:tc>
          <w:tcPr>
            <w:tcW w:w="623" w:type="pct"/>
            <w:noWrap w:val="0"/>
            <w:vAlign w:val="center"/>
          </w:tcPr>
          <w:p w14:paraId="56ABA9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23" w:type="pct"/>
            <w:gridSpan w:val="2"/>
            <w:noWrap w:val="0"/>
            <w:vAlign w:val="center"/>
          </w:tcPr>
          <w:p w14:paraId="718104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0.4574</w:t>
            </w:r>
          </w:p>
        </w:tc>
        <w:tc>
          <w:tcPr>
            <w:tcW w:w="625" w:type="pct"/>
            <w:noWrap w:val="0"/>
            <w:vAlign w:val="center"/>
          </w:tcPr>
          <w:p w14:paraId="13BA5B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w:t>
            </w:r>
          </w:p>
        </w:tc>
        <w:tc>
          <w:tcPr>
            <w:tcW w:w="0" w:type="auto"/>
            <w:noWrap w:val="0"/>
            <w:vAlign w:val="center"/>
          </w:tcPr>
          <w:p w14:paraId="5FC3D717">
            <w:pPr>
              <w:pStyle w:val="25"/>
              <w:bidi w:val="0"/>
              <w:jc w:val="center"/>
              <w:rPr>
                <w:color w:val="auto"/>
                <w:u w:val="none" w:color="auto"/>
              </w:rPr>
            </w:pPr>
          </w:p>
        </w:tc>
      </w:tr>
      <w:tr w14:paraId="1BA95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75E44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5" w:type="pct"/>
            <w:noWrap w:val="0"/>
            <w:vAlign w:val="center"/>
          </w:tcPr>
          <w:p w14:paraId="2F3D58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623" w:type="pct"/>
            <w:noWrap w:val="0"/>
            <w:vAlign w:val="center"/>
          </w:tcPr>
          <w:p w14:paraId="2A62EC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6.4454</w:t>
            </w:r>
          </w:p>
        </w:tc>
        <w:tc>
          <w:tcPr>
            <w:tcW w:w="623" w:type="pct"/>
            <w:noWrap w:val="0"/>
            <w:vAlign w:val="center"/>
          </w:tcPr>
          <w:p w14:paraId="31FD41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623" w:type="pct"/>
            <w:gridSpan w:val="2"/>
            <w:noWrap w:val="0"/>
            <w:vAlign w:val="center"/>
          </w:tcPr>
          <w:p w14:paraId="746A74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0.2734</w:t>
            </w:r>
          </w:p>
        </w:tc>
        <w:tc>
          <w:tcPr>
            <w:tcW w:w="623" w:type="pct"/>
            <w:noWrap w:val="0"/>
            <w:vAlign w:val="center"/>
          </w:tcPr>
          <w:p w14:paraId="6B88AC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1E0A86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0.3597</w:t>
            </w:r>
          </w:p>
        </w:tc>
        <w:tc>
          <w:tcPr>
            <w:tcW w:w="625" w:type="pct"/>
            <w:noWrap w:val="0"/>
            <w:vAlign w:val="center"/>
          </w:tcPr>
          <w:p w14:paraId="4CABF1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0" w:type="auto"/>
            <w:noWrap w:val="0"/>
            <w:vAlign w:val="center"/>
          </w:tcPr>
          <w:p w14:paraId="30273A82">
            <w:pPr>
              <w:pStyle w:val="25"/>
              <w:bidi w:val="0"/>
              <w:jc w:val="center"/>
              <w:rPr>
                <w:color w:val="auto"/>
                <w:u w:val="none" w:color="auto"/>
              </w:rPr>
            </w:pPr>
          </w:p>
        </w:tc>
      </w:tr>
      <w:tr w14:paraId="56324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2F2EA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69C455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623" w:type="pct"/>
            <w:noWrap w:val="0"/>
            <w:vAlign w:val="center"/>
          </w:tcPr>
          <w:p w14:paraId="6C2DA4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5.2531</w:t>
            </w:r>
          </w:p>
        </w:tc>
        <w:tc>
          <w:tcPr>
            <w:tcW w:w="623" w:type="pct"/>
            <w:noWrap w:val="0"/>
            <w:vAlign w:val="center"/>
          </w:tcPr>
          <w:p w14:paraId="23577C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c>
          <w:tcPr>
            <w:tcW w:w="623" w:type="pct"/>
            <w:gridSpan w:val="2"/>
            <w:noWrap w:val="0"/>
            <w:vAlign w:val="center"/>
          </w:tcPr>
          <w:p w14:paraId="5D7250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0.2228</w:t>
            </w:r>
          </w:p>
        </w:tc>
        <w:tc>
          <w:tcPr>
            <w:tcW w:w="623" w:type="pct"/>
            <w:noWrap w:val="0"/>
            <w:vAlign w:val="center"/>
          </w:tcPr>
          <w:p w14:paraId="789F7C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108131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0.2931</w:t>
            </w:r>
          </w:p>
        </w:tc>
        <w:tc>
          <w:tcPr>
            <w:tcW w:w="625" w:type="pct"/>
            <w:noWrap w:val="0"/>
            <w:vAlign w:val="center"/>
          </w:tcPr>
          <w:p w14:paraId="5BAED3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0.59</w:t>
            </w:r>
          </w:p>
        </w:tc>
        <w:tc>
          <w:tcPr>
            <w:tcW w:w="0" w:type="auto"/>
            <w:noWrap w:val="0"/>
            <w:vAlign w:val="center"/>
          </w:tcPr>
          <w:p w14:paraId="7D991F31">
            <w:pPr>
              <w:pStyle w:val="25"/>
              <w:bidi w:val="0"/>
              <w:jc w:val="center"/>
              <w:rPr>
                <w:color w:val="auto"/>
                <w:u w:val="none" w:color="auto"/>
              </w:rPr>
            </w:pPr>
          </w:p>
        </w:tc>
      </w:tr>
      <w:tr w14:paraId="59779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EE7A4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6D7E98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623" w:type="pct"/>
            <w:noWrap w:val="0"/>
            <w:vAlign w:val="center"/>
          </w:tcPr>
          <w:p w14:paraId="677A1D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4.3987</w:t>
            </w:r>
          </w:p>
        </w:tc>
        <w:tc>
          <w:tcPr>
            <w:tcW w:w="623" w:type="pct"/>
            <w:noWrap w:val="0"/>
            <w:vAlign w:val="center"/>
          </w:tcPr>
          <w:p w14:paraId="20371E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623" w:type="pct"/>
            <w:gridSpan w:val="2"/>
            <w:noWrap w:val="0"/>
            <w:vAlign w:val="center"/>
          </w:tcPr>
          <w:p w14:paraId="5AD02E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0.1866</w:t>
            </w:r>
          </w:p>
        </w:tc>
        <w:tc>
          <w:tcPr>
            <w:tcW w:w="623" w:type="pct"/>
            <w:noWrap w:val="0"/>
            <w:vAlign w:val="center"/>
          </w:tcPr>
          <w:p w14:paraId="63281D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41C3E2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0.2455</w:t>
            </w:r>
          </w:p>
        </w:tc>
        <w:tc>
          <w:tcPr>
            <w:tcW w:w="625" w:type="pct"/>
            <w:noWrap w:val="0"/>
            <w:vAlign w:val="center"/>
          </w:tcPr>
          <w:p w14:paraId="29FDB4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0" w:type="auto"/>
            <w:noWrap w:val="0"/>
            <w:vAlign w:val="center"/>
          </w:tcPr>
          <w:p w14:paraId="36F736A5">
            <w:pPr>
              <w:pStyle w:val="25"/>
              <w:bidi w:val="0"/>
              <w:jc w:val="center"/>
              <w:rPr>
                <w:color w:val="auto"/>
                <w:u w:val="none" w:color="auto"/>
              </w:rPr>
            </w:pPr>
          </w:p>
        </w:tc>
      </w:tr>
      <w:tr w14:paraId="3612C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2D98D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735E1E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623" w:type="pct"/>
            <w:noWrap w:val="0"/>
            <w:vAlign w:val="center"/>
          </w:tcPr>
          <w:p w14:paraId="4958B2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3.757</w:t>
            </w:r>
          </w:p>
        </w:tc>
        <w:tc>
          <w:tcPr>
            <w:tcW w:w="623" w:type="pct"/>
            <w:noWrap w:val="0"/>
            <w:vAlign w:val="center"/>
          </w:tcPr>
          <w:p w14:paraId="63CE75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623" w:type="pct"/>
            <w:gridSpan w:val="2"/>
            <w:noWrap w:val="0"/>
            <w:vAlign w:val="center"/>
          </w:tcPr>
          <w:p w14:paraId="5CCF06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0.1593</w:t>
            </w:r>
          </w:p>
        </w:tc>
        <w:tc>
          <w:tcPr>
            <w:tcW w:w="623" w:type="pct"/>
            <w:noWrap w:val="0"/>
            <w:vAlign w:val="center"/>
          </w:tcPr>
          <w:p w14:paraId="2FA3B0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0FC8B9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0.2097</w:t>
            </w:r>
          </w:p>
        </w:tc>
        <w:tc>
          <w:tcPr>
            <w:tcW w:w="625" w:type="pct"/>
            <w:noWrap w:val="0"/>
            <w:vAlign w:val="center"/>
          </w:tcPr>
          <w:p w14:paraId="2450E5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0" w:type="auto"/>
            <w:noWrap w:val="0"/>
            <w:vAlign w:val="center"/>
          </w:tcPr>
          <w:p w14:paraId="51A1A059">
            <w:pPr>
              <w:pStyle w:val="25"/>
              <w:bidi w:val="0"/>
              <w:jc w:val="center"/>
              <w:rPr>
                <w:color w:val="auto"/>
                <w:u w:val="none" w:color="auto"/>
              </w:rPr>
            </w:pPr>
          </w:p>
        </w:tc>
      </w:tr>
      <w:tr w14:paraId="30099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2ED87A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5" w:type="pct"/>
            <w:noWrap w:val="0"/>
            <w:vAlign w:val="center"/>
          </w:tcPr>
          <w:p w14:paraId="3826E8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23" w:type="pct"/>
            <w:noWrap w:val="0"/>
            <w:vAlign w:val="center"/>
          </w:tcPr>
          <w:p w14:paraId="03FFE9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3.2614</w:t>
            </w:r>
          </w:p>
        </w:tc>
        <w:tc>
          <w:tcPr>
            <w:tcW w:w="623" w:type="pct"/>
            <w:noWrap w:val="0"/>
            <w:vAlign w:val="center"/>
          </w:tcPr>
          <w:p w14:paraId="662B22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623" w:type="pct"/>
            <w:gridSpan w:val="2"/>
            <w:noWrap w:val="0"/>
            <w:vAlign w:val="center"/>
          </w:tcPr>
          <w:p w14:paraId="2557F3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0.1383</w:t>
            </w:r>
          </w:p>
        </w:tc>
        <w:tc>
          <w:tcPr>
            <w:tcW w:w="623" w:type="pct"/>
            <w:noWrap w:val="0"/>
            <w:vAlign w:val="center"/>
          </w:tcPr>
          <w:p w14:paraId="1BAB8C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423FE2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0.182</w:t>
            </w:r>
          </w:p>
        </w:tc>
        <w:tc>
          <w:tcPr>
            <w:tcW w:w="625" w:type="pct"/>
            <w:noWrap w:val="0"/>
            <w:vAlign w:val="center"/>
          </w:tcPr>
          <w:p w14:paraId="1AB8F1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0" w:type="auto"/>
            <w:noWrap w:val="0"/>
            <w:vAlign w:val="center"/>
          </w:tcPr>
          <w:p w14:paraId="4154B48C">
            <w:pPr>
              <w:pStyle w:val="25"/>
              <w:bidi w:val="0"/>
              <w:jc w:val="center"/>
              <w:rPr>
                <w:color w:val="auto"/>
                <w:u w:val="none" w:color="auto"/>
              </w:rPr>
            </w:pPr>
          </w:p>
        </w:tc>
      </w:tr>
      <w:tr w14:paraId="11E5A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20005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5" w:type="pct"/>
            <w:noWrap w:val="0"/>
            <w:vAlign w:val="center"/>
          </w:tcPr>
          <w:p w14:paraId="18C2EA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623" w:type="pct"/>
            <w:noWrap w:val="0"/>
            <w:vAlign w:val="center"/>
          </w:tcPr>
          <w:p w14:paraId="2A4097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2.8688</w:t>
            </w:r>
          </w:p>
        </w:tc>
        <w:tc>
          <w:tcPr>
            <w:tcW w:w="623" w:type="pct"/>
            <w:noWrap w:val="0"/>
            <w:vAlign w:val="center"/>
          </w:tcPr>
          <w:p w14:paraId="049405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623" w:type="pct"/>
            <w:gridSpan w:val="2"/>
            <w:noWrap w:val="0"/>
            <w:vAlign w:val="center"/>
          </w:tcPr>
          <w:p w14:paraId="7E9E88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0.1217</w:t>
            </w:r>
          </w:p>
        </w:tc>
        <w:tc>
          <w:tcPr>
            <w:tcW w:w="623" w:type="pct"/>
            <w:noWrap w:val="0"/>
            <w:vAlign w:val="center"/>
          </w:tcPr>
          <w:p w14:paraId="56B98C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22EC61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0.1601</w:t>
            </w:r>
          </w:p>
        </w:tc>
        <w:tc>
          <w:tcPr>
            <w:tcW w:w="625" w:type="pct"/>
            <w:noWrap w:val="0"/>
            <w:vAlign w:val="center"/>
          </w:tcPr>
          <w:p w14:paraId="6086A8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0" w:type="auto"/>
            <w:noWrap w:val="0"/>
            <w:vAlign w:val="center"/>
          </w:tcPr>
          <w:p w14:paraId="2E4E88B7">
            <w:pPr>
              <w:pStyle w:val="25"/>
              <w:bidi w:val="0"/>
              <w:jc w:val="center"/>
              <w:rPr>
                <w:color w:val="auto"/>
                <w:u w:val="none" w:color="auto"/>
              </w:rPr>
            </w:pPr>
          </w:p>
        </w:tc>
      </w:tr>
      <w:tr w14:paraId="0AEE1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B8E9C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5" w:type="pct"/>
            <w:noWrap w:val="0"/>
            <w:vAlign w:val="center"/>
          </w:tcPr>
          <w:p w14:paraId="64CF7C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623" w:type="pct"/>
            <w:noWrap w:val="0"/>
            <w:vAlign w:val="center"/>
          </w:tcPr>
          <w:p w14:paraId="0E5BA6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2.5512</w:t>
            </w:r>
          </w:p>
        </w:tc>
        <w:tc>
          <w:tcPr>
            <w:tcW w:w="623" w:type="pct"/>
            <w:noWrap w:val="0"/>
            <w:vAlign w:val="center"/>
          </w:tcPr>
          <w:p w14:paraId="385E45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623" w:type="pct"/>
            <w:gridSpan w:val="2"/>
            <w:noWrap w:val="0"/>
            <w:vAlign w:val="center"/>
          </w:tcPr>
          <w:p w14:paraId="18A1F3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0.1082</w:t>
            </w:r>
          </w:p>
        </w:tc>
        <w:tc>
          <w:tcPr>
            <w:tcW w:w="623" w:type="pct"/>
            <w:noWrap w:val="0"/>
            <w:vAlign w:val="center"/>
          </w:tcPr>
          <w:p w14:paraId="3DAAFA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14AC2E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0.1424</w:t>
            </w:r>
          </w:p>
        </w:tc>
        <w:tc>
          <w:tcPr>
            <w:tcW w:w="625" w:type="pct"/>
            <w:noWrap w:val="0"/>
            <w:vAlign w:val="center"/>
          </w:tcPr>
          <w:p w14:paraId="6918EC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0" w:type="auto"/>
            <w:noWrap w:val="0"/>
            <w:vAlign w:val="center"/>
          </w:tcPr>
          <w:p w14:paraId="6B86E04E">
            <w:pPr>
              <w:pStyle w:val="25"/>
              <w:bidi w:val="0"/>
              <w:jc w:val="center"/>
              <w:rPr>
                <w:color w:val="auto"/>
                <w:u w:val="none" w:color="auto"/>
              </w:rPr>
            </w:pPr>
          </w:p>
        </w:tc>
      </w:tr>
      <w:tr w14:paraId="22BFD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ED46D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5" w:type="pct"/>
            <w:noWrap w:val="0"/>
            <w:vAlign w:val="center"/>
          </w:tcPr>
          <w:p w14:paraId="00A83C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623" w:type="pct"/>
            <w:noWrap w:val="0"/>
            <w:vAlign w:val="center"/>
          </w:tcPr>
          <w:p w14:paraId="4D7883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2.2899</w:t>
            </w:r>
          </w:p>
        </w:tc>
        <w:tc>
          <w:tcPr>
            <w:tcW w:w="623" w:type="pct"/>
            <w:noWrap w:val="0"/>
            <w:vAlign w:val="center"/>
          </w:tcPr>
          <w:p w14:paraId="4EC6D9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623" w:type="pct"/>
            <w:gridSpan w:val="2"/>
            <w:noWrap w:val="0"/>
            <w:vAlign w:val="center"/>
          </w:tcPr>
          <w:p w14:paraId="281BBD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0.0971</w:t>
            </w:r>
          </w:p>
        </w:tc>
        <w:tc>
          <w:tcPr>
            <w:tcW w:w="623" w:type="pct"/>
            <w:noWrap w:val="0"/>
            <w:vAlign w:val="center"/>
          </w:tcPr>
          <w:p w14:paraId="2DD87F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42E95D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0.1278</w:t>
            </w:r>
          </w:p>
        </w:tc>
        <w:tc>
          <w:tcPr>
            <w:tcW w:w="625" w:type="pct"/>
            <w:noWrap w:val="0"/>
            <w:vAlign w:val="center"/>
          </w:tcPr>
          <w:p w14:paraId="248B15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0" w:type="auto"/>
            <w:noWrap w:val="0"/>
            <w:vAlign w:val="center"/>
          </w:tcPr>
          <w:p w14:paraId="49C23314">
            <w:pPr>
              <w:pStyle w:val="25"/>
              <w:bidi w:val="0"/>
              <w:jc w:val="center"/>
              <w:rPr>
                <w:color w:val="auto"/>
                <w:u w:val="none" w:color="auto"/>
              </w:rPr>
            </w:pPr>
          </w:p>
        </w:tc>
      </w:tr>
      <w:tr w14:paraId="16A09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B54F7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0C269E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623" w:type="pct"/>
            <w:noWrap w:val="0"/>
            <w:vAlign w:val="center"/>
          </w:tcPr>
          <w:p w14:paraId="432B93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2.0717</w:t>
            </w:r>
          </w:p>
        </w:tc>
        <w:tc>
          <w:tcPr>
            <w:tcW w:w="623" w:type="pct"/>
            <w:noWrap w:val="0"/>
            <w:vAlign w:val="center"/>
          </w:tcPr>
          <w:p w14:paraId="2023AB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623" w:type="pct"/>
            <w:gridSpan w:val="2"/>
            <w:noWrap w:val="0"/>
            <w:vAlign w:val="center"/>
          </w:tcPr>
          <w:p w14:paraId="5B011D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0.0879</w:t>
            </w:r>
          </w:p>
        </w:tc>
        <w:tc>
          <w:tcPr>
            <w:tcW w:w="623" w:type="pct"/>
            <w:noWrap w:val="0"/>
            <w:vAlign w:val="center"/>
          </w:tcPr>
          <w:p w14:paraId="2203FD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43A5ED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0.1156</w:t>
            </w:r>
          </w:p>
        </w:tc>
        <w:tc>
          <w:tcPr>
            <w:tcW w:w="625" w:type="pct"/>
            <w:noWrap w:val="0"/>
            <w:vAlign w:val="center"/>
          </w:tcPr>
          <w:p w14:paraId="0E8155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0" w:type="auto"/>
            <w:noWrap w:val="0"/>
            <w:vAlign w:val="center"/>
          </w:tcPr>
          <w:p w14:paraId="208BF250">
            <w:pPr>
              <w:pStyle w:val="25"/>
              <w:bidi w:val="0"/>
              <w:jc w:val="center"/>
              <w:rPr>
                <w:color w:val="auto"/>
                <w:u w:val="none" w:color="auto"/>
              </w:rPr>
            </w:pPr>
          </w:p>
        </w:tc>
      </w:tr>
      <w:tr w14:paraId="05F81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F75F6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1E143D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623" w:type="pct"/>
            <w:noWrap w:val="0"/>
            <w:vAlign w:val="center"/>
          </w:tcPr>
          <w:p w14:paraId="5B7172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1.8871</w:t>
            </w:r>
          </w:p>
        </w:tc>
        <w:tc>
          <w:tcPr>
            <w:tcW w:w="623" w:type="pct"/>
            <w:noWrap w:val="0"/>
            <w:vAlign w:val="center"/>
          </w:tcPr>
          <w:p w14:paraId="01F79D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623" w:type="pct"/>
            <w:gridSpan w:val="2"/>
            <w:noWrap w:val="0"/>
            <w:vAlign w:val="center"/>
          </w:tcPr>
          <w:p w14:paraId="0093E7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623" w:type="pct"/>
            <w:noWrap w:val="0"/>
            <w:vAlign w:val="center"/>
          </w:tcPr>
          <w:p w14:paraId="1F8FE6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663637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0.1053</w:t>
            </w:r>
          </w:p>
        </w:tc>
        <w:tc>
          <w:tcPr>
            <w:tcW w:w="625" w:type="pct"/>
            <w:noWrap w:val="0"/>
            <w:vAlign w:val="center"/>
          </w:tcPr>
          <w:p w14:paraId="6301DB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0" w:type="auto"/>
            <w:noWrap w:val="0"/>
            <w:vAlign w:val="center"/>
          </w:tcPr>
          <w:p w14:paraId="4BE2CAC2">
            <w:pPr>
              <w:pStyle w:val="25"/>
              <w:bidi w:val="0"/>
              <w:jc w:val="center"/>
              <w:rPr>
                <w:color w:val="auto"/>
                <w:u w:val="none" w:color="auto"/>
              </w:rPr>
            </w:pPr>
          </w:p>
        </w:tc>
      </w:tr>
      <w:tr w14:paraId="4294A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146C39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5" w:type="pct"/>
            <w:noWrap w:val="0"/>
            <w:vAlign w:val="center"/>
          </w:tcPr>
          <w:p w14:paraId="7B8E01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623" w:type="pct"/>
            <w:noWrap w:val="0"/>
            <w:vAlign w:val="center"/>
          </w:tcPr>
          <w:p w14:paraId="043544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1.7292</w:t>
            </w:r>
          </w:p>
        </w:tc>
        <w:tc>
          <w:tcPr>
            <w:tcW w:w="623" w:type="pct"/>
            <w:noWrap w:val="0"/>
            <w:vAlign w:val="center"/>
          </w:tcPr>
          <w:p w14:paraId="3408CA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623" w:type="pct"/>
            <w:gridSpan w:val="2"/>
            <w:noWrap w:val="0"/>
            <w:vAlign w:val="center"/>
          </w:tcPr>
          <w:p w14:paraId="364575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0.0733</w:t>
            </w:r>
          </w:p>
        </w:tc>
        <w:tc>
          <w:tcPr>
            <w:tcW w:w="623" w:type="pct"/>
            <w:noWrap w:val="0"/>
            <w:vAlign w:val="center"/>
          </w:tcPr>
          <w:p w14:paraId="308A6C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5EAA88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0.0965</w:t>
            </w:r>
          </w:p>
        </w:tc>
        <w:tc>
          <w:tcPr>
            <w:tcW w:w="625" w:type="pct"/>
            <w:noWrap w:val="0"/>
            <w:vAlign w:val="center"/>
          </w:tcPr>
          <w:p w14:paraId="649730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0" w:type="auto"/>
            <w:noWrap w:val="0"/>
            <w:vAlign w:val="center"/>
          </w:tcPr>
          <w:p w14:paraId="0D1958AB">
            <w:pPr>
              <w:pStyle w:val="25"/>
              <w:bidi w:val="0"/>
              <w:jc w:val="center"/>
              <w:rPr>
                <w:color w:val="auto"/>
                <w:u w:val="none" w:color="auto"/>
              </w:rPr>
            </w:pPr>
          </w:p>
        </w:tc>
      </w:tr>
      <w:tr w14:paraId="5F992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2AF31C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7A616E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623" w:type="pct"/>
            <w:noWrap w:val="0"/>
            <w:vAlign w:val="center"/>
          </w:tcPr>
          <w:p w14:paraId="67E38D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1.5929</w:t>
            </w:r>
          </w:p>
        </w:tc>
        <w:tc>
          <w:tcPr>
            <w:tcW w:w="623" w:type="pct"/>
            <w:noWrap w:val="0"/>
            <w:vAlign w:val="center"/>
          </w:tcPr>
          <w:p w14:paraId="271E72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623" w:type="pct"/>
            <w:gridSpan w:val="2"/>
            <w:noWrap w:val="0"/>
            <w:vAlign w:val="center"/>
          </w:tcPr>
          <w:p w14:paraId="4B972A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0.0676</w:t>
            </w:r>
          </w:p>
        </w:tc>
        <w:tc>
          <w:tcPr>
            <w:tcW w:w="623" w:type="pct"/>
            <w:noWrap w:val="0"/>
            <w:vAlign w:val="center"/>
          </w:tcPr>
          <w:p w14:paraId="542ECD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7E95DF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0.0889</w:t>
            </w:r>
          </w:p>
        </w:tc>
        <w:tc>
          <w:tcPr>
            <w:tcW w:w="625" w:type="pct"/>
            <w:noWrap w:val="0"/>
            <w:vAlign w:val="center"/>
          </w:tcPr>
          <w:p w14:paraId="7952EF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0" w:type="auto"/>
            <w:noWrap w:val="0"/>
            <w:vAlign w:val="center"/>
          </w:tcPr>
          <w:p w14:paraId="42B4A63B">
            <w:pPr>
              <w:pStyle w:val="25"/>
              <w:bidi w:val="0"/>
              <w:jc w:val="center"/>
              <w:rPr>
                <w:color w:val="auto"/>
                <w:u w:val="none" w:color="auto"/>
              </w:rPr>
            </w:pPr>
          </w:p>
        </w:tc>
      </w:tr>
      <w:tr w14:paraId="64F7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83379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2EBC9A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623" w:type="pct"/>
            <w:noWrap w:val="0"/>
            <w:vAlign w:val="center"/>
          </w:tcPr>
          <w:p w14:paraId="7F8986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1.4741</w:t>
            </w:r>
          </w:p>
        </w:tc>
        <w:tc>
          <w:tcPr>
            <w:tcW w:w="623" w:type="pct"/>
            <w:noWrap w:val="0"/>
            <w:vAlign w:val="center"/>
          </w:tcPr>
          <w:p w14:paraId="547DC0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23" w:type="pct"/>
            <w:gridSpan w:val="2"/>
            <w:noWrap w:val="0"/>
            <w:vAlign w:val="center"/>
          </w:tcPr>
          <w:p w14:paraId="773CF2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0.0625</w:t>
            </w:r>
          </w:p>
        </w:tc>
        <w:tc>
          <w:tcPr>
            <w:tcW w:w="623" w:type="pct"/>
            <w:noWrap w:val="0"/>
            <w:vAlign w:val="center"/>
          </w:tcPr>
          <w:p w14:paraId="24E5EF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2C5CF1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0.0823</w:t>
            </w:r>
          </w:p>
        </w:tc>
        <w:tc>
          <w:tcPr>
            <w:tcW w:w="625" w:type="pct"/>
            <w:noWrap w:val="0"/>
            <w:vAlign w:val="center"/>
          </w:tcPr>
          <w:p w14:paraId="2A6EA4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0" w:type="auto"/>
            <w:noWrap w:val="0"/>
            <w:vAlign w:val="center"/>
          </w:tcPr>
          <w:p w14:paraId="4AC4F5D2">
            <w:pPr>
              <w:pStyle w:val="25"/>
              <w:bidi w:val="0"/>
              <w:jc w:val="center"/>
              <w:rPr>
                <w:color w:val="auto"/>
                <w:u w:val="none" w:color="auto"/>
              </w:rPr>
            </w:pPr>
          </w:p>
        </w:tc>
      </w:tr>
      <w:tr w14:paraId="629D5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77E8A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25" w:type="pct"/>
            <w:noWrap w:val="0"/>
            <w:vAlign w:val="center"/>
          </w:tcPr>
          <w:p w14:paraId="5C5B87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623" w:type="pct"/>
            <w:noWrap w:val="0"/>
            <w:vAlign w:val="center"/>
          </w:tcPr>
          <w:p w14:paraId="209811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623" w:type="pct"/>
            <w:noWrap w:val="0"/>
            <w:vAlign w:val="center"/>
          </w:tcPr>
          <w:p w14:paraId="1269A2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623" w:type="pct"/>
            <w:gridSpan w:val="2"/>
            <w:noWrap w:val="0"/>
            <w:vAlign w:val="center"/>
          </w:tcPr>
          <w:p w14:paraId="5E4E92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0.0581</w:t>
            </w:r>
          </w:p>
        </w:tc>
        <w:tc>
          <w:tcPr>
            <w:tcW w:w="623" w:type="pct"/>
            <w:noWrap w:val="0"/>
            <w:vAlign w:val="center"/>
          </w:tcPr>
          <w:p w14:paraId="1FD96D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4557E1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0.0765</w:t>
            </w:r>
          </w:p>
        </w:tc>
        <w:tc>
          <w:tcPr>
            <w:tcW w:w="625" w:type="pct"/>
            <w:noWrap w:val="0"/>
            <w:vAlign w:val="center"/>
          </w:tcPr>
          <w:p w14:paraId="23AC4D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0" w:type="auto"/>
            <w:noWrap w:val="0"/>
            <w:vAlign w:val="center"/>
          </w:tcPr>
          <w:p w14:paraId="0EA1F704">
            <w:pPr>
              <w:pStyle w:val="25"/>
              <w:bidi w:val="0"/>
              <w:jc w:val="center"/>
              <w:rPr>
                <w:color w:val="auto"/>
                <w:u w:val="none" w:color="auto"/>
              </w:rPr>
            </w:pPr>
          </w:p>
        </w:tc>
      </w:tr>
      <w:tr w14:paraId="487A9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BEADE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030660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623" w:type="pct"/>
            <w:noWrap w:val="0"/>
            <w:vAlign w:val="center"/>
          </w:tcPr>
          <w:p w14:paraId="5B2DB6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1.2779</w:t>
            </w:r>
          </w:p>
        </w:tc>
        <w:tc>
          <w:tcPr>
            <w:tcW w:w="623" w:type="pct"/>
            <w:noWrap w:val="0"/>
            <w:vAlign w:val="center"/>
          </w:tcPr>
          <w:p w14:paraId="785537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623" w:type="pct"/>
            <w:gridSpan w:val="2"/>
            <w:noWrap w:val="0"/>
            <w:vAlign w:val="center"/>
          </w:tcPr>
          <w:p w14:paraId="33CA2A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0.0542</w:t>
            </w:r>
          </w:p>
        </w:tc>
        <w:tc>
          <w:tcPr>
            <w:tcW w:w="623" w:type="pct"/>
            <w:noWrap w:val="0"/>
            <w:vAlign w:val="center"/>
          </w:tcPr>
          <w:p w14:paraId="72DE82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1447D5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0.0713</w:t>
            </w:r>
          </w:p>
        </w:tc>
        <w:tc>
          <w:tcPr>
            <w:tcW w:w="625" w:type="pct"/>
            <w:noWrap w:val="0"/>
            <w:vAlign w:val="center"/>
          </w:tcPr>
          <w:p w14:paraId="16F83A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0" w:type="auto"/>
            <w:noWrap w:val="0"/>
            <w:vAlign w:val="center"/>
          </w:tcPr>
          <w:p w14:paraId="655BA66B">
            <w:pPr>
              <w:pStyle w:val="25"/>
              <w:bidi w:val="0"/>
              <w:jc w:val="center"/>
              <w:rPr>
                <w:color w:val="auto"/>
                <w:u w:val="none" w:color="auto"/>
              </w:rPr>
            </w:pPr>
          </w:p>
        </w:tc>
      </w:tr>
      <w:tr w14:paraId="2479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9EF49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5" w:type="pct"/>
            <w:noWrap w:val="0"/>
            <w:vAlign w:val="center"/>
          </w:tcPr>
          <w:p w14:paraId="3045E5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623" w:type="pct"/>
            <w:noWrap w:val="0"/>
            <w:vAlign w:val="center"/>
          </w:tcPr>
          <w:p w14:paraId="66DDCA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1.196</w:t>
            </w:r>
          </w:p>
        </w:tc>
        <w:tc>
          <w:tcPr>
            <w:tcW w:w="623" w:type="pct"/>
            <w:noWrap w:val="0"/>
            <w:vAlign w:val="center"/>
          </w:tcPr>
          <w:p w14:paraId="6B1FE4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23" w:type="pct"/>
            <w:gridSpan w:val="2"/>
            <w:noWrap w:val="0"/>
            <w:vAlign w:val="center"/>
          </w:tcPr>
          <w:p w14:paraId="6FDBAD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0.0507</w:t>
            </w:r>
          </w:p>
        </w:tc>
        <w:tc>
          <w:tcPr>
            <w:tcW w:w="623" w:type="pct"/>
            <w:noWrap w:val="0"/>
            <w:vAlign w:val="center"/>
          </w:tcPr>
          <w:p w14:paraId="459B70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30D387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0.0667</w:t>
            </w:r>
          </w:p>
        </w:tc>
        <w:tc>
          <w:tcPr>
            <w:tcW w:w="625" w:type="pct"/>
            <w:noWrap w:val="0"/>
            <w:vAlign w:val="center"/>
          </w:tcPr>
          <w:p w14:paraId="0B556D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0" w:type="auto"/>
            <w:noWrap w:val="0"/>
            <w:vAlign w:val="center"/>
          </w:tcPr>
          <w:p w14:paraId="54D539A5">
            <w:pPr>
              <w:pStyle w:val="25"/>
              <w:bidi w:val="0"/>
              <w:jc w:val="center"/>
              <w:rPr>
                <w:color w:val="auto"/>
                <w:u w:val="none" w:color="auto"/>
              </w:rPr>
            </w:pPr>
          </w:p>
        </w:tc>
      </w:tr>
      <w:tr w14:paraId="573FF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58514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4DC084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623" w:type="pct"/>
            <w:noWrap w:val="0"/>
            <w:vAlign w:val="center"/>
          </w:tcPr>
          <w:p w14:paraId="106B71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1.1228</w:t>
            </w:r>
          </w:p>
        </w:tc>
        <w:tc>
          <w:tcPr>
            <w:tcW w:w="623" w:type="pct"/>
            <w:noWrap w:val="0"/>
            <w:vAlign w:val="center"/>
          </w:tcPr>
          <w:p w14:paraId="189840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623" w:type="pct"/>
            <w:gridSpan w:val="2"/>
            <w:noWrap w:val="0"/>
            <w:vAlign w:val="center"/>
          </w:tcPr>
          <w:p w14:paraId="729258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0.0476</w:t>
            </w:r>
          </w:p>
        </w:tc>
        <w:tc>
          <w:tcPr>
            <w:tcW w:w="623" w:type="pct"/>
            <w:noWrap w:val="0"/>
            <w:vAlign w:val="center"/>
          </w:tcPr>
          <w:p w14:paraId="6DD356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6D0545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0.0627</w:t>
            </w:r>
          </w:p>
        </w:tc>
        <w:tc>
          <w:tcPr>
            <w:tcW w:w="625" w:type="pct"/>
            <w:noWrap w:val="0"/>
            <w:vAlign w:val="center"/>
          </w:tcPr>
          <w:p w14:paraId="6E06B4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0" w:type="auto"/>
            <w:noWrap w:val="0"/>
            <w:vAlign w:val="center"/>
          </w:tcPr>
          <w:p w14:paraId="33B7E816">
            <w:pPr>
              <w:pStyle w:val="25"/>
              <w:bidi w:val="0"/>
              <w:jc w:val="center"/>
              <w:rPr>
                <w:color w:val="auto"/>
                <w:u w:val="none" w:color="auto"/>
              </w:rPr>
            </w:pPr>
          </w:p>
        </w:tc>
      </w:tr>
      <w:tr w14:paraId="66BF9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10DA7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20BAA1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623" w:type="pct"/>
            <w:noWrap w:val="0"/>
            <w:vAlign w:val="center"/>
          </w:tcPr>
          <w:p w14:paraId="7DB02D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1.057</w:t>
            </w:r>
          </w:p>
        </w:tc>
        <w:tc>
          <w:tcPr>
            <w:tcW w:w="623" w:type="pct"/>
            <w:noWrap w:val="0"/>
            <w:vAlign w:val="center"/>
          </w:tcPr>
          <w:p w14:paraId="40616A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623" w:type="pct"/>
            <w:gridSpan w:val="2"/>
            <w:noWrap w:val="0"/>
            <w:vAlign w:val="center"/>
          </w:tcPr>
          <w:p w14:paraId="7D79BB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0.0448</w:t>
            </w:r>
          </w:p>
        </w:tc>
        <w:tc>
          <w:tcPr>
            <w:tcW w:w="623" w:type="pct"/>
            <w:noWrap w:val="0"/>
            <w:vAlign w:val="center"/>
          </w:tcPr>
          <w:p w14:paraId="506C83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422DF8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0.059</w:t>
            </w:r>
          </w:p>
        </w:tc>
        <w:tc>
          <w:tcPr>
            <w:tcW w:w="625" w:type="pct"/>
            <w:noWrap w:val="0"/>
            <w:vAlign w:val="center"/>
          </w:tcPr>
          <w:p w14:paraId="3A523F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0" w:type="auto"/>
            <w:noWrap w:val="0"/>
            <w:vAlign w:val="center"/>
          </w:tcPr>
          <w:p w14:paraId="702282A0">
            <w:pPr>
              <w:pStyle w:val="25"/>
              <w:bidi w:val="0"/>
              <w:jc w:val="center"/>
              <w:rPr>
                <w:color w:val="auto"/>
                <w:u w:val="none" w:color="auto"/>
              </w:rPr>
            </w:pPr>
          </w:p>
        </w:tc>
      </w:tr>
      <w:tr w14:paraId="200C9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0C0E8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5" w:type="pct"/>
            <w:noWrap w:val="0"/>
            <w:vAlign w:val="center"/>
          </w:tcPr>
          <w:p w14:paraId="4DF793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623" w:type="pct"/>
            <w:noWrap w:val="0"/>
            <w:vAlign w:val="center"/>
          </w:tcPr>
          <w:p w14:paraId="2D332F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0.9977</w:t>
            </w:r>
          </w:p>
        </w:tc>
        <w:tc>
          <w:tcPr>
            <w:tcW w:w="623" w:type="pct"/>
            <w:noWrap w:val="0"/>
            <w:vAlign w:val="center"/>
          </w:tcPr>
          <w:p w14:paraId="586AF8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23" w:type="pct"/>
            <w:gridSpan w:val="2"/>
            <w:noWrap w:val="0"/>
            <w:vAlign w:val="center"/>
          </w:tcPr>
          <w:p w14:paraId="63EEA4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0.0423</w:t>
            </w:r>
          </w:p>
        </w:tc>
        <w:tc>
          <w:tcPr>
            <w:tcW w:w="623" w:type="pct"/>
            <w:noWrap w:val="0"/>
            <w:vAlign w:val="center"/>
          </w:tcPr>
          <w:p w14:paraId="4748E5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0B4875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0.0557</w:t>
            </w:r>
          </w:p>
        </w:tc>
        <w:tc>
          <w:tcPr>
            <w:tcW w:w="625" w:type="pct"/>
            <w:noWrap w:val="0"/>
            <w:vAlign w:val="center"/>
          </w:tcPr>
          <w:p w14:paraId="319552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0" w:type="auto"/>
            <w:noWrap w:val="0"/>
            <w:vAlign w:val="center"/>
          </w:tcPr>
          <w:p w14:paraId="468CD88B">
            <w:pPr>
              <w:pStyle w:val="25"/>
              <w:bidi w:val="0"/>
              <w:jc w:val="center"/>
              <w:rPr>
                <w:color w:val="auto"/>
                <w:u w:val="none" w:color="auto"/>
              </w:rPr>
            </w:pPr>
          </w:p>
        </w:tc>
      </w:tr>
      <w:tr w14:paraId="4F1EE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C0B92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5" w:type="pct"/>
            <w:noWrap w:val="0"/>
            <w:vAlign w:val="center"/>
          </w:tcPr>
          <w:p w14:paraId="23CE97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623" w:type="pct"/>
            <w:noWrap w:val="0"/>
            <w:vAlign w:val="center"/>
          </w:tcPr>
          <w:p w14:paraId="15D898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0.9439</w:t>
            </w:r>
          </w:p>
        </w:tc>
        <w:tc>
          <w:tcPr>
            <w:tcW w:w="623" w:type="pct"/>
            <w:noWrap w:val="0"/>
            <w:vAlign w:val="center"/>
          </w:tcPr>
          <w:p w14:paraId="14A822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23" w:type="pct"/>
            <w:gridSpan w:val="2"/>
            <w:noWrap w:val="0"/>
            <w:vAlign w:val="center"/>
          </w:tcPr>
          <w:p w14:paraId="6FE564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623" w:type="pct"/>
            <w:noWrap w:val="0"/>
            <w:vAlign w:val="center"/>
          </w:tcPr>
          <w:p w14:paraId="3F0E6D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3" w:type="pct"/>
            <w:gridSpan w:val="2"/>
            <w:noWrap w:val="0"/>
            <w:vAlign w:val="center"/>
          </w:tcPr>
          <w:p w14:paraId="378E18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0.0527</w:t>
            </w:r>
          </w:p>
        </w:tc>
        <w:tc>
          <w:tcPr>
            <w:tcW w:w="625" w:type="pct"/>
            <w:noWrap w:val="0"/>
            <w:vAlign w:val="center"/>
          </w:tcPr>
          <w:p w14:paraId="53EE47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0" w:type="auto"/>
            <w:noWrap w:val="0"/>
            <w:vAlign w:val="center"/>
          </w:tcPr>
          <w:p w14:paraId="55394F7E">
            <w:pPr>
              <w:pStyle w:val="25"/>
              <w:bidi w:val="0"/>
              <w:jc w:val="center"/>
              <w:rPr>
                <w:color w:val="auto"/>
                <w:u w:val="none" w:color="auto"/>
              </w:rPr>
            </w:pPr>
          </w:p>
        </w:tc>
      </w:tr>
      <w:tr w14:paraId="11626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gridSpan w:val="2"/>
            <w:noWrap w:val="0"/>
            <w:vAlign w:val="center"/>
          </w:tcPr>
          <w:p w14:paraId="577A93A2">
            <w:pPr>
              <w:pStyle w:val="25"/>
              <w:bidi w:val="0"/>
              <w:jc w:val="center"/>
              <w:rPr>
                <w:rFonts w:hint="eastAsia"/>
                <w:color w:val="auto"/>
                <w:u w:val="none" w:color="auto"/>
                <w:lang w:val="en-US" w:eastAsia="zh-CN"/>
              </w:rPr>
            </w:pPr>
            <w:r>
              <w:rPr>
                <w:color w:val="auto"/>
                <w:u w:val="none" w:color="auto"/>
              </w:rPr>
              <w:t>下风向最大质量浓度及占标率</w:t>
            </w:r>
          </w:p>
        </w:tc>
        <w:tc>
          <w:tcPr>
            <w:tcW w:w="623" w:type="pct"/>
            <w:noWrap w:val="0"/>
            <w:vAlign w:val="center"/>
          </w:tcPr>
          <w:p w14:paraId="2D29B51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62.905</w:t>
            </w:r>
          </w:p>
        </w:tc>
        <w:tc>
          <w:tcPr>
            <w:tcW w:w="623" w:type="pct"/>
            <w:noWrap w:val="0"/>
            <w:vAlign w:val="center"/>
          </w:tcPr>
          <w:p w14:paraId="0193021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6.99</w:t>
            </w:r>
          </w:p>
        </w:tc>
        <w:tc>
          <w:tcPr>
            <w:tcW w:w="623" w:type="pct"/>
            <w:gridSpan w:val="2"/>
            <w:noWrap w:val="0"/>
            <w:vAlign w:val="center"/>
          </w:tcPr>
          <w:p w14:paraId="62AD0E7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2.6678</w:t>
            </w:r>
          </w:p>
        </w:tc>
        <w:tc>
          <w:tcPr>
            <w:tcW w:w="623" w:type="pct"/>
            <w:noWrap w:val="0"/>
            <w:vAlign w:val="center"/>
          </w:tcPr>
          <w:p w14:paraId="429BCB9F">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0.22</w:t>
            </w:r>
          </w:p>
        </w:tc>
        <w:tc>
          <w:tcPr>
            <w:tcW w:w="623" w:type="pct"/>
            <w:gridSpan w:val="2"/>
            <w:noWrap w:val="0"/>
            <w:vAlign w:val="center"/>
          </w:tcPr>
          <w:p w14:paraId="43D5B3B3">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3.5103</w:t>
            </w:r>
          </w:p>
        </w:tc>
        <w:tc>
          <w:tcPr>
            <w:tcW w:w="625" w:type="pct"/>
            <w:noWrap w:val="0"/>
            <w:vAlign w:val="center"/>
          </w:tcPr>
          <w:p w14:paraId="71C57726">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7.02</w:t>
            </w:r>
          </w:p>
        </w:tc>
        <w:tc>
          <w:tcPr>
            <w:tcW w:w="0" w:type="auto"/>
            <w:noWrap w:val="0"/>
            <w:vAlign w:val="center"/>
          </w:tcPr>
          <w:p w14:paraId="79861C07">
            <w:pPr>
              <w:pStyle w:val="25"/>
              <w:bidi w:val="0"/>
              <w:jc w:val="center"/>
              <w:rPr>
                <w:color w:val="auto"/>
                <w:u w:val="none" w:color="auto"/>
              </w:rPr>
            </w:pPr>
          </w:p>
        </w:tc>
      </w:tr>
      <w:tr w14:paraId="48B73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gridSpan w:val="2"/>
            <w:noWrap w:val="0"/>
            <w:vAlign w:val="center"/>
          </w:tcPr>
          <w:p w14:paraId="51B91BCD">
            <w:pPr>
              <w:pStyle w:val="25"/>
              <w:bidi w:val="0"/>
              <w:jc w:val="center"/>
              <w:rPr>
                <w:color w:val="auto"/>
                <w:u w:val="none" w:color="auto"/>
              </w:rPr>
            </w:pPr>
            <w:r>
              <w:rPr>
                <w:color w:val="auto"/>
                <w:u w:val="none" w:color="auto"/>
              </w:rPr>
              <w:t>D10%最远距离/m</w:t>
            </w:r>
          </w:p>
        </w:tc>
        <w:tc>
          <w:tcPr>
            <w:tcW w:w="3745" w:type="pct"/>
            <w:gridSpan w:val="9"/>
            <w:noWrap w:val="0"/>
            <w:vAlign w:val="center"/>
          </w:tcPr>
          <w:p w14:paraId="1821E1D9">
            <w:pPr>
              <w:pStyle w:val="25"/>
              <w:bidi w:val="0"/>
              <w:jc w:val="center"/>
              <w:rPr>
                <w:rFonts w:hint="eastAsia"/>
                <w:b/>
                <w:bCs/>
                <w:color w:val="auto"/>
                <w:u w:val="none" w:color="auto"/>
                <w:lang w:val="en-US" w:eastAsia="zh-CN"/>
              </w:rPr>
            </w:pPr>
            <w:r>
              <w:rPr>
                <w:color w:val="auto"/>
                <w:u w:val="none" w:color="auto"/>
              </w:rPr>
              <w:t>/</w:t>
            </w:r>
          </w:p>
        </w:tc>
      </w:tr>
    </w:tbl>
    <w:p w14:paraId="2DDC6DEC">
      <w:pPr>
        <w:pStyle w:val="21"/>
        <w:ind w:firstLine="480"/>
        <w:rPr>
          <w:rFonts w:hint="eastAsia" w:ascii="Times New Roman" w:hAnsi="Times New Roman" w:cs="Times New Roman"/>
          <w:b/>
          <w:bCs/>
          <w:color w:val="auto"/>
          <w:u w:val="none" w:color="auto"/>
          <w:lang w:val="en-US" w:eastAsia="zh-CN"/>
        </w:rPr>
      </w:pPr>
      <w:r>
        <w:rPr>
          <w:rFonts w:hint="eastAsia" w:ascii="Times New Roman" w:hAnsi="Times New Roman" w:cs="Times New Roman"/>
          <w:b/>
          <w:bCs/>
          <w:color w:val="auto"/>
          <w:u w:val="none" w:color="auto"/>
          <w:lang w:val="en-US" w:eastAsia="zh-CN"/>
        </w:rPr>
        <w:t>3、影响预测分析</w:t>
      </w:r>
    </w:p>
    <w:p w14:paraId="5F9A5969">
      <w:pPr>
        <w:pStyle w:val="21"/>
        <w:bidi w:val="0"/>
        <w:rPr>
          <w:rFonts w:hint="eastAsia"/>
          <w:color w:val="auto"/>
          <w:u w:val="none" w:color="auto"/>
          <w:lang w:val="en-US" w:eastAsia="zh-CN"/>
        </w:rPr>
      </w:pPr>
      <w:r>
        <w:rPr>
          <w:rFonts w:hint="eastAsia"/>
          <w:color w:val="auto"/>
          <w:u w:val="none" w:color="auto"/>
          <w:lang w:val="en-US" w:eastAsia="zh-CN"/>
        </w:rPr>
        <w:t>本项目大气环境影响评价等级为二级。根据《环境影响评价技术导则大气环境》（HJ2.2-2018），二级评价项目不进行进一步预测与评价，只对污染物排放量进行核算。</w:t>
      </w:r>
    </w:p>
    <w:p w14:paraId="69BA1B99">
      <w:pPr>
        <w:pStyle w:val="21"/>
        <w:ind w:firstLine="480"/>
        <w:rPr>
          <w:rFonts w:hint="default" w:ascii="Times New Roman" w:hAnsi="Times New Roman" w:cs="Times New Roman"/>
          <w:b/>
          <w:bCs/>
          <w:color w:val="auto"/>
          <w:u w:val="none" w:color="auto"/>
        </w:rPr>
      </w:pPr>
      <w:r>
        <w:rPr>
          <w:rFonts w:hint="eastAsia" w:ascii="Times New Roman" w:hAnsi="Times New Roman" w:cs="Times New Roman"/>
          <w:b/>
          <w:bCs/>
          <w:color w:val="auto"/>
          <w:u w:val="none" w:color="auto"/>
          <w:lang w:val="en-US" w:eastAsia="zh-CN"/>
        </w:rPr>
        <w:t>4</w:t>
      </w:r>
      <w:r>
        <w:rPr>
          <w:rFonts w:hint="default" w:ascii="Times New Roman" w:hAnsi="Times New Roman" w:cs="Times New Roman"/>
          <w:b/>
          <w:bCs/>
          <w:color w:val="auto"/>
          <w:u w:val="none" w:color="auto"/>
        </w:rPr>
        <w:t>、污染物排放量核算</w:t>
      </w:r>
    </w:p>
    <w:p w14:paraId="191F242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本项目正常工况下大气污染物排放量核算表如下。</w:t>
      </w:r>
    </w:p>
    <w:p w14:paraId="75FE4A47">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5.2-12</w:t>
      </w:r>
      <w:r>
        <w:rPr>
          <w:rFonts w:hint="default"/>
          <w:color w:val="auto"/>
          <w:u w:val="none" w:color="auto"/>
        </w:rPr>
        <w:t xml:space="preserve"> 本项目大气污染物有组织排放量核算表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501"/>
        <w:gridCol w:w="1543"/>
        <w:gridCol w:w="1417"/>
        <w:gridCol w:w="1418"/>
        <w:gridCol w:w="1418"/>
      </w:tblGrid>
      <w:tr w14:paraId="1FBD0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noWrap w:val="0"/>
            <w:vAlign w:val="center"/>
          </w:tcPr>
          <w:p w14:paraId="2CAB440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501" w:type="dxa"/>
            <w:noWrap w:val="0"/>
            <w:vAlign w:val="center"/>
          </w:tcPr>
          <w:p w14:paraId="6984DCC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543" w:type="dxa"/>
            <w:noWrap w:val="0"/>
            <w:vAlign w:val="center"/>
          </w:tcPr>
          <w:p w14:paraId="198F810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w:t>
            </w:r>
          </w:p>
        </w:tc>
        <w:tc>
          <w:tcPr>
            <w:tcW w:w="1417" w:type="dxa"/>
            <w:noWrap w:val="0"/>
            <w:vAlign w:val="center"/>
          </w:tcPr>
          <w:p w14:paraId="0274AE7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核算排放浓度（</w:t>
            </w:r>
            <w:r>
              <w:rPr>
                <w:rFonts w:hint="eastAsia" w:ascii="Times New Roman" w:hAnsi="Times New Roman" w:cs="Times New Roman"/>
                <w:color w:val="auto"/>
                <w:u w:val="none" w:color="auto"/>
                <w:lang w:val="en-US" w:eastAsia="zh-CN"/>
              </w:rPr>
              <w:t>m</w:t>
            </w:r>
            <w:r>
              <w:rPr>
                <w:rFonts w:hint="default" w:ascii="Times New Roman" w:hAnsi="Times New Roman" w:cs="Times New Roman"/>
                <w:color w:val="auto"/>
                <w:u w:val="none" w:color="auto"/>
              </w:rPr>
              <w:t>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p>
        </w:tc>
        <w:tc>
          <w:tcPr>
            <w:tcW w:w="1418" w:type="dxa"/>
            <w:noWrap w:val="0"/>
            <w:vAlign w:val="center"/>
          </w:tcPr>
          <w:p w14:paraId="498354B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核算排放速率（kg/h）</w:t>
            </w:r>
          </w:p>
        </w:tc>
        <w:tc>
          <w:tcPr>
            <w:tcW w:w="1418" w:type="dxa"/>
            <w:noWrap w:val="0"/>
            <w:vAlign w:val="center"/>
          </w:tcPr>
          <w:p w14:paraId="3623780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核算年排放量（t/a）</w:t>
            </w:r>
          </w:p>
        </w:tc>
      </w:tr>
      <w:tr w14:paraId="24A53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4124010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主要排放口</w:t>
            </w:r>
          </w:p>
        </w:tc>
      </w:tr>
      <w:tr w14:paraId="1AC10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restart"/>
            <w:noWrap w:val="0"/>
            <w:vAlign w:val="center"/>
          </w:tcPr>
          <w:p w14:paraId="530B3721">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501" w:type="dxa"/>
            <w:vMerge w:val="restart"/>
            <w:noWrap w:val="0"/>
            <w:vAlign w:val="center"/>
          </w:tcPr>
          <w:p w14:paraId="48EADC26">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DA002排气筒</w:t>
            </w:r>
          </w:p>
        </w:tc>
        <w:tc>
          <w:tcPr>
            <w:tcW w:w="1543" w:type="dxa"/>
            <w:noWrap w:val="0"/>
            <w:vAlign w:val="center"/>
          </w:tcPr>
          <w:p w14:paraId="59AC27D5">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417" w:type="dxa"/>
            <w:noWrap w:val="0"/>
            <w:vAlign w:val="center"/>
          </w:tcPr>
          <w:p w14:paraId="74599C56">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58.334</w:t>
            </w:r>
          </w:p>
        </w:tc>
        <w:tc>
          <w:tcPr>
            <w:tcW w:w="1418" w:type="dxa"/>
            <w:noWrap w:val="0"/>
            <w:vAlign w:val="center"/>
          </w:tcPr>
          <w:p w14:paraId="438274A0">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0.35</w:t>
            </w:r>
          </w:p>
        </w:tc>
        <w:tc>
          <w:tcPr>
            <w:tcW w:w="1418" w:type="dxa"/>
            <w:noWrap w:val="0"/>
            <w:vAlign w:val="center"/>
          </w:tcPr>
          <w:p w14:paraId="15B881BB">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2.1</w:t>
            </w:r>
          </w:p>
        </w:tc>
      </w:tr>
      <w:tr w14:paraId="3A793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4CA3AD9D">
            <w:pPr>
              <w:pStyle w:val="25"/>
              <w:rPr>
                <w:rFonts w:hint="eastAsia" w:ascii="Times New Roman" w:hAnsi="Times New Roman" w:cs="Times New Roman"/>
                <w:color w:val="auto"/>
                <w:u w:val="none" w:color="auto"/>
                <w:lang w:val="en-US" w:eastAsia="zh-CN"/>
              </w:rPr>
            </w:pPr>
          </w:p>
        </w:tc>
        <w:tc>
          <w:tcPr>
            <w:tcW w:w="1501" w:type="dxa"/>
            <w:vMerge w:val="continue"/>
            <w:noWrap w:val="0"/>
            <w:vAlign w:val="center"/>
          </w:tcPr>
          <w:p w14:paraId="687D4BD8">
            <w:pPr>
              <w:pStyle w:val="25"/>
              <w:rPr>
                <w:rFonts w:hint="eastAsia" w:ascii="Times New Roman" w:hAnsi="Times New Roman" w:cs="Times New Roman"/>
                <w:color w:val="auto"/>
                <w:u w:val="none" w:color="auto"/>
                <w:lang w:val="en-US" w:eastAsia="zh-CN"/>
              </w:rPr>
            </w:pPr>
          </w:p>
        </w:tc>
        <w:tc>
          <w:tcPr>
            <w:tcW w:w="1543" w:type="dxa"/>
            <w:noWrap w:val="0"/>
            <w:vAlign w:val="center"/>
          </w:tcPr>
          <w:p w14:paraId="1BC75FBA">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酚类</w:t>
            </w:r>
          </w:p>
        </w:tc>
        <w:tc>
          <w:tcPr>
            <w:tcW w:w="1417" w:type="dxa"/>
            <w:noWrap w:val="0"/>
            <w:vAlign w:val="center"/>
          </w:tcPr>
          <w:p w14:paraId="1D4844E3">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3.489</w:t>
            </w:r>
          </w:p>
        </w:tc>
        <w:tc>
          <w:tcPr>
            <w:tcW w:w="1418" w:type="dxa"/>
            <w:noWrap w:val="0"/>
            <w:vAlign w:val="center"/>
          </w:tcPr>
          <w:p w14:paraId="60B818E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0.021</w:t>
            </w:r>
          </w:p>
        </w:tc>
        <w:tc>
          <w:tcPr>
            <w:tcW w:w="1418" w:type="dxa"/>
            <w:noWrap w:val="0"/>
            <w:vAlign w:val="center"/>
          </w:tcPr>
          <w:p w14:paraId="4BD6D60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0.126</w:t>
            </w:r>
          </w:p>
        </w:tc>
      </w:tr>
      <w:tr w14:paraId="5DEB7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3596189E">
            <w:pPr>
              <w:pStyle w:val="25"/>
              <w:rPr>
                <w:rFonts w:hint="eastAsia" w:ascii="Times New Roman" w:hAnsi="Times New Roman" w:cs="Times New Roman"/>
                <w:color w:val="auto"/>
                <w:u w:val="none" w:color="auto"/>
                <w:lang w:val="en-US" w:eastAsia="zh-CN"/>
              </w:rPr>
            </w:pPr>
          </w:p>
        </w:tc>
        <w:tc>
          <w:tcPr>
            <w:tcW w:w="1501" w:type="dxa"/>
            <w:vMerge w:val="continue"/>
            <w:noWrap w:val="0"/>
            <w:vAlign w:val="center"/>
          </w:tcPr>
          <w:p w14:paraId="7C6512E4">
            <w:pPr>
              <w:pStyle w:val="25"/>
              <w:rPr>
                <w:rFonts w:hint="eastAsia" w:ascii="Times New Roman" w:hAnsi="Times New Roman" w:cs="Times New Roman"/>
                <w:color w:val="auto"/>
                <w:u w:val="none" w:color="auto"/>
                <w:lang w:val="en-US" w:eastAsia="zh-CN"/>
              </w:rPr>
            </w:pPr>
          </w:p>
        </w:tc>
        <w:tc>
          <w:tcPr>
            <w:tcW w:w="1543" w:type="dxa"/>
            <w:noWrap w:val="0"/>
            <w:vAlign w:val="center"/>
          </w:tcPr>
          <w:p w14:paraId="057886C5">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w:t>
            </w:r>
          </w:p>
        </w:tc>
        <w:tc>
          <w:tcPr>
            <w:tcW w:w="1417" w:type="dxa"/>
            <w:noWrap w:val="0"/>
            <w:vAlign w:val="center"/>
          </w:tcPr>
          <w:p w14:paraId="04F10313">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w:t>
            </w:r>
          </w:p>
        </w:tc>
        <w:tc>
          <w:tcPr>
            <w:tcW w:w="1418" w:type="dxa"/>
            <w:noWrap w:val="0"/>
            <w:vAlign w:val="center"/>
          </w:tcPr>
          <w:p w14:paraId="0F7C800C">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0.015</w:t>
            </w:r>
          </w:p>
        </w:tc>
        <w:tc>
          <w:tcPr>
            <w:tcW w:w="1418" w:type="dxa"/>
            <w:noWrap w:val="0"/>
            <w:vAlign w:val="center"/>
          </w:tcPr>
          <w:p w14:paraId="03C9ABAF">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0.09</w:t>
            </w:r>
          </w:p>
        </w:tc>
      </w:tr>
      <w:tr w14:paraId="0814F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09AF94AA">
            <w:pPr>
              <w:pStyle w:val="25"/>
              <w:rPr>
                <w:rFonts w:hint="eastAsia" w:ascii="Times New Roman" w:hAnsi="Times New Roman" w:cs="Times New Roman"/>
                <w:color w:val="auto"/>
                <w:u w:val="none" w:color="auto"/>
                <w:lang w:val="en-US" w:eastAsia="zh-CN"/>
              </w:rPr>
            </w:pPr>
          </w:p>
        </w:tc>
        <w:tc>
          <w:tcPr>
            <w:tcW w:w="1501" w:type="dxa"/>
            <w:vMerge w:val="continue"/>
            <w:noWrap w:val="0"/>
            <w:vAlign w:val="center"/>
          </w:tcPr>
          <w:p w14:paraId="34F27A5D">
            <w:pPr>
              <w:pStyle w:val="25"/>
              <w:rPr>
                <w:rFonts w:hint="eastAsia" w:ascii="Times New Roman" w:hAnsi="Times New Roman" w:cs="Times New Roman"/>
                <w:color w:val="auto"/>
                <w:u w:val="none" w:color="auto"/>
                <w:lang w:val="en-US" w:eastAsia="zh-CN"/>
              </w:rPr>
            </w:pPr>
          </w:p>
        </w:tc>
        <w:tc>
          <w:tcPr>
            <w:tcW w:w="1543" w:type="dxa"/>
            <w:noWrap w:val="0"/>
            <w:vAlign w:val="center"/>
          </w:tcPr>
          <w:p w14:paraId="3D3CFD0D">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二氧化硫</w:t>
            </w:r>
          </w:p>
        </w:tc>
        <w:tc>
          <w:tcPr>
            <w:tcW w:w="1417" w:type="dxa"/>
            <w:noWrap w:val="0"/>
            <w:vAlign w:val="center"/>
          </w:tcPr>
          <w:p w14:paraId="28A80DEE">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w:t>
            </w:r>
          </w:p>
        </w:tc>
        <w:tc>
          <w:tcPr>
            <w:tcW w:w="1418" w:type="dxa"/>
            <w:noWrap w:val="0"/>
            <w:vAlign w:val="center"/>
          </w:tcPr>
          <w:p w14:paraId="75C739C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0.015</w:t>
            </w:r>
          </w:p>
        </w:tc>
        <w:tc>
          <w:tcPr>
            <w:tcW w:w="1418" w:type="dxa"/>
            <w:noWrap w:val="0"/>
            <w:vAlign w:val="center"/>
          </w:tcPr>
          <w:p w14:paraId="031E0F3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0.09</w:t>
            </w:r>
          </w:p>
        </w:tc>
      </w:tr>
      <w:tr w14:paraId="714C4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1F753B2F">
            <w:pPr>
              <w:pStyle w:val="25"/>
              <w:rPr>
                <w:rFonts w:hint="default" w:ascii="Times New Roman" w:hAnsi="Times New Roman" w:eastAsia="宋体" w:cs="Times New Roman"/>
                <w:color w:val="auto"/>
                <w:u w:val="none" w:color="auto"/>
                <w:lang w:val="en-US" w:eastAsia="zh-CN"/>
              </w:rPr>
            </w:pPr>
          </w:p>
        </w:tc>
        <w:tc>
          <w:tcPr>
            <w:tcW w:w="1501" w:type="dxa"/>
            <w:vMerge w:val="continue"/>
            <w:noWrap w:val="0"/>
            <w:vAlign w:val="center"/>
          </w:tcPr>
          <w:p w14:paraId="79411808">
            <w:pPr>
              <w:pStyle w:val="25"/>
              <w:rPr>
                <w:rFonts w:hint="default" w:ascii="Times New Roman" w:hAnsi="Times New Roman" w:eastAsia="宋体" w:cs="Times New Roman"/>
                <w:color w:val="auto"/>
                <w:u w:val="none" w:color="auto"/>
                <w:lang w:val="en-US" w:eastAsia="zh-CN"/>
              </w:rPr>
            </w:pPr>
          </w:p>
        </w:tc>
        <w:tc>
          <w:tcPr>
            <w:tcW w:w="1543" w:type="dxa"/>
            <w:noWrap w:val="0"/>
            <w:vAlign w:val="center"/>
          </w:tcPr>
          <w:p w14:paraId="01888FE3">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氮氧化物</w:t>
            </w:r>
          </w:p>
        </w:tc>
        <w:tc>
          <w:tcPr>
            <w:tcW w:w="1417" w:type="dxa"/>
            <w:noWrap w:val="0"/>
            <w:vAlign w:val="center"/>
          </w:tcPr>
          <w:p w14:paraId="057E5845">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37.698</w:t>
            </w:r>
          </w:p>
        </w:tc>
        <w:tc>
          <w:tcPr>
            <w:tcW w:w="1418" w:type="dxa"/>
            <w:noWrap w:val="0"/>
            <w:vAlign w:val="center"/>
          </w:tcPr>
          <w:p w14:paraId="1DBB944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0.226</w:t>
            </w:r>
          </w:p>
        </w:tc>
        <w:tc>
          <w:tcPr>
            <w:tcW w:w="1418" w:type="dxa"/>
            <w:noWrap w:val="0"/>
            <w:vAlign w:val="center"/>
          </w:tcPr>
          <w:p w14:paraId="732BE3DD">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1.357</w:t>
            </w:r>
          </w:p>
        </w:tc>
      </w:tr>
      <w:tr w14:paraId="686AA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restart"/>
            <w:noWrap w:val="0"/>
            <w:vAlign w:val="center"/>
          </w:tcPr>
          <w:p w14:paraId="5229026D">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w:t>
            </w:r>
          </w:p>
        </w:tc>
        <w:tc>
          <w:tcPr>
            <w:tcW w:w="1501" w:type="dxa"/>
            <w:vMerge w:val="restart"/>
            <w:noWrap w:val="0"/>
            <w:vAlign w:val="center"/>
          </w:tcPr>
          <w:p w14:paraId="423CF919">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DA003排气筒</w:t>
            </w:r>
          </w:p>
        </w:tc>
        <w:tc>
          <w:tcPr>
            <w:tcW w:w="1543" w:type="dxa"/>
            <w:noWrap w:val="0"/>
            <w:vAlign w:val="center"/>
          </w:tcPr>
          <w:p w14:paraId="29B568BA">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w:t>
            </w:r>
          </w:p>
        </w:tc>
        <w:tc>
          <w:tcPr>
            <w:tcW w:w="1417" w:type="dxa"/>
            <w:noWrap w:val="0"/>
            <w:vAlign w:val="center"/>
          </w:tcPr>
          <w:p w14:paraId="35FD0968">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58.334</w:t>
            </w:r>
          </w:p>
        </w:tc>
        <w:tc>
          <w:tcPr>
            <w:tcW w:w="1418" w:type="dxa"/>
            <w:noWrap w:val="0"/>
            <w:vAlign w:val="center"/>
          </w:tcPr>
          <w:p w14:paraId="4A9CC1A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0.35</w:t>
            </w:r>
          </w:p>
        </w:tc>
        <w:tc>
          <w:tcPr>
            <w:tcW w:w="1418" w:type="dxa"/>
            <w:noWrap w:val="0"/>
            <w:vAlign w:val="center"/>
          </w:tcPr>
          <w:p w14:paraId="6B94379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2.1</w:t>
            </w:r>
          </w:p>
        </w:tc>
      </w:tr>
      <w:tr w14:paraId="1ED9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4E82188B">
            <w:pPr>
              <w:pStyle w:val="25"/>
              <w:rPr>
                <w:rFonts w:hint="default" w:ascii="Times New Roman" w:hAnsi="Times New Roman" w:eastAsia="宋体" w:cs="Times New Roman"/>
                <w:color w:val="auto"/>
                <w:u w:val="none" w:color="auto"/>
                <w:lang w:val="en-US" w:eastAsia="zh-CN"/>
              </w:rPr>
            </w:pPr>
          </w:p>
        </w:tc>
        <w:tc>
          <w:tcPr>
            <w:tcW w:w="1501" w:type="dxa"/>
            <w:vMerge w:val="continue"/>
            <w:noWrap w:val="0"/>
            <w:vAlign w:val="center"/>
          </w:tcPr>
          <w:p w14:paraId="1C9AB313">
            <w:pPr>
              <w:pStyle w:val="25"/>
              <w:rPr>
                <w:rFonts w:hint="default" w:ascii="Times New Roman" w:hAnsi="Times New Roman" w:eastAsia="宋体" w:cs="Times New Roman"/>
                <w:color w:val="auto"/>
                <w:u w:val="none" w:color="auto"/>
                <w:lang w:val="en-US" w:eastAsia="zh-CN"/>
              </w:rPr>
            </w:pPr>
          </w:p>
        </w:tc>
        <w:tc>
          <w:tcPr>
            <w:tcW w:w="1543" w:type="dxa"/>
            <w:noWrap w:val="0"/>
            <w:vAlign w:val="center"/>
          </w:tcPr>
          <w:p w14:paraId="01D9D925">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酚类</w:t>
            </w:r>
          </w:p>
        </w:tc>
        <w:tc>
          <w:tcPr>
            <w:tcW w:w="1417" w:type="dxa"/>
            <w:noWrap w:val="0"/>
            <w:vAlign w:val="center"/>
          </w:tcPr>
          <w:p w14:paraId="3F789BED">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3.489</w:t>
            </w:r>
          </w:p>
        </w:tc>
        <w:tc>
          <w:tcPr>
            <w:tcW w:w="1418" w:type="dxa"/>
            <w:noWrap w:val="0"/>
            <w:vAlign w:val="center"/>
          </w:tcPr>
          <w:p w14:paraId="5D8A8A3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0.021</w:t>
            </w:r>
          </w:p>
        </w:tc>
        <w:tc>
          <w:tcPr>
            <w:tcW w:w="1418" w:type="dxa"/>
            <w:noWrap w:val="0"/>
            <w:vAlign w:val="center"/>
          </w:tcPr>
          <w:p w14:paraId="1747A6F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0.126</w:t>
            </w:r>
          </w:p>
        </w:tc>
      </w:tr>
      <w:tr w14:paraId="72D27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37846CCA">
            <w:pPr>
              <w:pStyle w:val="25"/>
              <w:rPr>
                <w:rFonts w:hint="default" w:ascii="Times New Roman" w:hAnsi="Times New Roman" w:eastAsia="宋体" w:cs="Times New Roman"/>
                <w:color w:val="auto"/>
                <w:u w:val="none" w:color="auto"/>
                <w:lang w:val="en-US" w:eastAsia="zh-CN"/>
              </w:rPr>
            </w:pPr>
          </w:p>
        </w:tc>
        <w:tc>
          <w:tcPr>
            <w:tcW w:w="1501" w:type="dxa"/>
            <w:vMerge w:val="continue"/>
            <w:noWrap w:val="0"/>
            <w:vAlign w:val="center"/>
          </w:tcPr>
          <w:p w14:paraId="1F2C3E0F">
            <w:pPr>
              <w:pStyle w:val="25"/>
              <w:rPr>
                <w:rFonts w:hint="default" w:ascii="Times New Roman" w:hAnsi="Times New Roman" w:eastAsia="宋体" w:cs="Times New Roman"/>
                <w:color w:val="auto"/>
                <w:u w:val="none" w:color="auto"/>
                <w:lang w:val="en-US" w:eastAsia="zh-CN"/>
              </w:rPr>
            </w:pPr>
          </w:p>
        </w:tc>
        <w:tc>
          <w:tcPr>
            <w:tcW w:w="1543" w:type="dxa"/>
            <w:noWrap w:val="0"/>
            <w:vAlign w:val="center"/>
          </w:tcPr>
          <w:p w14:paraId="4BDCEB7D">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颗粒物</w:t>
            </w:r>
          </w:p>
        </w:tc>
        <w:tc>
          <w:tcPr>
            <w:tcW w:w="1417" w:type="dxa"/>
            <w:noWrap w:val="0"/>
            <w:vAlign w:val="center"/>
          </w:tcPr>
          <w:p w14:paraId="0CBA17A9">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2.5</w:t>
            </w:r>
          </w:p>
        </w:tc>
        <w:tc>
          <w:tcPr>
            <w:tcW w:w="1418" w:type="dxa"/>
            <w:noWrap w:val="0"/>
            <w:vAlign w:val="center"/>
          </w:tcPr>
          <w:p w14:paraId="17F7258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0.015</w:t>
            </w:r>
          </w:p>
        </w:tc>
        <w:tc>
          <w:tcPr>
            <w:tcW w:w="1418" w:type="dxa"/>
            <w:noWrap w:val="0"/>
            <w:vAlign w:val="center"/>
          </w:tcPr>
          <w:p w14:paraId="3BB40B9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0.09</w:t>
            </w:r>
          </w:p>
        </w:tc>
      </w:tr>
      <w:tr w14:paraId="6D930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270CF7D4">
            <w:pPr>
              <w:pStyle w:val="25"/>
              <w:rPr>
                <w:rFonts w:hint="default" w:ascii="Times New Roman" w:hAnsi="Times New Roman" w:eastAsia="宋体" w:cs="Times New Roman"/>
                <w:color w:val="auto"/>
                <w:u w:val="none" w:color="auto"/>
                <w:lang w:val="en-US" w:eastAsia="zh-CN"/>
              </w:rPr>
            </w:pPr>
          </w:p>
        </w:tc>
        <w:tc>
          <w:tcPr>
            <w:tcW w:w="1501" w:type="dxa"/>
            <w:vMerge w:val="continue"/>
            <w:noWrap w:val="0"/>
            <w:vAlign w:val="center"/>
          </w:tcPr>
          <w:p w14:paraId="41F7C941">
            <w:pPr>
              <w:pStyle w:val="25"/>
              <w:rPr>
                <w:rFonts w:hint="default" w:ascii="Times New Roman" w:hAnsi="Times New Roman" w:eastAsia="宋体" w:cs="Times New Roman"/>
                <w:color w:val="auto"/>
                <w:u w:val="none" w:color="auto"/>
                <w:lang w:val="en-US" w:eastAsia="zh-CN"/>
              </w:rPr>
            </w:pPr>
          </w:p>
        </w:tc>
        <w:tc>
          <w:tcPr>
            <w:tcW w:w="1543" w:type="dxa"/>
            <w:noWrap w:val="0"/>
            <w:vAlign w:val="center"/>
          </w:tcPr>
          <w:p w14:paraId="294812B7">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二氧化硫</w:t>
            </w:r>
          </w:p>
        </w:tc>
        <w:tc>
          <w:tcPr>
            <w:tcW w:w="1417" w:type="dxa"/>
            <w:noWrap w:val="0"/>
            <w:vAlign w:val="center"/>
          </w:tcPr>
          <w:p w14:paraId="54EF2F41">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2.5</w:t>
            </w:r>
          </w:p>
        </w:tc>
        <w:tc>
          <w:tcPr>
            <w:tcW w:w="1418" w:type="dxa"/>
            <w:noWrap w:val="0"/>
            <w:vAlign w:val="center"/>
          </w:tcPr>
          <w:p w14:paraId="7FAADCF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0.015</w:t>
            </w:r>
          </w:p>
        </w:tc>
        <w:tc>
          <w:tcPr>
            <w:tcW w:w="1418" w:type="dxa"/>
            <w:noWrap w:val="0"/>
            <w:vAlign w:val="center"/>
          </w:tcPr>
          <w:p w14:paraId="15CAF58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0.09</w:t>
            </w:r>
          </w:p>
        </w:tc>
      </w:tr>
      <w:tr w14:paraId="354D8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75BCBED7">
            <w:pPr>
              <w:pStyle w:val="25"/>
              <w:rPr>
                <w:rFonts w:hint="default" w:ascii="Times New Roman" w:hAnsi="Times New Roman" w:eastAsia="宋体" w:cs="Times New Roman"/>
                <w:color w:val="auto"/>
                <w:u w:val="none" w:color="auto"/>
                <w:lang w:val="en-US" w:eastAsia="zh-CN"/>
              </w:rPr>
            </w:pPr>
          </w:p>
        </w:tc>
        <w:tc>
          <w:tcPr>
            <w:tcW w:w="1501" w:type="dxa"/>
            <w:vMerge w:val="continue"/>
            <w:noWrap w:val="0"/>
            <w:vAlign w:val="center"/>
          </w:tcPr>
          <w:p w14:paraId="66E6DBFB">
            <w:pPr>
              <w:pStyle w:val="25"/>
              <w:rPr>
                <w:rFonts w:hint="default" w:ascii="Times New Roman" w:hAnsi="Times New Roman" w:eastAsia="宋体" w:cs="Times New Roman"/>
                <w:color w:val="auto"/>
                <w:u w:val="none" w:color="auto"/>
                <w:lang w:val="en-US" w:eastAsia="zh-CN"/>
              </w:rPr>
            </w:pPr>
          </w:p>
        </w:tc>
        <w:tc>
          <w:tcPr>
            <w:tcW w:w="1543" w:type="dxa"/>
            <w:noWrap w:val="0"/>
            <w:vAlign w:val="center"/>
          </w:tcPr>
          <w:p w14:paraId="1BB91793">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氮氧化物</w:t>
            </w:r>
          </w:p>
        </w:tc>
        <w:tc>
          <w:tcPr>
            <w:tcW w:w="1417" w:type="dxa"/>
            <w:noWrap w:val="0"/>
            <w:vAlign w:val="center"/>
          </w:tcPr>
          <w:p w14:paraId="2C1B4B04">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37.698</w:t>
            </w:r>
          </w:p>
        </w:tc>
        <w:tc>
          <w:tcPr>
            <w:tcW w:w="1418" w:type="dxa"/>
            <w:noWrap w:val="0"/>
            <w:vAlign w:val="center"/>
          </w:tcPr>
          <w:p w14:paraId="27A2F77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0.226</w:t>
            </w:r>
          </w:p>
        </w:tc>
        <w:tc>
          <w:tcPr>
            <w:tcW w:w="1418" w:type="dxa"/>
            <w:noWrap w:val="0"/>
            <w:vAlign w:val="center"/>
          </w:tcPr>
          <w:p w14:paraId="61833BF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1.357</w:t>
            </w:r>
          </w:p>
        </w:tc>
      </w:tr>
      <w:tr w14:paraId="20DB9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vMerge w:val="restart"/>
            <w:noWrap w:val="0"/>
            <w:vAlign w:val="center"/>
          </w:tcPr>
          <w:p w14:paraId="70AC6AB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主要排放口合计</w:t>
            </w:r>
          </w:p>
        </w:tc>
        <w:tc>
          <w:tcPr>
            <w:tcW w:w="4378" w:type="dxa"/>
            <w:gridSpan w:val="3"/>
            <w:noWrap w:val="0"/>
            <w:vAlign w:val="center"/>
          </w:tcPr>
          <w:p w14:paraId="7EF0AFAE">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418" w:type="dxa"/>
            <w:noWrap w:val="0"/>
            <w:vAlign w:val="center"/>
          </w:tcPr>
          <w:p w14:paraId="6D41A6E4">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4.2</w:t>
            </w:r>
          </w:p>
        </w:tc>
      </w:tr>
      <w:tr w14:paraId="1D68E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vMerge w:val="continue"/>
            <w:noWrap w:val="0"/>
            <w:vAlign w:val="center"/>
          </w:tcPr>
          <w:p w14:paraId="6825786A">
            <w:pPr>
              <w:pStyle w:val="25"/>
              <w:rPr>
                <w:rFonts w:hint="default" w:ascii="Times New Roman" w:hAnsi="Times New Roman" w:cs="Times New Roman"/>
                <w:color w:val="auto"/>
                <w:u w:val="none" w:color="auto"/>
              </w:rPr>
            </w:pPr>
          </w:p>
        </w:tc>
        <w:tc>
          <w:tcPr>
            <w:tcW w:w="4378" w:type="dxa"/>
            <w:gridSpan w:val="3"/>
            <w:noWrap w:val="0"/>
            <w:vAlign w:val="center"/>
          </w:tcPr>
          <w:p w14:paraId="75AEC1D2">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酚类</w:t>
            </w:r>
          </w:p>
        </w:tc>
        <w:tc>
          <w:tcPr>
            <w:tcW w:w="1418" w:type="dxa"/>
            <w:noWrap w:val="0"/>
            <w:vAlign w:val="center"/>
          </w:tcPr>
          <w:p w14:paraId="0F85FD8E">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0.246</w:t>
            </w:r>
          </w:p>
        </w:tc>
      </w:tr>
      <w:tr w14:paraId="3F4EB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vMerge w:val="continue"/>
            <w:noWrap w:val="0"/>
            <w:vAlign w:val="center"/>
          </w:tcPr>
          <w:p w14:paraId="757BFE98">
            <w:pPr>
              <w:pStyle w:val="25"/>
              <w:rPr>
                <w:rFonts w:hint="default" w:ascii="Times New Roman" w:hAnsi="Times New Roman" w:cs="Times New Roman"/>
                <w:color w:val="auto"/>
                <w:u w:val="none" w:color="auto"/>
              </w:rPr>
            </w:pPr>
          </w:p>
        </w:tc>
        <w:tc>
          <w:tcPr>
            <w:tcW w:w="4378" w:type="dxa"/>
            <w:gridSpan w:val="3"/>
            <w:noWrap w:val="0"/>
            <w:vAlign w:val="center"/>
          </w:tcPr>
          <w:p w14:paraId="7131A200">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w:t>
            </w:r>
          </w:p>
        </w:tc>
        <w:tc>
          <w:tcPr>
            <w:tcW w:w="1418" w:type="dxa"/>
            <w:noWrap w:val="0"/>
            <w:vAlign w:val="center"/>
          </w:tcPr>
          <w:p w14:paraId="0BD2F24B">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0.18</w:t>
            </w:r>
          </w:p>
        </w:tc>
      </w:tr>
      <w:tr w14:paraId="08FD1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vMerge w:val="continue"/>
            <w:noWrap w:val="0"/>
            <w:vAlign w:val="center"/>
          </w:tcPr>
          <w:p w14:paraId="5FD0F6DB">
            <w:pPr>
              <w:pStyle w:val="25"/>
              <w:rPr>
                <w:rFonts w:hint="default" w:ascii="Times New Roman" w:hAnsi="Times New Roman" w:cs="Times New Roman"/>
                <w:color w:val="auto"/>
                <w:u w:val="none" w:color="auto"/>
              </w:rPr>
            </w:pPr>
          </w:p>
        </w:tc>
        <w:tc>
          <w:tcPr>
            <w:tcW w:w="4378" w:type="dxa"/>
            <w:gridSpan w:val="3"/>
            <w:noWrap w:val="0"/>
            <w:vAlign w:val="center"/>
          </w:tcPr>
          <w:p w14:paraId="10A98A2B">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二氧化硫</w:t>
            </w:r>
          </w:p>
        </w:tc>
        <w:tc>
          <w:tcPr>
            <w:tcW w:w="1418" w:type="dxa"/>
            <w:noWrap w:val="0"/>
            <w:vAlign w:val="center"/>
          </w:tcPr>
          <w:p w14:paraId="41909ACD">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0.18</w:t>
            </w:r>
          </w:p>
        </w:tc>
      </w:tr>
      <w:tr w14:paraId="40AFE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vMerge w:val="continue"/>
            <w:noWrap w:val="0"/>
            <w:vAlign w:val="center"/>
          </w:tcPr>
          <w:p w14:paraId="76F2FC91">
            <w:pPr>
              <w:pStyle w:val="25"/>
              <w:rPr>
                <w:rFonts w:hint="default" w:ascii="Times New Roman" w:hAnsi="Times New Roman" w:cs="Times New Roman"/>
                <w:color w:val="auto"/>
                <w:u w:val="none" w:color="auto"/>
              </w:rPr>
            </w:pPr>
          </w:p>
        </w:tc>
        <w:tc>
          <w:tcPr>
            <w:tcW w:w="4378" w:type="dxa"/>
            <w:gridSpan w:val="3"/>
            <w:noWrap w:val="0"/>
            <w:vAlign w:val="center"/>
          </w:tcPr>
          <w:p w14:paraId="387B8283">
            <w:pPr>
              <w:pStyle w:val="25"/>
              <w:rPr>
                <w:rFonts w:hint="default" w:ascii="Times New Roman" w:hAnsi="Times New Roman"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氮氧化物</w:t>
            </w:r>
          </w:p>
        </w:tc>
        <w:tc>
          <w:tcPr>
            <w:tcW w:w="1418" w:type="dxa"/>
            <w:noWrap w:val="0"/>
            <w:vAlign w:val="center"/>
          </w:tcPr>
          <w:p w14:paraId="7DA9F69D">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2.714</w:t>
            </w:r>
          </w:p>
        </w:tc>
      </w:tr>
      <w:tr w14:paraId="53C72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4936971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一般排放口</w:t>
            </w:r>
          </w:p>
        </w:tc>
      </w:tr>
      <w:tr w14:paraId="2AE8B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restart"/>
            <w:noWrap w:val="0"/>
            <w:vAlign w:val="center"/>
          </w:tcPr>
          <w:p w14:paraId="373CC19A">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w:t>
            </w:r>
          </w:p>
        </w:tc>
        <w:tc>
          <w:tcPr>
            <w:tcW w:w="1501" w:type="dxa"/>
            <w:vMerge w:val="restart"/>
            <w:noWrap w:val="0"/>
            <w:vAlign w:val="center"/>
          </w:tcPr>
          <w:p w14:paraId="2801C2DA">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DA001排气筒</w:t>
            </w:r>
          </w:p>
        </w:tc>
        <w:tc>
          <w:tcPr>
            <w:tcW w:w="1543" w:type="dxa"/>
            <w:noWrap w:val="0"/>
            <w:vAlign w:val="center"/>
          </w:tcPr>
          <w:p w14:paraId="226F6C57">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颗粒物</w:t>
            </w:r>
          </w:p>
        </w:tc>
        <w:tc>
          <w:tcPr>
            <w:tcW w:w="1417" w:type="dxa"/>
            <w:noWrap w:val="0"/>
            <w:vAlign w:val="center"/>
          </w:tcPr>
          <w:p w14:paraId="0A3A385E">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0.938</w:t>
            </w:r>
          </w:p>
        </w:tc>
        <w:tc>
          <w:tcPr>
            <w:tcW w:w="1418" w:type="dxa"/>
            <w:noWrap w:val="0"/>
            <w:vAlign w:val="center"/>
          </w:tcPr>
          <w:p w14:paraId="70A5B95E">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0.038</w:t>
            </w:r>
          </w:p>
        </w:tc>
        <w:tc>
          <w:tcPr>
            <w:tcW w:w="1418" w:type="dxa"/>
            <w:noWrap w:val="0"/>
            <w:vAlign w:val="center"/>
          </w:tcPr>
          <w:p w14:paraId="341750A6">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0.09</w:t>
            </w:r>
          </w:p>
        </w:tc>
      </w:tr>
      <w:tr w14:paraId="29BDF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0451D881">
            <w:pPr>
              <w:pStyle w:val="25"/>
              <w:rPr>
                <w:rFonts w:hint="eastAsia" w:ascii="Times New Roman" w:hAnsi="Times New Roman" w:eastAsia="宋体" w:cs="Times New Roman"/>
                <w:color w:val="auto"/>
                <w:u w:val="none" w:color="auto"/>
                <w:lang w:val="en-US" w:eastAsia="zh-CN"/>
              </w:rPr>
            </w:pPr>
          </w:p>
        </w:tc>
        <w:tc>
          <w:tcPr>
            <w:tcW w:w="1501" w:type="dxa"/>
            <w:vMerge w:val="continue"/>
            <w:noWrap w:val="0"/>
            <w:vAlign w:val="center"/>
          </w:tcPr>
          <w:p w14:paraId="49773960">
            <w:pPr>
              <w:pStyle w:val="25"/>
              <w:rPr>
                <w:rFonts w:hint="eastAsia" w:ascii="Times New Roman" w:hAnsi="Times New Roman" w:cs="Times New Roman"/>
                <w:color w:val="auto"/>
                <w:u w:val="none" w:color="auto"/>
                <w:lang w:val="en-US" w:eastAsia="zh-CN"/>
              </w:rPr>
            </w:pPr>
          </w:p>
        </w:tc>
        <w:tc>
          <w:tcPr>
            <w:tcW w:w="1543" w:type="dxa"/>
            <w:noWrap w:val="0"/>
            <w:vAlign w:val="center"/>
          </w:tcPr>
          <w:p w14:paraId="331E13ED">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417" w:type="dxa"/>
            <w:noWrap w:val="0"/>
            <w:vAlign w:val="center"/>
          </w:tcPr>
          <w:p w14:paraId="661A187E">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2.672</w:t>
            </w:r>
          </w:p>
        </w:tc>
        <w:tc>
          <w:tcPr>
            <w:tcW w:w="1418" w:type="dxa"/>
            <w:noWrap w:val="0"/>
            <w:vAlign w:val="center"/>
          </w:tcPr>
          <w:p w14:paraId="76EDB128">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0.107</w:t>
            </w:r>
          </w:p>
        </w:tc>
        <w:tc>
          <w:tcPr>
            <w:tcW w:w="1418" w:type="dxa"/>
            <w:noWrap w:val="0"/>
            <w:vAlign w:val="center"/>
          </w:tcPr>
          <w:p w14:paraId="4949FB46">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0.257</w:t>
            </w:r>
          </w:p>
        </w:tc>
      </w:tr>
      <w:tr w14:paraId="6E437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0BEF98BC">
            <w:pPr>
              <w:pStyle w:val="25"/>
              <w:rPr>
                <w:rFonts w:hint="default" w:ascii="Times New Roman" w:hAnsi="Times New Roman" w:eastAsia="宋体" w:cs="Times New Roman"/>
                <w:color w:val="auto"/>
                <w:kern w:val="2"/>
                <w:sz w:val="21"/>
                <w:szCs w:val="24"/>
                <w:u w:val="none" w:color="auto"/>
                <w:lang w:val="en-US" w:eastAsia="zh-CN" w:bidi="ar-SA"/>
              </w:rPr>
            </w:pPr>
          </w:p>
        </w:tc>
        <w:tc>
          <w:tcPr>
            <w:tcW w:w="1501" w:type="dxa"/>
            <w:vMerge w:val="continue"/>
            <w:noWrap w:val="0"/>
            <w:vAlign w:val="center"/>
          </w:tcPr>
          <w:p w14:paraId="39C57A6E">
            <w:pPr>
              <w:pStyle w:val="25"/>
              <w:rPr>
                <w:rFonts w:hint="default" w:ascii="Times New Roman" w:hAnsi="Times New Roman" w:eastAsia="宋体" w:cs="Times New Roman"/>
                <w:color w:val="auto"/>
                <w:kern w:val="2"/>
                <w:sz w:val="21"/>
                <w:szCs w:val="24"/>
                <w:u w:val="none" w:color="auto"/>
                <w:lang w:val="en-US" w:eastAsia="zh-CN" w:bidi="ar-SA"/>
              </w:rPr>
            </w:pPr>
          </w:p>
        </w:tc>
        <w:tc>
          <w:tcPr>
            <w:tcW w:w="1543" w:type="dxa"/>
            <w:noWrap w:val="0"/>
            <w:vAlign w:val="center"/>
          </w:tcPr>
          <w:p w14:paraId="56C414B4">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酚类</w:t>
            </w:r>
          </w:p>
        </w:tc>
        <w:tc>
          <w:tcPr>
            <w:tcW w:w="1417" w:type="dxa"/>
            <w:noWrap w:val="0"/>
            <w:vAlign w:val="center"/>
          </w:tcPr>
          <w:p w14:paraId="12A80F9C">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1.514</w:t>
            </w:r>
          </w:p>
        </w:tc>
        <w:tc>
          <w:tcPr>
            <w:tcW w:w="1418" w:type="dxa"/>
            <w:noWrap w:val="0"/>
            <w:vAlign w:val="center"/>
          </w:tcPr>
          <w:p w14:paraId="4966A672">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0.061</w:t>
            </w:r>
          </w:p>
        </w:tc>
        <w:tc>
          <w:tcPr>
            <w:tcW w:w="1418" w:type="dxa"/>
            <w:noWrap w:val="0"/>
            <w:vAlign w:val="center"/>
          </w:tcPr>
          <w:p w14:paraId="020EB041">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0.146</w:t>
            </w:r>
          </w:p>
        </w:tc>
      </w:tr>
      <w:tr w14:paraId="5D8A7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0B833083">
            <w:pPr>
              <w:pStyle w:val="25"/>
              <w:rPr>
                <w:rFonts w:hint="default" w:ascii="Times New Roman" w:hAnsi="Times New Roman" w:cs="Times New Roman"/>
                <w:color w:val="auto"/>
                <w:u w:val="none" w:color="auto"/>
              </w:rPr>
            </w:pPr>
          </w:p>
        </w:tc>
        <w:tc>
          <w:tcPr>
            <w:tcW w:w="1501" w:type="dxa"/>
            <w:vMerge w:val="continue"/>
            <w:noWrap w:val="0"/>
            <w:vAlign w:val="center"/>
          </w:tcPr>
          <w:p w14:paraId="79067226">
            <w:pPr>
              <w:pStyle w:val="25"/>
              <w:rPr>
                <w:rFonts w:hint="default" w:ascii="Times New Roman" w:hAnsi="Times New Roman" w:cs="Times New Roman"/>
                <w:color w:val="auto"/>
                <w:u w:val="none" w:color="auto"/>
              </w:rPr>
            </w:pPr>
          </w:p>
        </w:tc>
        <w:tc>
          <w:tcPr>
            <w:tcW w:w="1543" w:type="dxa"/>
            <w:noWrap w:val="0"/>
            <w:vAlign w:val="center"/>
          </w:tcPr>
          <w:p w14:paraId="1228D876">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甲醛</w:t>
            </w:r>
          </w:p>
        </w:tc>
        <w:tc>
          <w:tcPr>
            <w:tcW w:w="1417" w:type="dxa"/>
            <w:noWrap w:val="0"/>
            <w:vAlign w:val="center"/>
          </w:tcPr>
          <w:p w14:paraId="0F47F77D">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3.563</w:t>
            </w:r>
          </w:p>
        </w:tc>
        <w:tc>
          <w:tcPr>
            <w:tcW w:w="1418" w:type="dxa"/>
            <w:noWrap w:val="0"/>
            <w:vAlign w:val="center"/>
          </w:tcPr>
          <w:p w14:paraId="425DB716">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0.143</w:t>
            </w:r>
          </w:p>
        </w:tc>
        <w:tc>
          <w:tcPr>
            <w:tcW w:w="1418" w:type="dxa"/>
            <w:noWrap w:val="0"/>
            <w:vAlign w:val="center"/>
          </w:tcPr>
          <w:p w14:paraId="26AEC586">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0.342</w:t>
            </w:r>
          </w:p>
        </w:tc>
      </w:tr>
      <w:tr w14:paraId="04E73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708" w:type="dxa"/>
            <w:gridSpan w:val="2"/>
            <w:vMerge w:val="restart"/>
            <w:noWrap w:val="0"/>
            <w:vAlign w:val="center"/>
          </w:tcPr>
          <w:p w14:paraId="0E174222">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一般排放口合计</w:t>
            </w:r>
          </w:p>
        </w:tc>
        <w:tc>
          <w:tcPr>
            <w:tcW w:w="4378" w:type="dxa"/>
            <w:gridSpan w:val="3"/>
            <w:noWrap w:val="0"/>
            <w:vAlign w:val="center"/>
          </w:tcPr>
          <w:p w14:paraId="0023EF36">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颗粒物</w:t>
            </w:r>
          </w:p>
        </w:tc>
        <w:tc>
          <w:tcPr>
            <w:tcW w:w="1418" w:type="dxa"/>
            <w:noWrap w:val="0"/>
            <w:vAlign w:val="center"/>
          </w:tcPr>
          <w:p w14:paraId="049A6D75">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0.09</w:t>
            </w:r>
          </w:p>
        </w:tc>
      </w:tr>
      <w:tr w14:paraId="77AC6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2F0BC533">
            <w:pPr>
              <w:pStyle w:val="25"/>
              <w:rPr>
                <w:rFonts w:hint="default" w:ascii="Times New Roman" w:hAnsi="Times New Roman" w:cs="Times New Roman"/>
                <w:color w:val="auto"/>
                <w:u w:val="none" w:color="auto"/>
              </w:rPr>
            </w:pPr>
          </w:p>
        </w:tc>
        <w:tc>
          <w:tcPr>
            <w:tcW w:w="4378" w:type="dxa"/>
            <w:gridSpan w:val="3"/>
            <w:noWrap w:val="0"/>
            <w:vAlign w:val="center"/>
          </w:tcPr>
          <w:p w14:paraId="51B3E443">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w:t>
            </w:r>
          </w:p>
        </w:tc>
        <w:tc>
          <w:tcPr>
            <w:tcW w:w="1418" w:type="dxa"/>
            <w:noWrap w:val="0"/>
            <w:vAlign w:val="center"/>
          </w:tcPr>
          <w:p w14:paraId="062C7FD1">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0.257</w:t>
            </w:r>
          </w:p>
        </w:tc>
      </w:tr>
      <w:tr w14:paraId="435D7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54F4912A">
            <w:pPr>
              <w:pStyle w:val="25"/>
              <w:rPr>
                <w:rFonts w:hint="default" w:ascii="Times New Roman" w:hAnsi="Times New Roman" w:cs="Times New Roman"/>
                <w:color w:val="auto"/>
                <w:u w:val="none" w:color="auto"/>
              </w:rPr>
            </w:pPr>
          </w:p>
        </w:tc>
        <w:tc>
          <w:tcPr>
            <w:tcW w:w="4378" w:type="dxa"/>
            <w:gridSpan w:val="3"/>
            <w:noWrap w:val="0"/>
            <w:vAlign w:val="center"/>
          </w:tcPr>
          <w:p w14:paraId="2A9703B3">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酚类</w:t>
            </w:r>
          </w:p>
        </w:tc>
        <w:tc>
          <w:tcPr>
            <w:tcW w:w="1418" w:type="dxa"/>
            <w:noWrap w:val="0"/>
            <w:vAlign w:val="center"/>
          </w:tcPr>
          <w:p w14:paraId="2EFF98D5">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0.146</w:t>
            </w:r>
          </w:p>
        </w:tc>
      </w:tr>
      <w:tr w14:paraId="1E368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79803E9D">
            <w:pPr>
              <w:pStyle w:val="25"/>
              <w:rPr>
                <w:rFonts w:hint="default" w:ascii="Times New Roman" w:hAnsi="Times New Roman" w:cs="Times New Roman"/>
                <w:color w:val="auto"/>
                <w:u w:val="none" w:color="auto"/>
              </w:rPr>
            </w:pPr>
          </w:p>
        </w:tc>
        <w:tc>
          <w:tcPr>
            <w:tcW w:w="4378" w:type="dxa"/>
            <w:gridSpan w:val="3"/>
            <w:noWrap w:val="0"/>
            <w:vAlign w:val="center"/>
          </w:tcPr>
          <w:p w14:paraId="5530739E">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甲醛</w:t>
            </w:r>
          </w:p>
        </w:tc>
        <w:tc>
          <w:tcPr>
            <w:tcW w:w="1418" w:type="dxa"/>
            <w:noWrap w:val="0"/>
            <w:vAlign w:val="center"/>
          </w:tcPr>
          <w:p w14:paraId="06694C1C">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0.342</w:t>
            </w:r>
          </w:p>
        </w:tc>
      </w:tr>
      <w:tr w14:paraId="429D3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5640F2B7">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有组织排放总计</w:t>
            </w:r>
          </w:p>
        </w:tc>
      </w:tr>
      <w:tr w14:paraId="1CD39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08" w:type="dxa"/>
            <w:gridSpan w:val="2"/>
            <w:vMerge w:val="restart"/>
            <w:noWrap w:val="0"/>
            <w:vAlign w:val="center"/>
          </w:tcPr>
          <w:p w14:paraId="4AF60E4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有组织排放总计</w:t>
            </w:r>
          </w:p>
        </w:tc>
        <w:tc>
          <w:tcPr>
            <w:tcW w:w="4378" w:type="dxa"/>
            <w:gridSpan w:val="3"/>
            <w:noWrap w:val="0"/>
            <w:vAlign w:val="center"/>
          </w:tcPr>
          <w:p w14:paraId="4A5A0F44">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w:t>
            </w:r>
          </w:p>
        </w:tc>
        <w:tc>
          <w:tcPr>
            <w:tcW w:w="1418" w:type="dxa"/>
            <w:noWrap w:val="0"/>
            <w:vAlign w:val="center"/>
          </w:tcPr>
          <w:p w14:paraId="3C7EE086">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4.457</w:t>
            </w:r>
          </w:p>
        </w:tc>
      </w:tr>
      <w:tr w14:paraId="68386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7E5FE4F3">
            <w:pPr>
              <w:pStyle w:val="25"/>
              <w:rPr>
                <w:rFonts w:hint="default" w:ascii="Times New Roman" w:hAnsi="Times New Roman" w:cs="Times New Roman"/>
                <w:color w:val="auto"/>
                <w:u w:val="none" w:color="auto"/>
              </w:rPr>
            </w:pPr>
          </w:p>
        </w:tc>
        <w:tc>
          <w:tcPr>
            <w:tcW w:w="4378" w:type="dxa"/>
            <w:gridSpan w:val="3"/>
            <w:noWrap w:val="0"/>
            <w:vAlign w:val="center"/>
          </w:tcPr>
          <w:p w14:paraId="57651C16">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颗粒物</w:t>
            </w:r>
          </w:p>
        </w:tc>
        <w:tc>
          <w:tcPr>
            <w:tcW w:w="1418" w:type="dxa"/>
            <w:noWrap w:val="0"/>
            <w:vAlign w:val="center"/>
          </w:tcPr>
          <w:p w14:paraId="72811AEB">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0.27</w:t>
            </w:r>
          </w:p>
        </w:tc>
      </w:tr>
      <w:tr w14:paraId="2800E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7E1D152A">
            <w:pPr>
              <w:pStyle w:val="25"/>
              <w:rPr>
                <w:rFonts w:hint="default" w:ascii="Times New Roman" w:hAnsi="Times New Roman" w:cs="Times New Roman"/>
                <w:color w:val="auto"/>
                <w:u w:val="none" w:color="auto"/>
              </w:rPr>
            </w:pPr>
          </w:p>
        </w:tc>
        <w:tc>
          <w:tcPr>
            <w:tcW w:w="4378" w:type="dxa"/>
            <w:gridSpan w:val="3"/>
            <w:noWrap w:val="0"/>
            <w:vAlign w:val="center"/>
          </w:tcPr>
          <w:p w14:paraId="42AD2EC4">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二氧化硫</w:t>
            </w:r>
          </w:p>
        </w:tc>
        <w:tc>
          <w:tcPr>
            <w:tcW w:w="1418" w:type="dxa"/>
            <w:noWrap w:val="0"/>
            <w:vAlign w:val="center"/>
          </w:tcPr>
          <w:p w14:paraId="714F0E42">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0.18</w:t>
            </w:r>
          </w:p>
        </w:tc>
      </w:tr>
      <w:tr w14:paraId="52597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79DECCE9">
            <w:pPr>
              <w:pStyle w:val="25"/>
              <w:rPr>
                <w:rFonts w:hint="default" w:ascii="Times New Roman" w:hAnsi="Times New Roman" w:cs="Times New Roman"/>
                <w:color w:val="auto"/>
                <w:u w:val="none" w:color="auto"/>
              </w:rPr>
            </w:pPr>
          </w:p>
        </w:tc>
        <w:tc>
          <w:tcPr>
            <w:tcW w:w="4378" w:type="dxa"/>
            <w:gridSpan w:val="3"/>
            <w:noWrap w:val="0"/>
            <w:vAlign w:val="center"/>
          </w:tcPr>
          <w:p w14:paraId="245EB42B">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氮氧化物</w:t>
            </w:r>
          </w:p>
        </w:tc>
        <w:tc>
          <w:tcPr>
            <w:tcW w:w="1418" w:type="dxa"/>
            <w:noWrap w:val="0"/>
            <w:vAlign w:val="center"/>
          </w:tcPr>
          <w:p w14:paraId="54D8CF20">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2.714</w:t>
            </w:r>
          </w:p>
        </w:tc>
      </w:tr>
      <w:tr w14:paraId="4D237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4D664C90">
            <w:pPr>
              <w:pStyle w:val="25"/>
              <w:rPr>
                <w:rFonts w:hint="default" w:ascii="Times New Roman" w:hAnsi="Times New Roman" w:cs="Times New Roman"/>
                <w:color w:val="auto"/>
                <w:u w:val="none" w:color="auto"/>
              </w:rPr>
            </w:pPr>
          </w:p>
        </w:tc>
        <w:tc>
          <w:tcPr>
            <w:tcW w:w="4378" w:type="dxa"/>
            <w:gridSpan w:val="3"/>
            <w:noWrap w:val="0"/>
            <w:vAlign w:val="center"/>
          </w:tcPr>
          <w:p w14:paraId="1AE7F7DE">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酚类</w:t>
            </w:r>
          </w:p>
        </w:tc>
        <w:tc>
          <w:tcPr>
            <w:tcW w:w="1418" w:type="dxa"/>
            <w:noWrap w:val="0"/>
            <w:vAlign w:val="center"/>
          </w:tcPr>
          <w:p w14:paraId="2341D519">
            <w:pPr>
              <w:pStyle w:val="32"/>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0.392</w:t>
            </w:r>
          </w:p>
        </w:tc>
      </w:tr>
      <w:tr w14:paraId="18A59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060A0C25">
            <w:pPr>
              <w:pStyle w:val="25"/>
              <w:rPr>
                <w:rFonts w:hint="default" w:ascii="Times New Roman" w:hAnsi="Times New Roman" w:cs="Times New Roman"/>
                <w:color w:val="auto"/>
                <w:u w:val="none" w:color="auto"/>
              </w:rPr>
            </w:pPr>
          </w:p>
        </w:tc>
        <w:tc>
          <w:tcPr>
            <w:tcW w:w="4378" w:type="dxa"/>
            <w:gridSpan w:val="3"/>
            <w:noWrap w:val="0"/>
            <w:vAlign w:val="center"/>
          </w:tcPr>
          <w:p w14:paraId="79965690">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甲醛</w:t>
            </w:r>
          </w:p>
        </w:tc>
        <w:tc>
          <w:tcPr>
            <w:tcW w:w="1418" w:type="dxa"/>
            <w:noWrap w:val="0"/>
            <w:vAlign w:val="center"/>
          </w:tcPr>
          <w:p w14:paraId="2AE6AB11">
            <w:pPr>
              <w:pStyle w:val="32"/>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0.342</w:t>
            </w:r>
          </w:p>
        </w:tc>
      </w:tr>
    </w:tbl>
    <w:p w14:paraId="55688551">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5.2-13</w:t>
      </w:r>
      <w:r>
        <w:rPr>
          <w:rFonts w:hint="default"/>
          <w:color w:val="auto"/>
          <w:u w:val="none" w:color="auto"/>
        </w:rPr>
        <w:t xml:space="preserve"> 本项目大气污染物无组织排放量核算表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38"/>
        <w:gridCol w:w="848"/>
        <w:gridCol w:w="982"/>
        <w:gridCol w:w="953"/>
        <w:gridCol w:w="2064"/>
        <w:gridCol w:w="1156"/>
        <w:gridCol w:w="1083"/>
      </w:tblGrid>
      <w:tr w14:paraId="40239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80" w:type="dxa"/>
            <w:vMerge w:val="restart"/>
            <w:tcBorders>
              <w:tl2br w:val="nil"/>
              <w:tr2bl w:val="nil"/>
            </w:tcBorders>
            <w:noWrap w:val="0"/>
            <w:vAlign w:val="center"/>
          </w:tcPr>
          <w:p w14:paraId="770B2337">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838" w:type="dxa"/>
            <w:vMerge w:val="restart"/>
            <w:tcBorders>
              <w:tl2br w:val="nil"/>
              <w:tr2bl w:val="nil"/>
            </w:tcBorders>
            <w:noWrap w:val="0"/>
            <w:vAlign w:val="center"/>
          </w:tcPr>
          <w:p w14:paraId="0819C377">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排放口编号</w:t>
            </w:r>
          </w:p>
        </w:tc>
        <w:tc>
          <w:tcPr>
            <w:tcW w:w="848" w:type="dxa"/>
            <w:vMerge w:val="restart"/>
            <w:tcBorders>
              <w:tl2br w:val="nil"/>
              <w:tr2bl w:val="nil"/>
            </w:tcBorders>
            <w:noWrap w:val="0"/>
            <w:vAlign w:val="center"/>
          </w:tcPr>
          <w:p w14:paraId="6800A1C3">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产污环节</w:t>
            </w:r>
          </w:p>
        </w:tc>
        <w:tc>
          <w:tcPr>
            <w:tcW w:w="982" w:type="dxa"/>
            <w:vMerge w:val="restart"/>
            <w:tcBorders>
              <w:tl2br w:val="nil"/>
              <w:tr2bl w:val="nil"/>
            </w:tcBorders>
            <w:noWrap w:val="0"/>
            <w:vAlign w:val="center"/>
          </w:tcPr>
          <w:p w14:paraId="11BE7E1E">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污染物</w:t>
            </w:r>
          </w:p>
        </w:tc>
        <w:tc>
          <w:tcPr>
            <w:tcW w:w="953" w:type="dxa"/>
            <w:vMerge w:val="restart"/>
            <w:tcBorders>
              <w:tl2br w:val="nil"/>
              <w:tr2bl w:val="nil"/>
            </w:tcBorders>
            <w:noWrap w:val="0"/>
            <w:vAlign w:val="center"/>
          </w:tcPr>
          <w:p w14:paraId="3F87C50C">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主要污染防治措施</w:t>
            </w:r>
          </w:p>
        </w:tc>
        <w:tc>
          <w:tcPr>
            <w:tcW w:w="3220" w:type="dxa"/>
            <w:gridSpan w:val="2"/>
            <w:tcBorders>
              <w:tl2br w:val="nil"/>
              <w:tr2bl w:val="nil"/>
            </w:tcBorders>
            <w:noWrap w:val="0"/>
            <w:vAlign w:val="center"/>
          </w:tcPr>
          <w:p w14:paraId="6CC8F8BE">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国家或地方污染物排放标准</w:t>
            </w:r>
          </w:p>
        </w:tc>
        <w:tc>
          <w:tcPr>
            <w:tcW w:w="1083" w:type="dxa"/>
            <w:vMerge w:val="restart"/>
            <w:tcBorders>
              <w:tl2br w:val="nil"/>
              <w:tr2bl w:val="nil"/>
            </w:tcBorders>
            <w:noWrap w:val="0"/>
            <w:vAlign w:val="center"/>
          </w:tcPr>
          <w:p w14:paraId="60246621">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年排放量（t/a）</w:t>
            </w:r>
          </w:p>
        </w:tc>
      </w:tr>
      <w:tr w14:paraId="50346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80" w:type="dxa"/>
            <w:vMerge w:val="continue"/>
            <w:tcBorders>
              <w:tl2br w:val="nil"/>
              <w:tr2bl w:val="nil"/>
            </w:tcBorders>
            <w:noWrap w:val="0"/>
            <w:vAlign w:val="center"/>
          </w:tcPr>
          <w:p w14:paraId="6F1989A5">
            <w:pPr>
              <w:pStyle w:val="25"/>
              <w:jc w:val="center"/>
              <w:rPr>
                <w:rFonts w:hint="default" w:ascii="Times New Roman" w:hAnsi="Times New Roman" w:cs="Times New Roman"/>
                <w:color w:val="auto"/>
                <w:u w:val="none" w:color="auto"/>
              </w:rPr>
            </w:pPr>
          </w:p>
        </w:tc>
        <w:tc>
          <w:tcPr>
            <w:tcW w:w="838" w:type="dxa"/>
            <w:vMerge w:val="continue"/>
            <w:tcBorders>
              <w:tl2br w:val="nil"/>
              <w:tr2bl w:val="nil"/>
            </w:tcBorders>
            <w:noWrap w:val="0"/>
            <w:vAlign w:val="center"/>
          </w:tcPr>
          <w:p w14:paraId="71FF8AA8">
            <w:pPr>
              <w:pStyle w:val="25"/>
              <w:jc w:val="center"/>
              <w:rPr>
                <w:rFonts w:hint="default" w:ascii="Times New Roman" w:hAnsi="Times New Roman" w:cs="Times New Roman"/>
                <w:color w:val="auto"/>
                <w:u w:val="none" w:color="auto"/>
              </w:rPr>
            </w:pPr>
          </w:p>
        </w:tc>
        <w:tc>
          <w:tcPr>
            <w:tcW w:w="848" w:type="dxa"/>
            <w:vMerge w:val="continue"/>
            <w:tcBorders>
              <w:tl2br w:val="nil"/>
              <w:tr2bl w:val="nil"/>
            </w:tcBorders>
            <w:noWrap w:val="0"/>
            <w:vAlign w:val="center"/>
          </w:tcPr>
          <w:p w14:paraId="14ABB2E0">
            <w:pPr>
              <w:pStyle w:val="25"/>
              <w:jc w:val="center"/>
              <w:rPr>
                <w:rFonts w:hint="default" w:ascii="Times New Roman" w:hAnsi="Times New Roman" w:cs="Times New Roman"/>
                <w:color w:val="auto"/>
                <w:u w:val="none" w:color="auto"/>
              </w:rPr>
            </w:pPr>
          </w:p>
        </w:tc>
        <w:tc>
          <w:tcPr>
            <w:tcW w:w="982" w:type="dxa"/>
            <w:vMerge w:val="continue"/>
            <w:tcBorders>
              <w:tl2br w:val="nil"/>
              <w:tr2bl w:val="nil"/>
            </w:tcBorders>
            <w:noWrap w:val="0"/>
            <w:vAlign w:val="center"/>
          </w:tcPr>
          <w:p w14:paraId="27BD0947">
            <w:pPr>
              <w:pStyle w:val="25"/>
              <w:jc w:val="center"/>
              <w:rPr>
                <w:rFonts w:hint="default" w:ascii="Times New Roman" w:hAnsi="Times New Roman" w:cs="Times New Roman"/>
                <w:color w:val="auto"/>
                <w:u w:val="none" w:color="auto"/>
              </w:rPr>
            </w:pPr>
          </w:p>
        </w:tc>
        <w:tc>
          <w:tcPr>
            <w:tcW w:w="953" w:type="dxa"/>
            <w:vMerge w:val="continue"/>
            <w:tcBorders>
              <w:tl2br w:val="nil"/>
              <w:tr2bl w:val="nil"/>
            </w:tcBorders>
            <w:noWrap w:val="0"/>
            <w:vAlign w:val="center"/>
          </w:tcPr>
          <w:p w14:paraId="35118443">
            <w:pPr>
              <w:pStyle w:val="25"/>
              <w:jc w:val="center"/>
              <w:rPr>
                <w:rFonts w:hint="default" w:ascii="Times New Roman" w:hAnsi="Times New Roman" w:cs="Times New Roman"/>
                <w:color w:val="auto"/>
                <w:u w:val="none" w:color="auto"/>
              </w:rPr>
            </w:pPr>
          </w:p>
        </w:tc>
        <w:tc>
          <w:tcPr>
            <w:tcW w:w="2064" w:type="dxa"/>
            <w:tcBorders>
              <w:tl2br w:val="nil"/>
              <w:tr2bl w:val="nil"/>
            </w:tcBorders>
            <w:noWrap w:val="0"/>
            <w:vAlign w:val="center"/>
          </w:tcPr>
          <w:p w14:paraId="21EB98B8">
            <w:pPr>
              <w:pStyle w:val="25"/>
              <w:jc w:val="center"/>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标准名称</w:t>
            </w:r>
          </w:p>
        </w:tc>
        <w:tc>
          <w:tcPr>
            <w:tcW w:w="1156" w:type="dxa"/>
            <w:tcBorders>
              <w:tl2br w:val="nil"/>
              <w:tr2bl w:val="nil"/>
            </w:tcBorders>
            <w:noWrap w:val="0"/>
            <w:vAlign w:val="center"/>
          </w:tcPr>
          <w:p w14:paraId="68CADBF0">
            <w:pPr>
              <w:pStyle w:val="25"/>
              <w:jc w:val="center"/>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浓度限值</w:t>
            </w:r>
          </w:p>
          <w:p w14:paraId="58730E89">
            <w:pPr>
              <w:pStyle w:val="25"/>
              <w:jc w:val="center"/>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m</w:t>
            </w:r>
            <w:r>
              <w:rPr>
                <w:rFonts w:hint="default" w:ascii="Times New Roman" w:hAnsi="Times New Roman" w:cs="Times New Roman"/>
                <w:color w:val="auto"/>
                <w:u w:val="none" w:color="auto"/>
                <w:lang w:val="en-US" w:eastAsia="zh-CN"/>
              </w:rPr>
              <w:t>g/m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w:t>
            </w:r>
          </w:p>
        </w:tc>
        <w:tc>
          <w:tcPr>
            <w:tcW w:w="1083" w:type="dxa"/>
            <w:vMerge w:val="continue"/>
            <w:tcBorders>
              <w:tl2br w:val="nil"/>
              <w:tr2bl w:val="nil"/>
            </w:tcBorders>
            <w:noWrap w:val="0"/>
            <w:vAlign w:val="center"/>
          </w:tcPr>
          <w:p w14:paraId="0B70ADC9">
            <w:pPr>
              <w:pStyle w:val="25"/>
              <w:jc w:val="center"/>
              <w:rPr>
                <w:rFonts w:hint="default" w:ascii="Times New Roman" w:hAnsi="Times New Roman" w:cs="Times New Roman"/>
                <w:color w:val="auto"/>
                <w:u w:val="none" w:color="auto"/>
              </w:rPr>
            </w:pPr>
          </w:p>
        </w:tc>
      </w:tr>
      <w:tr w14:paraId="3D1E7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80" w:type="dxa"/>
            <w:vMerge w:val="restart"/>
            <w:tcBorders>
              <w:tl2br w:val="nil"/>
              <w:tr2bl w:val="nil"/>
            </w:tcBorders>
            <w:noWrap w:val="0"/>
            <w:vAlign w:val="center"/>
          </w:tcPr>
          <w:p w14:paraId="5C3EA577">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1</w:t>
            </w:r>
          </w:p>
        </w:tc>
        <w:tc>
          <w:tcPr>
            <w:tcW w:w="838" w:type="dxa"/>
            <w:vMerge w:val="restart"/>
            <w:tcBorders>
              <w:tl2br w:val="nil"/>
              <w:tr2bl w:val="nil"/>
            </w:tcBorders>
            <w:noWrap w:val="0"/>
            <w:vAlign w:val="center"/>
          </w:tcPr>
          <w:p w14:paraId="1D6904E4">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848" w:type="dxa"/>
            <w:vMerge w:val="restart"/>
            <w:tcBorders>
              <w:tl2br w:val="nil"/>
              <w:tr2bl w:val="nil"/>
            </w:tcBorders>
            <w:noWrap w:val="0"/>
            <w:vAlign w:val="center"/>
          </w:tcPr>
          <w:p w14:paraId="381E55FD">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配料、加热混捏、冷却、磨粉、筛分</w:t>
            </w:r>
          </w:p>
        </w:tc>
        <w:tc>
          <w:tcPr>
            <w:tcW w:w="982" w:type="dxa"/>
            <w:tcBorders>
              <w:tl2br w:val="nil"/>
              <w:tr2bl w:val="nil"/>
            </w:tcBorders>
            <w:noWrap w:val="0"/>
            <w:vAlign w:val="center"/>
          </w:tcPr>
          <w:p w14:paraId="66C9A437">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颗粒物</w:t>
            </w:r>
          </w:p>
        </w:tc>
        <w:tc>
          <w:tcPr>
            <w:tcW w:w="953" w:type="dxa"/>
            <w:tcBorders>
              <w:tl2br w:val="nil"/>
              <w:tr2bl w:val="nil"/>
            </w:tcBorders>
            <w:noWrap w:val="0"/>
            <w:vAlign w:val="center"/>
          </w:tcPr>
          <w:p w14:paraId="05C92BE6">
            <w:pPr>
              <w:pStyle w:val="25"/>
              <w:jc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设备封闭，加强收集，车间沉降</w:t>
            </w:r>
          </w:p>
        </w:tc>
        <w:tc>
          <w:tcPr>
            <w:tcW w:w="2064" w:type="dxa"/>
            <w:vMerge w:val="restart"/>
            <w:tcBorders>
              <w:tl2br w:val="nil"/>
              <w:tr2bl w:val="nil"/>
            </w:tcBorders>
            <w:noWrap w:val="0"/>
            <w:vAlign w:val="center"/>
          </w:tcPr>
          <w:p w14:paraId="5A349BDC">
            <w:pPr>
              <w:pStyle w:val="25"/>
              <w:jc w:val="center"/>
              <w:rPr>
                <w:rFonts w:hint="default" w:ascii="Times New Roman" w:hAnsi="Times New Roman" w:cs="Times New Roman"/>
                <w:color w:val="auto"/>
                <w:u w:val="none" w:color="auto"/>
              </w:rPr>
            </w:pPr>
            <w:r>
              <w:rPr>
                <w:rFonts w:hint="default"/>
                <w:color w:val="auto"/>
                <w:u w:val="none" w:color="auto"/>
                <w:lang w:val="en-US" w:eastAsia="zh-CN"/>
              </w:rPr>
              <w:t>《合成树脂工业污染物排放标准》（GB31572-2015）表 9 无组织排放限值《挥发性有机物无组织排放控制标准》（GB37822-2019）表A.1 厂区内无组织排放特别排放限值</w:t>
            </w:r>
          </w:p>
        </w:tc>
        <w:tc>
          <w:tcPr>
            <w:tcW w:w="1156" w:type="dxa"/>
            <w:tcBorders>
              <w:tl2br w:val="nil"/>
              <w:tr2bl w:val="nil"/>
            </w:tcBorders>
            <w:noWrap w:val="0"/>
            <w:vAlign w:val="center"/>
          </w:tcPr>
          <w:p w14:paraId="4566F7E4">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肉眼不可见</w:t>
            </w:r>
          </w:p>
        </w:tc>
        <w:tc>
          <w:tcPr>
            <w:tcW w:w="1083" w:type="dxa"/>
            <w:tcBorders>
              <w:tl2br w:val="nil"/>
              <w:tr2bl w:val="nil"/>
            </w:tcBorders>
            <w:noWrap w:val="0"/>
            <w:vAlign w:val="center"/>
          </w:tcPr>
          <w:p w14:paraId="34DE38AE">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1.074</w:t>
            </w:r>
          </w:p>
        </w:tc>
      </w:tr>
      <w:tr w14:paraId="7DC5B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continue"/>
            <w:tcBorders>
              <w:tl2br w:val="nil"/>
              <w:tr2bl w:val="nil"/>
            </w:tcBorders>
            <w:noWrap w:val="0"/>
            <w:vAlign w:val="center"/>
          </w:tcPr>
          <w:p w14:paraId="781C621B">
            <w:pPr>
              <w:pStyle w:val="25"/>
              <w:jc w:val="center"/>
              <w:rPr>
                <w:rFonts w:hint="default" w:ascii="Times New Roman" w:hAnsi="Times New Roman" w:cs="Times New Roman"/>
                <w:color w:val="auto"/>
                <w:u w:val="none" w:color="auto"/>
                <w:lang w:val="en-US" w:eastAsia="zh-CN"/>
              </w:rPr>
            </w:pPr>
          </w:p>
        </w:tc>
        <w:tc>
          <w:tcPr>
            <w:tcW w:w="838" w:type="dxa"/>
            <w:vMerge w:val="continue"/>
            <w:tcBorders>
              <w:tl2br w:val="nil"/>
              <w:tr2bl w:val="nil"/>
            </w:tcBorders>
            <w:noWrap w:val="0"/>
            <w:vAlign w:val="center"/>
          </w:tcPr>
          <w:p w14:paraId="7FF4F26E">
            <w:pPr>
              <w:pStyle w:val="25"/>
              <w:jc w:val="center"/>
              <w:rPr>
                <w:rFonts w:hint="default" w:ascii="Times New Roman" w:hAnsi="Times New Roman" w:cs="Times New Roman"/>
                <w:color w:val="auto"/>
                <w:u w:val="none" w:color="auto"/>
                <w:lang w:val="en-US" w:eastAsia="zh-CN"/>
              </w:rPr>
            </w:pPr>
          </w:p>
        </w:tc>
        <w:tc>
          <w:tcPr>
            <w:tcW w:w="848" w:type="dxa"/>
            <w:vMerge w:val="continue"/>
            <w:tcBorders>
              <w:tl2br w:val="nil"/>
              <w:tr2bl w:val="nil"/>
            </w:tcBorders>
            <w:noWrap w:val="0"/>
            <w:vAlign w:val="center"/>
          </w:tcPr>
          <w:p w14:paraId="43C5FD80">
            <w:pPr>
              <w:pStyle w:val="25"/>
              <w:jc w:val="center"/>
              <w:rPr>
                <w:rFonts w:hint="default" w:ascii="Times New Roman" w:hAnsi="Times New Roman" w:cs="Times New Roman"/>
                <w:color w:val="auto"/>
                <w:u w:val="none" w:color="auto"/>
                <w:lang w:val="en-US" w:eastAsia="zh-CN"/>
              </w:rPr>
            </w:pPr>
          </w:p>
        </w:tc>
        <w:tc>
          <w:tcPr>
            <w:tcW w:w="982" w:type="dxa"/>
            <w:tcBorders>
              <w:tl2br w:val="nil"/>
              <w:tr2bl w:val="nil"/>
            </w:tcBorders>
            <w:noWrap w:val="0"/>
            <w:vAlign w:val="center"/>
          </w:tcPr>
          <w:p w14:paraId="02DAF15B">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953" w:type="dxa"/>
            <w:vMerge w:val="restart"/>
            <w:tcBorders>
              <w:tl2br w:val="nil"/>
              <w:tr2bl w:val="nil"/>
            </w:tcBorders>
            <w:noWrap w:val="0"/>
            <w:vAlign w:val="center"/>
          </w:tcPr>
          <w:p w14:paraId="7E312482">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加强收集</w:t>
            </w:r>
            <w:r>
              <w:rPr>
                <w:rFonts w:hint="eastAsia" w:cs="Times New Roman"/>
                <w:color w:val="auto"/>
                <w:u w:val="none" w:color="auto"/>
                <w:lang w:val="en-US" w:eastAsia="zh-CN"/>
              </w:rPr>
              <w:t>，车间通风</w:t>
            </w:r>
          </w:p>
        </w:tc>
        <w:tc>
          <w:tcPr>
            <w:tcW w:w="2064" w:type="dxa"/>
            <w:vMerge w:val="continue"/>
            <w:tcBorders>
              <w:tl2br w:val="nil"/>
              <w:tr2bl w:val="nil"/>
            </w:tcBorders>
            <w:noWrap w:val="0"/>
            <w:vAlign w:val="center"/>
          </w:tcPr>
          <w:p w14:paraId="6CBA7E8F">
            <w:pPr>
              <w:pStyle w:val="25"/>
              <w:jc w:val="center"/>
              <w:rPr>
                <w:rFonts w:hint="default" w:ascii="Times New Roman" w:hAnsi="Times New Roman" w:cs="Times New Roman"/>
                <w:color w:val="auto"/>
                <w:u w:val="none" w:color="auto"/>
              </w:rPr>
            </w:pPr>
          </w:p>
        </w:tc>
        <w:tc>
          <w:tcPr>
            <w:tcW w:w="1156" w:type="dxa"/>
            <w:tcBorders>
              <w:tl2br w:val="nil"/>
              <w:tr2bl w:val="nil"/>
            </w:tcBorders>
            <w:noWrap w:val="0"/>
            <w:vAlign w:val="center"/>
          </w:tcPr>
          <w:p w14:paraId="68C66614">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4.0</w:t>
            </w:r>
          </w:p>
        </w:tc>
        <w:tc>
          <w:tcPr>
            <w:tcW w:w="1083" w:type="dxa"/>
            <w:tcBorders>
              <w:tl2br w:val="nil"/>
              <w:tr2bl w:val="nil"/>
            </w:tcBorders>
            <w:noWrap w:val="0"/>
            <w:vAlign w:val="center"/>
          </w:tcPr>
          <w:p w14:paraId="6B523300">
            <w:pPr>
              <w:pStyle w:val="25"/>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0.045</w:t>
            </w:r>
          </w:p>
        </w:tc>
      </w:tr>
      <w:tr w14:paraId="12325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continue"/>
            <w:tcBorders>
              <w:tl2br w:val="nil"/>
              <w:tr2bl w:val="nil"/>
            </w:tcBorders>
            <w:noWrap w:val="0"/>
            <w:vAlign w:val="center"/>
          </w:tcPr>
          <w:p w14:paraId="0A1A9B6A">
            <w:pPr>
              <w:pStyle w:val="25"/>
              <w:jc w:val="center"/>
              <w:rPr>
                <w:rFonts w:hint="eastAsia" w:cs="Times New Roman"/>
                <w:color w:val="auto"/>
                <w:u w:val="none" w:color="auto"/>
                <w:lang w:val="en-US" w:eastAsia="zh-CN"/>
              </w:rPr>
            </w:pPr>
          </w:p>
        </w:tc>
        <w:tc>
          <w:tcPr>
            <w:tcW w:w="838" w:type="dxa"/>
            <w:vMerge w:val="continue"/>
            <w:tcBorders>
              <w:tl2br w:val="nil"/>
              <w:tr2bl w:val="nil"/>
            </w:tcBorders>
            <w:noWrap w:val="0"/>
            <w:vAlign w:val="center"/>
          </w:tcPr>
          <w:p w14:paraId="456E3ACF">
            <w:pPr>
              <w:pStyle w:val="25"/>
              <w:jc w:val="center"/>
              <w:rPr>
                <w:rFonts w:hint="default" w:ascii="Times New Roman" w:hAnsi="Times New Roman" w:cs="Times New Roman"/>
                <w:color w:val="auto"/>
                <w:u w:val="none" w:color="auto"/>
                <w:lang w:val="en-US" w:eastAsia="zh-CN"/>
              </w:rPr>
            </w:pPr>
          </w:p>
        </w:tc>
        <w:tc>
          <w:tcPr>
            <w:tcW w:w="848" w:type="dxa"/>
            <w:vMerge w:val="continue"/>
            <w:tcBorders>
              <w:tl2br w:val="nil"/>
              <w:tr2bl w:val="nil"/>
            </w:tcBorders>
            <w:noWrap w:val="0"/>
            <w:vAlign w:val="center"/>
          </w:tcPr>
          <w:p w14:paraId="077CD4AE">
            <w:pPr>
              <w:pStyle w:val="25"/>
              <w:jc w:val="center"/>
              <w:rPr>
                <w:rFonts w:hint="eastAsia" w:cs="Times New Roman"/>
                <w:color w:val="auto"/>
                <w:u w:val="none" w:color="auto"/>
                <w:lang w:val="en-US" w:eastAsia="zh-CN"/>
              </w:rPr>
            </w:pPr>
          </w:p>
        </w:tc>
        <w:tc>
          <w:tcPr>
            <w:tcW w:w="982" w:type="dxa"/>
            <w:tcBorders>
              <w:tl2br w:val="nil"/>
              <w:tr2bl w:val="nil"/>
            </w:tcBorders>
            <w:noWrap w:val="0"/>
            <w:vAlign w:val="center"/>
          </w:tcPr>
          <w:p w14:paraId="0972C285">
            <w:pPr>
              <w:pStyle w:val="25"/>
              <w:rPr>
                <w:rFonts w:hint="default" w:cs="Times New Roman"/>
                <w:color w:val="auto"/>
                <w:u w:val="none" w:color="auto"/>
                <w:lang w:val="en-US" w:eastAsia="zh-CN"/>
              </w:rPr>
            </w:pPr>
            <w:r>
              <w:rPr>
                <w:rFonts w:hint="eastAsia" w:cs="Times New Roman"/>
                <w:color w:val="auto"/>
                <w:u w:val="none" w:color="auto"/>
                <w:lang w:val="en-US" w:eastAsia="zh-CN"/>
              </w:rPr>
              <w:t>酚类</w:t>
            </w:r>
          </w:p>
        </w:tc>
        <w:tc>
          <w:tcPr>
            <w:tcW w:w="953" w:type="dxa"/>
            <w:vMerge w:val="continue"/>
            <w:tcBorders>
              <w:tl2br w:val="nil"/>
              <w:tr2bl w:val="nil"/>
            </w:tcBorders>
            <w:noWrap w:val="0"/>
            <w:vAlign w:val="center"/>
          </w:tcPr>
          <w:p w14:paraId="3C04AD91">
            <w:pPr>
              <w:pStyle w:val="25"/>
              <w:jc w:val="center"/>
              <w:rPr>
                <w:rFonts w:hint="default" w:ascii="Times New Roman" w:hAnsi="Times New Roman" w:cs="Times New Roman"/>
                <w:color w:val="auto"/>
                <w:u w:val="none" w:color="auto"/>
                <w:lang w:val="en-US" w:eastAsia="zh-CN"/>
              </w:rPr>
            </w:pPr>
          </w:p>
        </w:tc>
        <w:tc>
          <w:tcPr>
            <w:tcW w:w="2064" w:type="dxa"/>
            <w:vMerge w:val="continue"/>
            <w:tcBorders>
              <w:tl2br w:val="nil"/>
              <w:tr2bl w:val="nil"/>
            </w:tcBorders>
            <w:noWrap w:val="0"/>
            <w:vAlign w:val="center"/>
          </w:tcPr>
          <w:p w14:paraId="174616F6">
            <w:pPr>
              <w:pStyle w:val="25"/>
              <w:jc w:val="center"/>
              <w:rPr>
                <w:rFonts w:hint="default" w:ascii="Times New Roman" w:hAnsi="Times New Roman" w:cs="Times New Roman"/>
                <w:color w:val="auto"/>
                <w:u w:val="none" w:color="auto"/>
              </w:rPr>
            </w:pPr>
          </w:p>
        </w:tc>
        <w:tc>
          <w:tcPr>
            <w:tcW w:w="1156" w:type="dxa"/>
            <w:tcBorders>
              <w:tl2br w:val="nil"/>
              <w:tr2bl w:val="nil"/>
            </w:tcBorders>
            <w:noWrap w:val="0"/>
            <w:vAlign w:val="center"/>
          </w:tcPr>
          <w:p w14:paraId="06C98B30">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1083" w:type="dxa"/>
            <w:tcBorders>
              <w:tl2br w:val="nil"/>
              <w:tr2bl w:val="nil"/>
            </w:tcBorders>
            <w:noWrap w:val="0"/>
            <w:vAlign w:val="center"/>
          </w:tcPr>
          <w:p w14:paraId="7971F245">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0.28</w:t>
            </w:r>
          </w:p>
        </w:tc>
      </w:tr>
      <w:tr w14:paraId="1E1F6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continue"/>
            <w:tcBorders>
              <w:tl2br w:val="nil"/>
              <w:tr2bl w:val="nil"/>
            </w:tcBorders>
            <w:noWrap w:val="0"/>
            <w:vAlign w:val="center"/>
          </w:tcPr>
          <w:p w14:paraId="2A7DBA3A">
            <w:pPr>
              <w:pStyle w:val="25"/>
              <w:jc w:val="center"/>
              <w:rPr>
                <w:rFonts w:hint="eastAsia" w:cs="Times New Roman"/>
                <w:color w:val="auto"/>
                <w:u w:val="none" w:color="auto"/>
                <w:lang w:val="en-US" w:eastAsia="zh-CN"/>
              </w:rPr>
            </w:pPr>
          </w:p>
        </w:tc>
        <w:tc>
          <w:tcPr>
            <w:tcW w:w="838" w:type="dxa"/>
            <w:vMerge w:val="continue"/>
            <w:tcBorders>
              <w:tl2br w:val="nil"/>
              <w:tr2bl w:val="nil"/>
            </w:tcBorders>
            <w:noWrap w:val="0"/>
            <w:vAlign w:val="center"/>
          </w:tcPr>
          <w:p w14:paraId="66DD9B12">
            <w:pPr>
              <w:pStyle w:val="25"/>
              <w:jc w:val="center"/>
              <w:rPr>
                <w:rFonts w:hint="default" w:ascii="Times New Roman" w:hAnsi="Times New Roman" w:cs="Times New Roman"/>
                <w:color w:val="auto"/>
                <w:u w:val="none" w:color="auto"/>
                <w:lang w:val="en-US" w:eastAsia="zh-CN"/>
              </w:rPr>
            </w:pPr>
          </w:p>
        </w:tc>
        <w:tc>
          <w:tcPr>
            <w:tcW w:w="848" w:type="dxa"/>
            <w:vMerge w:val="continue"/>
            <w:tcBorders>
              <w:tl2br w:val="nil"/>
              <w:tr2bl w:val="nil"/>
            </w:tcBorders>
            <w:noWrap w:val="0"/>
            <w:vAlign w:val="center"/>
          </w:tcPr>
          <w:p w14:paraId="20E3DFB5">
            <w:pPr>
              <w:pStyle w:val="25"/>
              <w:jc w:val="center"/>
              <w:rPr>
                <w:rFonts w:hint="eastAsia" w:cs="Times New Roman"/>
                <w:color w:val="auto"/>
                <w:u w:val="none" w:color="auto"/>
                <w:lang w:val="en-US" w:eastAsia="zh-CN"/>
              </w:rPr>
            </w:pPr>
          </w:p>
        </w:tc>
        <w:tc>
          <w:tcPr>
            <w:tcW w:w="982" w:type="dxa"/>
            <w:tcBorders>
              <w:tl2br w:val="nil"/>
              <w:tr2bl w:val="nil"/>
            </w:tcBorders>
            <w:noWrap w:val="0"/>
            <w:vAlign w:val="center"/>
          </w:tcPr>
          <w:p w14:paraId="3BF77394">
            <w:pPr>
              <w:pStyle w:val="25"/>
              <w:rPr>
                <w:rFonts w:hint="default" w:cs="Times New Roman"/>
                <w:color w:val="auto"/>
                <w:u w:val="none" w:color="auto"/>
                <w:lang w:val="en-US" w:eastAsia="zh-CN"/>
              </w:rPr>
            </w:pPr>
            <w:r>
              <w:rPr>
                <w:rFonts w:hint="eastAsia" w:cs="Times New Roman"/>
                <w:color w:val="auto"/>
                <w:u w:val="none" w:color="auto"/>
                <w:lang w:val="en-US" w:eastAsia="zh-CN"/>
              </w:rPr>
              <w:t>甲醛</w:t>
            </w:r>
          </w:p>
        </w:tc>
        <w:tc>
          <w:tcPr>
            <w:tcW w:w="953" w:type="dxa"/>
            <w:vMerge w:val="continue"/>
            <w:tcBorders>
              <w:tl2br w:val="nil"/>
              <w:tr2bl w:val="nil"/>
            </w:tcBorders>
            <w:noWrap w:val="0"/>
            <w:vAlign w:val="center"/>
          </w:tcPr>
          <w:p w14:paraId="1B6EBA2E">
            <w:pPr>
              <w:pStyle w:val="25"/>
              <w:jc w:val="center"/>
              <w:rPr>
                <w:rFonts w:hint="default" w:ascii="Times New Roman" w:hAnsi="Times New Roman" w:cs="Times New Roman"/>
                <w:color w:val="auto"/>
                <w:u w:val="none" w:color="auto"/>
                <w:lang w:val="en-US" w:eastAsia="zh-CN"/>
              </w:rPr>
            </w:pPr>
          </w:p>
        </w:tc>
        <w:tc>
          <w:tcPr>
            <w:tcW w:w="2064" w:type="dxa"/>
            <w:vMerge w:val="continue"/>
            <w:tcBorders>
              <w:tl2br w:val="nil"/>
              <w:tr2bl w:val="nil"/>
            </w:tcBorders>
            <w:noWrap w:val="0"/>
            <w:vAlign w:val="center"/>
          </w:tcPr>
          <w:p w14:paraId="32764602">
            <w:pPr>
              <w:pStyle w:val="25"/>
              <w:jc w:val="center"/>
              <w:rPr>
                <w:rFonts w:hint="default" w:ascii="Times New Roman" w:hAnsi="Times New Roman" w:cs="Times New Roman"/>
                <w:color w:val="auto"/>
                <w:u w:val="none" w:color="auto"/>
              </w:rPr>
            </w:pPr>
          </w:p>
        </w:tc>
        <w:tc>
          <w:tcPr>
            <w:tcW w:w="1156" w:type="dxa"/>
            <w:tcBorders>
              <w:tl2br w:val="nil"/>
              <w:tr2bl w:val="nil"/>
            </w:tcBorders>
            <w:noWrap w:val="0"/>
            <w:vAlign w:val="center"/>
          </w:tcPr>
          <w:p w14:paraId="001A33DB">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1083" w:type="dxa"/>
            <w:tcBorders>
              <w:tl2br w:val="nil"/>
              <w:tr2bl w:val="nil"/>
            </w:tcBorders>
            <w:noWrap w:val="0"/>
            <w:vAlign w:val="center"/>
          </w:tcPr>
          <w:p w14:paraId="533304AD">
            <w:pPr>
              <w:pStyle w:val="25"/>
              <w:jc w:val="center"/>
              <w:rPr>
                <w:rFonts w:hint="default" w:cs="Times New Roman"/>
                <w:color w:val="auto"/>
                <w:u w:val="none" w:color="auto"/>
                <w:lang w:val="en-US" w:eastAsia="zh-CN"/>
              </w:rPr>
            </w:pPr>
            <w:r>
              <w:rPr>
                <w:rFonts w:hint="eastAsia" w:cs="Times New Roman"/>
                <w:color w:val="auto"/>
                <w:u w:val="none" w:color="auto"/>
                <w:lang w:val="en-US" w:eastAsia="zh-CN"/>
              </w:rPr>
              <w:t>0.06</w:t>
            </w:r>
          </w:p>
        </w:tc>
      </w:tr>
      <w:tr w14:paraId="1DB02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8"/>
            <w:tcBorders>
              <w:tl2br w:val="nil"/>
              <w:tr2bl w:val="nil"/>
            </w:tcBorders>
            <w:noWrap w:val="0"/>
            <w:vAlign w:val="center"/>
          </w:tcPr>
          <w:p w14:paraId="50D7CDA9">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无组织排放总计</w:t>
            </w:r>
          </w:p>
        </w:tc>
      </w:tr>
      <w:tr w14:paraId="133B8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248" w:type="dxa"/>
            <w:gridSpan w:val="4"/>
            <w:vMerge w:val="restart"/>
            <w:tcBorders>
              <w:tl2br w:val="nil"/>
              <w:tr2bl w:val="nil"/>
            </w:tcBorders>
            <w:noWrap w:val="0"/>
            <w:vAlign w:val="center"/>
          </w:tcPr>
          <w:p w14:paraId="6573B0AF">
            <w:pPr>
              <w:pStyle w:val="25"/>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无组织排放总计</w:t>
            </w:r>
          </w:p>
        </w:tc>
        <w:tc>
          <w:tcPr>
            <w:tcW w:w="4173" w:type="dxa"/>
            <w:gridSpan w:val="3"/>
            <w:tcBorders>
              <w:tl2br w:val="nil"/>
              <w:tr2bl w:val="nil"/>
            </w:tcBorders>
            <w:noWrap w:val="0"/>
            <w:vAlign w:val="center"/>
          </w:tcPr>
          <w:p w14:paraId="6E610599">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颗粒物</w:t>
            </w:r>
          </w:p>
        </w:tc>
        <w:tc>
          <w:tcPr>
            <w:tcW w:w="1083" w:type="dxa"/>
            <w:tcBorders>
              <w:tl2br w:val="nil"/>
              <w:tr2bl w:val="nil"/>
            </w:tcBorders>
            <w:noWrap w:val="0"/>
            <w:vAlign w:val="center"/>
          </w:tcPr>
          <w:p w14:paraId="48A1DE3D">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1.074</w:t>
            </w:r>
          </w:p>
        </w:tc>
      </w:tr>
      <w:tr w14:paraId="7A994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52371F5B">
            <w:pPr>
              <w:pStyle w:val="25"/>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61883C86">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1083" w:type="dxa"/>
            <w:tcBorders>
              <w:tl2br w:val="nil"/>
              <w:tr2bl w:val="nil"/>
            </w:tcBorders>
            <w:noWrap w:val="0"/>
            <w:vAlign w:val="center"/>
          </w:tcPr>
          <w:p w14:paraId="01D52F00">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0.045</w:t>
            </w:r>
          </w:p>
        </w:tc>
      </w:tr>
      <w:tr w14:paraId="5F887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54952907">
            <w:pPr>
              <w:pStyle w:val="25"/>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38E3A34E">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酚类</w:t>
            </w:r>
          </w:p>
        </w:tc>
        <w:tc>
          <w:tcPr>
            <w:tcW w:w="1083" w:type="dxa"/>
            <w:tcBorders>
              <w:tl2br w:val="nil"/>
              <w:tr2bl w:val="nil"/>
            </w:tcBorders>
            <w:noWrap w:val="0"/>
            <w:vAlign w:val="center"/>
          </w:tcPr>
          <w:p w14:paraId="3F4F5954">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0.28</w:t>
            </w:r>
          </w:p>
        </w:tc>
      </w:tr>
      <w:tr w14:paraId="1AB2A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2F0F8C15">
            <w:pPr>
              <w:pStyle w:val="25"/>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217A2BA5">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甲醛</w:t>
            </w:r>
          </w:p>
        </w:tc>
        <w:tc>
          <w:tcPr>
            <w:tcW w:w="1083" w:type="dxa"/>
            <w:tcBorders>
              <w:tl2br w:val="nil"/>
              <w:tr2bl w:val="nil"/>
            </w:tcBorders>
            <w:noWrap w:val="0"/>
            <w:vAlign w:val="center"/>
          </w:tcPr>
          <w:p w14:paraId="2F7047E2">
            <w:pPr>
              <w:pStyle w:val="25"/>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0.06</w:t>
            </w:r>
          </w:p>
        </w:tc>
      </w:tr>
    </w:tbl>
    <w:p w14:paraId="2AFD512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5.2-14</w:t>
      </w:r>
      <w:r>
        <w:rPr>
          <w:rFonts w:hint="default"/>
          <w:color w:val="auto"/>
          <w:u w:val="none" w:color="auto"/>
        </w:rPr>
        <w:t xml:space="preserve"> 大气污染物年排放量核算表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708"/>
        <w:gridCol w:w="3794"/>
      </w:tblGrid>
      <w:tr w14:paraId="1A8EE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vMerge w:val="restart"/>
            <w:noWrap w:val="0"/>
            <w:vAlign w:val="center"/>
          </w:tcPr>
          <w:p w14:paraId="1BCECCFA">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2708" w:type="dxa"/>
            <w:vMerge w:val="restart"/>
            <w:noWrap w:val="0"/>
            <w:vAlign w:val="center"/>
          </w:tcPr>
          <w:p w14:paraId="446ADD48">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污染物</w:t>
            </w:r>
          </w:p>
        </w:tc>
        <w:tc>
          <w:tcPr>
            <w:tcW w:w="3794" w:type="dxa"/>
            <w:vMerge w:val="restart"/>
            <w:noWrap w:val="0"/>
            <w:vAlign w:val="center"/>
          </w:tcPr>
          <w:p w14:paraId="1B2485F8">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年排放量（t/a）</w:t>
            </w:r>
          </w:p>
        </w:tc>
      </w:tr>
      <w:tr w14:paraId="3A4F1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2" w:type="dxa"/>
            <w:vMerge w:val="continue"/>
            <w:noWrap w:val="0"/>
            <w:vAlign w:val="center"/>
          </w:tcPr>
          <w:p w14:paraId="70D72072">
            <w:pPr>
              <w:pStyle w:val="25"/>
              <w:rPr>
                <w:rFonts w:hint="default" w:ascii="Times New Roman" w:hAnsi="Times New Roman" w:cs="Times New Roman"/>
                <w:color w:val="auto"/>
                <w:u w:val="none" w:color="auto"/>
                <w:lang w:val="en-US" w:eastAsia="zh-CN"/>
              </w:rPr>
            </w:pPr>
          </w:p>
        </w:tc>
        <w:tc>
          <w:tcPr>
            <w:tcW w:w="2708" w:type="dxa"/>
            <w:vMerge w:val="continue"/>
            <w:noWrap w:val="0"/>
            <w:vAlign w:val="center"/>
          </w:tcPr>
          <w:p w14:paraId="423B37C3">
            <w:pPr>
              <w:pStyle w:val="25"/>
              <w:rPr>
                <w:rFonts w:hint="default" w:ascii="Times New Roman" w:hAnsi="Times New Roman" w:cs="Times New Roman"/>
                <w:color w:val="auto"/>
                <w:u w:val="none" w:color="auto"/>
                <w:lang w:val="en-US" w:eastAsia="zh-CN"/>
              </w:rPr>
            </w:pPr>
          </w:p>
        </w:tc>
        <w:tc>
          <w:tcPr>
            <w:tcW w:w="3794" w:type="dxa"/>
            <w:vMerge w:val="continue"/>
            <w:noWrap w:val="0"/>
            <w:vAlign w:val="center"/>
          </w:tcPr>
          <w:p w14:paraId="32A3FD54">
            <w:pPr>
              <w:pStyle w:val="25"/>
              <w:rPr>
                <w:rFonts w:hint="default" w:ascii="Times New Roman" w:hAnsi="Times New Roman" w:cs="Times New Roman"/>
                <w:color w:val="auto"/>
                <w:u w:val="none" w:color="auto"/>
                <w:lang w:val="en-US" w:eastAsia="zh-CN"/>
              </w:rPr>
            </w:pPr>
          </w:p>
        </w:tc>
      </w:tr>
      <w:tr w14:paraId="7DD92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29253CF5">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p>
        </w:tc>
        <w:tc>
          <w:tcPr>
            <w:tcW w:w="2708" w:type="dxa"/>
            <w:noWrap w:val="0"/>
            <w:vAlign w:val="center"/>
          </w:tcPr>
          <w:p w14:paraId="5534A871">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w:t>
            </w:r>
          </w:p>
        </w:tc>
        <w:tc>
          <w:tcPr>
            <w:tcW w:w="3794" w:type="dxa"/>
            <w:noWrap w:val="0"/>
            <w:vAlign w:val="center"/>
          </w:tcPr>
          <w:p w14:paraId="065BBDB2">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4.502</w:t>
            </w:r>
          </w:p>
        </w:tc>
      </w:tr>
      <w:tr w14:paraId="48B91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6A37D62E">
            <w:pPr>
              <w:pStyle w:val="25"/>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p>
        </w:tc>
        <w:tc>
          <w:tcPr>
            <w:tcW w:w="2708" w:type="dxa"/>
            <w:noWrap w:val="0"/>
            <w:vAlign w:val="center"/>
          </w:tcPr>
          <w:p w14:paraId="7D4C3490">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颗粒物</w:t>
            </w:r>
          </w:p>
        </w:tc>
        <w:tc>
          <w:tcPr>
            <w:tcW w:w="3794" w:type="dxa"/>
            <w:noWrap w:val="0"/>
            <w:vAlign w:val="center"/>
          </w:tcPr>
          <w:p w14:paraId="015E41B7">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1.344</w:t>
            </w:r>
          </w:p>
        </w:tc>
      </w:tr>
      <w:tr w14:paraId="2D52E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0197A1FD">
            <w:pPr>
              <w:pStyle w:val="25"/>
              <w:rPr>
                <w:rFonts w:hint="default" w:cs="Times New Roman"/>
                <w:color w:val="auto"/>
                <w:u w:val="none" w:color="auto"/>
                <w:lang w:val="en-US" w:eastAsia="zh-CN"/>
              </w:rPr>
            </w:pPr>
            <w:r>
              <w:rPr>
                <w:rFonts w:hint="eastAsia" w:cs="Times New Roman"/>
                <w:color w:val="auto"/>
                <w:u w:val="none" w:color="auto"/>
                <w:lang w:val="en-US" w:eastAsia="zh-CN"/>
              </w:rPr>
              <w:t>3</w:t>
            </w:r>
          </w:p>
        </w:tc>
        <w:tc>
          <w:tcPr>
            <w:tcW w:w="2708" w:type="dxa"/>
            <w:noWrap w:val="0"/>
            <w:vAlign w:val="center"/>
          </w:tcPr>
          <w:p w14:paraId="560B7457">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二氧化硫</w:t>
            </w:r>
          </w:p>
        </w:tc>
        <w:tc>
          <w:tcPr>
            <w:tcW w:w="3794" w:type="dxa"/>
            <w:noWrap w:val="0"/>
            <w:vAlign w:val="center"/>
          </w:tcPr>
          <w:p w14:paraId="37B74071">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0.18</w:t>
            </w:r>
          </w:p>
        </w:tc>
      </w:tr>
      <w:tr w14:paraId="72E34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49306A55">
            <w:pPr>
              <w:pStyle w:val="25"/>
              <w:rPr>
                <w:rFonts w:hint="default" w:cs="Times New Roman"/>
                <w:color w:val="auto"/>
                <w:u w:val="none" w:color="auto"/>
                <w:lang w:val="en-US" w:eastAsia="zh-CN"/>
              </w:rPr>
            </w:pPr>
            <w:r>
              <w:rPr>
                <w:rFonts w:hint="eastAsia" w:cs="Times New Roman"/>
                <w:color w:val="auto"/>
                <w:u w:val="none" w:color="auto"/>
                <w:lang w:val="en-US" w:eastAsia="zh-CN"/>
              </w:rPr>
              <w:t>4</w:t>
            </w:r>
          </w:p>
        </w:tc>
        <w:tc>
          <w:tcPr>
            <w:tcW w:w="2708" w:type="dxa"/>
            <w:noWrap w:val="0"/>
            <w:vAlign w:val="center"/>
          </w:tcPr>
          <w:p w14:paraId="7919D948">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氮氧化物</w:t>
            </w:r>
          </w:p>
        </w:tc>
        <w:tc>
          <w:tcPr>
            <w:tcW w:w="3794" w:type="dxa"/>
            <w:noWrap w:val="0"/>
            <w:vAlign w:val="center"/>
          </w:tcPr>
          <w:p w14:paraId="45A5F875">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2.714</w:t>
            </w:r>
          </w:p>
        </w:tc>
      </w:tr>
      <w:tr w14:paraId="29697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44B072F6">
            <w:pPr>
              <w:pStyle w:val="25"/>
              <w:rPr>
                <w:rFonts w:hint="default" w:cs="Times New Roman"/>
                <w:color w:val="auto"/>
                <w:u w:val="none" w:color="auto"/>
                <w:lang w:val="en-US" w:eastAsia="zh-CN"/>
              </w:rPr>
            </w:pPr>
            <w:r>
              <w:rPr>
                <w:rFonts w:hint="eastAsia" w:cs="Times New Roman"/>
                <w:color w:val="auto"/>
                <w:u w:val="none" w:color="auto"/>
                <w:lang w:val="en-US" w:eastAsia="zh-CN"/>
              </w:rPr>
              <w:t>5</w:t>
            </w:r>
          </w:p>
        </w:tc>
        <w:tc>
          <w:tcPr>
            <w:tcW w:w="2708" w:type="dxa"/>
            <w:noWrap w:val="0"/>
            <w:vAlign w:val="center"/>
          </w:tcPr>
          <w:p w14:paraId="5B55FC1D">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酚类</w:t>
            </w:r>
          </w:p>
        </w:tc>
        <w:tc>
          <w:tcPr>
            <w:tcW w:w="3794" w:type="dxa"/>
            <w:noWrap w:val="0"/>
            <w:vAlign w:val="center"/>
          </w:tcPr>
          <w:p w14:paraId="60C6060A">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0.672</w:t>
            </w:r>
          </w:p>
        </w:tc>
      </w:tr>
      <w:tr w14:paraId="110DF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3BC55641">
            <w:pPr>
              <w:pStyle w:val="25"/>
              <w:rPr>
                <w:rFonts w:hint="default" w:cs="Times New Roman"/>
                <w:color w:val="auto"/>
                <w:u w:val="none" w:color="auto"/>
                <w:lang w:val="en-US" w:eastAsia="zh-CN"/>
              </w:rPr>
            </w:pPr>
            <w:r>
              <w:rPr>
                <w:rFonts w:hint="eastAsia" w:cs="Times New Roman"/>
                <w:color w:val="auto"/>
                <w:u w:val="none" w:color="auto"/>
                <w:lang w:val="en-US" w:eastAsia="zh-CN"/>
              </w:rPr>
              <w:t>6</w:t>
            </w:r>
          </w:p>
        </w:tc>
        <w:tc>
          <w:tcPr>
            <w:tcW w:w="2708" w:type="dxa"/>
            <w:noWrap w:val="0"/>
            <w:vAlign w:val="center"/>
          </w:tcPr>
          <w:p w14:paraId="4D552F5F">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甲醛</w:t>
            </w:r>
          </w:p>
        </w:tc>
        <w:tc>
          <w:tcPr>
            <w:tcW w:w="3794" w:type="dxa"/>
            <w:noWrap w:val="0"/>
            <w:vAlign w:val="center"/>
          </w:tcPr>
          <w:p w14:paraId="193C8B3D">
            <w:pPr>
              <w:pStyle w:val="25"/>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0.402</w:t>
            </w:r>
          </w:p>
        </w:tc>
      </w:tr>
    </w:tbl>
    <w:p w14:paraId="67D72EB8">
      <w:pPr>
        <w:pStyle w:val="21"/>
        <w:ind w:firstLine="480"/>
        <w:rPr>
          <w:rFonts w:hint="default" w:ascii="Times New Roman" w:hAnsi="Times New Roman" w:cs="Times New Roman"/>
          <w:color w:val="auto"/>
          <w:u w:val="none" w:color="auto"/>
        </w:rPr>
      </w:pPr>
      <w:r>
        <w:rPr>
          <w:rFonts w:hint="eastAsia" w:ascii="Times New Roman" w:hAnsi="Times New Roman" w:cs="Times New Roman"/>
          <w:b/>
          <w:bCs/>
          <w:color w:val="auto"/>
          <w:u w:val="none" w:color="auto"/>
          <w:lang w:val="en-US" w:eastAsia="zh-CN"/>
        </w:rPr>
        <w:t>5</w:t>
      </w:r>
      <w:r>
        <w:rPr>
          <w:rFonts w:hint="default" w:ascii="Times New Roman" w:hAnsi="Times New Roman" w:cs="Times New Roman"/>
          <w:b/>
          <w:bCs/>
          <w:color w:val="auto"/>
          <w:u w:val="none" w:color="auto"/>
        </w:rPr>
        <w:t>、排气筒高度和数量可行性、合理性分析</w:t>
      </w:r>
    </w:p>
    <w:p w14:paraId="3C742AE5">
      <w:pPr>
        <w:pStyle w:val="21"/>
        <w:bidi w:val="0"/>
        <w:rPr>
          <w:rFonts w:hint="default" w:ascii="Times New Roman" w:hAnsi="Times New Roman" w:cs="Times New Roman"/>
          <w:color w:val="auto"/>
          <w:u w:val="none" w:color="auto"/>
        </w:rPr>
      </w:pPr>
      <w:bookmarkStart w:id="997" w:name="_Toc17318"/>
      <w:bookmarkStart w:id="998" w:name="_Toc2673"/>
      <w:bookmarkStart w:id="999" w:name="_Toc20933"/>
      <w:bookmarkStart w:id="1000" w:name="_Toc24523"/>
      <w:bookmarkStart w:id="1001" w:name="_Toc4146"/>
      <w:bookmarkStart w:id="1002" w:name="_Toc12869"/>
      <w:bookmarkStart w:id="1003" w:name="_Toc6647"/>
      <w:bookmarkStart w:id="1004" w:name="_Toc12240"/>
      <w:bookmarkStart w:id="1005" w:name="_Toc14824"/>
      <w:bookmarkStart w:id="1006" w:name="_Toc3928"/>
      <w:r>
        <w:rPr>
          <w:rFonts w:hint="default" w:ascii="Times New Roman" w:hAnsi="Times New Roman" w:cs="Times New Roman"/>
          <w:color w:val="auto"/>
          <w:u w:val="none" w:color="auto"/>
        </w:rPr>
        <w:t>根据《合成树脂工业污染物排放标准》（GB31572-2015）排气筒最低允许高度为15m。本项目废气通过15m高排气筒排放，因此本项目排气筒高度设置</w:t>
      </w:r>
      <w:r>
        <w:rPr>
          <w:rFonts w:hint="eastAsia" w:ascii="Times New Roman" w:hAnsi="Times New Roman" w:cs="Times New Roman"/>
          <w:color w:val="auto"/>
          <w:u w:val="none" w:color="auto"/>
          <w:lang w:val="en-US" w:eastAsia="zh-CN"/>
        </w:rPr>
        <w:t>合理</w:t>
      </w:r>
      <w:r>
        <w:rPr>
          <w:rFonts w:hint="default" w:ascii="Times New Roman" w:hAnsi="Times New Roman" w:cs="Times New Roman"/>
          <w:color w:val="auto"/>
          <w:u w:val="none" w:color="auto"/>
        </w:rPr>
        <w:t>。</w:t>
      </w:r>
    </w:p>
    <w:p w14:paraId="57617F44">
      <w:pPr>
        <w:pStyle w:val="21"/>
        <w:bidi w:val="0"/>
        <w:rPr>
          <w:rFonts w:hint="default" w:ascii="Times New Roman" w:hAnsi="Times New Roman" w:cs="Times New Roman"/>
          <w:b w:val="0"/>
          <w:bCs w:val="0"/>
          <w:color w:val="auto"/>
          <w:u w:val="none" w:color="auto"/>
          <w:lang w:eastAsia="zh-CN"/>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拟</w:t>
      </w:r>
      <w:r>
        <w:rPr>
          <w:rFonts w:hint="default" w:ascii="Times New Roman" w:hAnsi="Times New Roman" w:cs="Times New Roman"/>
          <w:color w:val="auto"/>
          <w:u w:val="none" w:color="auto"/>
        </w:rPr>
        <w:t>设置</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根排气筒</w:t>
      </w:r>
      <w:r>
        <w:rPr>
          <w:rFonts w:hint="eastAsia" w:ascii="Times New Roman" w:hAnsi="Times New Roman" w:cs="Times New Roman"/>
          <w:color w:val="auto"/>
          <w:u w:val="none" w:color="auto"/>
          <w:lang w:val="en-US" w:eastAsia="zh-CN"/>
        </w:rPr>
        <w:t>分别</w:t>
      </w:r>
      <w:r>
        <w:rPr>
          <w:rFonts w:hint="default" w:ascii="Times New Roman" w:hAnsi="Times New Roman" w:cs="Times New Roman"/>
          <w:color w:val="auto"/>
          <w:u w:val="none" w:color="auto"/>
        </w:rPr>
        <w:t>对</w:t>
      </w:r>
      <w:r>
        <w:rPr>
          <w:rFonts w:hint="eastAsia" w:ascii="Times New Roman" w:hAnsi="Times New Roman" w:cs="Times New Roman"/>
          <w:color w:val="auto"/>
          <w:u w:val="none" w:color="auto"/>
          <w:lang w:val="en-US" w:eastAsia="zh-CN"/>
        </w:rPr>
        <w:t>加热混捏废气、冷却废气、磨粉废气、混合废气，1#厂房焙烧废气与2#厂房焙烧废气</w:t>
      </w:r>
      <w:r>
        <w:rPr>
          <w:rFonts w:hint="default" w:ascii="Times New Roman" w:hAnsi="Times New Roman" w:cs="Times New Roman"/>
          <w:color w:val="auto"/>
          <w:u w:val="none" w:color="auto"/>
        </w:rPr>
        <w:t>进行高空达标排放，因此排气筒的设置的数量合理可行。</w:t>
      </w:r>
    </w:p>
    <w:p w14:paraId="14A26844">
      <w:pPr>
        <w:pStyle w:val="8"/>
        <w:rPr>
          <w:rFonts w:hint="default" w:ascii="Times New Roman" w:hAnsi="Times New Roman" w:cs="Times New Roman"/>
          <w:color w:val="auto"/>
          <w:u w:val="none" w:color="auto"/>
        </w:rPr>
      </w:pPr>
      <w:bookmarkStart w:id="1007" w:name="_Toc11607"/>
      <w:bookmarkStart w:id="1008" w:name="_Toc18698"/>
      <w:bookmarkStart w:id="1009" w:name="_Toc3472"/>
      <w:bookmarkStart w:id="1010" w:name="_Toc4295"/>
      <w:bookmarkStart w:id="1011" w:name="_Toc16688"/>
      <w:bookmarkStart w:id="1012" w:name="_Toc23731"/>
      <w:bookmarkStart w:id="1013" w:name="_Toc21632"/>
      <w:bookmarkStart w:id="1014" w:name="_Toc19205"/>
      <w:bookmarkStart w:id="1015" w:name="_Toc13563"/>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.2地表水环境影响分析</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68C1BC69">
      <w:pPr>
        <w:pStyle w:val="21"/>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cs="Times New Roman"/>
          <w:color w:val="auto"/>
          <w:u w:val="none" w:color="auto"/>
          <w:lang w:val="en-US" w:eastAsia="zh-CN"/>
        </w:rPr>
        <w:t>根据《环境影响评价技术导则 地表水环境》（HJ 2.3-2018）：建设项目地表水环境影响评价等级按照影响类型、排放方式、排放量或影响情况、受纳水体环境质量现状、水环境保护目标等综合确定。本项目为水污染影响型建设项目，</w:t>
      </w:r>
      <w:r>
        <w:rPr>
          <w:rStyle w:val="52"/>
          <w:rFonts w:hint="eastAsia" w:ascii="Times New Roman" w:hAnsi="Times New Roman" w:cs="Times New Roman"/>
          <w:color w:val="auto"/>
          <w:u w:val="none" w:color="auto"/>
          <w:lang w:val="en-US" w:eastAsia="zh-CN"/>
        </w:rPr>
        <w:t>项目无生产废水产生</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生活污水经化粪池处理</w:t>
      </w:r>
      <w:r>
        <w:rPr>
          <w:rFonts w:hint="eastAsia"/>
          <w:color w:val="auto"/>
          <w:u w:val="none" w:color="auto"/>
          <w:lang w:val="en-US" w:eastAsia="zh-CN"/>
        </w:rPr>
        <w:t>后排入长沙经开区汨罗产业园污水处理厂</w:t>
      </w:r>
      <w:r>
        <w:rPr>
          <w:rFonts w:hint="eastAsia" w:ascii="Times New Roman" w:hAnsi="Times New Roman" w:cs="Times New Roman"/>
          <w:color w:val="auto"/>
          <w:u w:val="none" w:color="auto"/>
          <w:lang w:val="en-US" w:eastAsia="zh-CN"/>
        </w:rPr>
        <w:t>。</w:t>
      </w:r>
      <w:r>
        <w:rPr>
          <w:rFonts w:hint="default" w:ascii="Times New Roman" w:hAnsi="Times New Roman" w:eastAsia="宋体" w:cs="Times New Roman"/>
          <w:color w:val="auto"/>
          <w:kern w:val="0"/>
          <w:sz w:val="24"/>
          <w:szCs w:val="20"/>
          <w:u w:val="none" w:color="auto"/>
          <w:lang w:val="en-US" w:eastAsia="zh-CN" w:bidi="ar-SA"/>
        </w:rPr>
        <w:t>根据</w:t>
      </w:r>
      <w:r>
        <w:rPr>
          <w:rFonts w:hint="default" w:ascii="Times New Roman" w:hAnsi="Times New Roman" w:eastAsia="宋体" w:cs="Times New Roman"/>
          <w:color w:val="auto"/>
          <w:kern w:val="0"/>
          <w:sz w:val="24"/>
          <w:szCs w:val="20"/>
          <w:highlight w:val="none"/>
          <w:u w:val="none" w:color="auto"/>
          <w:lang w:val="en-US" w:eastAsia="zh-CN" w:bidi="ar-SA"/>
        </w:rPr>
        <w:t>水污染影响型建设项目评价等级判定表，本次地表水环境影响评价等级为三级B。同时，根据</w:t>
      </w:r>
      <w:r>
        <w:rPr>
          <w:rFonts w:hint="default" w:ascii="Times New Roman" w:hAnsi="Times New Roman" w:eastAsia="宋体" w:cs="Times New Roman"/>
          <w:color w:val="auto"/>
          <w:kern w:val="0"/>
          <w:sz w:val="24"/>
          <w:szCs w:val="20"/>
          <w:u w:val="none" w:color="auto"/>
          <w:lang w:val="en-US" w:eastAsia="zh-CN" w:bidi="ar-SA"/>
        </w:rPr>
        <w:t>《环境影响评</w:t>
      </w:r>
      <w:r>
        <w:rPr>
          <w:rFonts w:hint="default" w:ascii="Times New Roman" w:hAnsi="Times New Roman" w:eastAsia="宋体" w:cs="Times New Roman"/>
          <w:color w:val="auto"/>
          <w:kern w:val="0"/>
          <w:sz w:val="24"/>
          <w:szCs w:val="20"/>
          <w:highlight w:val="none"/>
          <w:u w:val="none" w:color="auto"/>
          <w:lang w:val="en-US" w:eastAsia="zh-CN" w:bidi="ar-SA"/>
        </w:rPr>
        <w:t>价技术导则-地表水环境》（HJ2.3-2018）中7.1.2中地表水环境影响预测的总体要求，水污染影响型三级B评价可不进行水环境影响预测。</w:t>
      </w:r>
    </w:p>
    <w:p w14:paraId="71487BC6">
      <w:pPr>
        <w:pStyle w:val="21"/>
        <w:rPr>
          <w:rFonts w:hint="default" w:ascii="Times New Roman" w:hAnsi="Times New Roman" w:cs="Times New Roman"/>
          <w:b w:val="0"/>
          <w:bCs w:val="0"/>
          <w:color w:val="auto"/>
          <w:sz w:val="24"/>
          <w:highlight w:val="none"/>
          <w:u w:val="none" w:color="auto"/>
          <w:lang w:eastAsia="zh-CN"/>
        </w:rPr>
      </w:pPr>
      <w:r>
        <w:rPr>
          <w:rFonts w:hint="eastAsia" w:ascii="Times New Roman" w:hAnsi="Times New Roman" w:cs="Times New Roman"/>
          <w:b/>
          <w:bCs/>
          <w:color w:val="auto"/>
          <w:sz w:val="24"/>
          <w:highlight w:val="none"/>
          <w:u w:val="none" w:color="auto"/>
          <w:lang w:val="en-US" w:eastAsia="zh-CN"/>
        </w:rPr>
        <w:t>1、</w:t>
      </w:r>
      <w:r>
        <w:rPr>
          <w:rFonts w:hint="default" w:ascii="Times New Roman" w:hAnsi="Times New Roman" w:cs="Times New Roman"/>
          <w:b/>
          <w:bCs/>
          <w:color w:val="auto"/>
          <w:sz w:val="24"/>
          <w:highlight w:val="none"/>
          <w:u w:val="none" w:color="auto"/>
          <w:lang w:eastAsia="zh-CN"/>
        </w:rPr>
        <w:t>水污染控制和水环境影响减缓措施有效性评价</w:t>
      </w:r>
    </w:p>
    <w:p w14:paraId="3734A8B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本项目职工</w:t>
      </w:r>
      <w:r>
        <w:rPr>
          <w:rFonts w:hint="default" w:ascii="Times New Roman" w:hAnsi="Times New Roman" w:cs="Times New Roman"/>
          <w:color w:val="auto"/>
          <w:u w:val="none" w:color="auto"/>
          <w:lang w:val="en-US" w:eastAsia="zh-CN"/>
        </w:rPr>
        <w:t>生活</w:t>
      </w:r>
      <w:r>
        <w:rPr>
          <w:rFonts w:hint="default" w:ascii="Times New Roman" w:hAnsi="Times New Roman" w:cs="Times New Roman"/>
          <w:color w:val="auto"/>
          <w:u w:val="none" w:color="auto"/>
        </w:rPr>
        <w:t>污水排放量为</w:t>
      </w:r>
      <w:r>
        <w:rPr>
          <w:rFonts w:hint="eastAsia" w:ascii="Times New Roman" w:hAnsi="Times New Roman" w:cs="Times New Roman"/>
          <w:color w:val="auto"/>
          <w:u w:val="none" w:color="auto"/>
          <w:lang w:val="en-US" w:eastAsia="zh-CN"/>
        </w:rPr>
        <w:t>1216</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a</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4.06</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/d）</w:t>
      </w:r>
      <w:r>
        <w:rPr>
          <w:rFonts w:hint="default" w:ascii="Times New Roman" w:hAnsi="Times New Roman" w:cs="Times New Roman"/>
          <w:color w:val="auto"/>
          <w:u w:val="none" w:color="auto"/>
          <w:lang w:eastAsia="zh-CN"/>
        </w:rPr>
        <w:t>。</w:t>
      </w:r>
      <w:r>
        <w:rPr>
          <w:rStyle w:val="52"/>
          <w:rFonts w:hint="default" w:ascii="Times New Roman" w:hAnsi="Times New Roman" w:cs="Times New Roman"/>
          <w:color w:val="auto"/>
          <w:u w:val="none" w:color="auto"/>
          <w:lang w:eastAsia="zh-CN"/>
        </w:rPr>
        <w:t>员工生活污水</w:t>
      </w:r>
      <w:r>
        <w:rPr>
          <w:rStyle w:val="52"/>
          <w:rFonts w:hint="eastAsia" w:ascii="Times New Roman" w:hAnsi="Times New Roman" w:cs="Times New Roman"/>
          <w:color w:val="auto"/>
          <w:u w:val="none" w:color="auto"/>
          <w:lang w:val="en-US" w:eastAsia="zh-CN"/>
        </w:rPr>
        <w:t>经</w:t>
      </w:r>
      <w:r>
        <w:rPr>
          <w:rStyle w:val="52"/>
          <w:rFonts w:hint="default" w:ascii="Times New Roman" w:hAnsi="Times New Roman" w:cs="Times New Roman"/>
          <w:color w:val="auto"/>
          <w:u w:val="none" w:color="auto"/>
          <w:lang w:eastAsia="zh-CN"/>
        </w:rPr>
        <w:t>化粪池处理后进入</w:t>
      </w:r>
      <w:r>
        <w:rPr>
          <w:rStyle w:val="52"/>
          <w:rFonts w:hint="eastAsia" w:ascii="Times New Roman" w:hAnsi="Times New Roman" w:cs="Times New Roman"/>
          <w:color w:val="auto"/>
          <w:u w:val="none" w:color="auto"/>
          <w:lang w:val="en-US" w:eastAsia="zh-CN"/>
        </w:rPr>
        <w:t>长沙经开区汨罗产业园</w:t>
      </w:r>
      <w:r>
        <w:rPr>
          <w:rStyle w:val="52"/>
          <w:rFonts w:hint="eastAsia" w:ascii="Times New Roman" w:hAnsi="Times New Roman" w:cs="Times New Roman"/>
          <w:color w:val="auto"/>
          <w:u w:val="none" w:color="auto"/>
          <w:lang w:eastAsia="zh-CN"/>
        </w:rPr>
        <w:t>污水处理厂处理</w:t>
      </w:r>
      <w:r>
        <w:rPr>
          <w:rFonts w:hint="default" w:ascii="Times New Roman" w:hAnsi="Times New Roman" w:cs="Times New Roman"/>
          <w:color w:val="auto"/>
          <w:u w:val="none" w:color="auto"/>
        </w:rPr>
        <w:t>。</w:t>
      </w:r>
    </w:p>
    <w:p w14:paraId="0C0F57E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生活污水中主要污染物CODcr、BOD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、SS、NH</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-N 的产生浓度分别为：3</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0mg/L、</w:t>
      </w:r>
      <w:r>
        <w:rPr>
          <w:rFonts w:hint="eastAsia" w:ascii="Times New Roman" w:hAnsi="Times New Roman" w:cs="Times New Roman"/>
          <w:color w:val="auto"/>
          <w:u w:val="none" w:color="auto"/>
          <w:lang w:val="en-US" w:eastAsia="zh-CN"/>
        </w:rPr>
        <w:t>16</w:t>
      </w:r>
      <w:r>
        <w:rPr>
          <w:rFonts w:hint="default" w:ascii="Times New Roman" w:hAnsi="Times New Roman" w:cs="Times New Roman"/>
          <w:color w:val="auto"/>
          <w:u w:val="none" w:color="auto"/>
        </w:rPr>
        <w:t>0mg/L、250mg/L、</w:t>
      </w:r>
      <w:r>
        <w:rPr>
          <w:rFonts w:hint="eastAsia" w:ascii="Times New Roman" w:hAnsi="Times New Roman" w:cs="Times New Roman"/>
          <w:color w:val="auto"/>
          <w:u w:val="none" w:color="auto"/>
          <w:lang w:val="en-US" w:eastAsia="zh-CN"/>
        </w:rPr>
        <w:t>30</w:t>
      </w:r>
      <w:r>
        <w:rPr>
          <w:rFonts w:hint="default" w:ascii="Times New Roman" w:hAnsi="Times New Roman" w:cs="Times New Roman"/>
          <w:color w:val="auto"/>
          <w:u w:val="none" w:color="auto"/>
        </w:rPr>
        <w:t>mg/L。根据同类工程数据可知，生活污水经化粪池预处理后，各污染物的浓度约为：CODcr：255mg/L、BOD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160</w:t>
      </w:r>
      <w:r>
        <w:rPr>
          <w:rFonts w:hint="default" w:ascii="Times New Roman" w:hAnsi="Times New Roman" w:cs="Times New Roman"/>
          <w:color w:val="auto"/>
          <w:u w:val="none" w:color="auto"/>
        </w:rPr>
        <w:t>mg/L、SS</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150</w:t>
      </w:r>
      <w:r>
        <w:rPr>
          <w:rFonts w:hint="default" w:ascii="Times New Roman" w:hAnsi="Times New Roman" w:cs="Times New Roman"/>
          <w:color w:val="auto"/>
          <w:u w:val="none" w:color="auto"/>
        </w:rPr>
        <w:t>mg/L、NH</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-N：</w:t>
      </w:r>
      <w:r>
        <w:rPr>
          <w:rFonts w:hint="eastAsia" w:ascii="Times New Roman" w:hAnsi="Times New Roman" w:cs="Times New Roman"/>
          <w:color w:val="auto"/>
          <w:u w:val="none" w:color="auto"/>
          <w:lang w:val="en-US" w:eastAsia="zh-CN"/>
        </w:rPr>
        <w:t>10</w:t>
      </w:r>
      <w:r>
        <w:rPr>
          <w:rFonts w:hint="default" w:ascii="Times New Roman" w:hAnsi="Times New Roman" w:cs="Times New Roman"/>
          <w:color w:val="auto"/>
          <w:u w:val="none" w:color="auto"/>
        </w:rPr>
        <w:t>mg/L。生活污水经化粪池预处理后各污染物浓度能够达到</w:t>
      </w:r>
      <w:r>
        <w:rPr>
          <w:rFonts w:hint="eastAsia" w:ascii="Times New Roman" w:hAnsi="Times New Roman" w:cs="Times New Roman"/>
          <w:color w:val="auto"/>
          <w:u w:val="none" w:color="auto"/>
          <w:lang w:val="en-US" w:eastAsia="zh-CN"/>
        </w:rPr>
        <w:t>长沙经开区汨罗产业园</w:t>
      </w:r>
      <w:r>
        <w:rPr>
          <w:rFonts w:hint="default" w:ascii="Times New Roman" w:hAnsi="Times New Roman" w:cs="Times New Roman"/>
          <w:color w:val="auto"/>
          <w:u w:val="none" w:color="auto"/>
        </w:rPr>
        <w:t>污水处理厂进水水质标准。</w:t>
      </w:r>
    </w:p>
    <w:p w14:paraId="483EC20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本项目生活污水经预处理后进入</w:t>
      </w:r>
      <w:r>
        <w:rPr>
          <w:rFonts w:hint="eastAsia" w:ascii="Times New Roman" w:hAnsi="Times New Roman" w:cs="Times New Roman"/>
          <w:color w:val="auto"/>
          <w:u w:val="none" w:color="auto"/>
          <w:lang w:val="en-US" w:eastAsia="zh-CN"/>
        </w:rPr>
        <w:t>长沙经开区汨罗产业园</w:t>
      </w:r>
      <w:r>
        <w:rPr>
          <w:rFonts w:hint="default" w:ascii="Times New Roman" w:hAnsi="Times New Roman" w:cs="Times New Roman"/>
          <w:color w:val="auto"/>
          <w:u w:val="none" w:color="auto"/>
        </w:rPr>
        <w:t>污水处理厂进一步处理，最终达标排入</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，水污染物排放的影响已在</w:t>
      </w:r>
      <w:r>
        <w:rPr>
          <w:rFonts w:hint="eastAsia" w:ascii="Times New Roman" w:hAnsi="Times New Roman" w:cs="Times New Roman"/>
          <w:color w:val="auto"/>
          <w:u w:val="none" w:color="auto"/>
          <w:lang w:val="en-US" w:eastAsia="zh-CN"/>
        </w:rPr>
        <w:t>长沙经开区汨罗产业园</w:t>
      </w:r>
      <w:r>
        <w:rPr>
          <w:rFonts w:hint="default" w:ascii="Times New Roman" w:hAnsi="Times New Roman" w:cs="Times New Roman"/>
          <w:color w:val="auto"/>
          <w:u w:val="none" w:color="auto"/>
        </w:rPr>
        <w:t>污水处理厂排水中考虑。</w:t>
      </w:r>
      <w:r>
        <w:rPr>
          <w:color w:val="auto"/>
          <w:u w:val="none" w:color="auto"/>
        </w:rPr>
        <w:t>根据第</w:t>
      </w:r>
      <w:r>
        <w:rPr>
          <w:rFonts w:hint="eastAsia"/>
          <w:color w:val="auto"/>
          <w:u w:val="none" w:color="auto"/>
          <w:lang w:val="en-US" w:eastAsia="zh-CN"/>
        </w:rPr>
        <w:t>4.3</w:t>
      </w:r>
      <w:r>
        <w:rPr>
          <w:color w:val="auto"/>
          <w:u w:val="none" w:color="auto"/>
        </w:rPr>
        <w:t>章地表水环境质量现状调查与评价可知，</w:t>
      </w:r>
      <w:r>
        <w:rPr>
          <w:rFonts w:hint="eastAsia"/>
          <w:color w:val="auto"/>
          <w:u w:val="none" w:color="auto"/>
          <w:lang w:eastAsia="zh-CN"/>
        </w:rPr>
        <w:t>白沙河</w:t>
      </w:r>
      <w:r>
        <w:rPr>
          <w:color w:val="auto"/>
          <w:u w:val="none" w:color="auto"/>
        </w:rPr>
        <w:t>各监测因子浓度均符合《地表水环境质量标准》（GB3838-2002）中的Ⅲ类标准限值要求，水质环境较好</w:t>
      </w:r>
      <w:r>
        <w:rPr>
          <w:rFonts w:hint="default" w:ascii="Times New Roman" w:hAnsi="Times New Roman" w:cs="Times New Roman"/>
          <w:color w:val="auto"/>
          <w:u w:val="none" w:color="auto"/>
        </w:rPr>
        <w:t>，纳污水体</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的水质不会因为本项目的建设而有明显的恶化，水污染控制和水环境影响减缓措施有效。</w:t>
      </w:r>
    </w:p>
    <w:p w14:paraId="60FFC0BD">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b/>
          <w:bCs/>
          <w:color w:val="auto"/>
          <w:u w:val="none" w:color="auto"/>
          <w:lang w:val="en-US" w:eastAsia="zh-CN"/>
        </w:rPr>
        <w:t>2、依托污水处理设施的环境可行性评价</w:t>
      </w:r>
    </w:p>
    <w:p w14:paraId="680F2695">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长沙经开区汨罗产业园污水处理厂位于汨罗市弼时镇汨罗产业园白沙河路和丛木塘路交叉口，其纳污范围包括规划的工业园生产、生活废水以及镇区的生活污水；设计总处理规模为5.0万吨/日，分两期建设：一期为2.5万t/d，二期为5万t/d，现已建成投运5000t/d。</w:t>
      </w:r>
    </w:p>
    <w:p w14:paraId="40CD2651">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长沙经开区汨罗产业园污水处理厂的进水水质要求为：COD</w:t>
      </w:r>
      <w:r>
        <w:rPr>
          <w:rFonts w:hint="eastAsia" w:ascii="Times New Roman" w:hAnsi="Times New Roman" w:cs="Times New Roman"/>
          <w:color w:val="auto"/>
          <w:u w:val="none" w:color="auto"/>
          <w:vertAlign w:val="subscript"/>
          <w:lang w:val="en-US" w:eastAsia="zh-CN"/>
        </w:rPr>
        <w:t>Cr</w:t>
      </w:r>
      <w:r>
        <w:rPr>
          <w:rFonts w:hint="eastAsia" w:ascii="Times New Roman" w:hAnsi="Times New Roman" w:cs="Times New Roman"/>
          <w:color w:val="auto"/>
          <w:u w:val="none" w:color="auto"/>
          <w:lang w:val="en-US" w:eastAsia="zh-CN"/>
        </w:rPr>
        <w:t xml:space="preserve"> ≤500mg/L、BOD</w:t>
      </w:r>
      <w:r>
        <w:rPr>
          <w:rFonts w:hint="eastAsia" w:ascii="Times New Roman" w:hAnsi="Times New Roman" w:cs="Times New Roman"/>
          <w:color w:val="auto"/>
          <w:u w:val="none" w:color="auto"/>
          <w:vertAlign w:val="subscript"/>
          <w:lang w:val="en-US" w:eastAsia="zh-CN"/>
        </w:rPr>
        <w:t>5</w:t>
      </w:r>
      <w:r>
        <w:rPr>
          <w:rFonts w:hint="eastAsia" w:ascii="Times New Roman" w:hAnsi="Times New Roman" w:cs="Times New Roman"/>
          <w:color w:val="auto"/>
          <w:u w:val="none" w:color="auto"/>
          <w:lang w:val="en-US" w:eastAsia="zh-CN"/>
        </w:rPr>
        <w:t>≤300mg/L、SS≤400mg/L、NH</w:t>
      </w:r>
      <w:r>
        <w:rPr>
          <w:rFonts w:hint="eastAsia" w:ascii="Times New Roman" w:hAnsi="Times New Roman" w:cs="Times New Roman"/>
          <w:color w:val="auto"/>
          <w:u w:val="none" w:color="auto"/>
          <w:vertAlign w:val="subscript"/>
          <w:lang w:val="en-US" w:eastAsia="zh-CN"/>
        </w:rPr>
        <w:t>3</w:t>
      </w:r>
      <w:r>
        <w:rPr>
          <w:rFonts w:hint="eastAsia" w:ascii="Times New Roman" w:hAnsi="Times New Roman" w:cs="Times New Roman"/>
          <w:color w:val="auto"/>
          <w:u w:val="none" w:color="auto"/>
          <w:lang w:val="en-US" w:eastAsia="zh-CN"/>
        </w:rPr>
        <w:t>-N≤30mg/L、TN≤35mg/L、TP≤8</w:t>
      </w:r>
      <w:r>
        <w:rPr>
          <w:rFonts w:hint="eastAsia" w:ascii="Times New Roman" w:hAnsi="Times New Roman" w:cs="Times New Roman"/>
          <w:color w:val="auto"/>
          <w:u w:val="none" w:color="auto"/>
          <w:lang w:val="en-US" w:eastAsia="zh-CN"/>
        </w:rPr>
        <w:tab/>
      </w:r>
      <w:r>
        <w:rPr>
          <w:rFonts w:hint="eastAsia" w:ascii="Times New Roman" w:hAnsi="Times New Roman" w:cs="Times New Roman"/>
          <w:color w:val="auto"/>
          <w:u w:val="none" w:color="auto"/>
          <w:lang w:val="en-US" w:eastAsia="zh-CN"/>
        </w:rPr>
        <w:t>mg/L、石油类≤20mg/L。污水处理厂采用“预处理+水解酸化及改良型A2/O生物池＋组合二沉池+高密度沉淀池+转盘滤池+二氧化氯消毒”的处理工艺，部分尾水达到《城市杂用水水质标准》（GB/T18920-2002）中城市绿化、浇洒道路的水质要求后，作为中水回用（2.1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/d）；部分尾水（0.4万m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/d）达《城镇污水处理厂污染物排放标准》（GB18918-2002）中一级A排放标准要求后排入白沙河。</w:t>
      </w:r>
    </w:p>
    <w:p w14:paraId="6707DEDC">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根据《长沙经开区汨罗产业园污水处理厂入河排污口设置论证报告》（2021年）：目前，中水回用系统未建设，实际处理工艺为“粗格栅+细格栅+沉砂池+水解酸化池+改良型 A2/O 生化池＋二沉池+絮凝+沉淀+过滤（活性砂滤池）+次氯酸钠消毒”，出水水质达《城镇污水处理厂污染物排放标准》中一级A标准限值要求后全部排入白沙河。</w:t>
      </w:r>
    </w:p>
    <w:p w14:paraId="233AEDFD">
      <w:pPr>
        <w:pStyle w:val="21"/>
        <w:ind w:firstLine="480"/>
        <w:rPr>
          <w:rFonts w:hint="eastAsia" w:ascii="Times New Roman" w:hAnsi="Times New Roman" w:cs="Times New Roman"/>
          <w:color w:val="auto"/>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cs="Times New Roman"/>
          <w:color w:val="auto"/>
          <w:u w:val="none" w:color="auto"/>
          <w:lang w:val="en-US" w:eastAsia="zh-CN"/>
        </w:rPr>
        <w:t>本项目位于</w:t>
      </w:r>
      <w:r>
        <w:rPr>
          <w:rFonts w:hint="eastAsia"/>
          <w:color w:val="auto"/>
          <w:u w:val="none" w:color="auto"/>
          <w:lang w:val="en-US" w:eastAsia="zh-CN"/>
        </w:rPr>
        <w:t>湖南省岳阳市汨罗市湖南汨罗高新技术产业开发区弼时片区大里塘村立新南路</w:t>
      </w:r>
      <w:r>
        <w:rPr>
          <w:rFonts w:hint="eastAsia" w:ascii="Times New Roman" w:hAnsi="Times New Roman" w:cs="Times New Roman"/>
          <w:color w:val="auto"/>
          <w:u w:val="none" w:color="auto"/>
          <w:lang w:val="en-US" w:eastAsia="zh-CN"/>
        </w:rPr>
        <w:t>，污水管网已接通至项目所在地，具有管网可达性。目前长沙经开区汨罗产业园污水处理厂纳污范围内废水实际排放水量约为0.4万m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/d，剩余处理余量为0.1万m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/d，本项目生活污水排放量为1216m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/a，折合4.06m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/d，远低于长沙经开区汨罗产业园污水处理厂的剩余处理能力，能够满足接纳本项目废水排放处理的要求。</w:t>
      </w:r>
    </w:p>
    <w:p w14:paraId="143AC8CC">
      <w:pPr>
        <w:pStyle w:val="21"/>
        <w:rPr>
          <w:rFonts w:hint="default" w:ascii="Times New Roman" w:hAnsi="Times New Roman" w:cs="Times New Roman"/>
          <w:color w:val="auto"/>
          <w:u w:val="none" w:color="auto"/>
          <w:lang w:val="en-US" w:eastAsia="zh-CN"/>
        </w:rPr>
      </w:pPr>
      <w:r>
        <w:rPr>
          <w:rFonts w:hint="default" w:ascii="Times New Roman" w:hAnsi="Times New Roman" w:cs="Times New Roman"/>
          <w:bCs/>
          <w:color w:val="auto"/>
          <w:sz w:val="24"/>
          <w:u w:val="none" w:color="auto"/>
        </w:rPr>
        <w:t>本项目废水类别、污染物及污染治理措施见</w:t>
      </w:r>
      <w:r>
        <w:rPr>
          <w:rFonts w:hint="default" w:ascii="Times New Roman" w:hAnsi="Times New Roman" w:cs="Times New Roman"/>
          <w:color w:val="auto"/>
          <w:u w:val="none" w:color="auto"/>
          <w:lang w:val="en-US" w:eastAsia="zh-CN"/>
        </w:rPr>
        <w:t>表</w:t>
      </w:r>
      <w:r>
        <w:rPr>
          <w:rFonts w:hint="eastAsia" w:ascii="Times New Roman" w:hAnsi="Times New Roman" w:cs="Times New Roman"/>
          <w:color w:val="auto"/>
          <w:u w:val="none" w:color="auto"/>
          <w:lang w:val="en-US" w:eastAsia="zh-CN"/>
        </w:rPr>
        <w:t>5.2</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15</w:t>
      </w:r>
      <w:r>
        <w:rPr>
          <w:rFonts w:hint="default" w:ascii="Times New Roman" w:hAnsi="Times New Roman" w:cs="Times New Roman"/>
          <w:bCs/>
          <w:color w:val="auto"/>
          <w:sz w:val="24"/>
          <w:u w:val="none" w:color="auto"/>
        </w:rPr>
        <w:t>。</w:t>
      </w:r>
    </w:p>
    <w:p w14:paraId="0CC84207">
      <w:pPr>
        <w:pStyle w:val="23"/>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5.2-15</w:t>
      </w:r>
      <w:r>
        <w:rPr>
          <w:rFonts w:hint="default"/>
          <w:color w:val="auto"/>
          <w:u w:val="none" w:color="auto"/>
        </w:rPr>
        <w:t xml:space="preserve"> 本项目废水类别、污染物及污染治理措施信息表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05"/>
        <w:gridCol w:w="910"/>
        <w:gridCol w:w="1100"/>
        <w:gridCol w:w="1300"/>
        <w:gridCol w:w="1075"/>
        <w:gridCol w:w="1150"/>
        <w:gridCol w:w="1100"/>
        <w:gridCol w:w="1900"/>
        <w:gridCol w:w="1003"/>
        <w:gridCol w:w="1462"/>
        <w:gridCol w:w="2568"/>
      </w:tblGrid>
      <w:tr w14:paraId="5E2D1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5" w:type="dxa"/>
            <w:vMerge w:val="restart"/>
            <w:noWrap w:val="0"/>
            <w:vAlign w:val="center"/>
          </w:tcPr>
          <w:p w14:paraId="5B3E439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910" w:type="dxa"/>
            <w:vMerge w:val="restart"/>
            <w:noWrap w:val="0"/>
            <w:vAlign w:val="center"/>
          </w:tcPr>
          <w:p w14:paraId="04D5802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废水类别</w:t>
            </w:r>
          </w:p>
        </w:tc>
        <w:tc>
          <w:tcPr>
            <w:tcW w:w="1100" w:type="dxa"/>
            <w:vMerge w:val="restart"/>
            <w:noWrap w:val="0"/>
            <w:vAlign w:val="center"/>
          </w:tcPr>
          <w:p w14:paraId="4E53FBC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污染物种类</w:t>
            </w:r>
          </w:p>
        </w:tc>
        <w:tc>
          <w:tcPr>
            <w:tcW w:w="1300" w:type="dxa"/>
            <w:vMerge w:val="restart"/>
            <w:noWrap w:val="0"/>
            <w:vAlign w:val="center"/>
          </w:tcPr>
          <w:p w14:paraId="41B2E68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排放去向</w:t>
            </w:r>
          </w:p>
        </w:tc>
        <w:tc>
          <w:tcPr>
            <w:tcW w:w="1075" w:type="dxa"/>
            <w:vMerge w:val="restart"/>
            <w:noWrap w:val="0"/>
            <w:vAlign w:val="center"/>
          </w:tcPr>
          <w:p w14:paraId="7314CD0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排放规律</w:t>
            </w:r>
          </w:p>
        </w:tc>
        <w:tc>
          <w:tcPr>
            <w:tcW w:w="4150" w:type="dxa"/>
            <w:gridSpan w:val="3"/>
            <w:noWrap w:val="0"/>
            <w:vAlign w:val="center"/>
          </w:tcPr>
          <w:p w14:paraId="7FA5125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w:t>
            </w:r>
          </w:p>
        </w:tc>
        <w:tc>
          <w:tcPr>
            <w:tcW w:w="1003" w:type="dxa"/>
            <w:vMerge w:val="restart"/>
            <w:noWrap w:val="0"/>
            <w:vAlign w:val="center"/>
          </w:tcPr>
          <w:p w14:paraId="062FA3FB">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462" w:type="dxa"/>
            <w:vMerge w:val="restart"/>
            <w:noWrap w:val="0"/>
            <w:vAlign w:val="center"/>
          </w:tcPr>
          <w:p w14:paraId="1447B980">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排放口设置是否符合要求</w:t>
            </w:r>
          </w:p>
        </w:tc>
        <w:tc>
          <w:tcPr>
            <w:tcW w:w="2568" w:type="dxa"/>
            <w:vMerge w:val="restart"/>
            <w:noWrap w:val="0"/>
            <w:vAlign w:val="center"/>
          </w:tcPr>
          <w:p w14:paraId="165AFD8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排放口类型</w:t>
            </w:r>
          </w:p>
        </w:tc>
      </w:tr>
      <w:tr w14:paraId="112A1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5" w:type="dxa"/>
            <w:vMerge w:val="continue"/>
            <w:noWrap w:val="0"/>
            <w:vAlign w:val="center"/>
          </w:tcPr>
          <w:p w14:paraId="12DE178C">
            <w:pPr>
              <w:pStyle w:val="25"/>
              <w:bidi w:val="0"/>
              <w:rPr>
                <w:rFonts w:hint="default" w:ascii="Times New Roman" w:hAnsi="Times New Roman" w:cs="Times New Roman"/>
                <w:color w:val="auto"/>
                <w:u w:val="none" w:color="auto"/>
              </w:rPr>
            </w:pPr>
          </w:p>
        </w:tc>
        <w:tc>
          <w:tcPr>
            <w:tcW w:w="910" w:type="dxa"/>
            <w:vMerge w:val="continue"/>
            <w:noWrap w:val="0"/>
            <w:vAlign w:val="center"/>
          </w:tcPr>
          <w:p w14:paraId="1CA5EA1B">
            <w:pPr>
              <w:pStyle w:val="25"/>
              <w:bidi w:val="0"/>
              <w:rPr>
                <w:rFonts w:hint="default" w:ascii="Times New Roman" w:hAnsi="Times New Roman" w:cs="Times New Roman"/>
                <w:color w:val="auto"/>
                <w:u w:val="none" w:color="auto"/>
              </w:rPr>
            </w:pPr>
          </w:p>
        </w:tc>
        <w:tc>
          <w:tcPr>
            <w:tcW w:w="1100" w:type="dxa"/>
            <w:vMerge w:val="continue"/>
            <w:noWrap w:val="0"/>
            <w:vAlign w:val="center"/>
          </w:tcPr>
          <w:p w14:paraId="75F9A904">
            <w:pPr>
              <w:pStyle w:val="25"/>
              <w:bidi w:val="0"/>
              <w:rPr>
                <w:rFonts w:hint="default" w:ascii="Times New Roman" w:hAnsi="Times New Roman" w:cs="Times New Roman"/>
                <w:color w:val="auto"/>
                <w:u w:val="none" w:color="auto"/>
              </w:rPr>
            </w:pPr>
          </w:p>
        </w:tc>
        <w:tc>
          <w:tcPr>
            <w:tcW w:w="1300" w:type="dxa"/>
            <w:vMerge w:val="continue"/>
            <w:noWrap w:val="0"/>
            <w:vAlign w:val="center"/>
          </w:tcPr>
          <w:p w14:paraId="7A43205E">
            <w:pPr>
              <w:pStyle w:val="25"/>
              <w:bidi w:val="0"/>
              <w:rPr>
                <w:rFonts w:hint="default" w:ascii="Times New Roman" w:hAnsi="Times New Roman" w:cs="Times New Roman"/>
                <w:color w:val="auto"/>
                <w:u w:val="none" w:color="auto"/>
              </w:rPr>
            </w:pPr>
          </w:p>
        </w:tc>
        <w:tc>
          <w:tcPr>
            <w:tcW w:w="1075" w:type="dxa"/>
            <w:vMerge w:val="continue"/>
            <w:noWrap w:val="0"/>
            <w:vAlign w:val="center"/>
          </w:tcPr>
          <w:p w14:paraId="5B5CB91D">
            <w:pPr>
              <w:pStyle w:val="25"/>
              <w:bidi w:val="0"/>
              <w:rPr>
                <w:rFonts w:hint="default" w:ascii="Times New Roman" w:hAnsi="Times New Roman" w:cs="Times New Roman"/>
                <w:color w:val="auto"/>
                <w:u w:val="none" w:color="auto"/>
              </w:rPr>
            </w:pPr>
          </w:p>
        </w:tc>
        <w:tc>
          <w:tcPr>
            <w:tcW w:w="1150" w:type="dxa"/>
            <w:noWrap w:val="0"/>
            <w:vAlign w:val="center"/>
          </w:tcPr>
          <w:p w14:paraId="2130244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污染治理设施编号</w:t>
            </w:r>
          </w:p>
        </w:tc>
        <w:tc>
          <w:tcPr>
            <w:tcW w:w="1100" w:type="dxa"/>
            <w:noWrap w:val="0"/>
            <w:vAlign w:val="center"/>
          </w:tcPr>
          <w:p w14:paraId="2AB5FCB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污染治理设施名称</w:t>
            </w:r>
          </w:p>
        </w:tc>
        <w:tc>
          <w:tcPr>
            <w:tcW w:w="1900" w:type="dxa"/>
            <w:noWrap w:val="0"/>
            <w:vAlign w:val="center"/>
          </w:tcPr>
          <w:p w14:paraId="747CE2F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污染治理设施工艺</w:t>
            </w:r>
          </w:p>
        </w:tc>
        <w:tc>
          <w:tcPr>
            <w:tcW w:w="1003" w:type="dxa"/>
            <w:vMerge w:val="continue"/>
            <w:noWrap w:val="0"/>
            <w:vAlign w:val="center"/>
          </w:tcPr>
          <w:p w14:paraId="119539F2">
            <w:pPr>
              <w:pStyle w:val="25"/>
              <w:bidi w:val="0"/>
              <w:rPr>
                <w:rFonts w:hint="default" w:ascii="Times New Roman" w:hAnsi="Times New Roman" w:cs="Times New Roman"/>
                <w:color w:val="auto"/>
                <w:u w:val="none" w:color="auto"/>
              </w:rPr>
            </w:pPr>
          </w:p>
        </w:tc>
        <w:tc>
          <w:tcPr>
            <w:tcW w:w="1462" w:type="dxa"/>
            <w:vMerge w:val="continue"/>
            <w:noWrap w:val="0"/>
            <w:vAlign w:val="center"/>
          </w:tcPr>
          <w:p w14:paraId="7A934052">
            <w:pPr>
              <w:pStyle w:val="25"/>
              <w:bidi w:val="0"/>
              <w:rPr>
                <w:rFonts w:hint="default" w:ascii="Times New Roman" w:hAnsi="Times New Roman" w:cs="Times New Roman"/>
                <w:color w:val="auto"/>
                <w:u w:val="none" w:color="auto"/>
              </w:rPr>
            </w:pPr>
          </w:p>
        </w:tc>
        <w:tc>
          <w:tcPr>
            <w:tcW w:w="2568" w:type="dxa"/>
            <w:vMerge w:val="continue"/>
            <w:noWrap w:val="0"/>
            <w:vAlign w:val="center"/>
          </w:tcPr>
          <w:p w14:paraId="6694D99D">
            <w:pPr>
              <w:pStyle w:val="25"/>
              <w:bidi w:val="0"/>
              <w:rPr>
                <w:rFonts w:hint="default" w:ascii="Times New Roman" w:hAnsi="Times New Roman" w:cs="Times New Roman"/>
                <w:color w:val="auto"/>
                <w:u w:val="none" w:color="auto"/>
              </w:rPr>
            </w:pPr>
          </w:p>
        </w:tc>
      </w:tr>
      <w:tr w14:paraId="6CCCC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5" w:type="dxa"/>
            <w:noWrap w:val="0"/>
            <w:vAlign w:val="center"/>
          </w:tcPr>
          <w:p w14:paraId="2381D95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910" w:type="dxa"/>
            <w:noWrap w:val="0"/>
            <w:vAlign w:val="center"/>
          </w:tcPr>
          <w:p w14:paraId="68B8C24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1100" w:type="dxa"/>
            <w:noWrap w:val="0"/>
            <w:vAlign w:val="center"/>
          </w:tcPr>
          <w:p w14:paraId="208B0FD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COD</w:t>
            </w:r>
            <w:r>
              <w:rPr>
                <w:rFonts w:hint="default" w:ascii="Times New Roman" w:hAnsi="Times New Roman" w:cs="Times New Roman"/>
                <w:color w:val="auto"/>
                <w:u w:val="none" w:color="auto"/>
                <w:lang w:val="en-US" w:eastAsia="zh-CN"/>
              </w:rPr>
              <w:t>c</w:t>
            </w:r>
            <w:r>
              <w:rPr>
                <w:rFonts w:hint="default" w:ascii="Times New Roman" w:hAnsi="Times New Roman" w:cs="Times New Roman"/>
                <w:color w:val="auto"/>
                <w:u w:val="none" w:color="auto"/>
              </w:rPr>
              <w:t>r、BOD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、SS、氨氮</w:t>
            </w:r>
          </w:p>
        </w:tc>
        <w:tc>
          <w:tcPr>
            <w:tcW w:w="1300" w:type="dxa"/>
            <w:noWrap w:val="0"/>
            <w:vAlign w:val="center"/>
          </w:tcPr>
          <w:p w14:paraId="0AB715D2">
            <w:pPr>
              <w:pStyle w:val="25"/>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长沙经开区汨罗产业园污水处理厂</w:t>
            </w:r>
          </w:p>
        </w:tc>
        <w:tc>
          <w:tcPr>
            <w:tcW w:w="1075" w:type="dxa"/>
            <w:noWrap w:val="0"/>
            <w:vAlign w:val="center"/>
          </w:tcPr>
          <w:p w14:paraId="73411AD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间断</w:t>
            </w:r>
            <w:r>
              <w:rPr>
                <w:rFonts w:hint="default" w:ascii="Times New Roman" w:hAnsi="Times New Roman" w:cs="Times New Roman"/>
                <w:color w:val="auto"/>
                <w:u w:val="none" w:color="auto"/>
              </w:rPr>
              <w:t>排放</w:t>
            </w:r>
          </w:p>
        </w:tc>
        <w:tc>
          <w:tcPr>
            <w:tcW w:w="1150" w:type="dxa"/>
            <w:noWrap w:val="0"/>
            <w:vAlign w:val="center"/>
          </w:tcPr>
          <w:p w14:paraId="49D1190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01</w:t>
            </w:r>
          </w:p>
        </w:tc>
        <w:tc>
          <w:tcPr>
            <w:tcW w:w="1100" w:type="dxa"/>
            <w:noWrap w:val="0"/>
            <w:vAlign w:val="center"/>
          </w:tcPr>
          <w:p w14:paraId="54C47047">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化粪池</w:t>
            </w:r>
          </w:p>
        </w:tc>
        <w:tc>
          <w:tcPr>
            <w:tcW w:w="1900" w:type="dxa"/>
            <w:noWrap w:val="0"/>
            <w:vAlign w:val="center"/>
          </w:tcPr>
          <w:p w14:paraId="303AAEC9">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化粪池预处理</w:t>
            </w:r>
          </w:p>
        </w:tc>
        <w:tc>
          <w:tcPr>
            <w:tcW w:w="1003" w:type="dxa"/>
            <w:noWrap w:val="0"/>
            <w:vAlign w:val="center"/>
          </w:tcPr>
          <w:p w14:paraId="64156230">
            <w:pPr>
              <w:pStyle w:val="25"/>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DW001</w:t>
            </w:r>
          </w:p>
        </w:tc>
        <w:tc>
          <w:tcPr>
            <w:tcW w:w="1462" w:type="dxa"/>
            <w:noWrap w:val="0"/>
            <w:vAlign w:val="center"/>
          </w:tcPr>
          <w:p w14:paraId="2A27B1E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sym w:font="Wingdings 2" w:char="0052"/>
            </w:r>
            <w:r>
              <w:rPr>
                <w:rFonts w:hint="default" w:ascii="Times New Roman" w:hAnsi="Times New Roman" w:cs="Times New Roman"/>
                <w:color w:val="auto"/>
                <w:u w:val="none" w:color="auto"/>
              </w:rPr>
              <w:t>是</w:t>
            </w:r>
          </w:p>
          <w:p w14:paraId="4EC0FF87">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sym w:font="Wingdings 2" w:char="F0A3"/>
            </w:r>
            <w:r>
              <w:rPr>
                <w:rFonts w:hint="default" w:ascii="Times New Roman" w:hAnsi="Times New Roman" w:cs="Times New Roman"/>
                <w:color w:val="auto"/>
                <w:u w:val="none" w:color="auto"/>
              </w:rPr>
              <w:t>否</w:t>
            </w:r>
          </w:p>
        </w:tc>
        <w:tc>
          <w:tcPr>
            <w:tcW w:w="2568" w:type="dxa"/>
            <w:noWrap w:val="0"/>
            <w:vAlign w:val="center"/>
          </w:tcPr>
          <w:p w14:paraId="3ACD5CA2">
            <w:pPr>
              <w:pStyle w:val="53"/>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sym w:font="Wingdings 2" w:char="0052"/>
            </w:r>
            <w:r>
              <w:rPr>
                <w:rFonts w:hint="default" w:ascii="Times New Roman" w:hAnsi="Times New Roman" w:eastAsia="宋体" w:cs="Times New Roman"/>
                <w:color w:val="auto"/>
                <w:sz w:val="21"/>
                <w:szCs w:val="21"/>
                <w:u w:val="none" w:color="auto"/>
              </w:rPr>
              <w:t>企业总排</w:t>
            </w:r>
          </w:p>
          <w:p w14:paraId="70B78305">
            <w:pPr>
              <w:pStyle w:val="5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雨水排放</w:t>
            </w:r>
          </w:p>
          <w:p w14:paraId="2CC81090">
            <w:pPr>
              <w:pStyle w:val="5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清净下水排放</w:t>
            </w:r>
          </w:p>
          <w:p w14:paraId="62B82888">
            <w:pPr>
              <w:pStyle w:val="5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温排水排放</w:t>
            </w:r>
          </w:p>
          <w:p w14:paraId="3052E003">
            <w:pPr>
              <w:pStyle w:val="25"/>
              <w:bidi w:val="0"/>
              <w:rPr>
                <w:rFonts w:hint="default" w:ascii="Times New Roman" w:hAnsi="Times New Roman" w:cs="Times New Roman"/>
                <w:color w:val="auto"/>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车间或车间处理设施排放口</w:t>
            </w:r>
            <w:r>
              <w:rPr>
                <w:rFonts w:hint="default" w:ascii="Times New Roman" w:hAnsi="Times New Roman" w:cs="Times New Roman"/>
                <w:color w:val="auto"/>
                <w:u w:val="none" w:color="auto"/>
              </w:rPr>
              <w:t>排放</w:t>
            </w:r>
          </w:p>
        </w:tc>
      </w:tr>
    </w:tbl>
    <w:p w14:paraId="48F3C513">
      <w:pPr>
        <w:spacing w:line="360" w:lineRule="auto"/>
        <w:ind w:firstLine="540"/>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rPr>
        <w:t>本项目废水排放口基本情况见表</w:t>
      </w:r>
      <w:r>
        <w:rPr>
          <w:rFonts w:hint="eastAsia" w:cs="Times New Roman"/>
          <w:color w:val="auto"/>
          <w:sz w:val="24"/>
          <w:szCs w:val="24"/>
          <w:u w:val="none" w:color="auto"/>
          <w:lang w:val="en-US" w:eastAsia="zh-CN"/>
        </w:rPr>
        <w:t>5.2-16</w:t>
      </w:r>
      <w:r>
        <w:rPr>
          <w:rFonts w:hint="default" w:ascii="Times New Roman" w:hAnsi="Times New Roman" w:cs="Times New Roman"/>
          <w:color w:val="auto"/>
          <w:sz w:val="24"/>
          <w:szCs w:val="24"/>
          <w:u w:val="none" w:color="auto"/>
        </w:rPr>
        <w:t>。</w:t>
      </w:r>
    </w:p>
    <w:p w14:paraId="4C2A4AD9">
      <w:pPr>
        <w:pStyle w:val="23"/>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5.2-16</w:t>
      </w:r>
      <w:r>
        <w:rPr>
          <w:rFonts w:hint="default"/>
          <w:color w:val="auto"/>
          <w:u w:val="none" w:color="auto"/>
        </w:rPr>
        <w:t xml:space="preserve"> 项目废水间接排放口基本情况表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75"/>
        <w:gridCol w:w="865"/>
        <w:gridCol w:w="1000"/>
        <w:gridCol w:w="1150"/>
        <w:gridCol w:w="1025"/>
        <w:gridCol w:w="1425"/>
        <w:gridCol w:w="950"/>
        <w:gridCol w:w="1000"/>
        <w:gridCol w:w="1525"/>
        <w:gridCol w:w="1550"/>
        <w:gridCol w:w="2608"/>
      </w:tblGrid>
      <w:tr w14:paraId="0D7E4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5" w:type="dxa"/>
            <w:vMerge w:val="restart"/>
            <w:noWrap w:val="0"/>
            <w:vAlign w:val="center"/>
          </w:tcPr>
          <w:p w14:paraId="68B39485">
            <w:pPr>
              <w:pStyle w:val="24"/>
              <w:bidi w:val="0"/>
              <w:rPr>
                <w:rFonts w:hint="eastAsia"/>
                <w:color w:val="auto"/>
                <w:u w:val="none" w:color="auto"/>
                <w:lang w:eastAsia="zh-CN"/>
              </w:rPr>
            </w:pPr>
            <w:r>
              <w:rPr>
                <w:rFonts w:hint="eastAsia"/>
                <w:color w:val="auto"/>
                <w:u w:val="none" w:color="auto"/>
                <w:lang w:val="en-US" w:eastAsia="zh-CN"/>
              </w:rPr>
              <w:t>序号</w:t>
            </w:r>
          </w:p>
        </w:tc>
        <w:tc>
          <w:tcPr>
            <w:tcW w:w="865" w:type="dxa"/>
            <w:vMerge w:val="restart"/>
            <w:noWrap w:val="0"/>
            <w:vAlign w:val="center"/>
          </w:tcPr>
          <w:p w14:paraId="2E777F89">
            <w:pPr>
              <w:pStyle w:val="24"/>
              <w:bidi w:val="0"/>
              <w:rPr>
                <w:rFonts w:hint="default"/>
                <w:color w:val="auto"/>
                <w:u w:val="none" w:color="auto"/>
              </w:rPr>
            </w:pPr>
            <w:r>
              <w:rPr>
                <w:rFonts w:hint="default"/>
                <w:color w:val="auto"/>
                <w:u w:val="none" w:color="auto"/>
              </w:rPr>
              <w:t>排放口编号</w:t>
            </w:r>
          </w:p>
        </w:tc>
        <w:tc>
          <w:tcPr>
            <w:tcW w:w="2150" w:type="dxa"/>
            <w:gridSpan w:val="2"/>
            <w:noWrap w:val="0"/>
            <w:vAlign w:val="center"/>
          </w:tcPr>
          <w:p w14:paraId="2A217672">
            <w:pPr>
              <w:pStyle w:val="24"/>
              <w:bidi w:val="0"/>
              <w:rPr>
                <w:rFonts w:hint="default"/>
                <w:color w:val="auto"/>
                <w:u w:val="none" w:color="auto"/>
              </w:rPr>
            </w:pPr>
            <w:r>
              <w:rPr>
                <w:rFonts w:hint="default"/>
                <w:color w:val="auto"/>
                <w:u w:val="none" w:color="auto"/>
              </w:rPr>
              <w:t>排放口地理坐标</w:t>
            </w:r>
          </w:p>
        </w:tc>
        <w:tc>
          <w:tcPr>
            <w:tcW w:w="1025" w:type="dxa"/>
            <w:vMerge w:val="restart"/>
            <w:noWrap w:val="0"/>
            <w:vAlign w:val="center"/>
          </w:tcPr>
          <w:p w14:paraId="0E7B07EE">
            <w:pPr>
              <w:pStyle w:val="24"/>
              <w:bidi w:val="0"/>
              <w:rPr>
                <w:rFonts w:hint="default"/>
                <w:color w:val="auto"/>
                <w:u w:val="none" w:color="auto"/>
              </w:rPr>
            </w:pPr>
            <w:r>
              <w:rPr>
                <w:rFonts w:hint="default"/>
                <w:color w:val="auto"/>
                <w:u w:val="none" w:color="auto"/>
              </w:rPr>
              <w:t>废水排放量/（t/a）</w:t>
            </w:r>
          </w:p>
        </w:tc>
        <w:tc>
          <w:tcPr>
            <w:tcW w:w="1425" w:type="dxa"/>
            <w:vMerge w:val="restart"/>
            <w:noWrap w:val="0"/>
            <w:vAlign w:val="center"/>
          </w:tcPr>
          <w:p w14:paraId="3B626B76">
            <w:pPr>
              <w:pStyle w:val="24"/>
              <w:bidi w:val="0"/>
              <w:rPr>
                <w:rFonts w:hint="default"/>
                <w:color w:val="auto"/>
                <w:u w:val="none" w:color="auto"/>
              </w:rPr>
            </w:pPr>
            <w:r>
              <w:rPr>
                <w:rFonts w:hint="default"/>
                <w:color w:val="auto"/>
                <w:u w:val="none" w:color="auto"/>
              </w:rPr>
              <w:t>排放去向</w:t>
            </w:r>
          </w:p>
        </w:tc>
        <w:tc>
          <w:tcPr>
            <w:tcW w:w="950" w:type="dxa"/>
            <w:vMerge w:val="restart"/>
            <w:noWrap w:val="0"/>
            <w:vAlign w:val="center"/>
          </w:tcPr>
          <w:p w14:paraId="3FD4B174">
            <w:pPr>
              <w:pStyle w:val="24"/>
              <w:bidi w:val="0"/>
              <w:rPr>
                <w:rFonts w:hint="default"/>
                <w:color w:val="auto"/>
                <w:u w:val="none" w:color="auto"/>
              </w:rPr>
            </w:pPr>
            <w:r>
              <w:rPr>
                <w:rFonts w:hint="default"/>
                <w:color w:val="auto"/>
                <w:u w:val="none" w:color="auto"/>
              </w:rPr>
              <w:t>排放规律</w:t>
            </w:r>
          </w:p>
        </w:tc>
        <w:tc>
          <w:tcPr>
            <w:tcW w:w="1000" w:type="dxa"/>
            <w:vMerge w:val="restart"/>
            <w:noWrap w:val="0"/>
            <w:vAlign w:val="center"/>
          </w:tcPr>
          <w:p w14:paraId="33F83C9D">
            <w:pPr>
              <w:pStyle w:val="24"/>
              <w:bidi w:val="0"/>
              <w:rPr>
                <w:rFonts w:hint="default"/>
                <w:color w:val="auto"/>
                <w:u w:val="none" w:color="auto"/>
              </w:rPr>
            </w:pPr>
            <w:r>
              <w:rPr>
                <w:rFonts w:hint="default"/>
                <w:color w:val="auto"/>
                <w:u w:val="none" w:color="auto"/>
              </w:rPr>
              <w:t>间歇排放时段</w:t>
            </w:r>
          </w:p>
        </w:tc>
        <w:tc>
          <w:tcPr>
            <w:tcW w:w="5683" w:type="dxa"/>
            <w:gridSpan w:val="3"/>
            <w:vMerge w:val="restart"/>
            <w:noWrap w:val="0"/>
            <w:vAlign w:val="center"/>
          </w:tcPr>
          <w:p w14:paraId="657C37A7">
            <w:pPr>
              <w:pStyle w:val="24"/>
              <w:bidi w:val="0"/>
              <w:rPr>
                <w:rFonts w:hint="default"/>
                <w:color w:val="auto"/>
                <w:u w:val="none" w:color="auto"/>
              </w:rPr>
            </w:pPr>
            <w:r>
              <w:rPr>
                <w:rFonts w:hint="default"/>
                <w:color w:val="auto"/>
                <w:u w:val="none" w:color="auto"/>
              </w:rPr>
              <w:t>受纳污水处理厂信息</w:t>
            </w:r>
          </w:p>
        </w:tc>
      </w:tr>
      <w:tr w14:paraId="410C6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6" w:hRule="atLeast"/>
          <w:jc w:val="center"/>
        </w:trPr>
        <w:tc>
          <w:tcPr>
            <w:tcW w:w="1075" w:type="dxa"/>
            <w:vMerge w:val="continue"/>
            <w:noWrap w:val="0"/>
            <w:vAlign w:val="center"/>
          </w:tcPr>
          <w:p w14:paraId="7B9F2CD0">
            <w:pPr>
              <w:pStyle w:val="24"/>
              <w:bidi w:val="0"/>
              <w:rPr>
                <w:rFonts w:hint="default"/>
                <w:color w:val="auto"/>
                <w:u w:val="none" w:color="auto"/>
              </w:rPr>
            </w:pPr>
          </w:p>
        </w:tc>
        <w:tc>
          <w:tcPr>
            <w:tcW w:w="865" w:type="dxa"/>
            <w:vMerge w:val="continue"/>
            <w:noWrap w:val="0"/>
            <w:vAlign w:val="center"/>
          </w:tcPr>
          <w:p w14:paraId="208B3519">
            <w:pPr>
              <w:pStyle w:val="24"/>
              <w:bidi w:val="0"/>
              <w:rPr>
                <w:rFonts w:hint="default"/>
                <w:color w:val="auto"/>
                <w:u w:val="none" w:color="auto"/>
              </w:rPr>
            </w:pPr>
          </w:p>
        </w:tc>
        <w:tc>
          <w:tcPr>
            <w:tcW w:w="1000" w:type="dxa"/>
            <w:vMerge w:val="restart"/>
            <w:noWrap w:val="0"/>
            <w:vAlign w:val="center"/>
          </w:tcPr>
          <w:p w14:paraId="4AB7D94B">
            <w:pPr>
              <w:pStyle w:val="24"/>
              <w:bidi w:val="0"/>
              <w:rPr>
                <w:rFonts w:hint="default"/>
                <w:color w:val="auto"/>
                <w:u w:val="none" w:color="auto"/>
              </w:rPr>
            </w:pPr>
            <w:r>
              <w:rPr>
                <w:rFonts w:hint="default"/>
                <w:color w:val="auto"/>
                <w:u w:val="none" w:color="auto"/>
              </w:rPr>
              <w:t>经度</w:t>
            </w:r>
          </w:p>
        </w:tc>
        <w:tc>
          <w:tcPr>
            <w:tcW w:w="1150" w:type="dxa"/>
            <w:vMerge w:val="restart"/>
            <w:noWrap w:val="0"/>
            <w:vAlign w:val="center"/>
          </w:tcPr>
          <w:p w14:paraId="250B242D">
            <w:pPr>
              <w:pStyle w:val="24"/>
              <w:bidi w:val="0"/>
              <w:rPr>
                <w:rFonts w:hint="default"/>
                <w:color w:val="auto"/>
                <w:u w:val="none" w:color="auto"/>
              </w:rPr>
            </w:pPr>
            <w:r>
              <w:rPr>
                <w:rFonts w:hint="default"/>
                <w:color w:val="auto"/>
                <w:u w:val="none" w:color="auto"/>
              </w:rPr>
              <w:t>纬度</w:t>
            </w:r>
          </w:p>
        </w:tc>
        <w:tc>
          <w:tcPr>
            <w:tcW w:w="1025" w:type="dxa"/>
            <w:vMerge w:val="continue"/>
            <w:noWrap w:val="0"/>
            <w:vAlign w:val="center"/>
          </w:tcPr>
          <w:p w14:paraId="46F331F7">
            <w:pPr>
              <w:pStyle w:val="24"/>
              <w:bidi w:val="0"/>
              <w:rPr>
                <w:rFonts w:hint="default"/>
                <w:color w:val="auto"/>
                <w:u w:val="none" w:color="auto"/>
              </w:rPr>
            </w:pPr>
          </w:p>
        </w:tc>
        <w:tc>
          <w:tcPr>
            <w:tcW w:w="1425" w:type="dxa"/>
            <w:vMerge w:val="continue"/>
            <w:noWrap w:val="0"/>
            <w:vAlign w:val="center"/>
          </w:tcPr>
          <w:p w14:paraId="7875C963">
            <w:pPr>
              <w:pStyle w:val="24"/>
              <w:bidi w:val="0"/>
              <w:rPr>
                <w:rFonts w:hint="default"/>
                <w:color w:val="auto"/>
                <w:u w:val="none" w:color="auto"/>
              </w:rPr>
            </w:pPr>
          </w:p>
        </w:tc>
        <w:tc>
          <w:tcPr>
            <w:tcW w:w="950" w:type="dxa"/>
            <w:vMerge w:val="continue"/>
            <w:noWrap w:val="0"/>
            <w:vAlign w:val="center"/>
          </w:tcPr>
          <w:p w14:paraId="19D126B0">
            <w:pPr>
              <w:pStyle w:val="24"/>
              <w:bidi w:val="0"/>
              <w:rPr>
                <w:rFonts w:hint="default"/>
                <w:color w:val="auto"/>
                <w:u w:val="none" w:color="auto"/>
              </w:rPr>
            </w:pPr>
          </w:p>
        </w:tc>
        <w:tc>
          <w:tcPr>
            <w:tcW w:w="1000" w:type="dxa"/>
            <w:vMerge w:val="continue"/>
            <w:noWrap w:val="0"/>
            <w:vAlign w:val="center"/>
          </w:tcPr>
          <w:p w14:paraId="73E75051">
            <w:pPr>
              <w:pStyle w:val="24"/>
              <w:bidi w:val="0"/>
              <w:rPr>
                <w:rFonts w:hint="default"/>
                <w:color w:val="auto"/>
                <w:u w:val="none" w:color="auto"/>
              </w:rPr>
            </w:pPr>
          </w:p>
        </w:tc>
        <w:tc>
          <w:tcPr>
            <w:tcW w:w="5683" w:type="dxa"/>
            <w:gridSpan w:val="3"/>
            <w:vMerge w:val="continue"/>
            <w:noWrap w:val="0"/>
            <w:vAlign w:val="center"/>
          </w:tcPr>
          <w:p w14:paraId="254DE45D">
            <w:pPr>
              <w:pStyle w:val="24"/>
              <w:bidi w:val="0"/>
              <w:rPr>
                <w:rFonts w:hint="default"/>
                <w:color w:val="auto"/>
                <w:u w:val="none" w:color="auto"/>
              </w:rPr>
            </w:pPr>
          </w:p>
        </w:tc>
      </w:tr>
      <w:tr w14:paraId="7F91F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2" w:hRule="atLeast"/>
          <w:jc w:val="center"/>
        </w:trPr>
        <w:tc>
          <w:tcPr>
            <w:tcW w:w="1075" w:type="dxa"/>
            <w:vMerge w:val="continue"/>
            <w:noWrap w:val="0"/>
            <w:vAlign w:val="center"/>
          </w:tcPr>
          <w:p w14:paraId="6579D1DA">
            <w:pPr>
              <w:pStyle w:val="24"/>
              <w:bidi w:val="0"/>
              <w:rPr>
                <w:rFonts w:hint="default"/>
                <w:color w:val="auto"/>
                <w:u w:val="none" w:color="auto"/>
              </w:rPr>
            </w:pPr>
          </w:p>
        </w:tc>
        <w:tc>
          <w:tcPr>
            <w:tcW w:w="865" w:type="dxa"/>
            <w:vMerge w:val="continue"/>
            <w:noWrap w:val="0"/>
            <w:vAlign w:val="center"/>
          </w:tcPr>
          <w:p w14:paraId="7A48D025">
            <w:pPr>
              <w:pStyle w:val="24"/>
              <w:bidi w:val="0"/>
              <w:rPr>
                <w:rFonts w:hint="default"/>
                <w:color w:val="auto"/>
                <w:u w:val="none" w:color="auto"/>
              </w:rPr>
            </w:pPr>
          </w:p>
        </w:tc>
        <w:tc>
          <w:tcPr>
            <w:tcW w:w="1000" w:type="dxa"/>
            <w:vMerge w:val="continue"/>
            <w:noWrap w:val="0"/>
            <w:vAlign w:val="center"/>
          </w:tcPr>
          <w:p w14:paraId="5A31AD6C">
            <w:pPr>
              <w:pStyle w:val="24"/>
              <w:bidi w:val="0"/>
              <w:rPr>
                <w:rFonts w:hint="default"/>
                <w:color w:val="auto"/>
                <w:u w:val="none" w:color="auto"/>
              </w:rPr>
            </w:pPr>
          </w:p>
        </w:tc>
        <w:tc>
          <w:tcPr>
            <w:tcW w:w="1150" w:type="dxa"/>
            <w:vMerge w:val="continue"/>
            <w:noWrap w:val="0"/>
            <w:vAlign w:val="center"/>
          </w:tcPr>
          <w:p w14:paraId="1E02DFDD">
            <w:pPr>
              <w:pStyle w:val="24"/>
              <w:bidi w:val="0"/>
              <w:rPr>
                <w:rFonts w:hint="default"/>
                <w:color w:val="auto"/>
                <w:u w:val="none" w:color="auto"/>
              </w:rPr>
            </w:pPr>
          </w:p>
        </w:tc>
        <w:tc>
          <w:tcPr>
            <w:tcW w:w="1025" w:type="dxa"/>
            <w:vMerge w:val="continue"/>
            <w:noWrap w:val="0"/>
            <w:vAlign w:val="center"/>
          </w:tcPr>
          <w:p w14:paraId="59269511">
            <w:pPr>
              <w:pStyle w:val="24"/>
              <w:bidi w:val="0"/>
              <w:rPr>
                <w:rFonts w:hint="default"/>
                <w:color w:val="auto"/>
                <w:u w:val="none" w:color="auto"/>
              </w:rPr>
            </w:pPr>
          </w:p>
        </w:tc>
        <w:tc>
          <w:tcPr>
            <w:tcW w:w="1425" w:type="dxa"/>
            <w:vMerge w:val="continue"/>
            <w:noWrap w:val="0"/>
            <w:vAlign w:val="center"/>
          </w:tcPr>
          <w:p w14:paraId="5D013B39">
            <w:pPr>
              <w:pStyle w:val="24"/>
              <w:bidi w:val="0"/>
              <w:rPr>
                <w:rFonts w:hint="default"/>
                <w:color w:val="auto"/>
                <w:u w:val="none" w:color="auto"/>
              </w:rPr>
            </w:pPr>
          </w:p>
        </w:tc>
        <w:tc>
          <w:tcPr>
            <w:tcW w:w="950" w:type="dxa"/>
            <w:vMerge w:val="continue"/>
            <w:noWrap w:val="0"/>
            <w:vAlign w:val="center"/>
          </w:tcPr>
          <w:p w14:paraId="361A5147">
            <w:pPr>
              <w:pStyle w:val="24"/>
              <w:bidi w:val="0"/>
              <w:rPr>
                <w:rFonts w:hint="default"/>
                <w:color w:val="auto"/>
                <w:u w:val="none" w:color="auto"/>
              </w:rPr>
            </w:pPr>
          </w:p>
        </w:tc>
        <w:tc>
          <w:tcPr>
            <w:tcW w:w="1000" w:type="dxa"/>
            <w:vMerge w:val="continue"/>
            <w:noWrap w:val="0"/>
            <w:vAlign w:val="center"/>
          </w:tcPr>
          <w:p w14:paraId="6B23E19B">
            <w:pPr>
              <w:pStyle w:val="24"/>
              <w:bidi w:val="0"/>
              <w:rPr>
                <w:rFonts w:hint="default"/>
                <w:color w:val="auto"/>
                <w:u w:val="none" w:color="auto"/>
              </w:rPr>
            </w:pPr>
          </w:p>
        </w:tc>
        <w:tc>
          <w:tcPr>
            <w:tcW w:w="1525" w:type="dxa"/>
            <w:noWrap w:val="0"/>
            <w:vAlign w:val="center"/>
          </w:tcPr>
          <w:p w14:paraId="1E9E7103">
            <w:pPr>
              <w:pStyle w:val="24"/>
              <w:bidi w:val="0"/>
              <w:rPr>
                <w:rFonts w:hint="default"/>
                <w:color w:val="auto"/>
                <w:u w:val="none" w:color="auto"/>
              </w:rPr>
            </w:pPr>
            <w:r>
              <w:rPr>
                <w:rFonts w:hint="default"/>
                <w:color w:val="auto"/>
                <w:u w:val="none" w:color="auto"/>
              </w:rPr>
              <w:t>名称</w:t>
            </w:r>
          </w:p>
        </w:tc>
        <w:tc>
          <w:tcPr>
            <w:tcW w:w="1550" w:type="dxa"/>
            <w:noWrap w:val="0"/>
            <w:vAlign w:val="center"/>
          </w:tcPr>
          <w:p w14:paraId="7038D48C">
            <w:pPr>
              <w:pStyle w:val="24"/>
              <w:bidi w:val="0"/>
              <w:rPr>
                <w:rFonts w:hint="default"/>
                <w:color w:val="auto"/>
                <w:u w:val="none" w:color="auto"/>
              </w:rPr>
            </w:pPr>
            <w:r>
              <w:rPr>
                <w:rFonts w:hint="default"/>
                <w:color w:val="auto"/>
                <w:u w:val="none" w:color="auto"/>
              </w:rPr>
              <w:t>污染物种类</w:t>
            </w:r>
          </w:p>
        </w:tc>
        <w:tc>
          <w:tcPr>
            <w:tcW w:w="2608" w:type="dxa"/>
            <w:noWrap w:val="0"/>
            <w:vAlign w:val="center"/>
          </w:tcPr>
          <w:p w14:paraId="0750F780">
            <w:pPr>
              <w:pStyle w:val="24"/>
              <w:bidi w:val="0"/>
              <w:rPr>
                <w:rFonts w:hint="default"/>
                <w:color w:val="auto"/>
                <w:u w:val="none" w:color="auto"/>
              </w:rPr>
            </w:pPr>
            <w:r>
              <w:rPr>
                <w:rFonts w:hint="default"/>
                <w:color w:val="auto"/>
                <w:u w:val="none" w:color="auto"/>
              </w:rPr>
              <w:t>国家或地方污染物排放标准浓度限值</w:t>
            </w:r>
          </w:p>
        </w:tc>
      </w:tr>
      <w:tr w14:paraId="3D01D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restart"/>
            <w:tcBorders>
              <w:top w:val="single" w:color="auto" w:sz="4" w:space="0"/>
            </w:tcBorders>
            <w:noWrap w:val="0"/>
            <w:vAlign w:val="center"/>
          </w:tcPr>
          <w:p w14:paraId="34D9086C">
            <w:pPr>
              <w:pStyle w:val="24"/>
              <w:bidi w:val="0"/>
              <w:rPr>
                <w:rFonts w:hint="eastAsia"/>
                <w:color w:val="auto"/>
                <w:u w:val="none" w:color="auto"/>
                <w:lang w:val="en-US" w:eastAsia="zh-CN"/>
              </w:rPr>
            </w:pPr>
            <w:r>
              <w:rPr>
                <w:rFonts w:hint="eastAsia"/>
                <w:color w:val="auto"/>
                <w:u w:val="none" w:color="auto"/>
                <w:lang w:val="en-US" w:eastAsia="zh-CN"/>
              </w:rPr>
              <w:t>1</w:t>
            </w:r>
          </w:p>
        </w:tc>
        <w:tc>
          <w:tcPr>
            <w:tcW w:w="865" w:type="dxa"/>
            <w:vMerge w:val="restart"/>
            <w:tcBorders>
              <w:top w:val="single" w:color="auto" w:sz="4" w:space="0"/>
            </w:tcBorders>
            <w:noWrap w:val="0"/>
            <w:vAlign w:val="center"/>
          </w:tcPr>
          <w:p w14:paraId="22B94223">
            <w:pPr>
              <w:pStyle w:val="24"/>
              <w:bidi w:val="0"/>
              <w:rPr>
                <w:rFonts w:hint="eastAsia"/>
                <w:color w:val="auto"/>
                <w:u w:val="none" w:color="auto"/>
                <w:lang w:eastAsia="zh-CN"/>
              </w:rPr>
            </w:pPr>
            <w:r>
              <w:rPr>
                <w:rFonts w:hint="eastAsia"/>
                <w:color w:val="auto"/>
                <w:u w:val="none" w:color="auto"/>
                <w:lang w:val="en-US" w:eastAsia="zh-CN"/>
              </w:rPr>
              <w:t>DW001</w:t>
            </w:r>
          </w:p>
        </w:tc>
        <w:tc>
          <w:tcPr>
            <w:tcW w:w="1000" w:type="dxa"/>
            <w:vMerge w:val="restart"/>
            <w:tcBorders>
              <w:top w:val="single" w:color="auto" w:sz="4" w:space="0"/>
            </w:tcBorders>
            <w:noWrap w:val="0"/>
            <w:vAlign w:val="center"/>
          </w:tcPr>
          <w:p w14:paraId="21FC9394">
            <w:pPr>
              <w:pStyle w:val="24"/>
              <w:bidi w:val="0"/>
              <w:rPr>
                <w:rFonts w:hint="default"/>
                <w:color w:val="auto"/>
                <w:u w:val="none" w:color="auto"/>
                <w:lang w:val="en-US" w:eastAsia="zh-CN"/>
              </w:rPr>
            </w:pPr>
            <w:r>
              <w:rPr>
                <w:rFonts w:hint="default"/>
                <w:color w:val="auto"/>
                <w:u w:val="none" w:color="auto"/>
                <w:lang w:val="en-US" w:eastAsia="zh-CN"/>
              </w:rPr>
              <w:t>113.1</w:t>
            </w:r>
            <w:r>
              <w:rPr>
                <w:rFonts w:hint="eastAsia"/>
                <w:color w:val="auto"/>
                <w:u w:val="none" w:color="auto"/>
                <w:lang w:val="en-US" w:eastAsia="zh-CN"/>
              </w:rPr>
              <w:t>51450</w:t>
            </w:r>
          </w:p>
        </w:tc>
        <w:tc>
          <w:tcPr>
            <w:tcW w:w="1150" w:type="dxa"/>
            <w:vMerge w:val="restart"/>
            <w:tcBorders>
              <w:top w:val="single" w:color="auto" w:sz="4" w:space="0"/>
            </w:tcBorders>
            <w:noWrap w:val="0"/>
            <w:vAlign w:val="center"/>
          </w:tcPr>
          <w:p w14:paraId="5F7D4889">
            <w:pPr>
              <w:pStyle w:val="24"/>
              <w:bidi w:val="0"/>
              <w:rPr>
                <w:rFonts w:hint="default"/>
                <w:color w:val="auto"/>
                <w:u w:val="none" w:color="auto"/>
                <w:lang w:val="en-US" w:eastAsia="zh-CN"/>
              </w:rPr>
            </w:pPr>
            <w:r>
              <w:rPr>
                <w:rFonts w:hint="default"/>
                <w:color w:val="auto"/>
                <w:u w:val="none" w:color="auto"/>
                <w:lang w:val="en-US" w:eastAsia="zh-CN"/>
              </w:rPr>
              <w:t>28.</w:t>
            </w:r>
            <w:r>
              <w:rPr>
                <w:rFonts w:hint="eastAsia"/>
                <w:color w:val="auto"/>
                <w:u w:val="none" w:color="auto"/>
                <w:lang w:val="en-US" w:eastAsia="zh-CN"/>
              </w:rPr>
              <w:t>484778</w:t>
            </w:r>
          </w:p>
        </w:tc>
        <w:tc>
          <w:tcPr>
            <w:tcW w:w="1025" w:type="dxa"/>
            <w:vMerge w:val="restart"/>
            <w:tcBorders>
              <w:top w:val="single" w:color="auto" w:sz="4" w:space="0"/>
            </w:tcBorders>
            <w:noWrap w:val="0"/>
            <w:vAlign w:val="center"/>
          </w:tcPr>
          <w:p w14:paraId="3DC85856">
            <w:pPr>
              <w:pStyle w:val="24"/>
              <w:bidi w:val="0"/>
              <w:rPr>
                <w:rFonts w:hint="default"/>
                <w:color w:val="auto"/>
                <w:u w:val="none" w:color="auto"/>
                <w:lang w:val="en-US" w:eastAsia="zh-CN"/>
              </w:rPr>
            </w:pPr>
            <w:r>
              <w:rPr>
                <w:rFonts w:hint="eastAsia"/>
                <w:color w:val="auto"/>
                <w:u w:val="none" w:color="auto"/>
                <w:lang w:val="en-US" w:eastAsia="zh-CN"/>
              </w:rPr>
              <w:t>1216</w:t>
            </w:r>
          </w:p>
        </w:tc>
        <w:tc>
          <w:tcPr>
            <w:tcW w:w="1425" w:type="dxa"/>
            <w:vMerge w:val="restart"/>
            <w:tcBorders>
              <w:top w:val="single" w:color="auto" w:sz="4" w:space="0"/>
            </w:tcBorders>
            <w:noWrap w:val="0"/>
            <w:vAlign w:val="center"/>
          </w:tcPr>
          <w:p w14:paraId="4DAB7075">
            <w:pPr>
              <w:pStyle w:val="24"/>
              <w:bidi w:val="0"/>
              <w:rPr>
                <w:rFonts w:hint="default"/>
                <w:color w:val="auto"/>
                <w:u w:val="none" w:color="auto"/>
              </w:rPr>
            </w:pPr>
            <w:r>
              <w:rPr>
                <w:rFonts w:hint="eastAsia" w:ascii="Times New Roman" w:hAnsi="Times New Roman" w:cs="Times New Roman"/>
                <w:color w:val="auto"/>
                <w:u w:val="none" w:color="auto"/>
                <w:lang w:val="en-US" w:eastAsia="zh-CN"/>
              </w:rPr>
              <w:t>长沙经开区汨罗产业园污水处理厂</w:t>
            </w:r>
          </w:p>
        </w:tc>
        <w:tc>
          <w:tcPr>
            <w:tcW w:w="950" w:type="dxa"/>
            <w:vMerge w:val="restart"/>
            <w:tcBorders>
              <w:top w:val="single" w:color="auto" w:sz="4" w:space="0"/>
            </w:tcBorders>
            <w:noWrap w:val="0"/>
            <w:vAlign w:val="center"/>
          </w:tcPr>
          <w:p w14:paraId="30FBA2AB">
            <w:pPr>
              <w:pStyle w:val="24"/>
              <w:bidi w:val="0"/>
              <w:rPr>
                <w:rFonts w:hint="default"/>
                <w:color w:val="auto"/>
                <w:u w:val="none" w:color="auto"/>
              </w:rPr>
            </w:pPr>
            <w:r>
              <w:rPr>
                <w:rFonts w:hint="default"/>
                <w:color w:val="auto"/>
                <w:u w:val="none" w:color="auto"/>
                <w:lang w:eastAsia="zh-CN"/>
              </w:rPr>
              <w:t>间断</w:t>
            </w:r>
            <w:r>
              <w:rPr>
                <w:rFonts w:hint="default"/>
                <w:color w:val="auto"/>
                <w:u w:val="none" w:color="auto"/>
              </w:rPr>
              <w:t>排放</w:t>
            </w:r>
          </w:p>
        </w:tc>
        <w:tc>
          <w:tcPr>
            <w:tcW w:w="1000" w:type="dxa"/>
            <w:vMerge w:val="restart"/>
            <w:tcBorders>
              <w:top w:val="single" w:color="auto" w:sz="4" w:space="0"/>
            </w:tcBorders>
            <w:noWrap w:val="0"/>
            <w:vAlign w:val="center"/>
          </w:tcPr>
          <w:p w14:paraId="3E42B1FA">
            <w:pPr>
              <w:pStyle w:val="24"/>
              <w:bidi w:val="0"/>
              <w:rPr>
                <w:rFonts w:hint="default"/>
                <w:color w:val="auto"/>
                <w:u w:val="none" w:color="auto"/>
              </w:rPr>
            </w:pPr>
            <w:r>
              <w:rPr>
                <w:rFonts w:hint="default"/>
                <w:color w:val="auto"/>
                <w:u w:val="none" w:color="auto"/>
              </w:rPr>
              <w:t>/</w:t>
            </w:r>
          </w:p>
        </w:tc>
        <w:tc>
          <w:tcPr>
            <w:tcW w:w="1525" w:type="dxa"/>
            <w:vMerge w:val="restart"/>
            <w:tcBorders>
              <w:top w:val="single" w:color="auto" w:sz="4" w:space="0"/>
            </w:tcBorders>
            <w:noWrap w:val="0"/>
            <w:vAlign w:val="center"/>
          </w:tcPr>
          <w:p w14:paraId="761F5C9F">
            <w:pPr>
              <w:pStyle w:val="24"/>
              <w:bidi w:val="0"/>
              <w:rPr>
                <w:rFonts w:hint="default"/>
                <w:color w:val="auto"/>
                <w:u w:val="none" w:color="auto"/>
              </w:rPr>
            </w:pPr>
            <w:r>
              <w:rPr>
                <w:rFonts w:hint="eastAsia" w:ascii="Times New Roman" w:hAnsi="Times New Roman" w:cs="Times New Roman"/>
                <w:color w:val="auto"/>
                <w:u w:val="none" w:color="auto"/>
                <w:lang w:val="en-US" w:eastAsia="zh-CN"/>
              </w:rPr>
              <w:t>长沙经开区汨罗产业园污水处理厂</w:t>
            </w:r>
          </w:p>
        </w:tc>
        <w:tc>
          <w:tcPr>
            <w:tcW w:w="1550" w:type="dxa"/>
            <w:noWrap w:val="0"/>
            <w:vAlign w:val="center"/>
          </w:tcPr>
          <w:p w14:paraId="0CF5D022">
            <w:pPr>
              <w:pStyle w:val="24"/>
              <w:bidi w:val="0"/>
              <w:rPr>
                <w:rFonts w:hint="default"/>
                <w:color w:val="auto"/>
                <w:u w:val="none" w:color="auto"/>
                <w:lang w:val="en-US" w:eastAsia="zh-CN"/>
              </w:rPr>
            </w:pPr>
            <w:r>
              <w:rPr>
                <w:rFonts w:hint="eastAsia"/>
                <w:color w:val="auto"/>
                <w:u w:val="none" w:color="auto"/>
                <w:lang w:val="en-US" w:eastAsia="zh-CN"/>
              </w:rPr>
              <w:t>pH</w:t>
            </w:r>
          </w:p>
        </w:tc>
        <w:tc>
          <w:tcPr>
            <w:tcW w:w="2608" w:type="dxa"/>
            <w:noWrap w:val="0"/>
            <w:vAlign w:val="center"/>
          </w:tcPr>
          <w:p w14:paraId="0DBFC047">
            <w:pPr>
              <w:pStyle w:val="24"/>
              <w:bidi w:val="0"/>
              <w:rPr>
                <w:rFonts w:hint="default"/>
                <w:color w:val="auto"/>
                <w:u w:val="none" w:color="auto"/>
                <w:lang w:val="en-US" w:eastAsia="zh-CN"/>
              </w:rPr>
            </w:pPr>
            <w:r>
              <w:rPr>
                <w:rFonts w:hint="eastAsia"/>
                <w:color w:val="auto"/>
                <w:u w:val="none" w:color="auto"/>
                <w:lang w:val="en-US" w:eastAsia="zh-CN"/>
              </w:rPr>
              <w:t>6.0~9.0（无量纲）</w:t>
            </w:r>
          </w:p>
        </w:tc>
      </w:tr>
      <w:tr w14:paraId="3E018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continue"/>
            <w:noWrap w:val="0"/>
            <w:vAlign w:val="center"/>
          </w:tcPr>
          <w:p w14:paraId="229F91A6">
            <w:pPr>
              <w:pStyle w:val="24"/>
              <w:bidi w:val="0"/>
              <w:rPr>
                <w:rFonts w:hint="eastAsia"/>
                <w:color w:val="auto"/>
                <w:u w:val="none" w:color="auto"/>
                <w:lang w:val="en-US" w:eastAsia="zh-CN"/>
              </w:rPr>
            </w:pPr>
          </w:p>
        </w:tc>
        <w:tc>
          <w:tcPr>
            <w:tcW w:w="865" w:type="dxa"/>
            <w:vMerge w:val="continue"/>
            <w:noWrap w:val="0"/>
            <w:vAlign w:val="center"/>
          </w:tcPr>
          <w:p w14:paraId="7DE03798">
            <w:pPr>
              <w:pStyle w:val="24"/>
              <w:bidi w:val="0"/>
              <w:rPr>
                <w:rFonts w:hint="eastAsia"/>
                <w:color w:val="auto"/>
                <w:u w:val="none" w:color="auto"/>
                <w:lang w:val="en-US" w:eastAsia="zh-CN"/>
              </w:rPr>
            </w:pPr>
          </w:p>
        </w:tc>
        <w:tc>
          <w:tcPr>
            <w:tcW w:w="1000" w:type="dxa"/>
            <w:vMerge w:val="continue"/>
            <w:noWrap w:val="0"/>
            <w:vAlign w:val="center"/>
          </w:tcPr>
          <w:p w14:paraId="45235B4B">
            <w:pPr>
              <w:pStyle w:val="24"/>
              <w:bidi w:val="0"/>
              <w:rPr>
                <w:rFonts w:hint="default"/>
                <w:color w:val="auto"/>
                <w:u w:val="none" w:color="auto"/>
                <w:lang w:val="en-US" w:eastAsia="zh-CN"/>
              </w:rPr>
            </w:pPr>
          </w:p>
        </w:tc>
        <w:tc>
          <w:tcPr>
            <w:tcW w:w="1150" w:type="dxa"/>
            <w:vMerge w:val="continue"/>
            <w:noWrap w:val="0"/>
            <w:vAlign w:val="center"/>
          </w:tcPr>
          <w:p w14:paraId="0ECD06E3">
            <w:pPr>
              <w:pStyle w:val="24"/>
              <w:bidi w:val="0"/>
              <w:rPr>
                <w:rFonts w:hint="default"/>
                <w:color w:val="auto"/>
                <w:u w:val="none" w:color="auto"/>
                <w:lang w:val="en-US" w:eastAsia="zh-CN"/>
              </w:rPr>
            </w:pPr>
          </w:p>
        </w:tc>
        <w:tc>
          <w:tcPr>
            <w:tcW w:w="1025" w:type="dxa"/>
            <w:vMerge w:val="continue"/>
            <w:noWrap w:val="0"/>
            <w:vAlign w:val="center"/>
          </w:tcPr>
          <w:p w14:paraId="7353456D">
            <w:pPr>
              <w:pStyle w:val="24"/>
              <w:bidi w:val="0"/>
              <w:rPr>
                <w:rFonts w:hint="eastAsia"/>
                <w:color w:val="auto"/>
                <w:u w:val="none" w:color="auto"/>
                <w:lang w:val="en-US" w:eastAsia="zh-CN"/>
              </w:rPr>
            </w:pPr>
          </w:p>
        </w:tc>
        <w:tc>
          <w:tcPr>
            <w:tcW w:w="1425" w:type="dxa"/>
            <w:vMerge w:val="continue"/>
            <w:noWrap w:val="0"/>
            <w:vAlign w:val="center"/>
          </w:tcPr>
          <w:p w14:paraId="6313DD2D">
            <w:pPr>
              <w:pStyle w:val="24"/>
              <w:bidi w:val="0"/>
              <w:rPr>
                <w:rFonts w:hint="default"/>
                <w:color w:val="auto"/>
                <w:u w:val="none" w:color="auto"/>
              </w:rPr>
            </w:pPr>
          </w:p>
        </w:tc>
        <w:tc>
          <w:tcPr>
            <w:tcW w:w="950" w:type="dxa"/>
            <w:vMerge w:val="continue"/>
            <w:noWrap w:val="0"/>
            <w:vAlign w:val="center"/>
          </w:tcPr>
          <w:p w14:paraId="34E794D6">
            <w:pPr>
              <w:pStyle w:val="24"/>
              <w:bidi w:val="0"/>
              <w:rPr>
                <w:rFonts w:hint="default"/>
                <w:color w:val="auto"/>
                <w:u w:val="none" w:color="auto"/>
                <w:lang w:eastAsia="zh-CN"/>
              </w:rPr>
            </w:pPr>
          </w:p>
        </w:tc>
        <w:tc>
          <w:tcPr>
            <w:tcW w:w="1000" w:type="dxa"/>
            <w:vMerge w:val="continue"/>
            <w:noWrap w:val="0"/>
            <w:vAlign w:val="center"/>
          </w:tcPr>
          <w:p w14:paraId="7441C373">
            <w:pPr>
              <w:pStyle w:val="24"/>
              <w:bidi w:val="0"/>
              <w:rPr>
                <w:rFonts w:hint="default"/>
                <w:color w:val="auto"/>
                <w:u w:val="none" w:color="auto"/>
              </w:rPr>
            </w:pPr>
          </w:p>
        </w:tc>
        <w:tc>
          <w:tcPr>
            <w:tcW w:w="1525" w:type="dxa"/>
            <w:vMerge w:val="continue"/>
            <w:noWrap w:val="0"/>
            <w:vAlign w:val="center"/>
          </w:tcPr>
          <w:p w14:paraId="03ECE49D">
            <w:pPr>
              <w:pStyle w:val="24"/>
              <w:bidi w:val="0"/>
              <w:rPr>
                <w:rFonts w:hint="default"/>
                <w:color w:val="auto"/>
                <w:u w:val="none" w:color="auto"/>
              </w:rPr>
            </w:pPr>
          </w:p>
        </w:tc>
        <w:tc>
          <w:tcPr>
            <w:tcW w:w="1550" w:type="dxa"/>
            <w:noWrap w:val="0"/>
            <w:vAlign w:val="center"/>
          </w:tcPr>
          <w:p w14:paraId="6419AEEF">
            <w:pPr>
              <w:pStyle w:val="24"/>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eastAsia="zh-CN"/>
              </w:rPr>
              <w:t>CODcr</w:t>
            </w:r>
          </w:p>
        </w:tc>
        <w:tc>
          <w:tcPr>
            <w:tcW w:w="2608" w:type="dxa"/>
            <w:noWrap w:val="0"/>
            <w:vAlign w:val="center"/>
          </w:tcPr>
          <w:p w14:paraId="48101301">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s="Times New Roman"/>
                <w:b w:val="0"/>
                <w:bCs/>
                <w:color w:val="auto"/>
                <w:kern w:val="0"/>
                <w:sz w:val="21"/>
                <w:szCs w:val="21"/>
                <w:u w:val="none" w:color="auto"/>
                <w:lang w:val="en-US" w:eastAsia="zh-CN" w:bidi="ar-SA"/>
              </w:rPr>
              <w:t>50</w:t>
            </w:r>
          </w:p>
        </w:tc>
      </w:tr>
      <w:tr w14:paraId="15D15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continue"/>
            <w:noWrap w:val="0"/>
            <w:vAlign w:val="center"/>
          </w:tcPr>
          <w:p w14:paraId="19F43B77">
            <w:pPr>
              <w:pStyle w:val="24"/>
              <w:bidi w:val="0"/>
              <w:rPr>
                <w:rFonts w:hint="default"/>
                <w:color w:val="auto"/>
                <w:u w:val="none" w:color="auto"/>
              </w:rPr>
            </w:pPr>
          </w:p>
        </w:tc>
        <w:tc>
          <w:tcPr>
            <w:tcW w:w="865" w:type="dxa"/>
            <w:vMerge w:val="continue"/>
            <w:noWrap w:val="0"/>
            <w:vAlign w:val="center"/>
          </w:tcPr>
          <w:p w14:paraId="44339CA7">
            <w:pPr>
              <w:pStyle w:val="24"/>
              <w:bidi w:val="0"/>
              <w:rPr>
                <w:rFonts w:hint="default"/>
                <w:color w:val="auto"/>
                <w:u w:val="none" w:color="auto"/>
              </w:rPr>
            </w:pPr>
          </w:p>
        </w:tc>
        <w:tc>
          <w:tcPr>
            <w:tcW w:w="1000" w:type="dxa"/>
            <w:vMerge w:val="continue"/>
            <w:noWrap w:val="0"/>
            <w:vAlign w:val="center"/>
          </w:tcPr>
          <w:p w14:paraId="6C0B168B">
            <w:pPr>
              <w:pStyle w:val="24"/>
              <w:bidi w:val="0"/>
              <w:rPr>
                <w:rFonts w:hint="default"/>
                <w:color w:val="auto"/>
                <w:u w:val="none" w:color="auto"/>
                <w:lang w:val="en-US" w:eastAsia="zh-CN"/>
              </w:rPr>
            </w:pPr>
          </w:p>
        </w:tc>
        <w:tc>
          <w:tcPr>
            <w:tcW w:w="1150" w:type="dxa"/>
            <w:vMerge w:val="continue"/>
            <w:noWrap w:val="0"/>
            <w:vAlign w:val="center"/>
          </w:tcPr>
          <w:p w14:paraId="0BEF8566">
            <w:pPr>
              <w:pStyle w:val="24"/>
              <w:bidi w:val="0"/>
              <w:rPr>
                <w:rFonts w:hint="default"/>
                <w:color w:val="auto"/>
                <w:u w:val="none" w:color="auto"/>
                <w:lang w:val="en-US" w:eastAsia="zh-CN"/>
              </w:rPr>
            </w:pPr>
          </w:p>
        </w:tc>
        <w:tc>
          <w:tcPr>
            <w:tcW w:w="1025" w:type="dxa"/>
            <w:vMerge w:val="continue"/>
            <w:noWrap w:val="0"/>
            <w:vAlign w:val="center"/>
          </w:tcPr>
          <w:p w14:paraId="2916D643">
            <w:pPr>
              <w:pStyle w:val="24"/>
              <w:bidi w:val="0"/>
              <w:rPr>
                <w:rFonts w:hint="default"/>
                <w:color w:val="auto"/>
                <w:u w:val="none" w:color="auto"/>
                <w:lang w:val="en-US" w:eastAsia="zh-CN"/>
              </w:rPr>
            </w:pPr>
          </w:p>
        </w:tc>
        <w:tc>
          <w:tcPr>
            <w:tcW w:w="1425" w:type="dxa"/>
            <w:vMerge w:val="continue"/>
            <w:noWrap w:val="0"/>
            <w:vAlign w:val="center"/>
          </w:tcPr>
          <w:p w14:paraId="494D6B91">
            <w:pPr>
              <w:pStyle w:val="24"/>
              <w:bidi w:val="0"/>
              <w:rPr>
                <w:rFonts w:hint="default"/>
                <w:color w:val="auto"/>
                <w:u w:val="none" w:color="auto"/>
              </w:rPr>
            </w:pPr>
          </w:p>
        </w:tc>
        <w:tc>
          <w:tcPr>
            <w:tcW w:w="950" w:type="dxa"/>
            <w:vMerge w:val="continue"/>
            <w:noWrap w:val="0"/>
            <w:vAlign w:val="center"/>
          </w:tcPr>
          <w:p w14:paraId="32E6DE87">
            <w:pPr>
              <w:pStyle w:val="24"/>
              <w:bidi w:val="0"/>
              <w:rPr>
                <w:rFonts w:hint="default"/>
                <w:color w:val="auto"/>
                <w:u w:val="none" w:color="auto"/>
                <w:lang w:eastAsia="zh-CN"/>
              </w:rPr>
            </w:pPr>
          </w:p>
        </w:tc>
        <w:tc>
          <w:tcPr>
            <w:tcW w:w="1000" w:type="dxa"/>
            <w:vMerge w:val="continue"/>
            <w:noWrap w:val="0"/>
            <w:vAlign w:val="center"/>
          </w:tcPr>
          <w:p w14:paraId="340C9A04">
            <w:pPr>
              <w:pStyle w:val="24"/>
              <w:bidi w:val="0"/>
              <w:rPr>
                <w:rFonts w:hint="default"/>
                <w:color w:val="auto"/>
                <w:u w:val="none" w:color="auto"/>
              </w:rPr>
            </w:pPr>
          </w:p>
        </w:tc>
        <w:tc>
          <w:tcPr>
            <w:tcW w:w="1525" w:type="dxa"/>
            <w:vMerge w:val="continue"/>
            <w:noWrap w:val="0"/>
            <w:vAlign w:val="center"/>
          </w:tcPr>
          <w:p w14:paraId="06597C48">
            <w:pPr>
              <w:pStyle w:val="24"/>
              <w:bidi w:val="0"/>
              <w:rPr>
                <w:rFonts w:hint="default"/>
                <w:color w:val="auto"/>
                <w:u w:val="none" w:color="auto"/>
                <w:lang w:eastAsia="zh-CN"/>
              </w:rPr>
            </w:pPr>
          </w:p>
        </w:tc>
        <w:tc>
          <w:tcPr>
            <w:tcW w:w="1550" w:type="dxa"/>
            <w:noWrap w:val="0"/>
            <w:vAlign w:val="center"/>
          </w:tcPr>
          <w:p w14:paraId="69C6FE69">
            <w:pPr>
              <w:pStyle w:val="24"/>
              <w:bidi w:val="0"/>
              <w:rPr>
                <w:rFonts w:hint="default"/>
                <w:color w:val="auto"/>
                <w:u w:val="none" w:color="auto"/>
                <w:lang w:val="en-US" w:eastAsia="zh-CN"/>
              </w:rPr>
            </w:pPr>
            <w:r>
              <w:rPr>
                <w:rFonts w:hint="eastAsia"/>
                <w:color w:val="auto"/>
                <w:u w:val="none" w:color="auto"/>
                <w:lang w:val="en-US" w:eastAsia="zh-CN"/>
              </w:rPr>
              <w:t>BOD</w:t>
            </w:r>
            <w:r>
              <w:rPr>
                <w:rFonts w:hint="eastAsia"/>
                <w:color w:val="auto"/>
                <w:u w:val="none" w:color="auto"/>
                <w:vertAlign w:val="subscript"/>
                <w:lang w:val="en-US" w:eastAsia="zh-CN"/>
              </w:rPr>
              <w:t>5</w:t>
            </w:r>
          </w:p>
        </w:tc>
        <w:tc>
          <w:tcPr>
            <w:tcW w:w="2608" w:type="dxa"/>
            <w:noWrap w:val="0"/>
            <w:vAlign w:val="center"/>
          </w:tcPr>
          <w:p w14:paraId="538DD0D9">
            <w:pPr>
              <w:pStyle w:val="24"/>
              <w:bidi w:val="0"/>
              <w:rPr>
                <w:rFonts w:hint="default"/>
                <w:color w:val="auto"/>
                <w:u w:val="none" w:color="auto"/>
                <w:lang w:val="en-US" w:eastAsia="zh-CN"/>
              </w:rPr>
            </w:pPr>
            <w:r>
              <w:rPr>
                <w:rFonts w:hint="eastAsia"/>
                <w:color w:val="auto"/>
                <w:u w:val="none" w:color="auto"/>
                <w:lang w:val="en-US" w:eastAsia="zh-CN"/>
              </w:rPr>
              <w:t>10</w:t>
            </w:r>
          </w:p>
        </w:tc>
      </w:tr>
      <w:tr w14:paraId="30CA3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3" w:hRule="atLeast"/>
          <w:jc w:val="center"/>
        </w:trPr>
        <w:tc>
          <w:tcPr>
            <w:tcW w:w="1075" w:type="dxa"/>
            <w:vMerge w:val="continue"/>
            <w:noWrap w:val="0"/>
            <w:vAlign w:val="center"/>
          </w:tcPr>
          <w:p w14:paraId="430CE093">
            <w:pPr>
              <w:pStyle w:val="24"/>
              <w:bidi w:val="0"/>
              <w:rPr>
                <w:rFonts w:hint="default"/>
                <w:color w:val="auto"/>
                <w:u w:val="none" w:color="auto"/>
                <w:lang w:val="en-US" w:eastAsia="zh-CN"/>
              </w:rPr>
            </w:pPr>
          </w:p>
        </w:tc>
        <w:tc>
          <w:tcPr>
            <w:tcW w:w="865" w:type="dxa"/>
            <w:vMerge w:val="continue"/>
            <w:noWrap w:val="0"/>
            <w:vAlign w:val="center"/>
          </w:tcPr>
          <w:p w14:paraId="316AA6F4">
            <w:pPr>
              <w:pStyle w:val="24"/>
              <w:bidi w:val="0"/>
              <w:rPr>
                <w:rFonts w:hint="default"/>
                <w:color w:val="auto"/>
                <w:u w:val="none" w:color="auto"/>
              </w:rPr>
            </w:pPr>
          </w:p>
        </w:tc>
        <w:tc>
          <w:tcPr>
            <w:tcW w:w="1000" w:type="dxa"/>
            <w:vMerge w:val="continue"/>
            <w:noWrap w:val="0"/>
            <w:vAlign w:val="center"/>
          </w:tcPr>
          <w:p w14:paraId="069C2893">
            <w:pPr>
              <w:pStyle w:val="24"/>
              <w:bidi w:val="0"/>
              <w:rPr>
                <w:rFonts w:hint="default"/>
                <w:color w:val="auto"/>
                <w:u w:val="none" w:color="auto"/>
              </w:rPr>
            </w:pPr>
          </w:p>
        </w:tc>
        <w:tc>
          <w:tcPr>
            <w:tcW w:w="1150" w:type="dxa"/>
            <w:vMerge w:val="continue"/>
            <w:noWrap w:val="0"/>
            <w:vAlign w:val="center"/>
          </w:tcPr>
          <w:p w14:paraId="37BE55E5">
            <w:pPr>
              <w:pStyle w:val="24"/>
              <w:bidi w:val="0"/>
              <w:rPr>
                <w:rFonts w:hint="default"/>
                <w:color w:val="auto"/>
                <w:u w:val="none" w:color="auto"/>
              </w:rPr>
            </w:pPr>
          </w:p>
        </w:tc>
        <w:tc>
          <w:tcPr>
            <w:tcW w:w="1025" w:type="dxa"/>
            <w:vMerge w:val="continue"/>
            <w:noWrap w:val="0"/>
            <w:vAlign w:val="center"/>
          </w:tcPr>
          <w:p w14:paraId="08E69AAD">
            <w:pPr>
              <w:pStyle w:val="24"/>
              <w:bidi w:val="0"/>
              <w:rPr>
                <w:rFonts w:hint="default"/>
                <w:color w:val="auto"/>
                <w:u w:val="none" w:color="auto"/>
                <w:lang w:val="en-US" w:eastAsia="zh-CN"/>
              </w:rPr>
            </w:pPr>
          </w:p>
        </w:tc>
        <w:tc>
          <w:tcPr>
            <w:tcW w:w="1425" w:type="dxa"/>
            <w:vMerge w:val="continue"/>
            <w:noWrap w:val="0"/>
            <w:vAlign w:val="center"/>
          </w:tcPr>
          <w:p w14:paraId="71CECD00">
            <w:pPr>
              <w:pStyle w:val="24"/>
              <w:bidi w:val="0"/>
              <w:rPr>
                <w:rFonts w:hint="default"/>
                <w:color w:val="auto"/>
                <w:u w:val="none" w:color="auto"/>
              </w:rPr>
            </w:pPr>
          </w:p>
        </w:tc>
        <w:tc>
          <w:tcPr>
            <w:tcW w:w="950" w:type="dxa"/>
            <w:vMerge w:val="continue"/>
            <w:noWrap w:val="0"/>
            <w:vAlign w:val="center"/>
          </w:tcPr>
          <w:p w14:paraId="03FDF82B">
            <w:pPr>
              <w:pStyle w:val="24"/>
              <w:bidi w:val="0"/>
              <w:rPr>
                <w:rFonts w:hint="default"/>
                <w:color w:val="auto"/>
                <w:u w:val="none" w:color="auto"/>
                <w:lang w:val="en-US" w:eastAsia="zh-CN"/>
              </w:rPr>
            </w:pPr>
          </w:p>
        </w:tc>
        <w:tc>
          <w:tcPr>
            <w:tcW w:w="1000" w:type="dxa"/>
            <w:vMerge w:val="continue"/>
            <w:noWrap w:val="0"/>
            <w:vAlign w:val="center"/>
          </w:tcPr>
          <w:p w14:paraId="0B56A991">
            <w:pPr>
              <w:pStyle w:val="24"/>
              <w:bidi w:val="0"/>
              <w:rPr>
                <w:rFonts w:hint="default"/>
                <w:color w:val="auto"/>
                <w:u w:val="none" w:color="auto"/>
                <w:lang w:val="en-US" w:eastAsia="zh-CN"/>
              </w:rPr>
            </w:pPr>
          </w:p>
        </w:tc>
        <w:tc>
          <w:tcPr>
            <w:tcW w:w="1525" w:type="dxa"/>
            <w:vMerge w:val="continue"/>
            <w:noWrap w:val="0"/>
            <w:vAlign w:val="center"/>
          </w:tcPr>
          <w:p w14:paraId="369C54DC">
            <w:pPr>
              <w:pStyle w:val="24"/>
              <w:bidi w:val="0"/>
              <w:rPr>
                <w:rFonts w:hint="default"/>
                <w:color w:val="auto"/>
                <w:u w:val="none" w:color="auto"/>
              </w:rPr>
            </w:pPr>
          </w:p>
        </w:tc>
        <w:tc>
          <w:tcPr>
            <w:tcW w:w="1550" w:type="dxa"/>
            <w:noWrap w:val="0"/>
            <w:vAlign w:val="center"/>
          </w:tcPr>
          <w:p w14:paraId="1331AE66">
            <w:pPr>
              <w:pStyle w:val="24"/>
              <w:bidi w:val="0"/>
              <w:rPr>
                <w:rFonts w:hint="default"/>
                <w:color w:val="auto"/>
                <w:u w:val="none" w:color="auto"/>
                <w:lang w:val="en-US" w:eastAsia="zh-CN"/>
              </w:rPr>
            </w:pPr>
            <w:r>
              <w:rPr>
                <w:color w:val="auto"/>
                <w:u w:val="none" w:color="auto"/>
              </w:rPr>
              <w:t>氨氮</w:t>
            </w:r>
          </w:p>
        </w:tc>
        <w:tc>
          <w:tcPr>
            <w:tcW w:w="2608" w:type="dxa"/>
            <w:noWrap w:val="0"/>
            <w:vAlign w:val="center"/>
          </w:tcPr>
          <w:p w14:paraId="448CB799">
            <w:pPr>
              <w:pStyle w:val="24"/>
              <w:bidi w:val="0"/>
              <w:rPr>
                <w:rFonts w:hint="default"/>
                <w:color w:val="auto"/>
                <w:u w:val="none" w:color="auto"/>
                <w:lang w:val="en-US" w:eastAsia="zh-CN"/>
              </w:rPr>
            </w:pPr>
            <w:r>
              <w:rPr>
                <w:rFonts w:hint="eastAsia"/>
                <w:color w:val="auto"/>
                <w:u w:val="none" w:color="auto"/>
                <w:lang w:val="en-US" w:eastAsia="zh-CN"/>
              </w:rPr>
              <w:t>5（8）</w:t>
            </w:r>
          </w:p>
        </w:tc>
      </w:tr>
      <w:tr w14:paraId="3E181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3" w:hRule="atLeast"/>
          <w:jc w:val="center"/>
        </w:trPr>
        <w:tc>
          <w:tcPr>
            <w:tcW w:w="1075" w:type="dxa"/>
            <w:vMerge w:val="continue"/>
            <w:noWrap w:val="0"/>
            <w:vAlign w:val="center"/>
          </w:tcPr>
          <w:p w14:paraId="0C2BE954">
            <w:pPr>
              <w:pStyle w:val="24"/>
              <w:bidi w:val="0"/>
              <w:rPr>
                <w:rFonts w:hint="default"/>
                <w:color w:val="auto"/>
                <w:u w:val="none" w:color="auto"/>
                <w:lang w:val="en-US" w:eastAsia="zh-CN"/>
              </w:rPr>
            </w:pPr>
          </w:p>
        </w:tc>
        <w:tc>
          <w:tcPr>
            <w:tcW w:w="865" w:type="dxa"/>
            <w:vMerge w:val="continue"/>
            <w:noWrap w:val="0"/>
            <w:vAlign w:val="center"/>
          </w:tcPr>
          <w:p w14:paraId="74920C38">
            <w:pPr>
              <w:pStyle w:val="24"/>
              <w:bidi w:val="0"/>
              <w:rPr>
                <w:rFonts w:hint="default"/>
                <w:color w:val="auto"/>
                <w:u w:val="none" w:color="auto"/>
              </w:rPr>
            </w:pPr>
          </w:p>
        </w:tc>
        <w:tc>
          <w:tcPr>
            <w:tcW w:w="1000" w:type="dxa"/>
            <w:vMerge w:val="continue"/>
            <w:noWrap w:val="0"/>
            <w:vAlign w:val="center"/>
          </w:tcPr>
          <w:p w14:paraId="070D0835">
            <w:pPr>
              <w:pStyle w:val="24"/>
              <w:bidi w:val="0"/>
              <w:rPr>
                <w:rFonts w:hint="default"/>
                <w:color w:val="auto"/>
                <w:u w:val="none" w:color="auto"/>
              </w:rPr>
            </w:pPr>
          </w:p>
        </w:tc>
        <w:tc>
          <w:tcPr>
            <w:tcW w:w="1150" w:type="dxa"/>
            <w:vMerge w:val="continue"/>
            <w:noWrap w:val="0"/>
            <w:vAlign w:val="center"/>
          </w:tcPr>
          <w:p w14:paraId="187442D0">
            <w:pPr>
              <w:pStyle w:val="24"/>
              <w:bidi w:val="0"/>
              <w:rPr>
                <w:rFonts w:hint="default"/>
                <w:color w:val="auto"/>
                <w:u w:val="none" w:color="auto"/>
              </w:rPr>
            </w:pPr>
          </w:p>
        </w:tc>
        <w:tc>
          <w:tcPr>
            <w:tcW w:w="1025" w:type="dxa"/>
            <w:vMerge w:val="continue"/>
            <w:noWrap w:val="0"/>
            <w:vAlign w:val="center"/>
          </w:tcPr>
          <w:p w14:paraId="0297FCF5">
            <w:pPr>
              <w:pStyle w:val="24"/>
              <w:bidi w:val="0"/>
              <w:rPr>
                <w:rFonts w:hint="default"/>
                <w:color w:val="auto"/>
                <w:u w:val="none" w:color="auto"/>
                <w:lang w:val="en-US" w:eastAsia="zh-CN"/>
              </w:rPr>
            </w:pPr>
          </w:p>
        </w:tc>
        <w:tc>
          <w:tcPr>
            <w:tcW w:w="1425" w:type="dxa"/>
            <w:vMerge w:val="continue"/>
            <w:noWrap w:val="0"/>
            <w:vAlign w:val="center"/>
          </w:tcPr>
          <w:p w14:paraId="50ED3E25">
            <w:pPr>
              <w:pStyle w:val="24"/>
              <w:bidi w:val="0"/>
              <w:rPr>
                <w:rFonts w:hint="default"/>
                <w:color w:val="auto"/>
                <w:u w:val="none" w:color="auto"/>
              </w:rPr>
            </w:pPr>
          </w:p>
        </w:tc>
        <w:tc>
          <w:tcPr>
            <w:tcW w:w="950" w:type="dxa"/>
            <w:vMerge w:val="continue"/>
            <w:noWrap w:val="0"/>
            <w:vAlign w:val="center"/>
          </w:tcPr>
          <w:p w14:paraId="0E4EF59B">
            <w:pPr>
              <w:pStyle w:val="24"/>
              <w:bidi w:val="0"/>
              <w:rPr>
                <w:rFonts w:hint="default"/>
                <w:color w:val="auto"/>
                <w:u w:val="none" w:color="auto"/>
                <w:lang w:val="en-US" w:eastAsia="zh-CN"/>
              </w:rPr>
            </w:pPr>
          </w:p>
        </w:tc>
        <w:tc>
          <w:tcPr>
            <w:tcW w:w="1000" w:type="dxa"/>
            <w:vMerge w:val="continue"/>
            <w:noWrap w:val="0"/>
            <w:vAlign w:val="center"/>
          </w:tcPr>
          <w:p w14:paraId="0251965C">
            <w:pPr>
              <w:pStyle w:val="24"/>
              <w:bidi w:val="0"/>
              <w:rPr>
                <w:rFonts w:hint="default"/>
                <w:color w:val="auto"/>
                <w:u w:val="none" w:color="auto"/>
                <w:lang w:val="en-US" w:eastAsia="zh-CN"/>
              </w:rPr>
            </w:pPr>
          </w:p>
        </w:tc>
        <w:tc>
          <w:tcPr>
            <w:tcW w:w="1525" w:type="dxa"/>
            <w:vMerge w:val="continue"/>
            <w:noWrap w:val="0"/>
            <w:vAlign w:val="center"/>
          </w:tcPr>
          <w:p w14:paraId="77FAC6B5">
            <w:pPr>
              <w:pStyle w:val="24"/>
              <w:bidi w:val="0"/>
              <w:rPr>
                <w:rFonts w:hint="default"/>
                <w:color w:val="auto"/>
                <w:u w:val="none" w:color="auto"/>
              </w:rPr>
            </w:pPr>
          </w:p>
        </w:tc>
        <w:tc>
          <w:tcPr>
            <w:tcW w:w="1550" w:type="dxa"/>
            <w:noWrap w:val="0"/>
            <w:vAlign w:val="center"/>
          </w:tcPr>
          <w:p w14:paraId="512589D4">
            <w:pPr>
              <w:pStyle w:val="24"/>
              <w:bidi w:val="0"/>
              <w:rPr>
                <w:rFonts w:hint="eastAsia"/>
                <w:color w:val="auto"/>
                <w:u w:val="none" w:color="auto"/>
                <w:lang w:val="en-US" w:eastAsia="zh-CN"/>
              </w:rPr>
            </w:pPr>
            <w:r>
              <w:rPr>
                <w:rFonts w:hint="eastAsia"/>
                <w:color w:val="auto"/>
                <w:u w:val="none" w:color="auto"/>
                <w:lang w:val="en-US" w:eastAsia="zh-CN"/>
              </w:rPr>
              <w:t>SS</w:t>
            </w:r>
          </w:p>
        </w:tc>
        <w:tc>
          <w:tcPr>
            <w:tcW w:w="2608" w:type="dxa"/>
            <w:noWrap w:val="0"/>
            <w:vAlign w:val="center"/>
          </w:tcPr>
          <w:p w14:paraId="63B8CD11">
            <w:pPr>
              <w:pStyle w:val="24"/>
              <w:bidi w:val="0"/>
              <w:rPr>
                <w:rFonts w:hint="default"/>
                <w:color w:val="auto"/>
                <w:u w:val="none" w:color="auto"/>
                <w:lang w:val="en-US" w:eastAsia="zh-CN"/>
              </w:rPr>
            </w:pPr>
            <w:r>
              <w:rPr>
                <w:rFonts w:hint="eastAsia"/>
                <w:color w:val="auto"/>
                <w:u w:val="none" w:color="auto"/>
                <w:lang w:val="en-US" w:eastAsia="zh-CN"/>
              </w:rPr>
              <w:t>10</w:t>
            </w:r>
          </w:p>
        </w:tc>
      </w:tr>
      <w:tr w14:paraId="7BACB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075" w:type="dxa"/>
            <w:vMerge w:val="continue"/>
            <w:noWrap w:val="0"/>
            <w:vAlign w:val="center"/>
          </w:tcPr>
          <w:p w14:paraId="3BFB0BD7">
            <w:pPr>
              <w:pStyle w:val="24"/>
              <w:bidi w:val="0"/>
              <w:rPr>
                <w:rFonts w:hint="default"/>
                <w:color w:val="auto"/>
                <w:u w:val="none" w:color="auto"/>
                <w:lang w:val="en-US" w:eastAsia="zh-CN"/>
              </w:rPr>
            </w:pPr>
          </w:p>
        </w:tc>
        <w:tc>
          <w:tcPr>
            <w:tcW w:w="865" w:type="dxa"/>
            <w:vMerge w:val="continue"/>
            <w:noWrap w:val="0"/>
            <w:vAlign w:val="center"/>
          </w:tcPr>
          <w:p w14:paraId="3DB52D52">
            <w:pPr>
              <w:pStyle w:val="24"/>
              <w:bidi w:val="0"/>
              <w:rPr>
                <w:rFonts w:hint="default"/>
                <w:color w:val="auto"/>
                <w:u w:val="none" w:color="auto"/>
              </w:rPr>
            </w:pPr>
          </w:p>
        </w:tc>
        <w:tc>
          <w:tcPr>
            <w:tcW w:w="1000" w:type="dxa"/>
            <w:vMerge w:val="continue"/>
            <w:noWrap w:val="0"/>
            <w:vAlign w:val="center"/>
          </w:tcPr>
          <w:p w14:paraId="77790253">
            <w:pPr>
              <w:pStyle w:val="24"/>
              <w:bidi w:val="0"/>
              <w:rPr>
                <w:rFonts w:hint="default"/>
                <w:color w:val="auto"/>
                <w:u w:val="none" w:color="auto"/>
              </w:rPr>
            </w:pPr>
          </w:p>
        </w:tc>
        <w:tc>
          <w:tcPr>
            <w:tcW w:w="1150" w:type="dxa"/>
            <w:vMerge w:val="continue"/>
            <w:noWrap w:val="0"/>
            <w:vAlign w:val="center"/>
          </w:tcPr>
          <w:p w14:paraId="467E7D18">
            <w:pPr>
              <w:pStyle w:val="24"/>
              <w:bidi w:val="0"/>
              <w:rPr>
                <w:rFonts w:hint="default"/>
                <w:color w:val="auto"/>
                <w:u w:val="none" w:color="auto"/>
              </w:rPr>
            </w:pPr>
          </w:p>
        </w:tc>
        <w:tc>
          <w:tcPr>
            <w:tcW w:w="1025" w:type="dxa"/>
            <w:vMerge w:val="continue"/>
            <w:noWrap w:val="0"/>
            <w:vAlign w:val="center"/>
          </w:tcPr>
          <w:p w14:paraId="1801A665">
            <w:pPr>
              <w:pStyle w:val="24"/>
              <w:bidi w:val="0"/>
              <w:rPr>
                <w:rFonts w:hint="default"/>
                <w:color w:val="auto"/>
                <w:u w:val="none" w:color="auto"/>
                <w:lang w:val="en-US" w:eastAsia="zh-CN"/>
              </w:rPr>
            </w:pPr>
          </w:p>
        </w:tc>
        <w:tc>
          <w:tcPr>
            <w:tcW w:w="1425" w:type="dxa"/>
            <w:vMerge w:val="continue"/>
            <w:noWrap w:val="0"/>
            <w:vAlign w:val="center"/>
          </w:tcPr>
          <w:p w14:paraId="1A7BBC35">
            <w:pPr>
              <w:pStyle w:val="24"/>
              <w:bidi w:val="0"/>
              <w:rPr>
                <w:rFonts w:hint="default"/>
                <w:color w:val="auto"/>
                <w:u w:val="none" w:color="auto"/>
              </w:rPr>
            </w:pPr>
          </w:p>
        </w:tc>
        <w:tc>
          <w:tcPr>
            <w:tcW w:w="950" w:type="dxa"/>
            <w:vMerge w:val="continue"/>
            <w:noWrap w:val="0"/>
            <w:vAlign w:val="center"/>
          </w:tcPr>
          <w:p w14:paraId="78DB01A0">
            <w:pPr>
              <w:pStyle w:val="24"/>
              <w:bidi w:val="0"/>
              <w:rPr>
                <w:rFonts w:hint="default"/>
                <w:color w:val="auto"/>
                <w:u w:val="none" w:color="auto"/>
                <w:lang w:val="en-US" w:eastAsia="zh-CN"/>
              </w:rPr>
            </w:pPr>
          </w:p>
        </w:tc>
        <w:tc>
          <w:tcPr>
            <w:tcW w:w="1000" w:type="dxa"/>
            <w:vMerge w:val="continue"/>
            <w:noWrap w:val="0"/>
            <w:vAlign w:val="center"/>
          </w:tcPr>
          <w:p w14:paraId="44FDD6B6">
            <w:pPr>
              <w:pStyle w:val="24"/>
              <w:bidi w:val="0"/>
              <w:rPr>
                <w:rFonts w:hint="default"/>
                <w:color w:val="auto"/>
                <w:u w:val="none" w:color="auto"/>
                <w:lang w:val="en-US" w:eastAsia="zh-CN"/>
              </w:rPr>
            </w:pPr>
          </w:p>
        </w:tc>
        <w:tc>
          <w:tcPr>
            <w:tcW w:w="1525" w:type="dxa"/>
            <w:vMerge w:val="continue"/>
            <w:noWrap w:val="0"/>
            <w:vAlign w:val="center"/>
          </w:tcPr>
          <w:p w14:paraId="26B45C8E">
            <w:pPr>
              <w:pStyle w:val="24"/>
              <w:bidi w:val="0"/>
              <w:rPr>
                <w:rFonts w:hint="default"/>
                <w:color w:val="auto"/>
                <w:u w:val="none" w:color="auto"/>
              </w:rPr>
            </w:pPr>
          </w:p>
        </w:tc>
        <w:tc>
          <w:tcPr>
            <w:tcW w:w="1550" w:type="dxa"/>
            <w:noWrap w:val="0"/>
            <w:vAlign w:val="center"/>
          </w:tcPr>
          <w:p w14:paraId="060B05FE">
            <w:pPr>
              <w:pStyle w:val="24"/>
              <w:bidi w:val="0"/>
              <w:rPr>
                <w:rFonts w:hint="default"/>
                <w:color w:val="auto"/>
                <w:u w:val="none" w:color="auto"/>
                <w:lang w:val="en-US" w:eastAsia="zh-CN"/>
              </w:rPr>
            </w:pPr>
            <w:r>
              <w:rPr>
                <w:rFonts w:hint="eastAsia"/>
                <w:color w:val="auto"/>
                <w:u w:val="none" w:color="auto"/>
                <w:lang w:val="en-US" w:eastAsia="zh-CN"/>
              </w:rPr>
              <w:t>动植物油</w:t>
            </w:r>
          </w:p>
        </w:tc>
        <w:tc>
          <w:tcPr>
            <w:tcW w:w="2608" w:type="dxa"/>
            <w:noWrap w:val="0"/>
            <w:vAlign w:val="center"/>
          </w:tcPr>
          <w:p w14:paraId="3A1E794F">
            <w:pPr>
              <w:pStyle w:val="24"/>
              <w:bidi w:val="0"/>
              <w:rPr>
                <w:rFonts w:hint="default"/>
                <w:color w:val="auto"/>
                <w:u w:val="none" w:color="auto"/>
                <w:lang w:val="en-US" w:eastAsia="zh-CN"/>
              </w:rPr>
            </w:pPr>
            <w:r>
              <w:rPr>
                <w:rFonts w:hint="eastAsia"/>
                <w:color w:val="auto"/>
                <w:u w:val="none" w:color="auto"/>
                <w:lang w:val="en-US" w:eastAsia="zh-CN"/>
              </w:rPr>
              <w:t>1</w:t>
            </w:r>
          </w:p>
        </w:tc>
      </w:tr>
      <w:tr w14:paraId="51469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4173" w:type="dxa"/>
            <w:gridSpan w:val="11"/>
            <w:noWrap w:val="0"/>
            <w:vAlign w:val="center"/>
          </w:tcPr>
          <w:p w14:paraId="65338C21">
            <w:pPr>
              <w:pStyle w:val="24"/>
              <w:bidi w:val="0"/>
              <w:jc w:val="left"/>
              <w:rPr>
                <w:rFonts w:hint="default"/>
                <w:color w:val="auto"/>
                <w:u w:val="none" w:color="auto"/>
                <w:lang w:val="en-US" w:eastAsia="zh-CN"/>
              </w:rPr>
            </w:pPr>
            <w:r>
              <w:rPr>
                <w:rFonts w:hint="eastAsia"/>
                <w:color w:val="auto"/>
                <w:u w:val="none" w:color="auto"/>
                <w:lang w:val="en-US" w:eastAsia="zh-CN"/>
              </w:rPr>
              <w:t>备注：</w:t>
            </w:r>
            <w:r>
              <w:rPr>
                <w:rFonts w:hint="eastAsia"/>
                <w:lang w:val="en-US" w:eastAsia="zh-CN"/>
              </w:rPr>
              <w:t>生活污水排放口，且依托现有的，本项目不新增废水排口。</w:t>
            </w:r>
          </w:p>
        </w:tc>
      </w:tr>
    </w:tbl>
    <w:p w14:paraId="2D653F90">
      <w:pPr>
        <w:pStyle w:val="23"/>
        <w:bidi w:val="0"/>
        <w:rPr>
          <w:rFonts w:hint="default"/>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34FAF43">
      <w:pPr>
        <w:pStyle w:val="23"/>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5.2-17</w:t>
      </w:r>
      <w:r>
        <w:rPr>
          <w:rFonts w:hint="default"/>
          <w:color w:val="auto"/>
          <w:u w:val="none" w:color="auto"/>
        </w:rPr>
        <w:t xml:space="preserve"> 项目废水污染物排放执行情况表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89"/>
        <w:gridCol w:w="1092"/>
        <w:gridCol w:w="3846"/>
        <w:gridCol w:w="2281"/>
      </w:tblGrid>
      <w:tr w14:paraId="4243E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Merge w:val="restart"/>
            <w:noWrap w:val="0"/>
            <w:vAlign w:val="center"/>
          </w:tcPr>
          <w:p w14:paraId="707CB365">
            <w:pPr>
              <w:pStyle w:val="24"/>
              <w:bidi w:val="0"/>
              <w:rPr>
                <w:rFonts w:hint="default"/>
                <w:color w:val="auto"/>
                <w:u w:val="none" w:color="auto"/>
              </w:rPr>
            </w:pPr>
            <w:r>
              <w:rPr>
                <w:rFonts w:hint="default"/>
                <w:color w:val="auto"/>
                <w:u w:val="none" w:color="auto"/>
              </w:rPr>
              <w:t>序号</w:t>
            </w:r>
          </w:p>
        </w:tc>
        <w:tc>
          <w:tcPr>
            <w:tcW w:w="789" w:type="dxa"/>
            <w:vMerge w:val="restart"/>
            <w:noWrap w:val="0"/>
            <w:vAlign w:val="center"/>
          </w:tcPr>
          <w:p w14:paraId="6276ABDE">
            <w:pPr>
              <w:pStyle w:val="24"/>
              <w:bidi w:val="0"/>
              <w:rPr>
                <w:rFonts w:hint="default"/>
                <w:color w:val="auto"/>
                <w:u w:val="none" w:color="auto"/>
              </w:rPr>
            </w:pPr>
            <w:r>
              <w:rPr>
                <w:rFonts w:hint="default"/>
                <w:color w:val="auto"/>
                <w:u w:val="none" w:color="auto"/>
              </w:rPr>
              <w:t>排放口编号</w:t>
            </w:r>
          </w:p>
        </w:tc>
        <w:tc>
          <w:tcPr>
            <w:tcW w:w="1092" w:type="dxa"/>
            <w:vMerge w:val="restart"/>
            <w:noWrap w:val="0"/>
            <w:vAlign w:val="center"/>
          </w:tcPr>
          <w:p w14:paraId="15F2F33B">
            <w:pPr>
              <w:pStyle w:val="24"/>
              <w:bidi w:val="0"/>
              <w:rPr>
                <w:rFonts w:hint="default"/>
                <w:color w:val="auto"/>
                <w:u w:val="none" w:color="auto"/>
              </w:rPr>
            </w:pPr>
            <w:r>
              <w:rPr>
                <w:rFonts w:hint="default"/>
                <w:color w:val="auto"/>
                <w:u w:val="none" w:color="auto"/>
              </w:rPr>
              <w:t>污染物种类</w:t>
            </w:r>
          </w:p>
        </w:tc>
        <w:tc>
          <w:tcPr>
            <w:tcW w:w="6127" w:type="dxa"/>
            <w:gridSpan w:val="2"/>
            <w:noWrap w:val="0"/>
            <w:vAlign w:val="center"/>
          </w:tcPr>
          <w:p w14:paraId="2B1D978D">
            <w:pPr>
              <w:pStyle w:val="24"/>
              <w:bidi w:val="0"/>
              <w:rPr>
                <w:rFonts w:hint="default"/>
                <w:color w:val="auto"/>
                <w:u w:val="none" w:color="auto"/>
              </w:rPr>
            </w:pPr>
            <w:r>
              <w:rPr>
                <w:rFonts w:hint="default"/>
                <w:color w:val="auto"/>
                <w:u w:val="none" w:color="auto"/>
              </w:rPr>
              <w:t>国家或地方污染物排放标准及其他按规定商定的排放协议</w:t>
            </w:r>
          </w:p>
        </w:tc>
      </w:tr>
      <w:tr w14:paraId="0E29C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Merge w:val="continue"/>
            <w:noWrap w:val="0"/>
            <w:vAlign w:val="center"/>
          </w:tcPr>
          <w:p w14:paraId="6BD34DBF">
            <w:pPr>
              <w:pStyle w:val="24"/>
              <w:bidi w:val="0"/>
              <w:rPr>
                <w:rFonts w:hint="default"/>
                <w:color w:val="auto"/>
                <w:u w:val="none" w:color="auto"/>
              </w:rPr>
            </w:pPr>
          </w:p>
        </w:tc>
        <w:tc>
          <w:tcPr>
            <w:tcW w:w="789" w:type="dxa"/>
            <w:vMerge w:val="continue"/>
            <w:noWrap w:val="0"/>
            <w:vAlign w:val="center"/>
          </w:tcPr>
          <w:p w14:paraId="3C9955BE">
            <w:pPr>
              <w:pStyle w:val="24"/>
              <w:bidi w:val="0"/>
              <w:rPr>
                <w:rFonts w:hint="default"/>
                <w:color w:val="auto"/>
                <w:u w:val="none" w:color="auto"/>
              </w:rPr>
            </w:pPr>
          </w:p>
        </w:tc>
        <w:tc>
          <w:tcPr>
            <w:tcW w:w="1092" w:type="dxa"/>
            <w:vMerge w:val="continue"/>
            <w:noWrap w:val="0"/>
            <w:vAlign w:val="center"/>
          </w:tcPr>
          <w:p w14:paraId="0ABB6EB0">
            <w:pPr>
              <w:pStyle w:val="24"/>
              <w:bidi w:val="0"/>
              <w:rPr>
                <w:rFonts w:hint="default"/>
                <w:color w:val="auto"/>
                <w:u w:val="none" w:color="auto"/>
              </w:rPr>
            </w:pPr>
          </w:p>
        </w:tc>
        <w:tc>
          <w:tcPr>
            <w:tcW w:w="3846" w:type="dxa"/>
            <w:noWrap w:val="0"/>
            <w:vAlign w:val="center"/>
          </w:tcPr>
          <w:p w14:paraId="42072131">
            <w:pPr>
              <w:pStyle w:val="24"/>
              <w:bidi w:val="0"/>
              <w:rPr>
                <w:rFonts w:hint="default"/>
                <w:color w:val="auto"/>
                <w:u w:val="none" w:color="auto"/>
              </w:rPr>
            </w:pPr>
            <w:r>
              <w:rPr>
                <w:rFonts w:hint="default"/>
                <w:color w:val="auto"/>
                <w:u w:val="none" w:color="auto"/>
              </w:rPr>
              <w:t>名称</w:t>
            </w:r>
          </w:p>
        </w:tc>
        <w:tc>
          <w:tcPr>
            <w:tcW w:w="2281" w:type="dxa"/>
            <w:noWrap w:val="0"/>
            <w:vAlign w:val="center"/>
          </w:tcPr>
          <w:p w14:paraId="7588183C">
            <w:pPr>
              <w:pStyle w:val="24"/>
              <w:bidi w:val="0"/>
              <w:rPr>
                <w:rFonts w:hint="default"/>
                <w:color w:val="auto"/>
                <w:u w:val="none" w:color="auto"/>
              </w:rPr>
            </w:pPr>
            <w:r>
              <w:rPr>
                <w:rFonts w:hint="default"/>
                <w:color w:val="auto"/>
                <w:u w:val="none" w:color="auto"/>
              </w:rPr>
              <w:t>浓度限值/（mg/L）</w:t>
            </w:r>
          </w:p>
        </w:tc>
      </w:tr>
      <w:tr w14:paraId="6A953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96" w:type="dxa"/>
            <w:vMerge w:val="restart"/>
            <w:noWrap w:val="0"/>
            <w:vAlign w:val="center"/>
          </w:tcPr>
          <w:p w14:paraId="6A129DB4">
            <w:pPr>
              <w:pStyle w:val="24"/>
              <w:bidi w:val="0"/>
              <w:rPr>
                <w:rFonts w:hint="default"/>
                <w:color w:val="auto"/>
                <w:u w:val="none" w:color="auto"/>
              </w:rPr>
            </w:pPr>
            <w:r>
              <w:rPr>
                <w:rFonts w:hint="default"/>
                <w:color w:val="auto"/>
                <w:u w:val="none" w:color="auto"/>
              </w:rPr>
              <w:t>1</w:t>
            </w:r>
          </w:p>
        </w:tc>
        <w:tc>
          <w:tcPr>
            <w:tcW w:w="789" w:type="dxa"/>
            <w:vMerge w:val="restart"/>
            <w:noWrap w:val="0"/>
            <w:vAlign w:val="center"/>
          </w:tcPr>
          <w:p w14:paraId="16005030">
            <w:pPr>
              <w:pStyle w:val="24"/>
              <w:bidi w:val="0"/>
              <w:rPr>
                <w:rFonts w:hint="eastAsia"/>
                <w:color w:val="auto"/>
                <w:u w:val="none" w:color="auto"/>
                <w:lang w:eastAsia="zh-CN"/>
              </w:rPr>
            </w:pPr>
            <w:r>
              <w:rPr>
                <w:rFonts w:hint="eastAsia"/>
                <w:color w:val="auto"/>
                <w:u w:val="none" w:color="auto"/>
                <w:lang w:val="en-US" w:eastAsia="zh-CN"/>
              </w:rPr>
              <w:t>DW001</w:t>
            </w:r>
          </w:p>
        </w:tc>
        <w:tc>
          <w:tcPr>
            <w:tcW w:w="1092" w:type="dxa"/>
            <w:noWrap w:val="0"/>
            <w:vAlign w:val="center"/>
          </w:tcPr>
          <w:p w14:paraId="3FD159A6">
            <w:pPr>
              <w:pStyle w:val="24"/>
              <w:bidi w:val="0"/>
              <w:rPr>
                <w:rFonts w:hint="default"/>
                <w:color w:val="auto"/>
                <w:u w:val="none" w:color="auto"/>
              </w:rPr>
            </w:pPr>
            <w:r>
              <w:rPr>
                <w:rFonts w:hint="eastAsia"/>
                <w:color w:val="auto"/>
                <w:u w:val="none" w:color="auto"/>
                <w:lang w:val="en-US" w:eastAsia="zh-CN"/>
              </w:rPr>
              <w:t>pH</w:t>
            </w:r>
          </w:p>
        </w:tc>
        <w:tc>
          <w:tcPr>
            <w:tcW w:w="3846" w:type="dxa"/>
            <w:vMerge w:val="restart"/>
            <w:noWrap w:val="0"/>
            <w:vAlign w:val="center"/>
          </w:tcPr>
          <w:p w14:paraId="44F950AA">
            <w:pPr>
              <w:pStyle w:val="24"/>
              <w:bidi w:val="0"/>
              <w:rPr>
                <w:rFonts w:hint="default"/>
                <w:color w:val="auto"/>
                <w:u w:val="none" w:color="auto"/>
                <w:lang w:val="en-US" w:eastAsia="zh-CN"/>
              </w:rPr>
            </w:pPr>
            <w:r>
              <w:rPr>
                <w:rFonts w:hint="eastAsia"/>
                <w:color w:val="auto"/>
                <w:u w:val="none" w:color="auto"/>
                <w:lang w:val="en-US" w:eastAsia="zh-CN"/>
              </w:rPr>
              <w:t>长沙经开区汨罗产业园</w:t>
            </w:r>
            <w:r>
              <w:rPr>
                <w:rFonts w:hint="default"/>
                <w:color w:val="auto"/>
                <w:u w:val="none" w:color="auto"/>
              </w:rPr>
              <w:t>污水处理厂进水水质标准</w:t>
            </w:r>
          </w:p>
        </w:tc>
        <w:tc>
          <w:tcPr>
            <w:tcW w:w="2281" w:type="dxa"/>
            <w:noWrap w:val="0"/>
            <w:vAlign w:val="center"/>
          </w:tcPr>
          <w:p w14:paraId="5CB0E1DF">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6.0~9.0（无量纲）</w:t>
            </w:r>
          </w:p>
        </w:tc>
      </w:tr>
      <w:tr w14:paraId="46A0C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96" w:type="dxa"/>
            <w:vMerge w:val="continue"/>
            <w:noWrap w:val="0"/>
            <w:vAlign w:val="center"/>
          </w:tcPr>
          <w:p w14:paraId="055FD18B">
            <w:pPr>
              <w:pStyle w:val="24"/>
              <w:bidi w:val="0"/>
              <w:rPr>
                <w:rFonts w:hint="default"/>
                <w:color w:val="auto"/>
                <w:u w:val="none" w:color="auto"/>
              </w:rPr>
            </w:pPr>
          </w:p>
        </w:tc>
        <w:tc>
          <w:tcPr>
            <w:tcW w:w="789" w:type="dxa"/>
            <w:vMerge w:val="continue"/>
            <w:noWrap w:val="0"/>
            <w:vAlign w:val="center"/>
          </w:tcPr>
          <w:p w14:paraId="21BDA718">
            <w:pPr>
              <w:pStyle w:val="24"/>
              <w:bidi w:val="0"/>
              <w:rPr>
                <w:rFonts w:hint="eastAsia"/>
                <w:color w:val="auto"/>
                <w:u w:val="none" w:color="auto"/>
                <w:lang w:val="en-US" w:eastAsia="zh-CN"/>
              </w:rPr>
            </w:pPr>
          </w:p>
        </w:tc>
        <w:tc>
          <w:tcPr>
            <w:tcW w:w="1092" w:type="dxa"/>
            <w:noWrap w:val="0"/>
            <w:vAlign w:val="center"/>
          </w:tcPr>
          <w:p w14:paraId="3A6E4AF0">
            <w:pPr>
              <w:pStyle w:val="24"/>
              <w:bidi w:val="0"/>
              <w:rPr>
                <w:rFonts w:hint="eastAsia"/>
                <w:color w:val="auto"/>
                <w:u w:val="none" w:color="auto"/>
                <w:lang w:eastAsia="zh-CN"/>
              </w:rPr>
            </w:pPr>
            <w:r>
              <w:rPr>
                <w:rFonts w:hint="eastAsia"/>
                <w:color w:val="auto"/>
                <w:u w:val="none" w:color="auto"/>
                <w:lang w:eastAsia="zh-CN"/>
              </w:rPr>
              <w:t>CODcr</w:t>
            </w:r>
          </w:p>
        </w:tc>
        <w:tc>
          <w:tcPr>
            <w:tcW w:w="3846" w:type="dxa"/>
            <w:vMerge w:val="continue"/>
            <w:noWrap w:val="0"/>
            <w:vAlign w:val="center"/>
          </w:tcPr>
          <w:p w14:paraId="2CCF3EAD">
            <w:pPr>
              <w:pStyle w:val="24"/>
              <w:bidi w:val="0"/>
              <w:rPr>
                <w:rFonts w:hint="default"/>
                <w:color w:val="auto"/>
                <w:u w:val="none" w:color="auto"/>
              </w:rPr>
            </w:pPr>
          </w:p>
        </w:tc>
        <w:tc>
          <w:tcPr>
            <w:tcW w:w="2281" w:type="dxa"/>
            <w:noWrap w:val="0"/>
            <w:vAlign w:val="center"/>
          </w:tcPr>
          <w:p w14:paraId="488FB0A0">
            <w:pPr>
              <w:pStyle w:val="24"/>
              <w:bidi w:val="0"/>
              <w:rPr>
                <w:rFonts w:hint="default" w:eastAsia="宋体"/>
                <w:color w:val="auto"/>
                <w:u w:val="none" w:color="auto"/>
                <w:lang w:val="en-US" w:eastAsia="zh-CN"/>
              </w:rPr>
            </w:pPr>
            <w:r>
              <w:rPr>
                <w:rFonts w:hint="eastAsia"/>
                <w:color w:val="auto"/>
                <w:u w:val="none" w:color="auto"/>
                <w:lang w:val="en-US" w:eastAsia="zh-CN"/>
              </w:rPr>
              <w:t>500</w:t>
            </w:r>
          </w:p>
        </w:tc>
      </w:tr>
      <w:tr w14:paraId="3A379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5CB049C4">
            <w:pPr>
              <w:pStyle w:val="24"/>
              <w:bidi w:val="0"/>
              <w:rPr>
                <w:rFonts w:hint="default"/>
                <w:color w:val="auto"/>
                <w:u w:val="none" w:color="auto"/>
              </w:rPr>
            </w:pPr>
          </w:p>
        </w:tc>
        <w:tc>
          <w:tcPr>
            <w:tcW w:w="789" w:type="dxa"/>
            <w:vMerge w:val="continue"/>
            <w:noWrap w:val="0"/>
            <w:vAlign w:val="center"/>
          </w:tcPr>
          <w:p w14:paraId="6E83FCB3">
            <w:pPr>
              <w:pStyle w:val="24"/>
              <w:bidi w:val="0"/>
              <w:rPr>
                <w:rFonts w:hint="default"/>
                <w:color w:val="auto"/>
                <w:u w:val="none" w:color="auto"/>
              </w:rPr>
            </w:pPr>
          </w:p>
        </w:tc>
        <w:tc>
          <w:tcPr>
            <w:tcW w:w="1092" w:type="dxa"/>
            <w:noWrap w:val="0"/>
            <w:vAlign w:val="center"/>
          </w:tcPr>
          <w:p w14:paraId="06D86341">
            <w:pPr>
              <w:pStyle w:val="24"/>
              <w:bidi w:val="0"/>
              <w:rPr>
                <w:rFonts w:hint="default"/>
                <w:color w:val="auto"/>
                <w:u w:val="none" w:color="auto"/>
              </w:rPr>
            </w:pPr>
            <w:r>
              <w:rPr>
                <w:rFonts w:hint="eastAsia"/>
                <w:color w:val="auto"/>
                <w:u w:val="none" w:color="auto"/>
                <w:lang w:val="en-US" w:eastAsia="zh-CN"/>
              </w:rPr>
              <w:t>BOD</w:t>
            </w:r>
            <w:r>
              <w:rPr>
                <w:rFonts w:hint="eastAsia"/>
                <w:color w:val="auto"/>
                <w:u w:val="none" w:color="auto"/>
                <w:vertAlign w:val="subscript"/>
                <w:lang w:val="en-US" w:eastAsia="zh-CN"/>
              </w:rPr>
              <w:t>5</w:t>
            </w:r>
          </w:p>
        </w:tc>
        <w:tc>
          <w:tcPr>
            <w:tcW w:w="3846" w:type="dxa"/>
            <w:vMerge w:val="continue"/>
            <w:noWrap w:val="0"/>
            <w:vAlign w:val="center"/>
          </w:tcPr>
          <w:p w14:paraId="1CA1A404">
            <w:pPr>
              <w:pStyle w:val="24"/>
              <w:bidi w:val="0"/>
              <w:rPr>
                <w:rFonts w:hint="default"/>
                <w:color w:val="auto"/>
                <w:u w:val="none" w:color="auto"/>
              </w:rPr>
            </w:pPr>
          </w:p>
        </w:tc>
        <w:tc>
          <w:tcPr>
            <w:tcW w:w="2281" w:type="dxa"/>
            <w:noWrap w:val="0"/>
            <w:vAlign w:val="center"/>
          </w:tcPr>
          <w:p w14:paraId="11030B06">
            <w:pPr>
              <w:pStyle w:val="24"/>
              <w:bidi w:val="0"/>
              <w:rPr>
                <w:rFonts w:hint="default"/>
                <w:color w:val="auto"/>
                <w:u w:val="none" w:color="auto"/>
                <w:lang w:val="en-US" w:eastAsia="zh-CN"/>
              </w:rPr>
            </w:pPr>
            <w:r>
              <w:rPr>
                <w:rFonts w:hint="eastAsia"/>
                <w:color w:val="auto"/>
                <w:u w:val="none" w:color="auto"/>
                <w:lang w:val="en-US" w:eastAsia="zh-CN"/>
              </w:rPr>
              <w:t>300</w:t>
            </w:r>
          </w:p>
        </w:tc>
      </w:tr>
      <w:tr w14:paraId="026BA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1B1A4966">
            <w:pPr>
              <w:pStyle w:val="24"/>
              <w:bidi w:val="0"/>
              <w:rPr>
                <w:rFonts w:hint="default"/>
                <w:color w:val="auto"/>
                <w:u w:val="none" w:color="auto"/>
              </w:rPr>
            </w:pPr>
          </w:p>
        </w:tc>
        <w:tc>
          <w:tcPr>
            <w:tcW w:w="789" w:type="dxa"/>
            <w:vMerge w:val="continue"/>
            <w:noWrap w:val="0"/>
            <w:vAlign w:val="center"/>
          </w:tcPr>
          <w:p w14:paraId="37D6620E">
            <w:pPr>
              <w:pStyle w:val="24"/>
              <w:bidi w:val="0"/>
              <w:rPr>
                <w:rFonts w:hint="default"/>
                <w:color w:val="auto"/>
                <w:u w:val="none" w:color="auto"/>
              </w:rPr>
            </w:pPr>
          </w:p>
        </w:tc>
        <w:tc>
          <w:tcPr>
            <w:tcW w:w="1092" w:type="dxa"/>
            <w:noWrap w:val="0"/>
            <w:vAlign w:val="center"/>
          </w:tcPr>
          <w:p w14:paraId="366DB454">
            <w:pPr>
              <w:pStyle w:val="24"/>
              <w:bidi w:val="0"/>
              <w:rPr>
                <w:rFonts w:hint="default"/>
                <w:color w:val="auto"/>
                <w:u w:val="none" w:color="auto"/>
              </w:rPr>
            </w:pPr>
            <w:r>
              <w:rPr>
                <w:color w:val="auto"/>
                <w:u w:val="none" w:color="auto"/>
              </w:rPr>
              <w:t>氨氮</w:t>
            </w:r>
          </w:p>
        </w:tc>
        <w:tc>
          <w:tcPr>
            <w:tcW w:w="3846" w:type="dxa"/>
            <w:vMerge w:val="continue"/>
            <w:noWrap w:val="0"/>
            <w:vAlign w:val="center"/>
          </w:tcPr>
          <w:p w14:paraId="45F02C66">
            <w:pPr>
              <w:pStyle w:val="24"/>
              <w:bidi w:val="0"/>
              <w:rPr>
                <w:rFonts w:hint="default"/>
                <w:color w:val="auto"/>
                <w:u w:val="none" w:color="auto"/>
              </w:rPr>
            </w:pPr>
          </w:p>
        </w:tc>
        <w:tc>
          <w:tcPr>
            <w:tcW w:w="2281" w:type="dxa"/>
            <w:noWrap w:val="0"/>
            <w:vAlign w:val="center"/>
          </w:tcPr>
          <w:p w14:paraId="411A11EC">
            <w:pPr>
              <w:pStyle w:val="24"/>
              <w:bidi w:val="0"/>
              <w:rPr>
                <w:rFonts w:hint="default"/>
                <w:color w:val="auto"/>
                <w:u w:val="none" w:color="auto"/>
                <w:lang w:val="en-US" w:eastAsia="zh-CN"/>
              </w:rPr>
            </w:pPr>
            <w:r>
              <w:rPr>
                <w:rFonts w:hint="eastAsia"/>
                <w:color w:val="auto"/>
                <w:u w:val="none" w:color="auto"/>
                <w:lang w:val="en-US" w:eastAsia="zh-CN"/>
              </w:rPr>
              <w:t>/</w:t>
            </w:r>
          </w:p>
        </w:tc>
      </w:tr>
      <w:tr w14:paraId="4A89A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6654C685">
            <w:pPr>
              <w:pStyle w:val="24"/>
              <w:bidi w:val="0"/>
              <w:rPr>
                <w:rFonts w:hint="default"/>
                <w:color w:val="auto"/>
                <w:u w:val="none" w:color="auto"/>
              </w:rPr>
            </w:pPr>
          </w:p>
        </w:tc>
        <w:tc>
          <w:tcPr>
            <w:tcW w:w="789" w:type="dxa"/>
            <w:vMerge w:val="continue"/>
            <w:noWrap w:val="0"/>
            <w:vAlign w:val="center"/>
          </w:tcPr>
          <w:p w14:paraId="7569CB45">
            <w:pPr>
              <w:pStyle w:val="24"/>
              <w:bidi w:val="0"/>
              <w:rPr>
                <w:rFonts w:hint="default"/>
                <w:color w:val="auto"/>
                <w:u w:val="none" w:color="auto"/>
              </w:rPr>
            </w:pPr>
          </w:p>
        </w:tc>
        <w:tc>
          <w:tcPr>
            <w:tcW w:w="1092" w:type="dxa"/>
            <w:noWrap w:val="0"/>
            <w:vAlign w:val="center"/>
          </w:tcPr>
          <w:p w14:paraId="7FFE1062">
            <w:pPr>
              <w:pStyle w:val="24"/>
              <w:bidi w:val="0"/>
              <w:rPr>
                <w:rFonts w:hint="default"/>
                <w:color w:val="auto"/>
                <w:u w:val="none" w:color="auto"/>
              </w:rPr>
            </w:pPr>
            <w:r>
              <w:rPr>
                <w:rFonts w:hint="eastAsia"/>
                <w:color w:val="auto"/>
                <w:u w:val="none" w:color="auto"/>
                <w:lang w:val="en-US" w:eastAsia="zh-CN"/>
              </w:rPr>
              <w:t>SS</w:t>
            </w:r>
          </w:p>
        </w:tc>
        <w:tc>
          <w:tcPr>
            <w:tcW w:w="3846" w:type="dxa"/>
            <w:vMerge w:val="continue"/>
            <w:noWrap w:val="0"/>
            <w:vAlign w:val="center"/>
          </w:tcPr>
          <w:p w14:paraId="11E8069E">
            <w:pPr>
              <w:pStyle w:val="24"/>
              <w:bidi w:val="0"/>
              <w:rPr>
                <w:rFonts w:hint="default"/>
                <w:color w:val="auto"/>
                <w:u w:val="none" w:color="auto"/>
              </w:rPr>
            </w:pPr>
          </w:p>
        </w:tc>
        <w:tc>
          <w:tcPr>
            <w:tcW w:w="2281" w:type="dxa"/>
            <w:noWrap w:val="0"/>
            <w:vAlign w:val="center"/>
          </w:tcPr>
          <w:p w14:paraId="56E56588">
            <w:pPr>
              <w:pStyle w:val="24"/>
              <w:bidi w:val="0"/>
              <w:rPr>
                <w:rFonts w:hint="default"/>
                <w:color w:val="auto"/>
                <w:u w:val="none" w:color="auto"/>
                <w:lang w:val="en-US" w:eastAsia="zh-CN"/>
              </w:rPr>
            </w:pPr>
            <w:r>
              <w:rPr>
                <w:rFonts w:hint="eastAsia"/>
                <w:color w:val="auto"/>
                <w:u w:val="none" w:color="auto"/>
                <w:lang w:val="en-US" w:eastAsia="zh-CN"/>
              </w:rPr>
              <w:t>400</w:t>
            </w:r>
          </w:p>
        </w:tc>
      </w:tr>
    </w:tbl>
    <w:p w14:paraId="7C2D5C75">
      <w:pPr>
        <w:pStyle w:val="23"/>
        <w:bidi w:val="0"/>
        <w:rPr>
          <w:rFonts w:hint="eastAsia" w:eastAsia="宋体"/>
          <w:color w:val="auto"/>
          <w:u w:val="none" w:color="auto"/>
          <w:lang w:eastAsia="zh-CN"/>
        </w:rPr>
      </w:pPr>
      <w:r>
        <w:rPr>
          <w:rFonts w:hint="default"/>
          <w:color w:val="auto"/>
          <w:u w:val="none" w:color="auto"/>
          <w:lang w:val="en-US" w:eastAsia="zh-CN"/>
        </w:rPr>
        <w:t>表</w:t>
      </w:r>
      <w:r>
        <w:rPr>
          <w:rFonts w:hint="eastAsia"/>
          <w:color w:val="auto"/>
          <w:u w:val="none" w:color="auto"/>
          <w:lang w:val="en-US" w:eastAsia="zh-CN"/>
        </w:rPr>
        <w:t>5.2-18</w:t>
      </w:r>
      <w:r>
        <w:rPr>
          <w:rFonts w:hint="default"/>
          <w:color w:val="auto"/>
          <w:u w:val="none" w:color="auto"/>
        </w:rPr>
        <w:t xml:space="preserve"> 废水污染物排放信息表</w:t>
      </w:r>
      <w:r>
        <w:rPr>
          <w:rFonts w:hint="eastAsia"/>
          <w:color w:val="auto"/>
          <w:u w:val="none" w:color="auto"/>
          <w:lang w:eastAsia="zh-CN"/>
        </w:rPr>
        <w:t>（</w:t>
      </w:r>
      <w:r>
        <w:rPr>
          <w:rFonts w:hint="eastAsia"/>
          <w:color w:val="auto"/>
          <w:u w:val="none" w:color="auto"/>
          <w:lang w:val="en-US" w:eastAsia="zh-CN"/>
        </w:rPr>
        <w:t>排入外环境</w:t>
      </w:r>
      <w:r>
        <w:rPr>
          <w:rFonts w:hint="eastAsia"/>
          <w:color w:val="auto"/>
          <w:u w:val="none" w:color="auto"/>
          <w:lang w:eastAsia="zh-CN"/>
        </w:rPr>
        <w:t>）</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240"/>
        <w:gridCol w:w="1237"/>
        <w:gridCol w:w="1953"/>
        <w:gridCol w:w="1731"/>
        <w:gridCol w:w="1717"/>
      </w:tblGrid>
      <w:tr w14:paraId="457A1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14:paraId="7B995AD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240" w:type="dxa"/>
            <w:noWrap w:val="0"/>
            <w:vAlign w:val="center"/>
          </w:tcPr>
          <w:p w14:paraId="5C9EF74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237" w:type="dxa"/>
            <w:noWrap w:val="0"/>
            <w:vAlign w:val="center"/>
          </w:tcPr>
          <w:p w14:paraId="1F18AB6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污染物种类</w:t>
            </w:r>
          </w:p>
        </w:tc>
        <w:tc>
          <w:tcPr>
            <w:tcW w:w="1953" w:type="dxa"/>
            <w:noWrap w:val="0"/>
            <w:vAlign w:val="center"/>
          </w:tcPr>
          <w:p w14:paraId="10B7AFE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排放浓度（mg/L）</w:t>
            </w:r>
          </w:p>
        </w:tc>
        <w:tc>
          <w:tcPr>
            <w:tcW w:w="1731" w:type="dxa"/>
            <w:noWrap w:val="0"/>
            <w:vAlign w:val="center"/>
          </w:tcPr>
          <w:p w14:paraId="3220CC0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日排放量（</w:t>
            </w:r>
            <w:r>
              <w:rPr>
                <w:rFonts w:hint="eastAsia" w:cs="Times New Roman"/>
                <w:color w:val="auto"/>
                <w:u w:val="none" w:color="auto"/>
                <w:lang w:val="en-US" w:eastAsia="zh-CN"/>
              </w:rPr>
              <w:t>kg</w:t>
            </w:r>
            <w:r>
              <w:rPr>
                <w:rFonts w:hint="default" w:ascii="Times New Roman" w:hAnsi="Times New Roman" w:cs="Times New Roman"/>
                <w:color w:val="auto"/>
                <w:u w:val="none" w:color="auto"/>
              </w:rPr>
              <w:t>/d）</w:t>
            </w:r>
          </w:p>
        </w:tc>
        <w:tc>
          <w:tcPr>
            <w:tcW w:w="1717" w:type="dxa"/>
            <w:noWrap w:val="0"/>
            <w:vAlign w:val="center"/>
          </w:tcPr>
          <w:p w14:paraId="0E837CED">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年排放量（t/a）</w:t>
            </w:r>
          </w:p>
        </w:tc>
      </w:tr>
      <w:tr w14:paraId="782A9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restart"/>
            <w:noWrap w:val="0"/>
            <w:vAlign w:val="center"/>
          </w:tcPr>
          <w:p w14:paraId="611795D0">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240" w:type="dxa"/>
            <w:vMerge w:val="restart"/>
            <w:noWrap w:val="0"/>
            <w:vAlign w:val="center"/>
          </w:tcPr>
          <w:p w14:paraId="5787AE62">
            <w:pPr>
              <w:pStyle w:val="25"/>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DW001</w:t>
            </w:r>
          </w:p>
        </w:tc>
        <w:tc>
          <w:tcPr>
            <w:tcW w:w="1237" w:type="dxa"/>
            <w:noWrap w:val="0"/>
            <w:vAlign w:val="center"/>
          </w:tcPr>
          <w:p w14:paraId="7946F9D6">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废水量</w:t>
            </w:r>
          </w:p>
        </w:tc>
        <w:tc>
          <w:tcPr>
            <w:tcW w:w="5401" w:type="dxa"/>
            <w:gridSpan w:val="3"/>
            <w:noWrap w:val="0"/>
            <w:vAlign w:val="center"/>
          </w:tcPr>
          <w:p w14:paraId="34660EB8">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1216m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/a</w:t>
            </w:r>
          </w:p>
        </w:tc>
      </w:tr>
      <w:tr w14:paraId="0EF83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Merge w:val="continue"/>
            <w:noWrap w:val="0"/>
            <w:vAlign w:val="center"/>
          </w:tcPr>
          <w:p w14:paraId="57264FD2">
            <w:pPr>
              <w:pStyle w:val="25"/>
              <w:bidi w:val="0"/>
              <w:rPr>
                <w:rFonts w:hint="default" w:ascii="Times New Roman" w:hAnsi="Times New Roman" w:cs="Times New Roman"/>
                <w:color w:val="auto"/>
                <w:u w:val="none" w:color="auto"/>
              </w:rPr>
            </w:pPr>
          </w:p>
        </w:tc>
        <w:tc>
          <w:tcPr>
            <w:tcW w:w="1240" w:type="dxa"/>
            <w:vMerge w:val="continue"/>
            <w:noWrap w:val="0"/>
            <w:vAlign w:val="center"/>
          </w:tcPr>
          <w:p w14:paraId="690F58CB">
            <w:pPr>
              <w:pStyle w:val="25"/>
              <w:bidi w:val="0"/>
              <w:rPr>
                <w:rFonts w:hint="default" w:ascii="Times New Roman" w:hAnsi="Times New Roman" w:cs="Times New Roman"/>
                <w:color w:val="auto"/>
                <w:u w:val="none" w:color="auto"/>
              </w:rPr>
            </w:pPr>
          </w:p>
        </w:tc>
        <w:tc>
          <w:tcPr>
            <w:tcW w:w="1237" w:type="dxa"/>
            <w:noWrap w:val="0"/>
            <w:vAlign w:val="center"/>
          </w:tcPr>
          <w:p w14:paraId="67E6CACD">
            <w:pPr>
              <w:pStyle w:val="25"/>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COD</w:t>
            </w:r>
            <w:r>
              <w:rPr>
                <w:rFonts w:hint="default" w:ascii="Times New Roman" w:hAnsi="Times New Roman" w:cs="Times New Roman"/>
                <w:color w:val="auto"/>
                <w:u w:val="none" w:color="auto"/>
                <w:vertAlign w:val="subscript"/>
                <w:lang w:val="en-US"/>
              </w:rPr>
              <w:t>Cr</w:t>
            </w:r>
          </w:p>
        </w:tc>
        <w:tc>
          <w:tcPr>
            <w:tcW w:w="1953" w:type="dxa"/>
            <w:noWrap w:val="0"/>
            <w:vAlign w:val="center"/>
          </w:tcPr>
          <w:p w14:paraId="0F49539B">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s="Times New Roman"/>
                <w:b w:val="0"/>
                <w:bCs/>
                <w:color w:val="auto"/>
                <w:kern w:val="0"/>
                <w:sz w:val="21"/>
                <w:szCs w:val="21"/>
                <w:u w:val="none" w:color="auto"/>
                <w:lang w:val="en-US" w:eastAsia="zh-CN" w:bidi="ar-SA"/>
              </w:rPr>
              <w:t>50</w:t>
            </w:r>
          </w:p>
        </w:tc>
        <w:tc>
          <w:tcPr>
            <w:tcW w:w="1731" w:type="dxa"/>
            <w:noWrap w:val="0"/>
            <w:vAlign w:val="center"/>
          </w:tcPr>
          <w:p w14:paraId="01A9D979">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0.2027</w:t>
            </w:r>
          </w:p>
        </w:tc>
        <w:tc>
          <w:tcPr>
            <w:tcW w:w="1717" w:type="dxa"/>
            <w:noWrap w:val="0"/>
            <w:vAlign w:val="center"/>
          </w:tcPr>
          <w:p w14:paraId="6F4A4C55">
            <w:pPr>
              <w:pStyle w:val="32"/>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0.0608</w:t>
            </w:r>
          </w:p>
        </w:tc>
      </w:tr>
      <w:tr w14:paraId="73048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144BA18E">
            <w:pPr>
              <w:pStyle w:val="25"/>
              <w:bidi w:val="0"/>
              <w:rPr>
                <w:rFonts w:hint="default" w:ascii="Times New Roman" w:hAnsi="Times New Roman" w:cs="Times New Roman"/>
                <w:color w:val="auto"/>
                <w:u w:val="none" w:color="auto"/>
              </w:rPr>
            </w:pPr>
          </w:p>
        </w:tc>
        <w:tc>
          <w:tcPr>
            <w:tcW w:w="1240" w:type="dxa"/>
            <w:vMerge w:val="continue"/>
            <w:noWrap w:val="0"/>
            <w:vAlign w:val="center"/>
          </w:tcPr>
          <w:p w14:paraId="556EB5CE">
            <w:pPr>
              <w:pStyle w:val="25"/>
              <w:bidi w:val="0"/>
              <w:rPr>
                <w:rFonts w:hint="default" w:ascii="Times New Roman" w:hAnsi="Times New Roman" w:cs="Times New Roman"/>
                <w:color w:val="auto"/>
                <w:u w:val="none" w:color="auto"/>
              </w:rPr>
            </w:pPr>
          </w:p>
        </w:tc>
        <w:tc>
          <w:tcPr>
            <w:tcW w:w="1237" w:type="dxa"/>
            <w:noWrap w:val="0"/>
            <w:vAlign w:val="center"/>
          </w:tcPr>
          <w:p w14:paraId="6565EF00">
            <w:pPr>
              <w:pStyle w:val="25"/>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BOD</w:t>
            </w:r>
            <w:r>
              <w:rPr>
                <w:rFonts w:hint="default" w:ascii="Times New Roman" w:hAnsi="Times New Roman" w:cs="Times New Roman"/>
                <w:color w:val="auto"/>
                <w:u w:val="none" w:color="auto"/>
                <w:vertAlign w:val="subscript"/>
                <w:lang w:val="en-US"/>
              </w:rPr>
              <w:t>5</w:t>
            </w:r>
          </w:p>
        </w:tc>
        <w:tc>
          <w:tcPr>
            <w:tcW w:w="1953" w:type="dxa"/>
            <w:noWrap w:val="0"/>
            <w:vAlign w:val="center"/>
          </w:tcPr>
          <w:p w14:paraId="44BCED27">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10</w:t>
            </w:r>
          </w:p>
        </w:tc>
        <w:tc>
          <w:tcPr>
            <w:tcW w:w="1731" w:type="dxa"/>
            <w:noWrap w:val="0"/>
            <w:vAlign w:val="center"/>
          </w:tcPr>
          <w:p w14:paraId="625CDF7A">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0.0405</w:t>
            </w:r>
          </w:p>
        </w:tc>
        <w:tc>
          <w:tcPr>
            <w:tcW w:w="1717" w:type="dxa"/>
            <w:noWrap w:val="0"/>
            <w:vAlign w:val="center"/>
          </w:tcPr>
          <w:p w14:paraId="03698A7B">
            <w:pPr>
              <w:pStyle w:val="32"/>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0.0122</w:t>
            </w:r>
          </w:p>
        </w:tc>
      </w:tr>
      <w:tr w14:paraId="01D7F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50218EE6">
            <w:pPr>
              <w:pStyle w:val="25"/>
              <w:bidi w:val="0"/>
              <w:rPr>
                <w:rFonts w:hint="default" w:ascii="Times New Roman" w:hAnsi="Times New Roman" w:cs="Times New Roman"/>
                <w:color w:val="auto"/>
                <w:u w:val="none" w:color="auto"/>
              </w:rPr>
            </w:pPr>
          </w:p>
        </w:tc>
        <w:tc>
          <w:tcPr>
            <w:tcW w:w="1240" w:type="dxa"/>
            <w:vMerge w:val="continue"/>
            <w:noWrap w:val="0"/>
            <w:vAlign w:val="center"/>
          </w:tcPr>
          <w:p w14:paraId="08FBF22B">
            <w:pPr>
              <w:pStyle w:val="25"/>
              <w:bidi w:val="0"/>
              <w:rPr>
                <w:rFonts w:hint="default" w:ascii="Times New Roman" w:hAnsi="Times New Roman" w:cs="Times New Roman"/>
                <w:color w:val="auto"/>
                <w:u w:val="none" w:color="auto"/>
              </w:rPr>
            </w:pPr>
          </w:p>
        </w:tc>
        <w:tc>
          <w:tcPr>
            <w:tcW w:w="1237" w:type="dxa"/>
            <w:noWrap w:val="0"/>
            <w:vAlign w:val="center"/>
          </w:tcPr>
          <w:p w14:paraId="7099483F">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氨氮</w:t>
            </w:r>
          </w:p>
        </w:tc>
        <w:tc>
          <w:tcPr>
            <w:tcW w:w="1953" w:type="dxa"/>
            <w:noWrap w:val="0"/>
            <w:vAlign w:val="center"/>
          </w:tcPr>
          <w:p w14:paraId="3DC8712B">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5（8）</w:t>
            </w:r>
          </w:p>
        </w:tc>
        <w:tc>
          <w:tcPr>
            <w:tcW w:w="1731" w:type="dxa"/>
            <w:noWrap w:val="0"/>
            <w:vAlign w:val="center"/>
          </w:tcPr>
          <w:p w14:paraId="065E1B8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0.0203</w:t>
            </w:r>
          </w:p>
        </w:tc>
        <w:tc>
          <w:tcPr>
            <w:tcW w:w="1717" w:type="dxa"/>
            <w:noWrap w:val="0"/>
            <w:vAlign w:val="center"/>
          </w:tcPr>
          <w:p w14:paraId="497A4BBC">
            <w:pPr>
              <w:pStyle w:val="32"/>
              <w:bidi w:val="0"/>
              <w:rPr>
                <w:rFonts w:hint="default" w:cs="Times New Roman"/>
                <w:color w:val="auto"/>
                <w:u w:val="none" w:color="auto"/>
                <w:lang w:val="en-US" w:eastAsia="zh-CN"/>
              </w:rPr>
            </w:pPr>
            <w:r>
              <w:rPr>
                <w:rFonts w:hint="eastAsia" w:cs="Times New Roman"/>
                <w:color w:val="auto"/>
                <w:u w:val="none" w:color="auto"/>
                <w:lang w:val="en-US" w:eastAsia="zh-CN"/>
              </w:rPr>
              <w:t>0.0061</w:t>
            </w:r>
          </w:p>
        </w:tc>
      </w:tr>
      <w:tr w14:paraId="6A556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68C1F14F">
            <w:pPr>
              <w:pStyle w:val="25"/>
              <w:bidi w:val="0"/>
              <w:rPr>
                <w:rFonts w:hint="default" w:ascii="Times New Roman" w:hAnsi="Times New Roman" w:cs="Times New Roman"/>
                <w:color w:val="auto"/>
                <w:u w:val="none" w:color="auto"/>
              </w:rPr>
            </w:pPr>
          </w:p>
        </w:tc>
        <w:tc>
          <w:tcPr>
            <w:tcW w:w="1240" w:type="dxa"/>
            <w:vMerge w:val="continue"/>
            <w:noWrap w:val="0"/>
            <w:vAlign w:val="center"/>
          </w:tcPr>
          <w:p w14:paraId="2614C320">
            <w:pPr>
              <w:pStyle w:val="25"/>
              <w:bidi w:val="0"/>
              <w:rPr>
                <w:rFonts w:hint="default" w:ascii="Times New Roman" w:hAnsi="Times New Roman" w:cs="Times New Roman"/>
                <w:color w:val="auto"/>
                <w:u w:val="none" w:color="auto"/>
              </w:rPr>
            </w:pPr>
          </w:p>
        </w:tc>
        <w:tc>
          <w:tcPr>
            <w:tcW w:w="1237" w:type="dxa"/>
            <w:noWrap w:val="0"/>
            <w:vAlign w:val="center"/>
          </w:tcPr>
          <w:p w14:paraId="4B2916E4">
            <w:pPr>
              <w:pStyle w:val="25"/>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SS</w:t>
            </w:r>
          </w:p>
        </w:tc>
        <w:tc>
          <w:tcPr>
            <w:tcW w:w="1953" w:type="dxa"/>
            <w:noWrap w:val="0"/>
            <w:vAlign w:val="center"/>
          </w:tcPr>
          <w:p w14:paraId="49750B31">
            <w:pPr>
              <w:pStyle w:val="24"/>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10</w:t>
            </w:r>
          </w:p>
        </w:tc>
        <w:tc>
          <w:tcPr>
            <w:tcW w:w="1731" w:type="dxa"/>
            <w:noWrap w:val="0"/>
            <w:vAlign w:val="center"/>
          </w:tcPr>
          <w:p w14:paraId="3856C42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0.0405</w:t>
            </w:r>
          </w:p>
        </w:tc>
        <w:tc>
          <w:tcPr>
            <w:tcW w:w="1717" w:type="dxa"/>
            <w:noWrap w:val="0"/>
            <w:vAlign w:val="center"/>
          </w:tcPr>
          <w:p w14:paraId="62F04272">
            <w:pPr>
              <w:pStyle w:val="32"/>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0.0122</w:t>
            </w:r>
          </w:p>
        </w:tc>
      </w:tr>
      <w:tr w14:paraId="71664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4" w:type="dxa"/>
            <w:gridSpan w:val="6"/>
            <w:noWrap w:val="0"/>
            <w:vAlign w:val="center"/>
          </w:tcPr>
          <w:p w14:paraId="396BFFA5">
            <w:pPr>
              <w:pStyle w:val="32"/>
              <w:bidi w:val="0"/>
              <w:rPr>
                <w:rFonts w:hint="eastAsia" w:cs="Times New Roman"/>
                <w:color w:val="auto"/>
                <w:u w:val="none" w:color="auto"/>
                <w:lang w:val="en-US" w:eastAsia="zh-CN"/>
              </w:rPr>
            </w:pPr>
            <w:r>
              <w:rPr>
                <w:rFonts w:hint="eastAsia"/>
                <w:color w:val="auto"/>
                <w:u w:val="none" w:color="auto"/>
              </w:rPr>
              <w:t>污染物排入外环境量以</w:t>
            </w:r>
            <w:r>
              <w:rPr>
                <w:rFonts w:hint="eastAsia"/>
                <w:color w:val="auto"/>
                <w:u w:val="none" w:color="auto"/>
                <w:lang w:val="en-US" w:eastAsia="zh-CN"/>
              </w:rPr>
              <w:t>长沙经开区汨罗产业园</w:t>
            </w:r>
            <w:r>
              <w:rPr>
                <w:rFonts w:hint="eastAsia"/>
                <w:color w:val="auto"/>
                <w:u w:val="none" w:color="auto"/>
              </w:rPr>
              <w:t>污水处理厂排水浓度进行计算，即《城镇污水处理厂污染物排放标准》（GB18918-2002）一级A标准。</w:t>
            </w:r>
          </w:p>
        </w:tc>
      </w:tr>
    </w:tbl>
    <w:p w14:paraId="5138A76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综上所述，项目</w:t>
      </w:r>
      <w:r>
        <w:rPr>
          <w:rFonts w:hint="eastAsia" w:ascii="Times New Roman" w:hAnsi="Times New Roman" w:cs="Times New Roman"/>
          <w:color w:val="auto"/>
          <w:u w:val="none" w:color="auto"/>
          <w:lang w:val="en-US" w:eastAsia="zh-CN"/>
        </w:rPr>
        <w:t>废水</w:t>
      </w:r>
      <w:r>
        <w:rPr>
          <w:rFonts w:hint="default" w:ascii="Times New Roman" w:hAnsi="Times New Roman" w:cs="Times New Roman"/>
          <w:color w:val="auto"/>
          <w:u w:val="none" w:color="auto"/>
        </w:rPr>
        <w:t>经过上述措施处理后，可实现达标排放，同时对周围水体环境影响很小。</w:t>
      </w:r>
    </w:p>
    <w:p w14:paraId="5DFD3F78">
      <w:pPr>
        <w:pStyle w:val="8"/>
        <w:rPr>
          <w:rFonts w:hint="eastAsia" w:ascii="Times New Roman" w:hAnsi="Times New Roman" w:eastAsia="宋体" w:cs="Times New Roman"/>
          <w:color w:val="auto"/>
          <w:u w:val="none" w:color="auto"/>
          <w:lang w:val="en-US" w:eastAsia="zh-CN"/>
        </w:rPr>
      </w:pPr>
      <w:bookmarkStart w:id="1016" w:name="_Toc7802"/>
      <w:bookmarkStart w:id="1017" w:name="_Toc6349"/>
      <w:bookmarkStart w:id="1018" w:name="_Toc11925"/>
      <w:bookmarkStart w:id="1019" w:name="_Toc27812"/>
      <w:bookmarkStart w:id="1020" w:name="_Toc17324"/>
      <w:bookmarkStart w:id="1021" w:name="_Toc3859"/>
      <w:bookmarkStart w:id="1022" w:name="_Toc5609"/>
      <w:bookmarkStart w:id="1023" w:name="_Toc10238"/>
      <w:bookmarkStart w:id="1024" w:name="_Toc23727"/>
      <w:bookmarkStart w:id="1025" w:name="_Toc29171"/>
      <w:bookmarkStart w:id="1026" w:name="_Toc15725"/>
      <w:bookmarkStart w:id="1027" w:name="_Toc28369"/>
      <w:bookmarkStart w:id="1028" w:name="_Toc10920"/>
      <w:bookmarkStart w:id="1029" w:name="_Toc12257"/>
      <w:bookmarkStart w:id="1030" w:name="_Toc27767"/>
      <w:bookmarkStart w:id="1031" w:name="_Toc27968"/>
      <w:bookmarkStart w:id="1032" w:name="_Toc25376"/>
      <w:bookmarkStart w:id="1033" w:name="_Toc20281"/>
      <w:bookmarkStart w:id="1034" w:name="_Toc11442"/>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.3地下水环境影响</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Pr>
          <w:rFonts w:hint="eastAsia" w:cs="Times New Roman"/>
          <w:color w:val="auto"/>
          <w:u w:val="none" w:color="auto"/>
          <w:lang w:val="en-US" w:eastAsia="zh-CN"/>
        </w:rPr>
        <w:t>分析</w:t>
      </w:r>
      <w:bookmarkEnd w:id="1032"/>
      <w:bookmarkEnd w:id="1033"/>
      <w:bookmarkEnd w:id="1034"/>
    </w:p>
    <w:p w14:paraId="6532E32A">
      <w:pPr>
        <w:pStyle w:val="21"/>
        <w:ind w:firstLine="480"/>
        <w:rPr>
          <w:rFonts w:hint="default" w:ascii="Times New Roman" w:hAnsi="Times New Roman" w:cs="Times New Roman"/>
          <w:color w:val="auto"/>
          <w:u w:val="none" w:color="auto"/>
        </w:rPr>
      </w:pPr>
      <w:bookmarkStart w:id="1035" w:name="_Toc24677"/>
      <w:bookmarkStart w:id="1036" w:name="_Toc24722"/>
      <w:bookmarkStart w:id="1037" w:name="_Toc26764"/>
      <w:bookmarkStart w:id="1038" w:name="_Toc14780"/>
      <w:bookmarkStart w:id="1039" w:name="_Toc9565"/>
      <w:bookmarkStart w:id="1040" w:name="_Toc29604"/>
      <w:bookmarkStart w:id="1041" w:name="_Toc25417"/>
      <w:r>
        <w:rPr>
          <w:rFonts w:hint="eastAsia" w:ascii="Times New Roman" w:hAnsi="Times New Roman" w:cs="Times New Roman"/>
          <w:color w:val="auto"/>
          <w:u w:val="none" w:color="auto"/>
          <w:lang w:val="en-US" w:eastAsia="zh-CN"/>
        </w:rPr>
        <w:t>根据</w:t>
      </w:r>
      <w:r>
        <w:rPr>
          <w:rFonts w:hint="default" w:ascii="Times New Roman" w:hAnsi="Times New Roman" w:cs="Times New Roman"/>
          <w:color w:val="auto"/>
          <w:u w:val="none" w:color="auto"/>
        </w:rPr>
        <w:t>《环境影响评价技术导则地下水环境》（HJ610-2016）中附录A地下水环境影响评价行业分类表，本项目属于</w:t>
      </w:r>
      <w:r>
        <w:rPr>
          <w:rFonts w:hint="eastAsia" w:ascii="宋体" w:hAnsi="宋体" w:eastAsia="宋体" w:cs="宋体"/>
          <w:color w:val="auto"/>
          <w:u w:val="none" w:color="auto"/>
        </w:rPr>
        <w:t>“</w:t>
      </w:r>
      <w:r>
        <w:rPr>
          <w:rFonts w:hint="default" w:ascii="Times New Roman" w:hAnsi="Times New Roman" w:cs="Times New Roman"/>
          <w:color w:val="auto"/>
          <w:u w:val="none" w:color="auto"/>
        </w:rPr>
        <w:t>第</w:t>
      </w:r>
      <w:r>
        <w:rPr>
          <w:rFonts w:hint="eastAsia" w:ascii="Times New Roman" w:hAnsi="Times New Roman" w:cs="Times New Roman"/>
          <w:color w:val="auto"/>
          <w:u w:val="none" w:color="auto"/>
          <w:lang w:val="en-US" w:eastAsia="zh-CN"/>
        </w:rPr>
        <w:t>69石墨及其他非金属矿物制品</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石墨</w:t>
      </w:r>
      <w:r>
        <w:rPr>
          <w:rFonts w:hint="eastAsia" w:ascii="宋体" w:hAnsi="宋体" w:eastAsia="宋体" w:cs="宋体"/>
          <w:color w:val="auto"/>
          <w:u w:val="none" w:color="auto"/>
        </w:rPr>
        <w:t>”</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Ⅲ</w:t>
      </w:r>
      <w:r>
        <w:rPr>
          <w:rFonts w:hint="eastAsia" w:ascii="Times New Roman" w:hAnsi="Times New Roman" w:cs="Times New Roman"/>
          <w:color w:val="auto"/>
          <w:u w:val="none" w:color="auto"/>
          <w:lang w:val="en-US" w:eastAsia="zh-CN"/>
        </w:rPr>
        <w:t>类项目</w:t>
      </w:r>
      <w:r>
        <w:rPr>
          <w:rFonts w:hint="default" w:ascii="Times New Roman" w:hAnsi="Times New Roman" w:cs="Times New Roman"/>
          <w:color w:val="auto"/>
          <w:u w:val="none" w:color="auto"/>
        </w:rPr>
        <w:t>；本项目位于</w:t>
      </w:r>
      <w:r>
        <w:rPr>
          <w:rFonts w:hint="eastAsia"/>
          <w:color w:val="auto"/>
          <w:u w:val="none" w:color="auto"/>
          <w:lang w:val="en-US" w:eastAsia="zh-CN"/>
        </w:rPr>
        <w:t>湖南省岳阳市汨罗市湖南汨罗高新技术产业开发区弼时片区大里塘村立新南路</w:t>
      </w:r>
      <w:r>
        <w:rPr>
          <w:rFonts w:hint="default" w:ascii="Times New Roman" w:hAnsi="Times New Roman" w:cs="Times New Roman"/>
          <w:color w:val="auto"/>
          <w:u w:val="none" w:color="auto"/>
        </w:rPr>
        <w:t>，生活用水</w:t>
      </w:r>
      <w:r>
        <w:rPr>
          <w:rFonts w:hint="eastAsia" w:ascii="Times New Roman" w:hAnsi="Times New Roman" w:cs="Times New Roman"/>
          <w:color w:val="auto"/>
          <w:u w:val="none" w:color="auto"/>
          <w:lang w:val="en-US" w:eastAsia="zh-CN"/>
        </w:rPr>
        <w:t>由自来水管网供给</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项目区域地下水环境敏感程度为</w:t>
      </w:r>
      <w:r>
        <w:rPr>
          <w:rFonts w:hint="eastAsia" w:ascii="Times New Roman" w:hAnsi="Times New Roman" w:cs="Times New Roman"/>
          <w:color w:val="auto"/>
          <w:u w:val="none" w:color="auto"/>
          <w:lang w:val="en-US" w:eastAsia="zh-CN"/>
        </w:rPr>
        <w:t>不</w:t>
      </w:r>
      <w:r>
        <w:rPr>
          <w:rFonts w:hint="default" w:ascii="Times New Roman" w:hAnsi="Times New Roman" w:cs="Times New Roman"/>
          <w:color w:val="auto"/>
          <w:u w:val="none" w:color="auto"/>
        </w:rPr>
        <w:t>敏感。因此确定地下水环境影响评价等级为</w:t>
      </w:r>
      <w:r>
        <w:rPr>
          <w:rFonts w:hint="eastAsia" w:ascii="Times New Roman" w:hAnsi="Times New Roman" w:cs="Times New Roman"/>
          <w:color w:val="auto"/>
          <w:u w:val="none" w:color="auto"/>
          <w:lang w:val="en-US" w:eastAsia="zh-CN"/>
        </w:rPr>
        <w:t>三</w:t>
      </w:r>
      <w:r>
        <w:rPr>
          <w:rFonts w:hint="default" w:ascii="Times New Roman" w:hAnsi="Times New Roman" w:cs="Times New Roman"/>
          <w:color w:val="auto"/>
          <w:u w:val="none" w:color="auto"/>
        </w:rPr>
        <w:t>级评价。</w:t>
      </w:r>
    </w:p>
    <w:p w14:paraId="4529A71E">
      <w:pPr>
        <w:pStyle w:val="21"/>
        <w:ind w:firstLine="480"/>
        <w:outlineLvl w:val="9"/>
        <w:rPr>
          <w:rFonts w:hint="default" w:ascii="Times New Roman" w:hAnsi="Times New Roman" w:cs="Times New Roman"/>
          <w:color w:val="auto"/>
          <w:u w:val="none" w:color="auto"/>
        </w:rPr>
      </w:pPr>
      <w:bookmarkStart w:id="1042" w:name="_Toc302936702"/>
      <w:bookmarkStart w:id="1043" w:name="_Toc7389"/>
      <w:bookmarkStart w:id="1044" w:name="_Toc8394"/>
      <w:bookmarkStart w:id="1045" w:name="_Toc17191"/>
      <w:bookmarkStart w:id="1046" w:name="_Toc26170"/>
      <w:bookmarkStart w:id="1047" w:name="_Toc14003"/>
      <w:bookmarkStart w:id="1048" w:name="_Toc32406"/>
      <w:r>
        <w:rPr>
          <w:rFonts w:hint="default" w:ascii="Times New Roman" w:hAnsi="Times New Roman" w:cs="Times New Roman"/>
          <w:color w:val="auto"/>
          <w:u w:val="none" w:color="auto"/>
        </w:rPr>
        <w:t>1、区域水文地质基本情况</w:t>
      </w:r>
      <w:bookmarkEnd w:id="1042"/>
      <w:bookmarkEnd w:id="1043"/>
    </w:p>
    <w:p w14:paraId="4E4038FA">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（1）地形地貌特征</w:t>
      </w:r>
    </w:p>
    <w:p w14:paraId="5CC2318F">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公司所处地貌为由变质岩组成的低山丘陵区，属洞庭湖盆地边缘。南北为低矮山岗，东西呈横向带状阶梯式变化。本地山地为新构造时期以来地壳运动相对上升，经长期侵蚀、剥蚀所致；现公司所在地地势相对平缓开阔，地势平坦，其原始地貌已不复存在，仅能从周边的边坡情况有所显示。</w:t>
      </w:r>
    </w:p>
    <w:p w14:paraId="42071DF4">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A，地层岩性</w:t>
      </w:r>
    </w:p>
    <w:p w14:paraId="7C10C6BD">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调査区分布的土层有第四系上更新统、中更新统、人工填土、残坡积土和坡洪积土。基岩主要有志留系、奥陶系、寒武系、震旦系和冷家溪群。</w:t>
      </w:r>
    </w:p>
    <w:p w14:paraId="65A7B8E7">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B、地质构造</w:t>
      </w:r>
    </w:p>
    <w:p w14:paraId="50D94261">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调查区位于江南地轴与扬子淮地台的交汇处，是新华夏系第二沉降带的东缘地带。区内的构遣形迹经过不同地应力场的不同频率、不同规模的多次叠加、改造、迁就和破坏作用，使区内构造形迹更加复杂化。</w:t>
      </w:r>
    </w:p>
    <w:p w14:paraId="4490A182">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（2）地下水类型、埋深、补给和排泄条件</w:t>
      </w:r>
    </w:p>
    <w:p w14:paraId="69AF6D40">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根据湖南省水文地质图，汨罗地区富水程度弱，为淡水分布，含水岩组类型生活主要为：碎屑岩类孔隙裂含水岩组和变质岩类裂隙含水岩组。</w:t>
      </w:r>
    </w:p>
    <w:p w14:paraId="70B9B14E">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下水类型、分布及赋存条件，调查区为一向斜谷地，地貌轮廓明显，地表分水岭清楚，水文地质条件较复杂，岩溶裂隙发育，且不均匀。根据调查区含水层的特点和地下水的类型，划分和为松散岩类孔水、基岩裂隙水和碳酸盐岩类裂障溶洞水三种类型</w:t>
      </w:r>
    </w:p>
    <w:p w14:paraId="6AD69EF3">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场地内地下水总体贫乏，岩层透水性弱，地下水主要接受大气降水补给。径流方式有两侧向谷地运移，再由东向西运移，在谷底低注处以上升泉的形式于地表或直接排入白沙河。</w:t>
      </w:r>
    </w:p>
    <w:p w14:paraId="0DA87626">
      <w:pPr>
        <w:pStyle w:val="21"/>
        <w:ind w:firstLine="480"/>
        <w:outlineLvl w:val="9"/>
        <w:rPr>
          <w:rFonts w:hint="default" w:ascii="Times New Roman" w:hAnsi="Times New Roman" w:cs="Times New Roman"/>
          <w:color w:val="auto"/>
          <w:u w:val="none" w:color="auto"/>
        </w:rPr>
      </w:pPr>
      <w:bookmarkStart w:id="1049" w:name="_Toc16208"/>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污染途径</w:t>
      </w:r>
      <w:bookmarkEnd w:id="1049"/>
    </w:p>
    <w:p w14:paraId="5DF44A4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地下水污染源类型</w:t>
      </w:r>
    </w:p>
    <w:p w14:paraId="16D861B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从污染源进入地下水所经过路径称为地下水污染途径，地下水污染途径是多种多样的。根据工程所处区域的地质情况，拟建项目可能对下水造成污染的途径主要有：排污管线、化粪池等污水下渗对地下水造成的污染。</w:t>
      </w:r>
    </w:p>
    <w:p w14:paraId="52EABF95">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地下水污染源源强分析</w:t>
      </w:r>
    </w:p>
    <w:p w14:paraId="5B393A9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依托现有化粪池和危废暂存间，</w:t>
      </w:r>
      <w:r>
        <w:rPr>
          <w:rFonts w:hint="default" w:ascii="Times New Roman" w:hAnsi="Times New Roman" w:cs="Times New Roman"/>
          <w:color w:val="auto"/>
          <w:u w:val="none" w:color="auto"/>
        </w:rPr>
        <w:t>可能对地下水的影响为废水的事故泄漏和危废暂存区的污染下渗。在采取收集、防渗等措施后废水对地下水产生的影响极小，可忽略；对危废暂存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按《危险废物贮存污染控制标准》（GB18597</w:t>
      </w:r>
      <w:r>
        <w:rPr>
          <w:rFonts w:hint="eastAsia" w:ascii="Times New Roman" w:hAnsi="Times New Roman" w:cs="Times New Roman"/>
          <w:color w:val="auto"/>
          <w:u w:val="none" w:color="auto"/>
          <w:lang w:val="en-US" w:eastAsia="zh-CN"/>
        </w:rPr>
        <w:t>-2023</w:t>
      </w:r>
      <w:r>
        <w:rPr>
          <w:rFonts w:hint="default" w:ascii="Times New Roman" w:hAnsi="Times New Roman" w:cs="Times New Roman"/>
          <w:color w:val="auto"/>
          <w:u w:val="none" w:color="auto"/>
        </w:rPr>
        <w:t>）的要求，作好基础防渗改造后，使防渗层渗透系数≤10</w:t>
      </w:r>
      <w:r>
        <w:rPr>
          <w:rFonts w:hint="default" w:ascii="Times New Roman" w:hAnsi="Times New Roman" w:cs="Times New Roman"/>
          <w:color w:val="auto"/>
          <w:u w:val="none" w:color="auto"/>
          <w:vertAlign w:val="superscript"/>
        </w:rPr>
        <w:t>-10</w:t>
      </w:r>
      <w:r>
        <w:rPr>
          <w:rFonts w:hint="default" w:ascii="Times New Roman" w:hAnsi="Times New Roman" w:cs="Times New Roman"/>
          <w:color w:val="auto"/>
          <w:u w:val="none" w:color="auto"/>
        </w:rPr>
        <w:t>cm/s，同时在危废暂存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四周设堵截泄露的裙脚；</w:t>
      </w:r>
      <w:r>
        <w:rPr>
          <w:rFonts w:hint="eastAsia" w:ascii="Times New Roman" w:hAnsi="Times New Roman" w:cs="Times New Roman"/>
          <w:color w:val="auto"/>
          <w:u w:val="none" w:color="auto"/>
          <w:lang w:val="en-US" w:eastAsia="zh-CN"/>
        </w:rPr>
        <w:t>循环水池</w:t>
      </w:r>
      <w:r>
        <w:rPr>
          <w:rFonts w:hint="default" w:ascii="Times New Roman" w:hAnsi="Times New Roman" w:cs="Times New Roman"/>
          <w:color w:val="auto"/>
          <w:u w:val="none" w:color="auto"/>
        </w:rPr>
        <w:t>四周壁用砖砌再用水泥硬化防渗，通过上述措施可有效避免项目危险废物及废水对地下水的污染。</w:t>
      </w:r>
    </w:p>
    <w:p w14:paraId="1D0D5281">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污染途径分析</w:t>
      </w:r>
    </w:p>
    <w:p w14:paraId="65FBA30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本项目事故泄漏的废水及危废暂存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的污染下渗造成影响的途径是通过包气带渗透到潜水含水层而污染地下水的。包气带厚度愈薄，透水性愈好，就愈易造成潜水污染，反之，包气带愈厚、透水性愈差，则其隔污能力就愈强，则潜水层污染的可能性就小。</w:t>
      </w:r>
    </w:p>
    <w:p w14:paraId="4FB31385">
      <w:pPr>
        <w:pStyle w:val="21"/>
        <w:ind w:firstLine="480"/>
        <w:outlineLvl w:val="9"/>
        <w:rPr>
          <w:rFonts w:hint="default" w:ascii="Times New Roman" w:hAnsi="Times New Roman" w:cs="Times New Roman"/>
          <w:color w:val="auto"/>
          <w:u w:val="none" w:color="auto"/>
        </w:rPr>
      </w:pPr>
      <w:bookmarkStart w:id="1050" w:name="_Toc22804"/>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影响分析</w:t>
      </w:r>
      <w:bookmarkEnd w:id="1050"/>
    </w:p>
    <w:p w14:paraId="32C388EE">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项目地下水评价等级为三级，</w:t>
      </w:r>
      <w:r>
        <w:rPr>
          <w:rFonts w:hint="eastAsia" w:ascii="Times New Roman" w:hAnsi="Times New Roman" w:cs="Times New Roman"/>
          <w:color w:val="auto"/>
          <w:u w:val="none" w:color="auto"/>
          <w:lang w:val="en-US" w:eastAsia="zh-CN"/>
        </w:rPr>
        <w:t>根据</w:t>
      </w:r>
      <w:r>
        <w:rPr>
          <w:rFonts w:hint="default" w:ascii="Times New Roman" w:hAnsi="Times New Roman" w:cs="Times New Roman"/>
          <w:color w:val="auto"/>
          <w:u w:val="none" w:color="auto"/>
        </w:rPr>
        <w:t>《环境影响评价技术导则地下水环境》（HJ610-2016）</w:t>
      </w:r>
      <w:r>
        <w:rPr>
          <w:rFonts w:hint="eastAsia" w:ascii="Times New Roman" w:hAnsi="Times New Roman" w:cs="Times New Roman"/>
          <w:color w:val="auto"/>
          <w:u w:val="none" w:color="auto"/>
          <w:lang w:val="en-US" w:eastAsia="zh-CN"/>
        </w:rPr>
        <w:t>9.7.1“</w:t>
      </w:r>
      <w:r>
        <w:rPr>
          <w:rFonts w:hint="default" w:ascii="Times New Roman" w:hAnsi="Times New Roman" w:cs="Times New Roman"/>
          <w:color w:val="auto"/>
          <w:u w:val="none" w:color="auto"/>
        </w:rPr>
        <w:t>建设项目地下水环境影响预测方法包括数学模型法和类比分析法</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及9.7.2“三级评价可采用解析法或类比分析法”，本项目采用类比分析法，可类比同类项目。</w:t>
      </w:r>
    </w:p>
    <w:p w14:paraId="1D6BD19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①对浅层地下水的污染影响</w:t>
      </w:r>
    </w:p>
    <w:p w14:paraId="2EE78DB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情况下，对地下水的污染主要是由于污染物迁移穿过包气带进入含水层造成。项目场地渗透性强，说明浅层地下水容易受到污染。若废水或废液发生渗漏，污染物会很快穿过包气带进入浅层地下水，对浅层地下水的污染大。</w:t>
      </w:r>
    </w:p>
    <w:p w14:paraId="78B05D9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②对深层地下水的污染影响</w:t>
      </w:r>
    </w:p>
    <w:p w14:paraId="5DD2C48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判断深层地下水是否会受到污染影响，通常分析深层地下水含水组上覆地层的防污性能和有无与浅层地下水的水利联系。通过水文地质条件分析，该区域深层土质渗透性弱，所以垂直渗入补给条件较差，与浅层地下水水利联系不密切。因此，深层地下水受到项目下渗污水的污染影响较小。</w:t>
      </w:r>
    </w:p>
    <w:p w14:paraId="6F4257EF">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建成</w:t>
      </w:r>
      <w:r>
        <w:rPr>
          <w:rFonts w:hint="default" w:ascii="Times New Roman" w:hAnsi="Times New Roman" w:cs="Times New Roman"/>
          <w:color w:val="auto"/>
          <w:u w:val="none" w:color="auto"/>
        </w:rPr>
        <w:t>后，车间地面均固化处理、</w:t>
      </w:r>
      <w:r>
        <w:rPr>
          <w:rFonts w:hint="eastAsia" w:ascii="Times New Roman" w:hAnsi="Times New Roman" w:cs="Times New Roman"/>
          <w:color w:val="auto"/>
          <w:u w:val="none" w:color="auto"/>
          <w:lang w:val="en-US" w:eastAsia="zh-CN"/>
        </w:rPr>
        <w:t>原料区</w:t>
      </w:r>
      <w:r>
        <w:rPr>
          <w:rFonts w:hint="default" w:ascii="Times New Roman" w:hAnsi="Times New Roman" w:cs="Times New Roman"/>
          <w:color w:val="auto"/>
          <w:u w:val="none" w:color="auto"/>
        </w:rPr>
        <w:t>等构筑物均采取防渗措施。因此项目对可能产生地下水影响的各项途径均进行有效预防，在确保各项防渗措施得以落实的前提下，可有效控制厂区内的废水污染物下渗现象，避免污染地下水，因此项目不会对区域地下水环境产生明显影响。</w:t>
      </w:r>
    </w:p>
    <w:p w14:paraId="273A93B1">
      <w:pPr>
        <w:pStyle w:val="8"/>
        <w:rPr>
          <w:rFonts w:hint="default" w:ascii="Times New Roman" w:hAnsi="Times New Roman" w:cs="Times New Roman"/>
          <w:color w:val="auto"/>
          <w:u w:val="none" w:color="auto"/>
        </w:rPr>
      </w:pPr>
      <w:bookmarkStart w:id="1051" w:name="_Toc22880"/>
      <w:bookmarkStart w:id="1052" w:name="_Toc29684"/>
      <w:bookmarkStart w:id="1053" w:name="_Toc15733"/>
      <w:bookmarkStart w:id="1054" w:name="_Toc29410"/>
      <w:bookmarkStart w:id="1055" w:name="_Toc14592"/>
      <w:bookmarkStart w:id="1056" w:name="_Toc28318"/>
      <w:bookmarkStart w:id="1057" w:name="_Toc10469"/>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.4声环境影响预测与评价</w:t>
      </w:r>
      <w:bookmarkEnd w:id="1035"/>
      <w:bookmarkEnd w:id="1036"/>
      <w:bookmarkEnd w:id="1037"/>
      <w:bookmarkEnd w:id="1038"/>
      <w:bookmarkEnd w:id="1039"/>
      <w:bookmarkEnd w:id="1040"/>
      <w:bookmarkEnd w:id="1041"/>
      <w:bookmarkEnd w:id="1044"/>
      <w:bookmarkEnd w:id="1045"/>
      <w:bookmarkEnd w:id="1046"/>
      <w:bookmarkEnd w:id="1047"/>
      <w:bookmarkEnd w:id="1048"/>
      <w:bookmarkEnd w:id="1051"/>
      <w:bookmarkEnd w:id="1052"/>
      <w:bookmarkEnd w:id="1053"/>
      <w:bookmarkEnd w:id="1054"/>
      <w:bookmarkEnd w:id="1055"/>
      <w:bookmarkEnd w:id="1056"/>
      <w:bookmarkEnd w:id="1057"/>
    </w:p>
    <w:p w14:paraId="061F5FD5">
      <w:pPr>
        <w:pStyle w:val="21"/>
        <w:bidi w:val="0"/>
        <w:rPr>
          <w:rFonts w:hint="default"/>
          <w:color w:val="auto"/>
          <w:u w:val="none" w:color="auto"/>
        </w:rPr>
      </w:pPr>
      <w:bookmarkStart w:id="1058" w:name="_Toc222808101"/>
      <w:r>
        <w:rPr>
          <w:rFonts w:hint="default"/>
          <w:color w:val="auto"/>
          <w:u w:val="none" w:color="auto"/>
        </w:rPr>
        <w:t>1、噪声源及其声级值</w:t>
      </w:r>
      <w:bookmarkEnd w:id="1058"/>
    </w:p>
    <w:p w14:paraId="51D23104">
      <w:pPr>
        <w:pStyle w:val="21"/>
        <w:bidi w:val="0"/>
        <w:rPr>
          <w:rFonts w:hint="default"/>
          <w:color w:val="auto"/>
          <w:u w:val="none" w:color="auto"/>
          <w:lang w:eastAsia="zh-CN"/>
        </w:rPr>
      </w:pPr>
      <w:r>
        <w:rPr>
          <w:rFonts w:hint="default"/>
          <w:color w:val="auto"/>
          <w:u w:val="none" w:color="auto"/>
          <w:lang w:eastAsia="zh-CN"/>
        </w:rPr>
        <w:t>根据工程分析可知，本项目噪声源主要为</w:t>
      </w:r>
      <w:r>
        <w:rPr>
          <w:rFonts w:hint="eastAsia"/>
          <w:color w:val="auto"/>
          <w:u w:val="none" w:color="auto"/>
          <w:lang w:eastAsia="zh-CN"/>
        </w:rPr>
        <w:t>各主要生产设备</w:t>
      </w:r>
      <w:r>
        <w:rPr>
          <w:rFonts w:hint="eastAsia"/>
          <w:color w:val="auto"/>
          <w:u w:val="none" w:color="auto"/>
          <w:lang w:val="en-US" w:eastAsia="zh-CN"/>
        </w:rPr>
        <w:t>主要为捏合机、凉片机、无尘粉碎机、高速混合机、压机、风机等等</w:t>
      </w:r>
      <w:r>
        <w:rPr>
          <w:rFonts w:hint="eastAsia"/>
          <w:color w:val="auto"/>
          <w:u w:val="none" w:color="auto"/>
          <w:lang w:eastAsia="zh-CN"/>
        </w:rPr>
        <w:t>，</w:t>
      </w:r>
      <w:r>
        <w:rPr>
          <w:rFonts w:hint="default"/>
          <w:color w:val="auto"/>
          <w:u w:val="none" w:color="auto"/>
          <w:lang w:eastAsia="zh-CN"/>
        </w:rPr>
        <w:t>噪声源强约</w:t>
      </w:r>
      <w:r>
        <w:rPr>
          <w:rFonts w:hint="default"/>
          <w:color w:val="auto"/>
          <w:u w:val="none" w:color="auto"/>
          <w:lang w:val="en-US" w:eastAsia="zh-CN"/>
        </w:rPr>
        <w:t>7</w:t>
      </w:r>
      <w:r>
        <w:rPr>
          <w:rFonts w:hint="eastAsia"/>
          <w:color w:val="auto"/>
          <w:u w:val="none" w:color="auto"/>
          <w:lang w:val="en-US" w:eastAsia="zh-CN"/>
        </w:rPr>
        <w:t>0</w:t>
      </w:r>
      <w:r>
        <w:rPr>
          <w:rFonts w:hint="default"/>
          <w:color w:val="auto"/>
          <w:u w:val="none" w:color="auto"/>
          <w:lang w:eastAsia="zh-CN"/>
        </w:rPr>
        <w:t>～</w:t>
      </w:r>
      <w:r>
        <w:rPr>
          <w:rFonts w:hint="eastAsia"/>
          <w:color w:val="auto"/>
          <w:u w:val="none" w:color="auto"/>
          <w:lang w:val="en-US" w:eastAsia="zh-CN"/>
        </w:rPr>
        <w:t>85</w:t>
      </w:r>
      <w:r>
        <w:rPr>
          <w:rFonts w:hint="default"/>
          <w:color w:val="auto"/>
          <w:u w:val="none" w:color="auto"/>
          <w:lang w:eastAsia="zh-CN"/>
        </w:rPr>
        <w:t>dB（A）。</w:t>
      </w:r>
    </w:p>
    <w:p w14:paraId="3F277AEC">
      <w:pPr>
        <w:pStyle w:val="21"/>
        <w:ind w:firstLine="48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sz w:val="24"/>
          <w:u w:val="none" w:color="auto"/>
          <w:lang w:eastAsia="zh-CN"/>
        </w:rPr>
        <w:t>项目主要噪声设备及噪声源强情况详见下表。</w:t>
      </w:r>
    </w:p>
    <w:p w14:paraId="6E53D6A2">
      <w:pPr>
        <w:pStyle w:val="23"/>
        <w:bidi w:val="0"/>
        <w:rPr>
          <w:rFonts w:hint="default" w:ascii="Times New Roman" w:hAnsi="Times New Roman" w:eastAsia="宋体" w:cs="Times New Roman"/>
          <w:b/>
          <w:bCs/>
          <w:color w:val="auto"/>
          <w:szCs w:val="21"/>
          <w:u w:val="none" w:color="auto"/>
          <w:lang w:val="en-US" w:eastAsia="zh-CN"/>
        </w:rPr>
      </w:pPr>
      <w:r>
        <w:rPr>
          <w:rFonts w:hint="default"/>
          <w:color w:val="auto"/>
          <w:u w:val="none" w:color="auto"/>
        </w:rPr>
        <w:t>表</w:t>
      </w:r>
      <w:r>
        <w:rPr>
          <w:rFonts w:hint="eastAsia"/>
          <w:color w:val="auto"/>
          <w:u w:val="none" w:color="auto"/>
          <w:lang w:val="en-US" w:eastAsia="zh-CN"/>
        </w:rPr>
        <w:t>5.2-19</w:t>
      </w:r>
      <w:r>
        <w:rPr>
          <w:rFonts w:hint="default"/>
          <w:color w:val="auto"/>
          <w:u w:val="none" w:color="auto"/>
          <w:lang w:val="en-US" w:eastAsia="zh-CN"/>
        </w:rPr>
        <w:t xml:space="preserve"> </w:t>
      </w:r>
      <w:bookmarkStart w:id="1059" w:name="_Toc222808102"/>
      <w:r>
        <w:rPr>
          <w:rFonts w:hint="default"/>
          <w:color w:val="auto"/>
          <w:u w:val="none" w:color="auto"/>
          <w:lang w:val="en-US" w:eastAsia="zh-CN"/>
        </w:rPr>
        <w:t>项目</w:t>
      </w:r>
      <w:r>
        <w:rPr>
          <w:rFonts w:hint="eastAsia"/>
          <w:color w:val="auto"/>
          <w:u w:val="none" w:color="auto"/>
          <w:lang w:val="en-US" w:eastAsia="zh-CN"/>
        </w:rPr>
        <w:t>主要设备噪声源强调查清单（室内声源）</w:t>
      </w:r>
    </w:p>
    <w:tbl>
      <w:tblPr>
        <w:tblStyle w:val="16"/>
        <w:tblW w:w="50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370"/>
        <w:gridCol w:w="683"/>
        <w:gridCol w:w="658"/>
        <w:gridCol w:w="479"/>
        <w:gridCol w:w="571"/>
        <w:gridCol w:w="739"/>
        <w:gridCol w:w="516"/>
        <w:gridCol w:w="883"/>
        <w:gridCol w:w="757"/>
        <w:gridCol w:w="658"/>
        <w:gridCol w:w="804"/>
        <w:gridCol w:w="996"/>
        <w:gridCol w:w="589"/>
      </w:tblGrid>
      <w:tr w14:paraId="0B497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12" w:type="pct"/>
            <w:vMerge w:val="restart"/>
            <w:tcBorders>
              <w:tl2br w:val="nil"/>
              <w:tr2bl w:val="nil"/>
            </w:tcBorders>
            <w:noWrap w:val="0"/>
            <w:vAlign w:val="center"/>
          </w:tcPr>
          <w:p w14:paraId="4E176FE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bookmarkStart w:id="1060" w:name="PT_6"/>
            <w:r>
              <w:rPr>
                <w:rFonts w:hint="default" w:ascii="Times New Roman" w:hAnsi="Times New Roman" w:cs="Times New Roman"/>
                <w:b/>
                <w:bCs/>
                <w:color w:val="auto"/>
                <w:sz w:val="21"/>
                <w:szCs w:val="21"/>
                <w:u w:val="none" w:color="auto"/>
              </w:rPr>
              <w:t>建筑物名称</w:t>
            </w:r>
          </w:p>
        </w:tc>
        <w:tc>
          <w:tcPr>
            <w:tcW w:w="392" w:type="pct"/>
            <w:vMerge w:val="restart"/>
            <w:tcBorders>
              <w:tl2br w:val="nil"/>
              <w:tr2bl w:val="nil"/>
            </w:tcBorders>
            <w:noWrap w:val="0"/>
            <w:vAlign w:val="center"/>
          </w:tcPr>
          <w:p w14:paraId="1070E22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声源名称</w:t>
            </w:r>
          </w:p>
        </w:tc>
        <w:tc>
          <w:tcPr>
            <w:tcW w:w="378" w:type="pct"/>
            <w:vMerge w:val="restart"/>
            <w:tcBorders>
              <w:tl2br w:val="nil"/>
              <w:tr2bl w:val="nil"/>
            </w:tcBorders>
            <w:noWrap w:val="0"/>
            <w:vAlign w:val="center"/>
          </w:tcPr>
          <w:p w14:paraId="1EFCB8B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lang w:val="en-US" w:eastAsia="zh-CN"/>
              </w:rPr>
              <w:t>源强</w:t>
            </w:r>
            <w:r>
              <w:rPr>
                <w:rFonts w:hint="default" w:ascii="Times New Roman" w:hAnsi="Times New Roman" w:cs="Times New Roman"/>
                <w:b/>
                <w:bCs/>
                <w:color w:val="auto"/>
                <w:sz w:val="21"/>
                <w:szCs w:val="21"/>
                <w:u w:val="none" w:color="auto"/>
              </w:rPr>
              <w:t>声功率级/dB(A)</w:t>
            </w:r>
          </w:p>
        </w:tc>
        <w:tc>
          <w:tcPr>
            <w:tcW w:w="275" w:type="pct"/>
            <w:vMerge w:val="restart"/>
            <w:tcBorders>
              <w:tl2br w:val="nil"/>
              <w:tr2bl w:val="nil"/>
            </w:tcBorders>
            <w:noWrap w:val="0"/>
            <w:vAlign w:val="center"/>
          </w:tcPr>
          <w:p w14:paraId="21F28B6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声源控制措施</w:t>
            </w:r>
          </w:p>
        </w:tc>
        <w:tc>
          <w:tcPr>
            <w:tcW w:w="1049" w:type="pct"/>
            <w:gridSpan w:val="3"/>
            <w:tcBorders>
              <w:tl2br w:val="nil"/>
              <w:tr2bl w:val="nil"/>
            </w:tcBorders>
            <w:noWrap w:val="0"/>
            <w:vAlign w:val="center"/>
          </w:tcPr>
          <w:p w14:paraId="1BA85D3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空间相对位置/m</w:t>
            </w:r>
          </w:p>
        </w:tc>
        <w:tc>
          <w:tcPr>
            <w:tcW w:w="507" w:type="pct"/>
            <w:vMerge w:val="restart"/>
            <w:tcBorders>
              <w:tl2br w:val="nil"/>
              <w:tr2bl w:val="nil"/>
            </w:tcBorders>
            <w:noWrap w:val="0"/>
            <w:vAlign w:val="center"/>
          </w:tcPr>
          <w:p w14:paraId="03EE083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距室内边界距离/m</w:t>
            </w:r>
          </w:p>
        </w:tc>
        <w:tc>
          <w:tcPr>
            <w:tcW w:w="435" w:type="pct"/>
            <w:vMerge w:val="restart"/>
            <w:tcBorders>
              <w:tl2br w:val="nil"/>
              <w:tr2bl w:val="nil"/>
            </w:tcBorders>
            <w:noWrap w:val="0"/>
            <w:vAlign w:val="center"/>
          </w:tcPr>
          <w:p w14:paraId="298DF27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室内边界声级/dB(A)</w:t>
            </w:r>
          </w:p>
        </w:tc>
        <w:tc>
          <w:tcPr>
            <w:tcW w:w="378" w:type="pct"/>
            <w:vMerge w:val="restart"/>
            <w:tcBorders>
              <w:tl2br w:val="nil"/>
              <w:tr2bl w:val="nil"/>
            </w:tcBorders>
            <w:noWrap w:val="0"/>
            <w:vAlign w:val="center"/>
          </w:tcPr>
          <w:p w14:paraId="5C08DC3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运行时段</w:t>
            </w:r>
          </w:p>
        </w:tc>
        <w:tc>
          <w:tcPr>
            <w:tcW w:w="461" w:type="pct"/>
            <w:vMerge w:val="restart"/>
            <w:tcBorders>
              <w:tl2br w:val="nil"/>
              <w:tr2bl w:val="nil"/>
            </w:tcBorders>
            <w:noWrap w:val="0"/>
            <w:vAlign w:val="center"/>
          </w:tcPr>
          <w:p w14:paraId="262E758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建筑物插入损失 / dB(A)</w:t>
            </w:r>
          </w:p>
        </w:tc>
        <w:tc>
          <w:tcPr>
            <w:tcW w:w="910" w:type="pct"/>
            <w:gridSpan w:val="2"/>
            <w:tcBorders>
              <w:tl2br w:val="nil"/>
              <w:tr2bl w:val="nil"/>
            </w:tcBorders>
            <w:noWrap w:val="0"/>
            <w:vAlign w:val="center"/>
          </w:tcPr>
          <w:p w14:paraId="0D3D303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建筑物外噪声</w:t>
            </w:r>
          </w:p>
        </w:tc>
      </w:tr>
      <w:tr w14:paraId="6C75B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12" w:type="pct"/>
            <w:vMerge w:val="continue"/>
            <w:tcBorders>
              <w:tl2br w:val="nil"/>
              <w:tr2bl w:val="nil"/>
            </w:tcBorders>
            <w:shd w:val="clear" w:color="auto" w:fill="FFFFFF"/>
            <w:noWrap w:val="0"/>
            <w:vAlign w:val="center"/>
          </w:tcPr>
          <w:p w14:paraId="478C90C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92" w:type="pct"/>
            <w:vMerge w:val="continue"/>
            <w:tcBorders>
              <w:tl2br w:val="nil"/>
              <w:tr2bl w:val="nil"/>
            </w:tcBorders>
            <w:shd w:val="clear" w:color="auto" w:fill="FFFFFF"/>
            <w:noWrap w:val="0"/>
            <w:vAlign w:val="center"/>
          </w:tcPr>
          <w:p w14:paraId="553760D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78" w:type="pct"/>
            <w:vMerge w:val="continue"/>
            <w:tcBorders>
              <w:tl2br w:val="nil"/>
              <w:tr2bl w:val="nil"/>
            </w:tcBorders>
            <w:shd w:val="clear" w:color="auto" w:fill="FFFFFF"/>
            <w:noWrap w:val="0"/>
            <w:vAlign w:val="center"/>
          </w:tcPr>
          <w:p w14:paraId="51A9F80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275" w:type="pct"/>
            <w:vMerge w:val="continue"/>
            <w:tcBorders>
              <w:tl2br w:val="nil"/>
              <w:tr2bl w:val="nil"/>
            </w:tcBorders>
            <w:shd w:val="clear" w:color="auto" w:fill="FFFFFF"/>
            <w:noWrap w:val="0"/>
            <w:vAlign w:val="center"/>
          </w:tcPr>
          <w:p w14:paraId="66FBA28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28" w:type="pct"/>
            <w:tcBorders>
              <w:tl2br w:val="nil"/>
              <w:tr2bl w:val="nil"/>
            </w:tcBorders>
            <w:shd w:val="clear" w:color="auto" w:fill="FFFFFF"/>
            <w:noWrap w:val="0"/>
            <w:vAlign w:val="center"/>
          </w:tcPr>
          <w:p w14:paraId="4C82DEB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X</w:t>
            </w:r>
          </w:p>
        </w:tc>
        <w:tc>
          <w:tcPr>
            <w:tcW w:w="424" w:type="pct"/>
            <w:tcBorders>
              <w:tl2br w:val="nil"/>
              <w:tr2bl w:val="nil"/>
            </w:tcBorders>
            <w:shd w:val="clear" w:color="auto" w:fill="FFFFFF"/>
            <w:noWrap w:val="0"/>
            <w:vAlign w:val="center"/>
          </w:tcPr>
          <w:p w14:paraId="5128465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Y</w:t>
            </w:r>
          </w:p>
        </w:tc>
        <w:tc>
          <w:tcPr>
            <w:tcW w:w="296" w:type="pct"/>
            <w:tcBorders>
              <w:tl2br w:val="nil"/>
              <w:tr2bl w:val="nil"/>
            </w:tcBorders>
            <w:shd w:val="clear" w:color="auto" w:fill="FFFFFF"/>
            <w:noWrap w:val="0"/>
            <w:vAlign w:val="center"/>
          </w:tcPr>
          <w:p w14:paraId="689F1E1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Z</w:t>
            </w:r>
          </w:p>
        </w:tc>
        <w:tc>
          <w:tcPr>
            <w:tcW w:w="507" w:type="pct"/>
            <w:vMerge w:val="continue"/>
            <w:tcBorders>
              <w:tl2br w:val="nil"/>
              <w:tr2bl w:val="nil"/>
            </w:tcBorders>
            <w:shd w:val="clear" w:color="auto" w:fill="FFFFFF"/>
            <w:noWrap w:val="0"/>
            <w:vAlign w:val="center"/>
          </w:tcPr>
          <w:p w14:paraId="357C574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435" w:type="pct"/>
            <w:vMerge w:val="continue"/>
            <w:tcBorders>
              <w:tl2br w:val="nil"/>
              <w:tr2bl w:val="nil"/>
            </w:tcBorders>
            <w:shd w:val="clear" w:color="auto" w:fill="FFFFFF"/>
            <w:noWrap w:val="0"/>
            <w:vAlign w:val="center"/>
          </w:tcPr>
          <w:p w14:paraId="19475BD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78" w:type="pct"/>
            <w:vMerge w:val="continue"/>
            <w:tcBorders>
              <w:tl2br w:val="nil"/>
              <w:tr2bl w:val="nil"/>
            </w:tcBorders>
            <w:shd w:val="clear" w:color="auto" w:fill="FFFFFF"/>
            <w:noWrap w:val="0"/>
            <w:vAlign w:val="center"/>
          </w:tcPr>
          <w:p w14:paraId="3E40CC0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461" w:type="pct"/>
            <w:vMerge w:val="continue"/>
            <w:tcBorders>
              <w:tl2br w:val="nil"/>
              <w:tr2bl w:val="nil"/>
            </w:tcBorders>
            <w:shd w:val="clear" w:color="auto" w:fill="FFFFFF"/>
            <w:noWrap w:val="0"/>
            <w:vAlign w:val="center"/>
          </w:tcPr>
          <w:p w14:paraId="10AE1AE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572" w:type="pct"/>
            <w:tcBorders>
              <w:tl2br w:val="nil"/>
              <w:tr2bl w:val="nil"/>
            </w:tcBorders>
            <w:shd w:val="clear" w:color="auto" w:fill="FFFFFF"/>
            <w:noWrap w:val="0"/>
            <w:vAlign w:val="center"/>
          </w:tcPr>
          <w:p w14:paraId="438FF36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声压级/dB(A)</w:t>
            </w:r>
          </w:p>
        </w:tc>
        <w:tc>
          <w:tcPr>
            <w:tcW w:w="338" w:type="pct"/>
            <w:tcBorders>
              <w:tl2br w:val="nil"/>
              <w:tr2bl w:val="nil"/>
            </w:tcBorders>
            <w:shd w:val="clear" w:color="auto" w:fill="FFFFFF"/>
            <w:noWrap w:val="0"/>
            <w:vAlign w:val="center"/>
          </w:tcPr>
          <w:p w14:paraId="3F1B71C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建筑物外距离</w:t>
            </w:r>
          </w:p>
        </w:tc>
      </w:tr>
      <w:tr w14:paraId="04364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928" w:hRule="atLeast"/>
          <w:jc w:val="center"/>
        </w:trPr>
        <w:tc>
          <w:tcPr>
            <w:tcW w:w="212" w:type="pct"/>
            <w:vMerge w:val="restart"/>
            <w:tcBorders>
              <w:tl2br w:val="nil"/>
              <w:tr2bl w:val="nil"/>
            </w:tcBorders>
            <w:shd w:val="clear" w:color="auto" w:fill="FFFFFF"/>
            <w:noWrap w:val="0"/>
            <w:vAlign w:val="center"/>
          </w:tcPr>
          <w:p w14:paraId="398D2BD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1#厂房</w:t>
            </w:r>
          </w:p>
        </w:tc>
        <w:tc>
          <w:tcPr>
            <w:tcW w:w="392" w:type="pct"/>
            <w:tcBorders>
              <w:tl2br w:val="nil"/>
              <w:tr2bl w:val="nil"/>
            </w:tcBorders>
            <w:shd w:val="clear" w:color="auto" w:fill="FFFFFF"/>
            <w:noWrap w:val="0"/>
            <w:vAlign w:val="center"/>
          </w:tcPr>
          <w:p w14:paraId="74366C7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捏合机1</w:t>
            </w:r>
          </w:p>
        </w:tc>
        <w:tc>
          <w:tcPr>
            <w:tcW w:w="378" w:type="pct"/>
            <w:tcBorders>
              <w:tl2br w:val="nil"/>
              <w:tr2bl w:val="nil"/>
            </w:tcBorders>
            <w:shd w:val="clear" w:color="auto" w:fill="FFFFFF"/>
            <w:noWrap w:val="0"/>
            <w:vAlign w:val="center"/>
          </w:tcPr>
          <w:p w14:paraId="7AD38A86">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70</w:t>
            </w:r>
          </w:p>
        </w:tc>
        <w:tc>
          <w:tcPr>
            <w:tcW w:w="275" w:type="pct"/>
            <w:vMerge w:val="restart"/>
            <w:tcBorders>
              <w:tl2br w:val="nil"/>
              <w:tr2bl w:val="nil"/>
            </w:tcBorders>
            <w:shd w:val="clear" w:color="auto" w:fill="FFFFFF"/>
            <w:noWrap w:val="0"/>
            <w:vAlign w:val="center"/>
          </w:tcPr>
          <w:p w14:paraId="0B604A5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减振、消声、隔声</w:t>
            </w:r>
          </w:p>
        </w:tc>
        <w:tc>
          <w:tcPr>
            <w:tcW w:w="328" w:type="pct"/>
            <w:tcBorders>
              <w:tl2br w:val="nil"/>
              <w:tr2bl w:val="nil"/>
            </w:tcBorders>
            <w:shd w:val="clear" w:color="auto" w:fill="FFFFFF"/>
            <w:noWrap w:val="0"/>
            <w:vAlign w:val="center"/>
          </w:tcPr>
          <w:p w14:paraId="05A795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424" w:type="pct"/>
            <w:tcBorders>
              <w:tl2br w:val="nil"/>
              <w:tr2bl w:val="nil"/>
            </w:tcBorders>
            <w:shd w:val="clear" w:color="auto" w:fill="FFFFFF"/>
            <w:noWrap w:val="0"/>
            <w:vAlign w:val="center"/>
          </w:tcPr>
          <w:p w14:paraId="19D9A8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-42</w:t>
            </w:r>
          </w:p>
        </w:tc>
        <w:tc>
          <w:tcPr>
            <w:tcW w:w="296" w:type="pct"/>
            <w:tcBorders>
              <w:tl2br w:val="nil"/>
              <w:tr2bl w:val="nil"/>
            </w:tcBorders>
            <w:shd w:val="clear" w:color="auto" w:fill="FFFFFF"/>
            <w:noWrap w:val="0"/>
            <w:vAlign w:val="center"/>
          </w:tcPr>
          <w:p w14:paraId="13DE81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1F1FE53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12</w:t>
            </w:r>
          </w:p>
          <w:p w14:paraId="5035476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2</w:t>
            </w:r>
          </w:p>
          <w:p w14:paraId="7ABF353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26</w:t>
            </w:r>
          </w:p>
          <w:p w14:paraId="7505B73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36</w:t>
            </w:r>
          </w:p>
        </w:tc>
        <w:tc>
          <w:tcPr>
            <w:tcW w:w="435" w:type="pct"/>
            <w:tcBorders>
              <w:tl2br w:val="nil"/>
              <w:tr2bl w:val="nil"/>
            </w:tcBorders>
            <w:shd w:val="clear" w:color="auto" w:fill="FFFFFF"/>
            <w:noWrap w:val="0"/>
            <w:vAlign w:val="center"/>
          </w:tcPr>
          <w:p w14:paraId="03FF03F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48.4</w:t>
            </w:r>
          </w:p>
          <w:p w14:paraId="237BD0D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63.9</w:t>
            </w:r>
          </w:p>
          <w:p w14:paraId="00EF734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41.7</w:t>
            </w:r>
          </w:p>
          <w:p w14:paraId="3250097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38.8</w:t>
            </w:r>
          </w:p>
        </w:tc>
        <w:tc>
          <w:tcPr>
            <w:tcW w:w="378" w:type="pct"/>
            <w:vMerge w:val="restart"/>
            <w:tcBorders>
              <w:tl2br w:val="nil"/>
              <w:tr2bl w:val="nil"/>
            </w:tcBorders>
            <w:shd w:val="clear" w:color="auto" w:fill="FFFFFF"/>
            <w:noWrap w:val="0"/>
            <w:vAlign w:val="center"/>
          </w:tcPr>
          <w:p w14:paraId="044B9AE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昼间</w:t>
            </w:r>
          </w:p>
        </w:tc>
        <w:tc>
          <w:tcPr>
            <w:tcW w:w="461" w:type="pct"/>
            <w:vMerge w:val="restart"/>
            <w:tcBorders>
              <w:tl2br w:val="nil"/>
              <w:tr2bl w:val="nil"/>
            </w:tcBorders>
            <w:shd w:val="clear" w:color="auto" w:fill="FFFFFF"/>
            <w:noWrap w:val="0"/>
            <w:vAlign w:val="center"/>
          </w:tcPr>
          <w:p w14:paraId="1EEEB37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41</w:t>
            </w:r>
            <w:r>
              <w:rPr>
                <w:rFonts w:hint="default" w:ascii="Times New Roman" w:hAnsi="Times New Roman" w:cs="Times New Roman"/>
                <w:color w:val="auto"/>
                <w:sz w:val="21"/>
                <w:szCs w:val="21"/>
                <w:u w:val="none" w:color="auto"/>
                <w:lang w:val="en-US" w:eastAsia="zh-CN"/>
              </w:rPr>
              <w:t>.0北：</w:t>
            </w:r>
            <w:r>
              <w:rPr>
                <w:rFonts w:hint="eastAsia" w:cs="Times New Roman"/>
                <w:color w:val="auto"/>
                <w:sz w:val="21"/>
                <w:szCs w:val="21"/>
                <w:u w:val="none" w:color="auto"/>
                <w:lang w:val="en-US" w:eastAsia="zh-CN"/>
              </w:rPr>
              <w:t>41.0</w:t>
            </w:r>
          </w:p>
        </w:tc>
        <w:tc>
          <w:tcPr>
            <w:tcW w:w="572" w:type="pct"/>
            <w:tcBorders>
              <w:tl2br w:val="nil"/>
              <w:tr2bl w:val="nil"/>
            </w:tcBorders>
            <w:shd w:val="clear" w:color="auto" w:fill="FFFFFF"/>
            <w:noWrap w:val="0"/>
            <w:vAlign w:val="center"/>
          </w:tcPr>
          <w:p w14:paraId="30F62EB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26.4</w:t>
            </w:r>
          </w:p>
          <w:p w14:paraId="53B6F52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41.9</w:t>
            </w:r>
          </w:p>
          <w:p w14:paraId="5DA6A8A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0.7</w:t>
            </w:r>
          </w:p>
          <w:p w14:paraId="5B0528F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0</w:t>
            </w:r>
          </w:p>
        </w:tc>
        <w:tc>
          <w:tcPr>
            <w:tcW w:w="338" w:type="pct"/>
            <w:vMerge w:val="restart"/>
            <w:tcBorders>
              <w:tl2br w:val="nil"/>
              <w:tr2bl w:val="nil"/>
            </w:tcBorders>
            <w:shd w:val="clear" w:color="auto" w:fill="FFFFFF"/>
            <w:noWrap w:val="0"/>
            <w:vAlign w:val="center"/>
          </w:tcPr>
          <w:p w14:paraId="5DE967E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w:t>
            </w:r>
          </w:p>
        </w:tc>
      </w:tr>
      <w:tr w14:paraId="68C13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043" w:hRule="atLeast"/>
          <w:jc w:val="center"/>
        </w:trPr>
        <w:tc>
          <w:tcPr>
            <w:tcW w:w="212" w:type="pct"/>
            <w:vMerge w:val="continue"/>
            <w:tcBorders>
              <w:tl2br w:val="nil"/>
              <w:tr2bl w:val="nil"/>
            </w:tcBorders>
            <w:shd w:val="clear" w:color="auto" w:fill="FFFFFF"/>
            <w:noWrap w:val="0"/>
            <w:vAlign w:val="center"/>
          </w:tcPr>
          <w:p w14:paraId="4A46108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92" w:type="pct"/>
            <w:tcBorders>
              <w:tl2br w:val="nil"/>
              <w:tr2bl w:val="nil"/>
            </w:tcBorders>
            <w:shd w:val="clear" w:color="auto" w:fill="FFFFFF"/>
            <w:noWrap w:val="0"/>
            <w:vAlign w:val="center"/>
          </w:tcPr>
          <w:p w14:paraId="4087E99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捏合机2</w:t>
            </w:r>
          </w:p>
        </w:tc>
        <w:tc>
          <w:tcPr>
            <w:tcW w:w="378" w:type="pct"/>
            <w:tcBorders>
              <w:tl2br w:val="nil"/>
              <w:tr2bl w:val="nil"/>
            </w:tcBorders>
            <w:shd w:val="clear" w:color="auto" w:fill="FFFFFF"/>
            <w:noWrap w:val="0"/>
            <w:vAlign w:val="center"/>
          </w:tcPr>
          <w:p w14:paraId="5F85A8A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70</w:t>
            </w:r>
          </w:p>
        </w:tc>
        <w:tc>
          <w:tcPr>
            <w:tcW w:w="275" w:type="pct"/>
            <w:vMerge w:val="continue"/>
            <w:tcBorders>
              <w:tl2br w:val="nil"/>
              <w:tr2bl w:val="nil"/>
            </w:tcBorders>
            <w:shd w:val="clear" w:color="auto" w:fill="FFFFFF"/>
            <w:noWrap w:val="0"/>
            <w:vAlign w:val="center"/>
          </w:tcPr>
          <w:p w14:paraId="5A812BB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28" w:type="pct"/>
            <w:tcBorders>
              <w:tl2br w:val="nil"/>
              <w:tr2bl w:val="nil"/>
            </w:tcBorders>
            <w:shd w:val="clear" w:color="auto" w:fill="FFFFFF"/>
            <w:noWrap w:val="0"/>
            <w:vAlign w:val="center"/>
          </w:tcPr>
          <w:p w14:paraId="0023A1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424" w:type="pct"/>
            <w:tcBorders>
              <w:tl2br w:val="nil"/>
              <w:tr2bl w:val="nil"/>
            </w:tcBorders>
            <w:shd w:val="clear" w:color="auto" w:fill="FFFFFF"/>
            <w:noWrap w:val="0"/>
            <w:vAlign w:val="center"/>
          </w:tcPr>
          <w:p w14:paraId="1C8EAC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w:t>
            </w:r>
          </w:p>
        </w:tc>
        <w:tc>
          <w:tcPr>
            <w:tcW w:w="296" w:type="pct"/>
            <w:tcBorders>
              <w:tl2br w:val="nil"/>
              <w:tr2bl w:val="nil"/>
            </w:tcBorders>
            <w:shd w:val="clear" w:color="auto" w:fill="FFFFFF"/>
            <w:noWrap w:val="0"/>
            <w:vAlign w:val="center"/>
          </w:tcPr>
          <w:p w14:paraId="4A1290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7DFCDED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12</w:t>
            </w:r>
          </w:p>
          <w:p w14:paraId="0BC7E5E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4</w:t>
            </w:r>
          </w:p>
          <w:p w14:paraId="76981A2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w:t>
            </w:r>
          </w:p>
          <w:p w14:paraId="595BAD3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34</w:t>
            </w:r>
          </w:p>
        </w:tc>
        <w:tc>
          <w:tcPr>
            <w:tcW w:w="435" w:type="pct"/>
            <w:tcBorders>
              <w:tl2br w:val="nil"/>
              <w:tr2bl w:val="nil"/>
            </w:tcBorders>
            <w:shd w:val="clear" w:color="auto" w:fill="FFFFFF"/>
            <w:noWrap w:val="0"/>
            <w:vAlign w:val="center"/>
          </w:tcPr>
          <w:p w14:paraId="536855A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48.4</w:t>
            </w:r>
          </w:p>
          <w:p w14:paraId="6DE3025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57.9</w:t>
            </w:r>
          </w:p>
          <w:p w14:paraId="767826D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41.7</w:t>
            </w:r>
          </w:p>
          <w:p w14:paraId="7BCF66B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39.3</w:t>
            </w:r>
          </w:p>
        </w:tc>
        <w:tc>
          <w:tcPr>
            <w:tcW w:w="378" w:type="pct"/>
            <w:vMerge w:val="continue"/>
            <w:tcBorders>
              <w:tl2br w:val="nil"/>
              <w:tr2bl w:val="nil"/>
            </w:tcBorders>
            <w:shd w:val="clear" w:color="auto" w:fill="FFFFFF"/>
            <w:noWrap w:val="0"/>
            <w:vAlign w:val="center"/>
          </w:tcPr>
          <w:p w14:paraId="4FEE249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461" w:type="pct"/>
            <w:vMerge w:val="continue"/>
            <w:tcBorders>
              <w:tl2br w:val="nil"/>
              <w:tr2bl w:val="nil"/>
            </w:tcBorders>
            <w:shd w:val="clear" w:color="auto" w:fill="FFFFFF"/>
            <w:noWrap w:val="0"/>
            <w:vAlign w:val="center"/>
          </w:tcPr>
          <w:p w14:paraId="36C85E0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572" w:type="pct"/>
            <w:tcBorders>
              <w:tl2br w:val="nil"/>
              <w:tr2bl w:val="nil"/>
            </w:tcBorders>
            <w:shd w:val="clear" w:color="auto" w:fill="FFFFFF"/>
            <w:noWrap w:val="0"/>
            <w:vAlign w:val="center"/>
          </w:tcPr>
          <w:p w14:paraId="49C625F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26.4</w:t>
            </w:r>
          </w:p>
          <w:p w14:paraId="6F9F730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35.9</w:t>
            </w:r>
          </w:p>
          <w:p w14:paraId="2187B03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0.7</w:t>
            </w:r>
          </w:p>
          <w:p w14:paraId="4D46DB0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0</w:t>
            </w:r>
          </w:p>
        </w:tc>
        <w:tc>
          <w:tcPr>
            <w:tcW w:w="338" w:type="pct"/>
            <w:vMerge w:val="continue"/>
            <w:tcBorders>
              <w:tl2br w:val="nil"/>
              <w:tr2bl w:val="nil"/>
            </w:tcBorders>
            <w:shd w:val="clear" w:color="auto" w:fill="FFFFFF"/>
            <w:noWrap w:val="0"/>
            <w:vAlign w:val="center"/>
          </w:tcPr>
          <w:p w14:paraId="36F47A3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r>
      <w:tr w14:paraId="2B7A7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043" w:hRule="atLeast"/>
          <w:jc w:val="center"/>
        </w:trPr>
        <w:tc>
          <w:tcPr>
            <w:tcW w:w="212" w:type="pct"/>
            <w:vMerge w:val="continue"/>
            <w:tcBorders>
              <w:tl2br w:val="nil"/>
              <w:tr2bl w:val="nil"/>
            </w:tcBorders>
            <w:shd w:val="clear" w:color="auto" w:fill="FFFFFF"/>
            <w:noWrap w:val="0"/>
            <w:vAlign w:val="center"/>
          </w:tcPr>
          <w:p w14:paraId="5DA129D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92" w:type="pct"/>
            <w:tcBorders>
              <w:tl2br w:val="nil"/>
              <w:tr2bl w:val="nil"/>
            </w:tcBorders>
            <w:shd w:val="clear" w:color="auto" w:fill="FFFFFF"/>
            <w:noWrap w:val="0"/>
            <w:vAlign w:val="center"/>
          </w:tcPr>
          <w:p w14:paraId="71C286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凉片机</w:t>
            </w:r>
          </w:p>
        </w:tc>
        <w:tc>
          <w:tcPr>
            <w:tcW w:w="378" w:type="pct"/>
            <w:tcBorders>
              <w:tl2br w:val="nil"/>
              <w:tr2bl w:val="nil"/>
            </w:tcBorders>
            <w:shd w:val="clear" w:color="auto" w:fill="FFFFFF"/>
            <w:noWrap w:val="0"/>
            <w:vAlign w:val="center"/>
          </w:tcPr>
          <w:p w14:paraId="71EFEBF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75" w:type="pct"/>
            <w:vMerge w:val="continue"/>
            <w:tcBorders>
              <w:tl2br w:val="nil"/>
              <w:tr2bl w:val="nil"/>
            </w:tcBorders>
            <w:shd w:val="clear" w:color="auto" w:fill="FFFFFF"/>
            <w:noWrap w:val="0"/>
            <w:vAlign w:val="center"/>
          </w:tcPr>
          <w:p w14:paraId="27CD028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28" w:type="pct"/>
            <w:tcBorders>
              <w:tl2br w:val="nil"/>
              <w:tr2bl w:val="nil"/>
            </w:tcBorders>
            <w:shd w:val="clear" w:color="auto" w:fill="FFFFFF"/>
            <w:noWrap w:val="0"/>
            <w:vAlign w:val="center"/>
          </w:tcPr>
          <w:p w14:paraId="01CDDB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w:t>
            </w:r>
          </w:p>
        </w:tc>
        <w:tc>
          <w:tcPr>
            <w:tcW w:w="424" w:type="pct"/>
            <w:tcBorders>
              <w:tl2br w:val="nil"/>
              <w:tr2bl w:val="nil"/>
            </w:tcBorders>
            <w:shd w:val="clear" w:color="auto" w:fill="FFFFFF"/>
            <w:noWrap w:val="0"/>
            <w:vAlign w:val="center"/>
          </w:tcPr>
          <w:p w14:paraId="4C7493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-41</w:t>
            </w:r>
          </w:p>
        </w:tc>
        <w:tc>
          <w:tcPr>
            <w:tcW w:w="296" w:type="pct"/>
            <w:tcBorders>
              <w:tl2br w:val="nil"/>
              <w:tr2bl w:val="nil"/>
            </w:tcBorders>
            <w:shd w:val="clear" w:color="auto" w:fill="FFFFFF"/>
            <w:noWrap w:val="0"/>
            <w:vAlign w:val="center"/>
          </w:tcPr>
          <w:p w14:paraId="72C300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4F88C4A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19</w:t>
            </w:r>
          </w:p>
          <w:p w14:paraId="575C2F3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w:t>
            </w:r>
          </w:p>
          <w:p w14:paraId="7C26630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19</w:t>
            </w:r>
          </w:p>
          <w:p w14:paraId="38E1E24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35</w:t>
            </w:r>
          </w:p>
        </w:tc>
        <w:tc>
          <w:tcPr>
            <w:tcW w:w="435" w:type="pct"/>
            <w:tcBorders>
              <w:tl2br w:val="nil"/>
              <w:tr2bl w:val="nil"/>
            </w:tcBorders>
            <w:shd w:val="clear" w:color="auto" w:fill="FFFFFF"/>
            <w:noWrap w:val="0"/>
            <w:vAlign w:val="center"/>
          </w:tcPr>
          <w:p w14:paraId="131D155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59.4</w:t>
            </w:r>
          </w:p>
          <w:p w14:paraId="2160A89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75.4</w:t>
            </w:r>
          </w:p>
          <w:p w14:paraId="6103291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59.4</w:t>
            </w:r>
          </w:p>
          <w:p w14:paraId="60A8D32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54.1</w:t>
            </w:r>
          </w:p>
        </w:tc>
        <w:tc>
          <w:tcPr>
            <w:tcW w:w="378" w:type="pct"/>
            <w:vMerge w:val="continue"/>
            <w:tcBorders>
              <w:tl2br w:val="nil"/>
              <w:tr2bl w:val="nil"/>
            </w:tcBorders>
            <w:shd w:val="clear" w:color="auto" w:fill="FFFFFF"/>
            <w:noWrap w:val="0"/>
            <w:vAlign w:val="center"/>
          </w:tcPr>
          <w:p w14:paraId="20B1F0F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461" w:type="pct"/>
            <w:vMerge w:val="continue"/>
            <w:tcBorders>
              <w:tl2br w:val="nil"/>
              <w:tr2bl w:val="nil"/>
            </w:tcBorders>
            <w:shd w:val="clear" w:color="auto" w:fill="FFFFFF"/>
            <w:noWrap w:val="0"/>
            <w:vAlign w:val="center"/>
          </w:tcPr>
          <w:p w14:paraId="616A5AA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572" w:type="pct"/>
            <w:tcBorders>
              <w:tl2br w:val="nil"/>
              <w:tr2bl w:val="nil"/>
            </w:tcBorders>
            <w:shd w:val="clear" w:color="auto" w:fill="FFFFFF"/>
            <w:noWrap w:val="0"/>
            <w:vAlign w:val="center"/>
          </w:tcPr>
          <w:p w14:paraId="47256A8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37.4</w:t>
            </w:r>
          </w:p>
          <w:p w14:paraId="5E6D4AD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53.4</w:t>
            </w:r>
          </w:p>
          <w:p w14:paraId="06C7A89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18.4</w:t>
            </w:r>
          </w:p>
          <w:p w14:paraId="7AF8257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13.1</w:t>
            </w:r>
          </w:p>
        </w:tc>
        <w:tc>
          <w:tcPr>
            <w:tcW w:w="338" w:type="pct"/>
            <w:vMerge w:val="continue"/>
            <w:tcBorders>
              <w:tl2br w:val="nil"/>
              <w:tr2bl w:val="nil"/>
            </w:tcBorders>
            <w:shd w:val="clear" w:color="auto" w:fill="FFFFFF"/>
            <w:noWrap w:val="0"/>
            <w:vAlign w:val="center"/>
          </w:tcPr>
          <w:p w14:paraId="204A291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r>
      <w:tr w14:paraId="2A553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1B3B8FC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7F93A51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无尘粉碎机</w:t>
            </w:r>
          </w:p>
        </w:tc>
        <w:tc>
          <w:tcPr>
            <w:tcW w:w="378" w:type="pct"/>
            <w:tcBorders>
              <w:tl2br w:val="nil"/>
              <w:tr2bl w:val="nil"/>
            </w:tcBorders>
            <w:shd w:val="clear" w:color="auto" w:fill="FFFFFF"/>
            <w:noWrap w:val="0"/>
            <w:vAlign w:val="center"/>
          </w:tcPr>
          <w:p w14:paraId="7B44ED83">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75" w:type="pct"/>
            <w:vMerge w:val="continue"/>
            <w:tcBorders>
              <w:tl2br w:val="nil"/>
              <w:tr2bl w:val="nil"/>
            </w:tcBorders>
            <w:shd w:val="clear" w:color="auto" w:fill="FFFFFF"/>
            <w:noWrap w:val="0"/>
            <w:vAlign w:val="center"/>
          </w:tcPr>
          <w:p w14:paraId="36A2403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6742EA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w:t>
            </w:r>
          </w:p>
        </w:tc>
        <w:tc>
          <w:tcPr>
            <w:tcW w:w="424" w:type="pct"/>
            <w:tcBorders>
              <w:tl2br w:val="nil"/>
              <w:tr2bl w:val="nil"/>
            </w:tcBorders>
            <w:shd w:val="clear" w:color="auto" w:fill="FFFFFF"/>
            <w:noWrap w:val="0"/>
            <w:vAlign w:val="center"/>
          </w:tcPr>
          <w:p w14:paraId="44FEB5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-41</w:t>
            </w:r>
          </w:p>
        </w:tc>
        <w:tc>
          <w:tcPr>
            <w:tcW w:w="296" w:type="pct"/>
            <w:tcBorders>
              <w:tl2br w:val="nil"/>
              <w:tr2bl w:val="nil"/>
            </w:tcBorders>
            <w:shd w:val="clear" w:color="auto" w:fill="FFFFFF"/>
            <w:noWrap w:val="0"/>
            <w:vAlign w:val="center"/>
          </w:tcPr>
          <w:p w14:paraId="27439C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510132F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26</w:t>
            </w:r>
          </w:p>
          <w:p w14:paraId="0E4577B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w:t>
            </w:r>
          </w:p>
          <w:p w14:paraId="69DDD30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12</w:t>
            </w:r>
          </w:p>
          <w:p w14:paraId="2D263B7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35</w:t>
            </w:r>
          </w:p>
        </w:tc>
        <w:tc>
          <w:tcPr>
            <w:tcW w:w="435" w:type="pct"/>
            <w:tcBorders>
              <w:tl2br w:val="nil"/>
              <w:tr2bl w:val="nil"/>
            </w:tcBorders>
            <w:shd w:val="clear" w:color="auto" w:fill="FFFFFF"/>
            <w:noWrap w:val="0"/>
            <w:vAlign w:val="center"/>
          </w:tcPr>
          <w:p w14:paraId="7B0CC9A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56.7</w:t>
            </w:r>
          </w:p>
          <w:p w14:paraId="269DBFB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75.4</w:t>
            </w:r>
          </w:p>
          <w:p w14:paraId="502E66B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63.4</w:t>
            </w:r>
          </w:p>
          <w:p w14:paraId="4180560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54.1</w:t>
            </w:r>
          </w:p>
        </w:tc>
        <w:tc>
          <w:tcPr>
            <w:tcW w:w="378" w:type="pct"/>
            <w:vMerge w:val="continue"/>
            <w:tcBorders>
              <w:tl2br w:val="nil"/>
              <w:tr2bl w:val="nil"/>
            </w:tcBorders>
            <w:shd w:val="clear" w:color="auto" w:fill="FFFFFF"/>
            <w:noWrap w:val="0"/>
            <w:vAlign w:val="center"/>
          </w:tcPr>
          <w:p w14:paraId="07AABBA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6DEB2AA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46B4553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34.7</w:t>
            </w:r>
          </w:p>
          <w:p w14:paraId="7DF29C2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53.4</w:t>
            </w:r>
          </w:p>
          <w:p w14:paraId="0029C55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22.4</w:t>
            </w:r>
          </w:p>
          <w:p w14:paraId="0B16A7E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13.1</w:t>
            </w:r>
          </w:p>
        </w:tc>
        <w:tc>
          <w:tcPr>
            <w:tcW w:w="338" w:type="pct"/>
            <w:vMerge w:val="continue"/>
            <w:tcBorders>
              <w:tl2br w:val="nil"/>
              <w:tr2bl w:val="nil"/>
            </w:tcBorders>
            <w:shd w:val="clear" w:color="auto" w:fill="FFFFFF"/>
            <w:noWrap w:val="0"/>
            <w:vAlign w:val="center"/>
          </w:tcPr>
          <w:p w14:paraId="710D9F1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52026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279DAC8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39E8D9D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高速混合机</w:t>
            </w:r>
          </w:p>
        </w:tc>
        <w:tc>
          <w:tcPr>
            <w:tcW w:w="378" w:type="pct"/>
            <w:tcBorders>
              <w:tl2br w:val="nil"/>
              <w:tr2bl w:val="nil"/>
            </w:tcBorders>
            <w:shd w:val="clear" w:color="auto" w:fill="FFFFFF"/>
            <w:noWrap w:val="0"/>
            <w:vAlign w:val="center"/>
          </w:tcPr>
          <w:p w14:paraId="293DE1B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75" w:type="pct"/>
            <w:vMerge w:val="continue"/>
            <w:tcBorders>
              <w:tl2br w:val="nil"/>
              <w:tr2bl w:val="nil"/>
            </w:tcBorders>
            <w:shd w:val="clear" w:color="auto" w:fill="FFFFFF"/>
            <w:noWrap w:val="0"/>
            <w:vAlign w:val="center"/>
          </w:tcPr>
          <w:p w14:paraId="4D9B519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4FA53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-13</w:t>
            </w:r>
          </w:p>
        </w:tc>
        <w:tc>
          <w:tcPr>
            <w:tcW w:w="424" w:type="pct"/>
            <w:tcBorders>
              <w:tl2br w:val="nil"/>
              <w:tr2bl w:val="nil"/>
            </w:tcBorders>
            <w:shd w:val="clear" w:color="auto" w:fill="FFFFFF"/>
            <w:noWrap w:val="0"/>
            <w:vAlign w:val="center"/>
          </w:tcPr>
          <w:p w14:paraId="16ABE4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-41</w:t>
            </w:r>
          </w:p>
        </w:tc>
        <w:tc>
          <w:tcPr>
            <w:tcW w:w="296" w:type="pct"/>
            <w:tcBorders>
              <w:tl2br w:val="nil"/>
              <w:tr2bl w:val="nil"/>
            </w:tcBorders>
            <w:shd w:val="clear" w:color="auto" w:fill="FFFFFF"/>
            <w:noWrap w:val="0"/>
            <w:vAlign w:val="center"/>
          </w:tcPr>
          <w:p w14:paraId="2D4EC2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0AFF01E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33</w:t>
            </w:r>
          </w:p>
          <w:p w14:paraId="338C028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w:t>
            </w:r>
          </w:p>
          <w:p w14:paraId="70BF060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5</w:t>
            </w:r>
          </w:p>
          <w:p w14:paraId="4DD2058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35</w:t>
            </w:r>
          </w:p>
        </w:tc>
        <w:tc>
          <w:tcPr>
            <w:tcW w:w="435" w:type="pct"/>
            <w:tcBorders>
              <w:tl2br w:val="nil"/>
              <w:tr2bl w:val="nil"/>
            </w:tcBorders>
            <w:shd w:val="clear" w:color="auto" w:fill="FFFFFF"/>
            <w:noWrap w:val="0"/>
            <w:vAlign w:val="center"/>
          </w:tcPr>
          <w:p w14:paraId="20C5092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54.6</w:t>
            </w:r>
          </w:p>
          <w:p w14:paraId="0F1949A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75.4</w:t>
            </w:r>
          </w:p>
          <w:p w14:paraId="2DB05A6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71.0</w:t>
            </w:r>
          </w:p>
          <w:p w14:paraId="510F3F8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54.1</w:t>
            </w:r>
          </w:p>
        </w:tc>
        <w:tc>
          <w:tcPr>
            <w:tcW w:w="378" w:type="pct"/>
            <w:vMerge w:val="continue"/>
            <w:tcBorders>
              <w:tl2br w:val="nil"/>
              <w:tr2bl w:val="nil"/>
            </w:tcBorders>
            <w:shd w:val="clear" w:color="auto" w:fill="FFFFFF"/>
            <w:noWrap w:val="0"/>
            <w:vAlign w:val="center"/>
          </w:tcPr>
          <w:p w14:paraId="326A6DE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40C61DC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5EBEBFA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32.6</w:t>
            </w:r>
          </w:p>
          <w:p w14:paraId="352A7E5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53.4</w:t>
            </w:r>
          </w:p>
          <w:p w14:paraId="660A168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30</w:t>
            </w:r>
          </w:p>
          <w:p w14:paraId="3DE706C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13.1</w:t>
            </w:r>
          </w:p>
        </w:tc>
        <w:tc>
          <w:tcPr>
            <w:tcW w:w="338" w:type="pct"/>
            <w:vMerge w:val="continue"/>
            <w:tcBorders>
              <w:tl2br w:val="nil"/>
              <w:tr2bl w:val="nil"/>
            </w:tcBorders>
            <w:shd w:val="clear" w:color="auto" w:fill="FFFFFF"/>
            <w:noWrap w:val="0"/>
            <w:vAlign w:val="center"/>
          </w:tcPr>
          <w:p w14:paraId="040C61E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3EFCE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2B21BB2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700244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液压机1</w:t>
            </w:r>
          </w:p>
        </w:tc>
        <w:tc>
          <w:tcPr>
            <w:tcW w:w="378" w:type="pct"/>
            <w:tcBorders>
              <w:tl2br w:val="nil"/>
              <w:tr2bl w:val="nil"/>
            </w:tcBorders>
            <w:shd w:val="clear" w:color="auto" w:fill="FFFFFF"/>
            <w:noWrap w:val="0"/>
            <w:vAlign w:val="center"/>
          </w:tcPr>
          <w:p w14:paraId="4431328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80</w:t>
            </w:r>
          </w:p>
        </w:tc>
        <w:tc>
          <w:tcPr>
            <w:tcW w:w="275" w:type="pct"/>
            <w:vMerge w:val="continue"/>
            <w:tcBorders>
              <w:tl2br w:val="nil"/>
              <w:tr2bl w:val="nil"/>
            </w:tcBorders>
            <w:shd w:val="clear" w:color="auto" w:fill="FFFFFF"/>
            <w:noWrap w:val="0"/>
            <w:vAlign w:val="center"/>
          </w:tcPr>
          <w:p w14:paraId="5280A7B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0B551B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424" w:type="pct"/>
            <w:tcBorders>
              <w:tl2br w:val="nil"/>
              <w:tr2bl w:val="nil"/>
            </w:tcBorders>
            <w:shd w:val="clear" w:color="auto" w:fill="FFFFFF"/>
            <w:noWrap w:val="0"/>
            <w:vAlign w:val="center"/>
          </w:tcPr>
          <w:p w14:paraId="33530A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-28</w:t>
            </w:r>
          </w:p>
        </w:tc>
        <w:tc>
          <w:tcPr>
            <w:tcW w:w="296" w:type="pct"/>
            <w:tcBorders>
              <w:tl2br w:val="nil"/>
              <w:tr2bl w:val="nil"/>
            </w:tcBorders>
            <w:shd w:val="clear" w:color="auto" w:fill="FFFFFF"/>
            <w:noWrap w:val="0"/>
            <w:vAlign w:val="center"/>
          </w:tcPr>
          <w:p w14:paraId="4090FE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546A622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w:t>
            </w:r>
          </w:p>
          <w:p w14:paraId="50B5C28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16</w:t>
            </w:r>
          </w:p>
          <w:p w14:paraId="3810832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w:t>
            </w:r>
          </w:p>
          <w:p w14:paraId="2F95DBA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22</w:t>
            </w:r>
          </w:p>
        </w:tc>
        <w:tc>
          <w:tcPr>
            <w:tcW w:w="435" w:type="pct"/>
            <w:tcBorders>
              <w:tl2br w:val="nil"/>
              <w:tr2bl w:val="nil"/>
            </w:tcBorders>
            <w:shd w:val="clear" w:color="auto" w:fill="FFFFFF"/>
            <w:noWrap w:val="0"/>
            <w:vAlign w:val="center"/>
          </w:tcPr>
          <w:p w14:paraId="73D90A7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49.3</w:t>
            </w:r>
          </w:p>
          <w:p w14:paraId="3BF3785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55.9</w:t>
            </w:r>
          </w:p>
          <w:p w14:paraId="3097509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67.9</w:t>
            </w:r>
          </w:p>
          <w:p w14:paraId="24A97C8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53.1</w:t>
            </w:r>
          </w:p>
        </w:tc>
        <w:tc>
          <w:tcPr>
            <w:tcW w:w="378" w:type="pct"/>
            <w:vMerge w:val="continue"/>
            <w:tcBorders>
              <w:tl2br w:val="nil"/>
              <w:tr2bl w:val="nil"/>
            </w:tcBorders>
            <w:shd w:val="clear" w:color="auto" w:fill="FFFFFF"/>
            <w:noWrap w:val="0"/>
            <w:vAlign w:val="center"/>
          </w:tcPr>
          <w:p w14:paraId="21B210B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1953720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27309DA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27.3</w:t>
            </w:r>
          </w:p>
          <w:p w14:paraId="07A08B5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33.9</w:t>
            </w:r>
          </w:p>
          <w:p w14:paraId="6747CB1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26.9</w:t>
            </w:r>
          </w:p>
          <w:p w14:paraId="427AE63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12.1</w:t>
            </w:r>
          </w:p>
        </w:tc>
        <w:tc>
          <w:tcPr>
            <w:tcW w:w="338" w:type="pct"/>
            <w:vMerge w:val="continue"/>
            <w:tcBorders>
              <w:tl2br w:val="nil"/>
              <w:tr2bl w:val="nil"/>
            </w:tcBorders>
            <w:shd w:val="clear" w:color="auto" w:fill="FFFFFF"/>
            <w:noWrap w:val="0"/>
            <w:vAlign w:val="center"/>
          </w:tcPr>
          <w:p w14:paraId="0CB1CE2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271A6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0DEB753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60F099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液压机2</w:t>
            </w:r>
          </w:p>
        </w:tc>
        <w:tc>
          <w:tcPr>
            <w:tcW w:w="378" w:type="pct"/>
            <w:tcBorders>
              <w:tl2br w:val="nil"/>
              <w:tr2bl w:val="nil"/>
            </w:tcBorders>
            <w:shd w:val="clear" w:color="auto" w:fill="FFFFFF"/>
            <w:noWrap w:val="0"/>
            <w:vAlign w:val="center"/>
          </w:tcPr>
          <w:p w14:paraId="4CA496B0">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80</w:t>
            </w:r>
          </w:p>
        </w:tc>
        <w:tc>
          <w:tcPr>
            <w:tcW w:w="275" w:type="pct"/>
            <w:vMerge w:val="continue"/>
            <w:tcBorders>
              <w:tl2br w:val="nil"/>
              <w:tr2bl w:val="nil"/>
            </w:tcBorders>
            <w:shd w:val="clear" w:color="auto" w:fill="FFFFFF"/>
            <w:noWrap w:val="0"/>
            <w:vAlign w:val="center"/>
          </w:tcPr>
          <w:p w14:paraId="1D513CB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328" w:type="pct"/>
            <w:tcBorders>
              <w:tl2br w:val="nil"/>
              <w:tr2bl w:val="nil"/>
            </w:tcBorders>
            <w:shd w:val="clear" w:color="auto" w:fill="FFFFFF"/>
            <w:noWrap w:val="0"/>
            <w:vAlign w:val="center"/>
          </w:tcPr>
          <w:p w14:paraId="5B3BA6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-14</w:t>
            </w:r>
          </w:p>
        </w:tc>
        <w:tc>
          <w:tcPr>
            <w:tcW w:w="424" w:type="pct"/>
            <w:tcBorders>
              <w:tl2br w:val="nil"/>
              <w:tr2bl w:val="nil"/>
            </w:tcBorders>
            <w:shd w:val="clear" w:color="auto" w:fill="FFFFFF"/>
            <w:noWrap w:val="0"/>
            <w:vAlign w:val="center"/>
          </w:tcPr>
          <w:p w14:paraId="66DCF0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-25</w:t>
            </w:r>
          </w:p>
        </w:tc>
        <w:tc>
          <w:tcPr>
            <w:tcW w:w="296" w:type="pct"/>
            <w:tcBorders>
              <w:tl2br w:val="nil"/>
              <w:tr2bl w:val="nil"/>
            </w:tcBorders>
            <w:shd w:val="clear" w:color="auto" w:fill="FFFFFF"/>
            <w:noWrap w:val="0"/>
            <w:vAlign w:val="center"/>
          </w:tcPr>
          <w:p w14:paraId="2F3332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429C290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w:t>
            </w:r>
          </w:p>
          <w:p w14:paraId="26022AF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6</w:t>
            </w:r>
          </w:p>
          <w:p w14:paraId="1A129DA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w:t>
            </w:r>
          </w:p>
          <w:p w14:paraId="7039125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19</w:t>
            </w:r>
          </w:p>
        </w:tc>
        <w:tc>
          <w:tcPr>
            <w:tcW w:w="435" w:type="pct"/>
            <w:tcBorders>
              <w:tl2br w:val="nil"/>
              <w:tr2bl w:val="nil"/>
            </w:tcBorders>
            <w:shd w:val="clear" w:color="auto" w:fill="FFFFFF"/>
            <w:noWrap w:val="0"/>
            <w:vAlign w:val="center"/>
          </w:tcPr>
          <w:p w14:paraId="343D80B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49.3</w:t>
            </w:r>
          </w:p>
          <w:p w14:paraId="5062FE7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64.4</w:t>
            </w:r>
          </w:p>
          <w:p w14:paraId="4BCEB9C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67.9</w:t>
            </w:r>
          </w:p>
          <w:p w14:paraId="075CA8E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54.4</w:t>
            </w:r>
          </w:p>
        </w:tc>
        <w:tc>
          <w:tcPr>
            <w:tcW w:w="378" w:type="pct"/>
            <w:vMerge w:val="continue"/>
            <w:tcBorders>
              <w:tl2br w:val="nil"/>
              <w:tr2bl w:val="nil"/>
            </w:tcBorders>
            <w:shd w:val="clear" w:color="auto" w:fill="FFFFFF"/>
            <w:noWrap w:val="0"/>
            <w:vAlign w:val="center"/>
          </w:tcPr>
          <w:p w14:paraId="65A4026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461" w:type="pct"/>
            <w:vMerge w:val="continue"/>
            <w:tcBorders>
              <w:tl2br w:val="nil"/>
              <w:tr2bl w:val="nil"/>
            </w:tcBorders>
            <w:shd w:val="clear" w:color="auto" w:fill="FFFFFF"/>
            <w:noWrap w:val="0"/>
            <w:vAlign w:val="center"/>
          </w:tcPr>
          <w:p w14:paraId="2D7E69C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572" w:type="pct"/>
            <w:tcBorders>
              <w:tl2br w:val="nil"/>
              <w:tr2bl w:val="nil"/>
            </w:tcBorders>
            <w:shd w:val="clear" w:color="auto" w:fill="FFFFFF"/>
            <w:noWrap w:val="0"/>
            <w:vAlign w:val="center"/>
          </w:tcPr>
          <w:p w14:paraId="26387D7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27.3</w:t>
            </w:r>
          </w:p>
          <w:p w14:paraId="2A7DA4E5">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42.4</w:t>
            </w:r>
          </w:p>
          <w:p w14:paraId="2FC347B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26.9</w:t>
            </w:r>
          </w:p>
          <w:p w14:paraId="6738A4C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13.4</w:t>
            </w:r>
          </w:p>
        </w:tc>
        <w:tc>
          <w:tcPr>
            <w:tcW w:w="338" w:type="pct"/>
            <w:vMerge w:val="continue"/>
            <w:tcBorders>
              <w:tl2br w:val="nil"/>
              <w:tr2bl w:val="nil"/>
            </w:tcBorders>
            <w:shd w:val="clear" w:color="auto" w:fill="FFFFFF"/>
            <w:noWrap w:val="0"/>
            <w:vAlign w:val="center"/>
          </w:tcPr>
          <w:p w14:paraId="1D9071A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1A2B6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31F168F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5B8499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2#风机</w:t>
            </w:r>
          </w:p>
        </w:tc>
        <w:tc>
          <w:tcPr>
            <w:tcW w:w="378" w:type="pct"/>
            <w:tcBorders>
              <w:tl2br w:val="nil"/>
              <w:tr2bl w:val="nil"/>
            </w:tcBorders>
            <w:shd w:val="clear" w:color="auto" w:fill="FFFFFF"/>
            <w:noWrap w:val="0"/>
            <w:vAlign w:val="center"/>
          </w:tcPr>
          <w:p w14:paraId="200F7F6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75" w:type="pct"/>
            <w:vMerge w:val="continue"/>
            <w:tcBorders>
              <w:tl2br w:val="nil"/>
              <w:tr2bl w:val="nil"/>
            </w:tcBorders>
            <w:shd w:val="clear" w:color="auto" w:fill="FFFFFF"/>
            <w:noWrap w:val="0"/>
            <w:vAlign w:val="center"/>
          </w:tcPr>
          <w:p w14:paraId="45522E8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6A71EE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w:t>
            </w:r>
          </w:p>
        </w:tc>
        <w:tc>
          <w:tcPr>
            <w:tcW w:w="424" w:type="pct"/>
            <w:tcBorders>
              <w:tl2br w:val="nil"/>
              <w:tr2bl w:val="nil"/>
            </w:tcBorders>
            <w:shd w:val="clear" w:color="auto" w:fill="FFFFFF"/>
            <w:noWrap w:val="0"/>
            <w:vAlign w:val="center"/>
          </w:tcPr>
          <w:p w14:paraId="08F27F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w:t>
            </w:r>
          </w:p>
        </w:tc>
        <w:tc>
          <w:tcPr>
            <w:tcW w:w="296" w:type="pct"/>
            <w:tcBorders>
              <w:tl2br w:val="nil"/>
              <w:tr2bl w:val="nil"/>
            </w:tcBorders>
            <w:shd w:val="clear" w:color="auto" w:fill="FFFFFF"/>
            <w:noWrap w:val="0"/>
            <w:vAlign w:val="center"/>
          </w:tcPr>
          <w:p w14:paraId="410FA1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507" w:type="pct"/>
            <w:tcBorders>
              <w:tl2br w:val="nil"/>
              <w:tr2bl w:val="nil"/>
            </w:tcBorders>
            <w:shd w:val="clear" w:color="auto" w:fill="FFFFFF"/>
            <w:noWrap w:val="0"/>
            <w:vAlign w:val="center"/>
          </w:tcPr>
          <w:p w14:paraId="29B8C2E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12</w:t>
            </w:r>
          </w:p>
          <w:p w14:paraId="072B1D6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37</w:t>
            </w:r>
          </w:p>
          <w:p w14:paraId="456D3C9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w:t>
            </w:r>
          </w:p>
          <w:p w14:paraId="60276AA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1</w:t>
            </w:r>
          </w:p>
        </w:tc>
        <w:tc>
          <w:tcPr>
            <w:tcW w:w="435" w:type="pct"/>
            <w:tcBorders>
              <w:tl2br w:val="nil"/>
              <w:tr2bl w:val="nil"/>
            </w:tcBorders>
            <w:shd w:val="clear" w:color="auto" w:fill="FFFFFF"/>
            <w:noWrap w:val="0"/>
            <w:vAlign w:val="center"/>
          </w:tcPr>
          <w:p w14:paraId="0240558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53.4</w:t>
            </w:r>
          </w:p>
          <w:p w14:paraId="765B80E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53.6</w:t>
            </w:r>
          </w:p>
          <w:p w14:paraId="748E875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56.7</w:t>
            </w:r>
          </w:p>
          <w:p w14:paraId="2B295E0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85</w:t>
            </w:r>
          </w:p>
        </w:tc>
        <w:tc>
          <w:tcPr>
            <w:tcW w:w="378" w:type="pct"/>
            <w:vMerge w:val="continue"/>
            <w:tcBorders>
              <w:tl2br w:val="nil"/>
              <w:tr2bl w:val="nil"/>
            </w:tcBorders>
            <w:shd w:val="clear" w:color="auto" w:fill="FFFFFF"/>
            <w:noWrap w:val="0"/>
            <w:vAlign w:val="center"/>
          </w:tcPr>
          <w:p w14:paraId="0DB2E7B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1391240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4B7FA62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31.4</w:t>
            </w:r>
          </w:p>
          <w:p w14:paraId="25FE40C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31.6</w:t>
            </w:r>
          </w:p>
          <w:p w14:paraId="175FAD1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15.7</w:t>
            </w:r>
          </w:p>
          <w:p w14:paraId="74EDC7D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44</w:t>
            </w:r>
          </w:p>
        </w:tc>
        <w:tc>
          <w:tcPr>
            <w:tcW w:w="338" w:type="pct"/>
            <w:vMerge w:val="continue"/>
            <w:tcBorders>
              <w:tl2br w:val="nil"/>
              <w:tr2bl w:val="nil"/>
            </w:tcBorders>
            <w:shd w:val="clear" w:color="auto" w:fill="FFFFFF"/>
            <w:noWrap w:val="0"/>
            <w:vAlign w:val="center"/>
          </w:tcPr>
          <w:p w14:paraId="796DE73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24C25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restart"/>
            <w:tcBorders>
              <w:tl2br w:val="nil"/>
              <w:tr2bl w:val="nil"/>
            </w:tcBorders>
            <w:shd w:val="clear" w:color="auto" w:fill="FFFFFF"/>
            <w:noWrap w:val="0"/>
            <w:vAlign w:val="center"/>
          </w:tcPr>
          <w:p w14:paraId="62D67C2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2#厂房</w:t>
            </w:r>
          </w:p>
        </w:tc>
        <w:tc>
          <w:tcPr>
            <w:tcW w:w="392" w:type="pct"/>
            <w:tcBorders>
              <w:tl2br w:val="nil"/>
              <w:tr2bl w:val="nil"/>
            </w:tcBorders>
            <w:shd w:val="clear" w:color="auto" w:fill="FFFFFF"/>
            <w:noWrap w:val="0"/>
            <w:vAlign w:val="center"/>
          </w:tcPr>
          <w:p w14:paraId="123477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液压机3</w:t>
            </w:r>
          </w:p>
        </w:tc>
        <w:tc>
          <w:tcPr>
            <w:tcW w:w="378" w:type="pct"/>
            <w:tcBorders>
              <w:tl2br w:val="nil"/>
              <w:tr2bl w:val="nil"/>
            </w:tcBorders>
            <w:shd w:val="clear" w:color="auto" w:fill="FFFFFF"/>
            <w:noWrap w:val="0"/>
            <w:vAlign w:val="center"/>
          </w:tcPr>
          <w:p w14:paraId="112598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80</w:t>
            </w:r>
          </w:p>
        </w:tc>
        <w:tc>
          <w:tcPr>
            <w:tcW w:w="275" w:type="pct"/>
            <w:vMerge w:val="continue"/>
            <w:tcBorders>
              <w:tl2br w:val="nil"/>
              <w:tr2bl w:val="nil"/>
            </w:tcBorders>
            <w:shd w:val="clear" w:color="auto" w:fill="FFFFFF"/>
            <w:noWrap w:val="0"/>
            <w:vAlign w:val="center"/>
          </w:tcPr>
          <w:p w14:paraId="775A36C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2F7B32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424" w:type="pct"/>
            <w:tcBorders>
              <w:tl2br w:val="nil"/>
              <w:tr2bl w:val="nil"/>
            </w:tcBorders>
            <w:shd w:val="clear" w:color="auto" w:fill="FFFFFF"/>
            <w:noWrap w:val="0"/>
            <w:vAlign w:val="center"/>
          </w:tcPr>
          <w:p w14:paraId="3D9579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18</w:t>
            </w:r>
          </w:p>
        </w:tc>
        <w:tc>
          <w:tcPr>
            <w:tcW w:w="296" w:type="pct"/>
            <w:tcBorders>
              <w:tl2br w:val="nil"/>
              <w:tr2bl w:val="nil"/>
            </w:tcBorders>
            <w:shd w:val="clear" w:color="auto" w:fill="FFFFFF"/>
            <w:noWrap w:val="0"/>
            <w:vAlign w:val="center"/>
          </w:tcPr>
          <w:p w14:paraId="50750F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73DBCD0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w:t>
            </w:r>
          </w:p>
          <w:p w14:paraId="4F220700">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18</w:t>
            </w:r>
          </w:p>
          <w:p w14:paraId="148510E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w:t>
            </w:r>
          </w:p>
          <w:p w14:paraId="4783BF3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36</w:t>
            </w:r>
          </w:p>
        </w:tc>
        <w:tc>
          <w:tcPr>
            <w:tcW w:w="435" w:type="pct"/>
            <w:tcBorders>
              <w:tl2br w:val="nil"/>
              <w:tr2bl w:val="nil"/>
            </w:tcBorders>
            <w:shd w:val="clear" w:color="auto" w:fill="FFFFFF"/>
            <w:noWrap w:val="0"/>
            <w:vAlign w:val="center"/>
          </w:tcPr>
          <w:p w14:paraId="30E3C4A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49.3</w:t>
            </w:r>
          </w:p>
          <w:p w14:paraId="104E5FF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54.8</w:t>
            </w:r>
          </w:p>
          <w:p w14:paraId="5D31E4C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67.9</w:t>
            </w:r>
          </w:p>
          <w:p w14:paraId="4F21963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48.8</w:t>
            </w:r>
          </w:p>
        </w:tc>
        <w:tc>
          <w:tcPr>
            <w:tcW w:w="378" w:type="pct"/>
            <w:vMerge w:val="continue"/>
            <w:tcBorders>
              <w:tl2br w:val="nil"/>
              <w:tr2bl w:val="nil"/>
            </w:tcBorders>
            <w:shd w:val="clear" w:color="auto" w:fill="FFFFFF"/>
            <w:noWrap w:val="0"/>
            <w:vAlign w:val="center"/>
          </w:tcPr>
          <w:p w14:paraId="1AC8198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restart"/>
            <w:tcBorders>
              <w:tl2br w:val="nil"/>
              <w:tr2bl w:val="nil"/>
            </w:tcBorders>
            <w:shd w:val="clear" w:color="auto" w:fill="FFFFFF"/>
            <w:noWrap w:val="0"/>
            <w:vAlign w:val="center"/>
          </w:tcPr>
          <w:p w14:paraId="1E6C80D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）南：41.0西：</w:t>
            </w:r>
            <w:r>
              <w:rPr>
                <w:rFonts w:hint="eastAsia" w:cs="Times New Roman"/>
                <w:color w:val="auto"/>
                <w:sz w:val="21"/>
                <w:szCs w:val="21"/>
                <w:u w:val="none" w:color="auto"/>
                <w:lang w:val="en-US" w:eastAsia="zh-CN"/>
              </w:rPr>
              <w:t>41</w:t>
            </w:r>
            <w:r>
              <w:rPr>
                <w:rFonts w:hint="default" w:ascii="Times New Roman" w:hAnsi="Times New Roman" w:cs="Times New Roman"/>
                <w:color w:val="auto"/>
                <w:sz w:val="21"/>
                <w:szCs w:val="21"/>
                <w:u w:val="none" w:color="auto"/>
                <w:lang w:val="en-US" w:eastAsia="zh-CN"/>
              </w:rPr>
              <w:t>.0北：</w:t>
            </w:r>
            <w:r>
              <w:rPr>
                <w:rFonts w:hint="eastAsia" w:ascii="Times New Roman" w:hAnsi="Times New Roman" w:cs="Times New Roman"/>
                <w:color w:val="auto"/>
                <w:sz w:val="21"/>
                <w:szCs w:val="21"/>
                <w:u w:val="none" w:color="auto"/>
                <w:lang w:val="en-US" w:eastAsia="zh-CN"/>
              </w:rPr>
              <w:t>41.0</w:t>
            </w:r>
          </w:p>
        </w:tc>
        <w:tc>
          <w:tcPr>
            <w:tcW w:w="572" w:type="pct"/>
            <w:tcBorders>
              <w:tl2br w:val="nil"/>
              <w:tr2bl w:val="nil"/>
            </w:tcBorders>
            <w:shd w:val="clear" w:color="auto" w:fill="FFFFFF"/>
            <w:noWrap w:val="0"/>
            <w:vAlign w:val="center"/>
          </w:tcPr>
          <w:p w14:paraId="04DD06C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27.3</w:t>
            </w:r>
          </w:p>
          <w:p w14:paraId="7C67AC0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13.8</w:t>
            </w:r>
          </w:p>
          <w:p w14:paraId="228C6BC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26.9</w:t>
            </w:r>
          </w:p>
          <w:p w14:paraId="0538DDA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7.8</w:t>
            </w:r>
          </w:p>
        </w:tc>
        <w:tc>
          <w:tcPr>
            <w:tcW w:w="338" w:type="pct"/>
            <w:vMerge w:val="continue"/>
            <w:tcBorders>
              <w:tl2br w:val="nil"/>
              <w:tr2bl w:val="nil"/>
            </w:tcBorders>
            <w:shd w:val="clear" w:color="auto" w:fill="FFFFFF"/>
            <w:noWrap w:val="0"/>
            <w:vAlign w:val="center"/>
          </w:tcPr>
          <w:p w14:paraId="49B3791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21F00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671A4681">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5AF827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液压机4</w:t>
            </w:r>
          </w:p>
        </w:tc>
        <w:tc>
          <w:tcPr>
            <w:tcW w:w="378" w:type="pct"/>
            <w:tcBorders>
              <w:tl2br w:val="nil"/>
              <w:tr2bl w:val="nil"/>
            </w:tcBorders>
            <w:shd w:val="clear" w:color="auto" w:fill="FFFFFF"/>
            <w:noWrap w:val="0"/>
            <w:vAlign w:val="center"/>
          </w:tcPr>
          <w:p w14:paraId="747F01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80</w:t>
            </w:r>
          </w:p>
        </w:tc>
        <w:tc>
          <w:tcPr>
            <w:tcW w:w="275" w:type="pct"/>
            <w:vMerge w:val="continue"/>
            <w:tcBorders>
              <w:tl2br w:val="nil"/>
              <w:tr2bl w:val="nil"/>
            </w:tcBorders>
            <w:shd w:val="clear" w:color="auto" w:fill="FFFFFF"/>
            <w:noWrap w:val="0"/>
            <w:vAlign w:val="center"/>
          </w:tcPr>
          <w:p w14:paraId="02E7CFB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3B8129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424" w:type="pct"/>
            <w:tcBorders>
              <w:tl2br w:val="nil"/>
              <w:tr2bl w:val="nil"/>
            </w:tcBorders>
            <w:shd w:val="clear" w:color="auto" w:fill="FFFFFF"/>
            <w:noWrap w:val="0"/>
            <w:vAlign w:val="center"/>
          </w:tcPr>
          <w:p w14:paraId="4E01DD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22</w:t>
            </w:r>
          </w:p>
        </w:tc>
        <w:tc>
          <w:tcPr>
            <w:tcW w:w="296" w:type="pct"/>
            <w:tcBorders>
              <w:tl2br w:val="nil"/>
              <w:tr2bl w:val="nil"/>
            </w:tcBorders>
            <w:shd w:val="clear" w:color="auto" w:fill="FFFFFF"/>
            <w:noWrap w:val="0"/>
            <w:vAlign w:val="center"/>
          </w:tcPr>
          <w:p w14:paraId="5ACD87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7CEC4CB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w:t>
            </w:r>
          </w:p>
          <w:p w14:paraId="0857002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22</w:t>
            </w:r>
          </w:p>
          <w:p w14:paraId="2854F39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w:t>
            </w:r>
          </w:p>
          <w:p w14:paraId="6954682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32</w:t>
            </w:r>
          </w:p>
        </w:tc>
        <w:tc>
          <w:tcPr>
            <w:tcW w:w="435" w:type="pct"/>
            <w:tcBorders>
              <w:tl2br w:val="nil"/>
              <w:tr2bl w:val="nil"/>
            </w:tcBorders>
            <w:shd w:val="clear" w:color="auto" w:fill="FFFFFF"/>
            <w:noWrap w:val="0"/>
            <w:vAlign w:val="center"/>
          </w:tcPr>
          <w:p w14:paraId="767D3DF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49.3</w:t>
            </w:r>
          </w:p>
          <w:p w14:paraId="0BB8149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53.1</w:t>
            </w:r>
          </w:p>
          <w:p w14:paraId="25F6D39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67.9</w:t>
            </w:r>
          </w:p>
          <w:p w14:paraId="7D542CD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49.9</w:t>
            </w:r>
          </w:p>
        </w:tc>
        <w:tc>
          <w:tcPr>
            <w:tcW w:w="378" w:type="pct"/>
            <w:vMerge w:val="continue"/>
            <w:tcBorders>
              <w:tl2br w:val="nil"/>
              <w:tr2bl w:val="nil"/>
            </w:tcBorders>
            <w:shd w:val="clear" w:color="auto" w:fill="FFFFFF"/>
            <w:noWrap w:val="0"/>
            <w:vAlign w:val="center"/>
          </w:tcPr>
          <w:p w14:paraId="07D6A5A8">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4841D0A1">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4F2E7AE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27.3</w:t>
            </w:r>
          </w:p>
          <w:p w14:paraId="2E9E9C4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12.1</w:t>
            </w:r>
          </w:p>
          <w:p w14:paraId="48FB754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26.9</w:t>
            </w:r>
          </w:p>
          <w:p w14:paraId="1870EED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8.9</w:t>
            </w:r>
          </w:p>
        </w:tc>
        <w:tc>
          <w:tcPr>
            <w:tcW w:w="338" w:type="pct"/>
            <w:vMerge w:val="continue"/>
            <w:tcBorders>
              <w:tl2br w:val="nil"/>
              <w:tr2bl w:val="nil"/>
            </w:tcBorders>
            <w:shd w:val="clear" w:color="auto" w:fill="FFFFFF"/>
            <w:noWrap w:val="0"/>
            <w:vAlign w:val="center"/>
          </w:tcPr>
          <w:p w14:paraId="4514ABB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53541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518F048E">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48B6D3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液压机5</w:t>
            </w:r>
          </w:p>
        </w:tc>
        <w:tc>
          <w:tcPr>
            <w:tcW w:w="378" w:type="pct"/>
            <w:tcBorders>
              <w:tl2br w:val="nil"/>
              <w:tr2bl w:val="nil"/>
            </w:tcBorders>
            <w:shd w:val="clear" w:color="auto" w:fill="FFFFFF"/>
            <w:noWrap w:val="0"/>
            <w:vAlign w:val="center"/>
          </w:tcPr>
          <w:p w14:paraId="57CE4F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80</w:t>
            </w:r>
          </w:p>
        </w:tc>
        <w:tc>
          <w:tcPr>
            <w:tcW w:w="275" w:type="pct"/>
            <w:vMerge w:val="continue"/>
            <w:tcBorders>
              <w:tl2br w:val="nil"/>
              <w:tr2bl w:val="nil"/>
            </w:tcBorders>
            <w:shd w:val="clear" w:color="auto" w:fill="FFFFFF"/>
            <w:noWrap w:val="0"/>
            <w:vAlign w:val="center"/>
          </w:tcPr>
          <w:p w14:paraId="659FB3C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56B2A4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424" w:type="pct"/>
            <w:tcBorders>
              <w:tl2br w:val="nil"/>
              <w:tr2bl w:val="nil"/>
            </w:tcBorders>
            <w:shd w:val="clear" w:color="auto" w:fill="FFFFFF"/>
            <w:noWrap w:val="0"/>
            <w:vAlign w:val="center"/>
          </w:tcPr>
          <w:p w14:paraId="46197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296" w:type="pct"/>
            <w:tcBorders>
              <w:tl2br w:val="nil"/>
              <w:tr2bl w:val="nil"/>
            </w:tcBorders>
            <w:shd w:val="clear" w:color="auto" w:fill="FFFFFF"/>
            <w:noWrap w:val="0"/>
            <w:vAlign w:val="center"/>
          </w:tcPr>
          <w:p w14:paraId="325727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26884FE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34</w:t>
            </w:r>
          </w:p>
          <w:p w14:paraId="1868F8E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25</w:t>
            </w:r>
          </w:p>
          <w:p w14:paraId="2EB28C4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4</w:t>
            </w:r>
          </w:p>
          <w:p w14:paraId="7691DA2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29</w:t>
            </w:r>
          </w:p>
        </w:tc>
        <w:tc>
          <w:tcPr>
            <w:tcW w:w="435" w:type="pct"/>
            <w:tcBorders>
              <w:tl2br w:val="nil"/>
              <w:tr2bl w:val="nil"/>
            </w:tcBorders>
            <w:shd w:val="clear" w:color="auto" w:fill="FFFFFF"/>
            <w:noWrap w:val="0"/>
            <w:vAlign w:val="center"/>
          </w:tcPr>
          <w:p w14:paraId="0CE4A3A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49.3</w:t>
            </w:r>
          </w:p>
          <w:p w14:paraId="70665FCB">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52.0</w:t>
            </w:r>
          </w:p>
          <w:p w14:paraId="50D366D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67.9</w:t>
            </w:r>
          </w:p>
          <w:p w14:paraId="53E7BF6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50.7</w:t>
            </w:r>
          </w:p>
        </w:tc>
        <w:tc>
          <w:tcPr>
            <w:tcW w:w="378" w:type="pct"/>
            <w:vMerge w:val="continue"/>
            <w:tcBorders>
              <w:tl2br w:val="nil"/>
              <w:tr2bl w:val="nil"/>
            </w:tcBorders>
            <w:shd w:val="clear" w:color="auto" w:fill="FFFFFF"/>
            <w:noWrap w:val="0"/>
            <w:vAlign w:val="center"/>
          </w:tcPr>
          <w:p w14:paraId="0E327B5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57F43DB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6C9E65E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27.3</w:t>
            </w:r>
          </w:p>
          <w:p w14:paraId="5C50F61E">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11</w:t>
            </w:r>
          </w:p>
          <w:p w14:paraId="2572E5D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26.9</w:t>
            </w:r>
          </w:p>
          <w:p w14:paraId="31725F1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9.7</w:t>
            </w:r>
          </w:p>
        </w:tc>
        <w:tc>
          <w:tcPr>
            <w:tcW w:w="338" w:type="pct"/>
            <w:vMerge w:val="continue"/>
            <w:tcBorders>
              <w:tl2br w:val="nil"/>
              <w:tr2bl w:val="nil"/>
            </w:tcBorders>
            <w:shd w:val="clear" w:color="auto" w:fill="FFFFFF"/>
            <w:noWrap w:val="0"/>
            <w:vAlign w:val="center"/>
          </w:tcPr>
          <w:p w14:paraId="695391D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2CB70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5E92725D">
            <w:pPr>
              <w:pStyle w:val="25"/>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0BD558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3#风机</w:t>
            </w:r>
          </w:p>
        </w:tc>
        <w:tc>
          <w:tcPr>
            <w:tcW w:w="378" w:type="pct"/>
            <w:tcBorders>
              <w:tl2br w:val="nil"/>
              <w:tr2bl w:val="nil"/>
            </w:tcBorders>
            <w:shd w:val="clear" w:color="auto" w:fill="FFFFFF"/>
            <w:noWrap w:val="0"/>
            <w:vAlign w:val="center"/>
          </w:tcPr>
          <w:p w14:paraId="6F9364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75" w:type="pct"/>
            <w:vMerge w:val="continue"/>
            <w:tcBorders>
              <w:tl2br w:val="nil"/>
              <w:tr2bl w:val="nil"/>
            </w:tcBorders>
            <w:shd w:val="clear" w:color="auto" w:fill="FFFFFF"/>
            <w:noWrap w:val="0"/>
            <w:vAlign w:val="center"/>
          </w:tcPr>
          <w:p w14:paraId="48718BE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6DA3E0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424" w:type="pct"/>
            <w:tcBorders>
              <w:tl2br w:val="nil"/>
              <w:tr2bl w:val="nil"/>
            </w:tcBorders>
            <w:shd w:val="clear" w:color="auto" w:fill="FFFFFF"/>
            <w:noWrap w:val="0"/>
            <w:vAlign w:val="center"/>
          </w:tcPr>
          <w:p w14:paraId="61BC9E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w:t>
            </w:r>
          </w:p>
        </w:tc>
        <w:tc>
          <w:tcPr>
            <w:tcW w:w="296" w:type="pct"/>
            <w:tcBorders>
              <w:tl2br w:val="nil"/>
              <w:tr2bl w:val="nil"/>
            </w:tcBorders>
            <w:shd w:val="clear" w:color="auto" w:fill="FFFFFF"/>
            <w:noWrap w:val="0"/>
            <w:vAlign w:val="center"/>
          </w:tcPr>
          <w:p w14:paraId="3EB3A8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546E8F7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12</w:t>
            </w:r>
          </w:p>
          <w:p w14:paraId="2DA7C1B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1</w:t>
            </w:r>
          </w:p>
          <w:p w14:paraId="5ACB44F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26</w:t>
            </w:r>
          </w:p>
          <w:p w14:paraId="17F3A58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53</w:t>
            </w:r>
          </w:p>
        </w:tc>
        <w:tc>
          <w:tcPr>
            <w:tcW w:w="435" w:type="pct"/>
            <w:tcBorders>
              <w:tl2br w:val="nil"/>
              <w:tr2bl w:val="nil"/>
            </w:tcBorders>
            <w:shd w:val="clear" w:color="auto" w:fill="FFFFFF"/>
            <w:noWrap w:val="0"/>
            <w:vAlign w:val="center"/>
          </w:tcPr>
          <w:p w14:paraId="0815685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63.4</w:t>
            </w:r>
          </w:p>
          <w:p w14:paraId="4BC48D8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85</w:t>
            </w:r>
          </w:p>
          <w:p w14:paraId="23900CF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56.7</w:t>
            </w:r>
          </w:p>
          <w:p w14:paraId="3E15042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50.4</w:t>
            </w:r>
          </w:p>
        </w:tc>
        <w:tc>
          <w:tcPr>
            <w:tcW w:w="378" w:type="pct"/>
            <w:vMerge w:val="continue"/>
            <w:tcBorders>
              <w:tl2br w:val="nil"/>
              <w:tr2bl w:val="nil"/>
            </w:tcBorders>
            <w:shd w:val="clear" w:color="auto" w:fill="FFFFFF"/>
            <w:noWrap w:val="0"/>
            <w:vAlign w:val="center"/>
          </w:tcPr>
          <w:p w14:paraId="0A17823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tcBorders>
              <w:tl2br w:val="nil"/>
              <w:tr2bl w:val="nil"/>
            </w:tcBorders>
            <w:shd w:val="clear" w:color="auto" w:fill="FFFFFF"/>
            <w:noWrap w:val="0"/>
            <w:vAlign w:val="center"/>
          </w:tcPr>
          <w:p w14:paraId="711926D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6DFD922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41.4</w:t>
            </w:r>
          </w:p>
          <w:p w14:paraId="56072B7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ascii="Times New Roman" w:hAnsi="Times New Roman" w:cs="Times New Roman"/>
                <w:color w:val="auto"/>
                <w:sz w:val="21"/>
                <w:szCs w:val="21"/>
                <w:u w:val="none" w:color="auto"/>
                <w:lang w:val="en-US" w:eastAsia="zh-CN"/>
              </w:rPr>
              <w:t>44</w:t>
            </w:r>
          </w:p>
          <w:p w14:paraId="32A2292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15.7</w:t>
            </w:r>
          </w:p>
          <w:p w14:paraId="60257FED">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ascii="Times New Roman" w:hAnsi="Times New Roman" w:cs="Times New Roman"/>
                <w:color w:val="auto"/>
                <w:sz w:val="21"/>
                <w:szCs w:val="21"/>
                <w:u w:val="none" w:color="auto"/>
                <w:lang w:val="en-US" w:eastAsia="zh-CN"/>
              </w:rPr>
              <w:t>9.4</w:t>
            </w:r>
          </w:p>
        </w:tc>
        <w:tc>
          <w:tcPr>
            <w:tcW w:w="338" w:type="pct"/>
            <w:tcBorders>
              <w:tl2br w:val="nil"/>
              <w:tr2bl w:val="nil"/>
            </w:tcBorders>
            <w:shd w:val="clear" w:color="auto" w:fill="FFFFFF"/>
            <w:noWrap w:val="0"/>
            <w:vAlign w:val="center"/>
          </w:tcPr>
          <w:p w14:paraId="5578CCD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bookmarkEnd w:id="1060"/>
    </w:tbl>
    <w:p w14:paraId="29E4D8B4">
      <w:pPr>
        <w:shd w:val="clear" w:color="auto" w:fil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val="0"/>
          <w:bCs/>
          <w:color w:val="auto"/>
          <w:sz w:val="21"/>
          <w:szCs w:val="21"/>
          <w:highlight w:val="none"/>
          <w:u w:val="none" w:color="auto"/>
          <w:lang w:val="en-US" w:eastAsia="zh-CN"/>
        </w:rPr>
        <w:t>备注：表中坐标以厂界中心（</w:t>
      </w:r>
      <w:r>
        <w:rPr>
          <w:rFonts w:hint="eastAsia" w:ascii="Times New Roman" w:hAnsi="Times New Roman" w:eastAsia="宋体" w:cs="Times New Roman"/>
          <w:color w:val="auto"/>
          <w:kern w:val="2"/>
          <w:sz w:val="21"/>
          <w:szCs w:val="21"/>
          <w:highlight w:val="none"/>
          <w:u w:val="none" w:color="auto"/>
          <w:lang w:val="en-US" w:eastAsia="zh-CN" w:bidi="ar-SA"/>
        </w:rPr>
        <w:t>东经113.150629、北纬28.484262</w:t>
      </w:r>
      <w:r>
        <w:rPr>
          <w:rFonts w:hint="default" w:ascii="Times New Roman" w:hAnsi="Times New Roman" w:eastAsia="宋体" w:cs="Times New Roman"/>
          <w:b w:val="0"/>
          <w:bCs/>
          <w:color w:val="auto"/>
          <w:sz w:val="21"/>
          <w:szCs w:val="21"/>
          <w:highlight w:val="none"/>
          <w:u w:val="none" w:color="auto"/>
          <w:lang w:val="en-US" w:eastAsia="zh-CN"/>
        </w:rPr>
        <w:t>）为坐标原点，正东向为X轴正方向，正北向为Y轴正方向。</w:t>
      </w:r>
    </w:p>
    <w:p w14:paraId="2B3FF841">
      <w:pPr>
        <w:pStyle w:val="31"/>
        <w:bidi w:val="0"/>
        <w:rPr>
          <w:rFonts w:hint="eastAsia"/>
          <w:color w:val="auto"/>
          <w:u w:val="none" w:color="auto"/>
          <w:lang w:val="en-US" w:eastAsia="zh-CN"/>
        </w:rPr>
      </w:pPr>
      <w:r>
        <w:rPr>
          <w:rFonts w:hint="eastAsia" w:ascii="Times New Roman" w:hAnsi="Times New Roman" w:cs="Times New Roman"/>
          <w:color w:val="auto"/>
          <w:u w:val="none" w:color="auto"/>
          <w:lang w:val="en-US" w:eastAsia="zh-CN"/>
        </w:rPr>
        <w:t>表</w:t>
      </w:r>
      <w:r>
        <w:rPr>
          <w:rFonts w:hint="eastAsia" w:cs="Times New Roman"/>
          <w:color w:val="auto"/>
          <w:u w:val="none" w:color="auto"/>
          <w:lang w:val="en-US" w:eastAsia="zh-CN"/>
        </w:rPr>
        <w:t>5</w:t>
      </w:r>
      <w:r>
        <w:rPr>
          <w:rFonts w:hint="eastAsia" w:ascii="Times New Roman" w:hAnsi="Times New Roman" w:cs="Times New Roman"/>
          <w:color w:val="auto"/>
          <w:u w:val="none" w:color="auto"/>
          <w:lang w:val="en-US" w:eastAsia="zh-CN"/>
        </w:rPr>
        <w:t>.2-</w:t>
      </w:r>
      <w:r>
        <w:rPr>
          <w:rFonts w:hint="eastAsia" w:cs="Times New Roman"/>
          <w:color w:val="auto"/>
          <w:u w:val="none" w:color="auto"/>
          <w:lang w:val="en-US" w:eastAsia="zh-CN"/>
        </w:rPr>
        <w:t>20</w:t>
      </w:r>
      <w:r>
        <w:rPr>
          <w:rFonts w:hint="eastAsia" w:ascii="Times New Roman" w:hAnsi="Times New Roman" w:cs="Times New Roman"/>
          <w:color w:val="auto"/>
          <w:u w:val="none" w:color="auto"/>
          <w:lang w:val="en-US" w:eastAsia="zh-CN"/>
        </w:rPr>
        <w:t xml:space="preserve"> </w:t>
      </w:r>
      <w:r>
        <w:rPr>
          <w:rFonts w:hint="default"/>
          <w:color w:val="auto"/>
          <w:u w:val="none" w:color="auto"/>
          <w:lang w:val="en-US" w:eastAsia="zh-CN"/>
        </w:rPr>
        <w:t>项目</w:t>
      </w:r>
      <w:r>
        <w:rPr>
          <w:rFonts w:hint="eastAsia"/>
          <w:color w:val="auto"/>
          <w:u w:val="none" w:color="auto"/>
          <w:lang w:val="en-US" w:eastAsia="zh-CN"/>
        </w:rPr>
        <w:t>主要设备噪声源强调查清单（室外声源）</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31"/>
        <w:gridCol w:w="791"/>
        <w:gridCol w:w="728"/>
        <w:gridCol w:w="728"/>
        <w:gridCol w:w="2126"/>
        <w:gridCol w:w="1395"/>
        <w:gridCol w:w="1034"/>
      </w:tblGrid>
      <w:tr w14:paraId="43ED6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restart"/>
            <w:tcBorders>
              <w:tl2br w:val="nil"/>
              <w:tr2bl w:val="nil"/>
            </w:tcBorders>
            <w:noWrap w:val="0"/>
            <w:vAlign w:val="center"/>
          </w:tcPr>
          <w:p w14:paraId="1E232F2E">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序号</w:t>
            </w:r>
          </w:p>
        </w:tc>
        <w:tc>
          <w:tcPr>
            <w:tcW w:w="1031" w:type="dxa"/>
            <w:vMerge w:val="restart"/>
            <w:tcBorders>
              <w:tl2br w:val="nil"/>
              <w:tr2bl w:val="nil"/>
            </w:tcBorders>
            <w:noWrap w:val="0"/>
            <w:vAlign w:val="center"/>
          </w:tcPr>
          <w:p w14:paraId="7AF45F3C">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声源名称</w:t>
            </w:r>
          </w:p>
        </w:tc>
        <w:tc>
          <w:tcPr>
            <w:tcW w:w="2247" w:type="dxa"/>
            <w:gridSpan w:val="3"/>
            <w:tcBorders>
              <w:tl2br w:val="nil"/>
              <w:tr2bl w:val="nil"/>
            </w:tcBorders>
            <w:noWrap w:val="0"/>
            <w:vAlign w:val="center"/>
          </w:tcPr>
          <w:p w14:paraId="6B97A32F">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空间相对位置/m</w:t>
            </w:r>
          </w:p>
        </w:tc>
        <w:tc>
          <w:tcPr>
            <w:tcW w:w="2126" w:type="dxa"/>
            <w:tcBorders>
              <w:tl2br w:val="nil"/>
              <w:tr2bl w:val="nil"/>
            </w:tcBorders>
            <w:noWrap w:val="0"/>
            <w:vAlign w:val="center"/>
          </w:tcPr>
          <w:p w14:paraId="4931DA8B">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b/>
                <w:color w:val="auto"/>
                <w:sz w:val="21"/>
                <w:szCs w:val="21"/>
                <w:u w:val="none" w:color="auto"/>
                <w:lang w:eastAsia="zh-CN"/>
              </w:rPr>
              <w:t>声源源强</w:t>
            </w:r>
          </w:p>
        </w:tc>
        <w:tc>
          <w:tcPr>
            <w:tcW w:w="1395" w:type="dxa"/>
            <w:vMerge w:val="restart"/>
            <w:tcBorders>
              <w:tl2br w:val="nil"/>
              <w:tr2bl w:val="nil"/>
            </w:tcBorders>
            <w:noWrap w:val="0"/>
            <w:vAlign w:val="center"/>
          </w:tcPr>
          <w:p w14:paraId="62C93479">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声源控制措施</w:t>
            </w:r>
          </w:p>
        </w:tc>
        <w:tc>
          <w:tcPr>
            <w:tcW w:w="1034" w:type="dxa"/>
            <w:vMerge w:val="restart"/>
            <w:tcBorders>
              <w:tl2br w:val="nil"/>
              <w:tr2bl w:val="nil"/>
            </w:tcBorders>
            <w:noWrap w:val="0"/>
            <w:vAlign w:val="center"/>
          </w:tcPr>
          <w:p w14:paraId="2C2E0281">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运行时段</w:t>
            </w:r>
          </w:p>
        </w:tc>
      </w:tr>
      <w:tr w14:paraId="6ADBB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shd w:val="clear" w:color="auto" w:fill="FFFFFF"/>
            <w:noWrap w:val="0"/>
            <w:vAlign w:val="center"/>
          </w:tcPr>
          <w:p w14:paraId="4BF2236D">
            <w:pPr>
              <w:jc w:val="center"/>
              <w:rPr>
                <w:rFonts w:hint="default" w:ascii="Times New Roman" w:hAnsi="Times New Roman" w:eastAsia="宋体" w:cs="Times New Roman"/>
                <w:color w:val="auto"/>
                <w:sz w:val="21"/>
                <w:szCs w:val="21"/>
                <w:u w:val="none" w:color="auto"/>
              </w:rPr>
            </w:pPr>
          </w:p>
        </w:tc>
        <w:tc>
          <w:tcPr>
            <w:tcW w:w="1031" w:type="dxa"/>
            <w:vMerge w:val="continue"/>
            <w:tcBorders>
              <w:tl2br w:val="nil"/>
              <w:tr2bl w:val="nil"/>
            </w:tcBorders>
            <w:shd w:val="clear" w:color="auto" w:fill="FFFFFF"/>
            <w:noWrap w:val="0"/>
            <w:vAlign w:val="center"/>
          </w:tcPr>
          <w:p w14:paraId="6076B3C9">
            <w:pPr>
              <w:jc w:val="center"/>
              <w:rPr>
                <w:rFonts w:hint="default" w:ascii="Times New Roman" w:hAnsi="Times New Roman" w:eastAsia="宋体" w:cs="Times New Roman"/>
                <w:color w:val="auto"/>
                <w:sz w:val="21"/>
                <w:szCs w:val="21"/>
                <w:u w:val="none" w:color="auto"/>
              </w:rPr>
            </w:pPr>
          </w:p>
        </w:tc>
        <w:tc>
          <w:tcPr>
            <w:tcW w:w="791" w:type="dxa"/>
            <w:tcBorders>
              <w:tl2br w:val="nil"/>
              <w:tr2bl w:val="nil"/>
            </w:tcBorders>
            <w:shd w:val="clear" w:color="auto" w:fill="FFFFFF"/>
            <w:noWrap w:val="0"/>
            <w:vAlign w:val="center"/>
          </w:tcPr>
          <w:p w14:paraId="28AC9204">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X</w:t>
            </w:r>
          </w:p>
        </w:tc>
        <w:tc>
          <w:tcPr>
            <w:tcW w:w="728" w:type="dxa"/>
            <w:tcBorders>
              <w:tl2br w:val="nil"/>
              <w:tr2bl w:val="nil"/>
            </w:tcBorders>
            <w:shd w:val="clear" w:color="auto" w:fill="FFFFFF"/>
            <w:noWrap w:val="0"/>
            <w:vAlign w:val="center"/>
          </w:tcPr>
          <w:p w14:paraId="50802306">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Y</w:t>
            </w:r>
          </w:p>
        </w:tc>
        <w:tc>
          <w:tcPr>
            <w:tcW w:w="728" w:type="dxa"/>
            <w:tcBorders>
              <w:tl2br w:val="nil"/>
              <w:tr2bl w:val="nil"/>
            </w:tcBorders>
            <w:shd w:val="clear" w:color="auto" w:fill="FFFFFF"/>
            <w:noWrap w:val="0"/>
            <w:vAlign w:val="center"/>
          </w:tcPr>
          <w:p w14:paraId="220E0AA2">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Z</w:t>
            </w:r>
          </w:p>
        </w:tc>
        <w:tc>
          <w:tcPr>
            <w:tcW w:w="2126" w:type="dxa"/>
            <w:tcBorders>
              <w:tl2br w:val="nil"/>
              <w:tr2bl w:val="nil"/>
            </w:tcBorders>
            <w:shd w:val="clear" w:color="auto" w:fill="FFFFFF"/>
            <w:noWrap w:val="0"/>
            <w:vAlign w:val="center"/>
          </w:tcPr>
          <w:p w14:paraId="2365A01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声功率级/dB(A)</w:t>
            </w:r>
          </w:p>
        </w:tc>
        <w:tc>
          <w:tcPr>
            <w:tcW w:w="1395" w:type="dxa"/>
            <w:vMerge w:val="continue"/>
            <w:tcBorders>
              <w:tl2br w:val="nil"/>
              <w:tr2bl w:val="nil"/>
            </w:tcBorders>
            <w:shd w:val="clear" w:color="auto" w:fill="FFFFFF"/>
            <w:noWrap w:val="0"/>
            <w:vAlign w:val="center"/>
          </w:tcPr>
          <w:p w14:paraId="3D52014A">
            <w:pPr>
              <w:jc w:val="center"/>
              <w:rPr>
                <w:rFonts w:hint="default" w:ascii="Times New Roman" w:hAnsi="Times New Roman" w:eastAsia="宋体" w:cs="Times New Roman"/>
                <w:color w:val="auto"/>
                <w:sz w:val="21"/>
                <w:szCs w:val="21"/>
                <w:u w:val="none" w:color="auto"/>
              </w:rPr>
            </w:pPr>
          </w:p>
        </w:tc>
        <w:tc>
          <w:tcPr>
            <w:tcW w:w="1034" w:type="dxa"/>
            <w:vMerge w:val="continue"/>
            <w:tcBorders>
              <w:tl2br w:val="nil"/>
              <w:tr2bl w:val="nil"/>
            </w:tcBorders>
            <w:shd w:val="clear" w:color="auto" w:fill="FFFFFF"/>
            <w:noWrap w:val="0"/>
            <w:vAlign w:val="center"/>
          </w:tcPr>
          <w:p w14:paraId="5BFFDFE0">
            <w:pPr>
              <w:jc w:val="center"/>
              <w:rPr>
                <w:rFonts w:hint="default" w:ascii="Times New Roman" w:hAnsi="Times New Roman" w:eastAsia="宋体" w:cs="Times New Roman"/>
                <w:color w:val="auto"/>
                <w:sz w:val="21"/>
                <w:szCs w:val="21"/>
                <w:u w:val="none" w:color="auto"/>
              </w:rPr>
            </w:pPr>
          </w:p>
        </w:tc>
      </w:tr>
      <w:tr w14:paraId="3F82B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128515A7">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031" w:type="dxa"/>
            <w:tcBorders>
              <w:tl2br w:val="nil"/>
              <w:tr2bl w:val="nil"/>
            </w:tcBorders>
            <w:shd w:val="clear" w:color="auto" w:fill="FFFFFF"/>
            <w:noWrap w:val="0"/>
            <w:vAlign w:val="center"/>
          </w:tcPr>
          <w:p w14:paraId="0A5932A9">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风机</w:t>
            </w:r>
          </w:p>
        </w:tc>
        <w:tc>
          <w:tcPr>
            <w:tcW w:w="791" w:type="dxa"/>
            <w:tcBorders>
              <w:tl2br w:val="nil"/>
              <w:tr2bl w:val="nil"/>
            </w:tcBorders>
            <w:shd w:val="clear" w:color="auto" w:fill="FFFFFF"/>
            <w:noWrap w:val="0"/>
            <w:vAlign w:val="center"/>
          </w:tcPr>
          <w:p w14:paraId="7CC68391">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728" w:type="dxa"/>
            <w:tcBorders>
              <w:tl2br w:val="nil"/>
              <w:tr2bl w:val="nil"/>
            </w:tcBorders>
            <w:shd w:val="clear" w:color="auto" w:fill="FFFFFF"/>
            <w:noWrap w:val="0"/>
            <w:vAlign w:val="center"/>
          </w:tcPr>
          <w:p w14:paraId="1912984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-44.5</w:t>
            </w:r>
          </w:p>
        </w:tc>
        <w:tc>
          <w:tcPr>
            <w:tcW w:w="728" w:type="dxa"/>
            <w:tcBorders>
              <w:tl2br w:val="nil"/>
              <w:tr2bl w:val="nil"/>
            </w:tcBorders>
            <w:shd w:val="clear" w:color="auto" w:fill="FFFFFF"/>
            <w:noWrap w:val="0"/>
            <w:vAlign w:val="center"/>
          </w:tcPr>
          <w:p w14:paraId="009AAB0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126" w:type="dxa"/>
            <w:tcBorders>
              <w:tl2br w:val="nil"/>
              <w:tr2bl w:val="nil"/>
            </w:tcBorders>
            <w:shd w:val="clear" w:color="auto" w:fill="FFFFFF"/>
            <w:noWrap w:val="0"/>
            <w:vAlign w:val="center"/>
          </w:tcPr>
          <w:p w14:paraId="7869379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85</w:t>
            </w:r>
          </w:p>
        </w:tc>
        <w:tc>
          <w:tcPr>
            <w:tcW w:w="1395" w:type="dxa"/>
            <w:tcBorders>
              <w:tl2br w:val="nil"/>
              <w:tr2bl w:val="nil"/>
            </w:tcBorders>
            <w:shd w:val="clear" w:color="auto" w:fill="FFFFFF"/>
            <w:noWrap w:val="0"/>
            <w:vAlign w:val="center"/>
          </w:tcPr>
          <w:p w14:paraId="176C16B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选用低噪声设备、基础减震</w:t>
            </w:r>
          </w:p>
        </w:tc>
        <w:tc>
          <w:tcPr>
            <w:tcW w:w="1034" w:type="dxa"/>
            <w:tcBorders>
              <w:tl2br w:val="nil"/>
              <w:tr2bl w:val="nil"/>
            </w:tcBorders>
            <w:shd w:val="clear" w:color="auto" w:fill="FFFFFF"/>
            <w:noWrap w:val="0"/>
            <w:vAlign w:val="center"/>
          </w:tcPr>
          <w:p w14:paraId="4816866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昼间</w:t>
            </w:r>
          </w:p>
        </w:tc>
      </w:tr>
    </w:tbl>
    <w:p w14:paraId="0D0A2932">
      <w:pPr>
        <w:pStyle w:val="21"/>
        <w:ind w:left="0" w:leftChars="0" w:firstLine="0" w:firstLineChars="0"/>
        <w:rPr>
          <w:rFonts w:hint="default" w:ascii="Times New Roman" w:hAnsi="Times New Roman" w:cs="Times New Roman"/>
          <w:color w:val="auto"/>
          <w:u w:val="none" w:color="auto"/>
        </w:rPr>
      </w:pPr>
      <w:r>
        <w:rPr>
          <w:rFonts w:hint="default" w:ascii="Times New Roman" w:hAnsi="Times New Roman" w:eastAsia="宋体" w:cs="Times New Roman"/>
          <w:b w:val="0"/>
          <w:bCs/>
          <w:color w:val="auto"/>
          <w:sz w:val="21"/>
          <w:szCs w:val="21"/>
          <w:highlight w:val="none"/>
          <w:u w:val="none" w:color="auto"/>
          <w:lang w:val="en-US" w:eastAsia="zh-CN"/>
        </w:rPr>
        <w:t>备注：表中坐标以厂界中心（</w:t>
      </w:r>
      <w:r>
        <w:rPr>
          <w:rFonts w:hint="eastAsia" w:ascii="Times New Roman" w:hAnsi="Times New Roman" w:eastAsia="宋体" w:cs="Times New Roman"/>
          <w:color w:val="auto"/>
          <w:kern w:val="2"/>
          <w:sz w:val="21"/>
          <w:szCs w:val="21"/>
          <w:highlight w:val="none"/>
          <w:u w:val="none" w:color="auto"/>
          <w:lang w:val="en-US" w:eastAsia="zh-CN" w:bidi="ar-SA"/>
        </w:rPr>
        <w:t>东经113.150629、北纬28.484262</w:t>
      </w:r>
      <w:r>
        <w:rPr>
          <w:rFonts w:hint="default" w:ascii="Times New Roman" w:hAnsi="Times New Roman" w:eastAsia="宋体" w:cs="Times New Roman"/>
          <w:b w:val="0"/>
          <w:bCs/>
          <w:color w:val="auto"/>
          <w:sz w:val="21"/>
          <w:szCs w:val="21"/>
          <w:highlight w:val="none"/>
          <w:u w:val="none" w:color="auto"/>
          <w:lang w:val="en-US" w:eastAsia="zh-CN"/>
        </w:rPr>
        <w:t>）为坐标原点，正东向为X轴正方向，正北向为Y轴正方向。</w:t>
      </w:r>
    </w:p>
    <w:p w14:paraId="4EEC704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2、预测模式选择</w:t>
      </w:r>
    </w:p>
    <w:p w14:paraId="713FEB75">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eastAsia"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rPr>
        <w:t>按照《环境影响评价技术导则声环境（HJ2.4-2021）》的要求，本项目可选择点声源预测模式，来模拟预测本项目主要声源排放噪声随距离的衰减变化规律。</w:t>
      </w:r>
    </w:p>
    <w:p w14:paraId="0D9B4821">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①对室外噪声源主要考虑噪声的几何发散衰减及环境因素衰减：</w:t>
      </w:r>
    </w:p>
    <w:p w14:paraId="6ABF88A6">
      <w:pPr>
        <w:keepNext w:val="0"/>
        <w:keepLines w:val="0"/>
        <w:pageBreakBefore w:val="0"/>
        <w:widowControl w:val="0"/>
        <w:kinsoku/>
        <w:wordWrap/>
        <w:overflowPunct/>
        <w:topLinePunct w:val="0"/>
        <w:autoSpaceDE/>
        <w:autoSpaceDN/>
        <w:bidi w:val="0"/>
        <w:adjustRightInd/>
        <w:snapToGrid/>
        <w:spacing w:afterAutospacing="0" w:line="360" w:lineRule="auto"/>
        <w:jc w:val="center"/>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-20lg(r</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w:t>
      </w:r>
    </w:p>
    <w:p w14:paraId="3C5AB510">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式中：L</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——点声源在预测点产生的声压级，dB(A)；</w:t>
      </w:r>
    </w:p>
    <w:p w14:paraId="56A194C5">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——点声源在参考点产生的声压级，dB(A)；</w:t>
      </w:r>
    </w:p>
    <w:p w14:paraId="5BF0C236">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——预测点距声源的距离，m；</w:t>
      </w:r>
    </w:p>
    <w:p w14:paraId="55B94EDD">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——参考点距声源的距离，m。</w:t>
      </w:r>
    </w:p>
    <w:p w14:paraId="451C1CFB">
      <w:pPr>
        <w:pStyle w:val="21"/>
        <w:bidi w:val="0"/>
        <w:rPr>
          <w:rFonts w:hint="default"/>
          <w:color w:val="auto"/>
          <w:u w:val="none" w:color="auto"/>
        </w:rPr>
      </w:pPr>
      <w:r>
        <w:rPr>
          <w:rFonts w:hint="default"/>
          <w:color w:val="auto"/>
          <w:u w:val="none" w:color="auto"/>
        </w:rPr>
        <w:t>②对室内噪声源采用室内声源噪声模式并换算成等效的室外声源：</w:t>
      </w:r>
    </w:p>
    <w:p w14:paraId="73E7E7B9">
      <w:pPr>
        <w:pStyle w:val="21"/>
        <w:bidi w:val="0"/>
        <w:ind w:left="0" w:leftChars="0" w:firstLine="0" w:firstLineChars="0"/>
        <w:jc w:val="center"/>
        <w:rPr>
          <w:rFonts w:hint="default"/>
          <w:color w:val="auto"/>
          <w:u w:val="none" w:color="auto"/>
        </w:rPr>
      </w:pPr>
      <w:r>
        <w:rPr>
          <w:rFonts w:hint="default"/>
          <w:color w:val="auto"/>
          <w:u w:val="none" w:color="auto"/>
        </w:rPr>
        <w:t>L</w:t>
      </w:r>
      <w:r>
        <w:rPr>
          <w:rFonts w:hint="default"/>
          <w:color w:val="auto"/>
          <w:u w:val="none" w:color="auto"/>
          <w:vertAlign w:val="subscript"/>
        </w:rPr>
        <w:t>p2</w:t>
      </w:r>
      <w:r>
        <w:rPr>
          <w:rFonts w:hint="default"/>
          <w:color w:val="auto"/>
          <w:u w:val="none" w:color="auto"/>
        </w:rPr>
        <w:t>=L</w:t>
      </w:r>
      <w:r>
        <w:rPr>
          <w:rFonts w:hint="default"/>
          <w:color w:val="auto"/>
          <w:u w:val="none" w:color="auto"/>
          <w:vertAlign w:val="subscript"/>
        </w:rPr>
        <w:t>p1</w:t>
      </w:r>
      <w:r>
        <w:rPr>
          <w:rFonts w:hint="default"/>
          <w:color w:val="auto"/>
          <w:u w:val="none" w:color="auto"/>
        </w:rPr>
        <w:t>-(TL+6)</w:t>
      </w:r>
    </w:p>
    <w:p w14:paraId="60533A46">
      <w:pPr>
        <w:pStyle w:val="21"/>
        <w:bidi w:val="0"/>
        <w:ind w:left="0" w:leftChars="0" w:firstLine="0" w:firstLineChars="0"/>
        <w:jc w:val="center"/>
        <w:rPr>
          <w:rFonts w:hint="default"/>
          <w:color w:val="auto"/>
          <w:u w:val="none" w:color="auto"/>
        </w:rPr>
      </w:pPr>
      <w:r>
        <w:rPr>
          <w:color w:val="auto"/>
          <w:u w:val="none" w:color="auto"/>
        </w:rPr>
        <w:drawing>
          <wp:inline distT="0" distB="0" distL="114300" distR="114300">
            <wp:extent cx="1857375" cy="504825"/>
            <wp:effectExtent l="0" t="0" r="9525" b="952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36"/>
                    <a:stretch>
                      <a:fillRect/>
                    </a:stretch>
                  </pic:blipFill>
                  <pic:spPr>
                    <a:xfrm>
                      <a:off x="0" y="0"/>
                      <a:ext cx="1857375" cy="504825"/>
                    </a:xfrm>
                    <a:prstGeom prst="rect">
                      <a:avLst/>
                    </a:prstGeom>
                    <a:noFill/>
                    <a:ln>
                      <a:noFill/>
                    </a:ln>
                  </pic:spPr>
                </pic:pic>
              </a:graphicData>
            </a:graphic>
          </wp:inline>
        </w:drawing>
      </w:r>
    </w:p>
    <w:p w14:paraId="09E98109">
      <w:pPr>
        <w:pStyle w:val="21"/>
        <w:bidi w:val="0"/>
        <w:ind w:left="0" w:leftChars="0" w:firstLine="0" w:firstLineChars="0"/>
        <w:jc w:val="center"/>
        <w:rPr>
          <w:rFonts w:hint="default"/>
          <w:color w:val="auto"/>
          <w:u w:val="none" w:color="auto"/>
        </w:rPr>
      </w:pPr>
      <w:r>
        <w:rPr>
          <w:rFonts w:hint="default"/>
          <w:color w:val="auto"/>
          <w:u w:val="none" w:color="auto"/>
        </w:rPr>
        <w:t>L</w:t>
      </w:r>
      <w:r>
        <w:rPr>
          <w:rFonts w:hint="default"/>
          <w:color w:val="auto"/>
          <w:u w:val="none" w:color="auto"/>
          <w:vertAlign w:val="subscript"/>
        </w:rPr>
        <w:t>w</w:t>
      </w:r>
      <w:r>
        <w:rPr>
          <w:rFonts w:hint="default"/>
          <w:color w:val="auto"/>
          <w:u w:val="none" w:color="auto"/>
        </w:rPr>
        <w:t>=L</w:t>
      </w:r>
      <w:r>
        <w:rPr>
          <w:rFonts w:hint="default"/>
          <w:color w:val="auto"/>
          <w:u w:val="none" w:color="auto"/>
          <w:vertAlign w:val="subscript"/>
        </w:rPr>
        <w:t>p2</w:t>
      </w:r>
      <w:r>
        <w:rPr>
          <w:rFonts w:hint="default"/>
          <w:color w:val="auto"/>
          <w:u w:val="none" w:color="auto"/>
        </w:rPr>
        <w:t>(T)+10lgS</w:t>
      </w:r>
    </w:p>
    <w:p w14:paraId="59A21EBD">
      <w:pPr>
        <w:pStyle w:val="21"/>
        <w:bidi w:val="0"/>
        <w:rPr>
          <w:rFonts w:hint="default"/>
          <w:color w:val="auto"/>
          <w:u w:val="none" w:color="auto"/>
        </w:rPr>
      </w:pPr>
      <w:r>
        <w:rPr>
          <w:rFonts w:hint="default"/>
          <w:color w:val="auto"/>
          <w:u w:val="none" w:color="auto"/>
        </w:rPr>
        <w:t>式中：L</w:t>
      </w:r>
      <w:r>
        <w:rPr>
          <w:rFonts w:hint="default"/>
          <w:color w:val="auto"/>
          <w:u w:val="none" w:color="auto"/>
          <w:vertAlign w:val="subscript"/>
        </w:rPr>
        <w:t>p1</w:t>
      </w:r>
      <w:r>
        <w:rPr>
          <w:rFonts w:hint="default"/>
          <w:color w:val="auto"/>
          <w:u w:val="none" w:color="auto"/>
        </w:rPr>
        <w:t>——靠近开口处（或窗户）室内某倍频带的声压级或 A 声级，dB；</w:t>
      </w:r>
    </w:p>
    <w:p w14:paraId="37F5865D">
      <w:pPr>
        <w:pStyle w:val="21"/>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p2</w:t>
      </w:r>
      <w:r>
        <w:rPr>
          <w:rFonts w:hint="default"/>
          <w:color w:val="auto"/>
          <w:u w:val="none" w:color="auto"/>
        </w:rPr>
        <w:t>——靠近开口处（或窗户）室外某倍频带的声压级或 A 声级，dB；</w:t>
      </w:r>
    </w:p>
    <w:p w14:paraId="632261F6">
      <w:pPr>
        <w:pStyle w:val="21"/>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W</w:t>
      </w:r>
      <w:r>
        <w:rPr>
          <w:rFonts w:hint="default"/>
          <w:color w:val="auto"/>
          <w:u w:val="none" w:color="auto"/>
        </w:rPr>
        <w:t>——点声源声功率级，dB；</w:t>
      </w:r>
    </w:p>
    <w:p w14:paraId="430FE487">
      <w:pPr>
        <w:pStyle w:val="21"/>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w:t>
      </w:r>
      <w:r>
        <w:rPr>
          <w:rFonts w:hint="default"/>
          <w:color w:val="auto"/>
          <w:u w:val="none" w:color="auto"/>
        </w:rPr>
        <w:t>——声源的声压级，dB；</w:t>
      </w:r>
    </w:p>
    <w:p w14:paraId="1412B115">
      <w:pPr>
        <w:pStyle w:val="21"/>
        <w:bidi w:val="0"/>
        <w:ind w:firstLine="1200" w:firstLineChars="500"/>
        <w:rPr>
          <w:rFonts w:hint="default"/>
          <w:color w:val="auto"/>
          <w:u w:val="none" w:color="auto"/>
        </w:rPr>
      </w:pPr>
      <w:r>
        <w:rPr>
          <w:rFonts w:hint="default"/>
          <w:color w:val="auto"/>
          <w:u w:val="none" w:color="auto"/>
        </w:rPr>
        <w:t>r——声源靠近围护结构某点处的距离，m；</w:t>
      </w:r>
    </w:p>
    <w:p w14:paraId="66F600A1">
      <w:pPr>
        <w:pStyle w:val="21"/>
        <w:bidi w:val="0"/>
        <w:ind w:firstLine="1200" w:firstLineChars="500"/>
        <w:rPr>
          <w:rFonts w:hint="default"/>
          <w:color w:val="auto"/>
          <w:u w:val="none" w:color="auto"/>
        </w:rPr>
      </w:pPr>
      <w:r>
        <w:rPr>
          <w:rFonts w:hint="default"/>
          <w:color w:val="auto"/>
          <w:u w:val="none" w:color="auto"/>
        </w:rPr>
        <w:t>R——房间常数，m</w:t>
      </w:r>
      <w:r>
        <w:rPr>
          <w:rFonts w:hint="default"/>
          <w:color w:val="auto"/>
          <w:u w:val="none" w:color="auto"/>
          <w:vertAlign w:val="superscript"/>
        </w:rPr>
        <w:t>2</w:t>
      </w:r>
      <w:r>
        <w:rPr>
          <w:rFonts w:hint="default"/>
          <w:color w:val="auto"/>
          <w:u w:val="none" w:color="auto"/>
        </w:rPr>
        <w:t>；</w:t>
      </w:r>
    </w:p>
    <w:p w14:paraId="674FC565">
      <w:pPr>
        <w:pStyle w:val="21"/>
        <w:bidi w:val="0"/>
        <w:ind w:firstLine="1200" w:firstLineChars="500"/>
        <w:rPr>
          <w:rFonts w:hint="default"/>
          <w:color w:val="auto"/>
          <w:u w:val="none" w:color="auto"/>
        </w:rPr>
      </w:pPr>
      <w:r>
        <w:rPr>
          <w:rFonts w:hint="default"/>
          <w:color w:val="auto"/>
          <w:u w:val="none" w:color="auto"/>
        </w:rPr>
        <w:t>Q——指向性因数；通过对无指向性声源，当声源放在房间中心时，Q=1；当放在一面墙中心时，Q=2；当放在两面墙夹角处时，Q=4；当放在三面墙夹角处时，Q=8；</w:t>
      </w:r>
    </w:p>
    <w:p w14:paraId="09B8F4F1">
      <w:pPr>
        <w:pStyle w:val="21"/>
        <w:bidi w:val="0"/>
        <w:ind w:firstLine="1200" w:firstLineChars="500"/>
        <w:rPr>
          <w:rFonts w:hint="default"/>
          <w:color w:val="auto"/>
          <w:u w:val="none" w:color="auto"/>
        </w:rPr>
      </w:pPr>
      <w:r>
        <w:rPr>
          <w:rFonts w:hint="default"/>
          <w:color w:val="auto"/>
          <w:u w:val="none" w:color="auto"/>
        </w:rPr>
        <w:t>TL——隔墙（或窗户）倍频带或 A 声级的隔声量，dB；</w:t>
      </w:r>
    </w:p>
    <w:p w14:paraId="63B77514">
      <w:pPr>
        <w:pStyle w:val="21"/>
        <w:bidi w:val="0"/>
        <w:ind w:firstLine="1200" w:firstLineChars="500"/>
        <w:rPr>
          <w:rFonts w:hint="default"/>
          <w:color w:val="auto"/>
          <w:u w:val="none" w:color="auto"/>
        </w:rPr>
      </w:pPr>
      <w:r>
        <w:rPr>
          <w:rFonts w:hint="default"/>
          <w:color w:val="auto"/>
          <w:u w:val="none" w:color="auto"/>
        </w:rPr>
        <w:t>S——透声面积，m</w:t>
      </w:r>
      <w:r>
        <w:rPr>
          <w:rFonts w:hint="default"/>
          <w:color w:val="auto"/>
          <w:u w:val="none" w:color="auto"/>
          <w:vertAlign w:val="superscript"/>
        </w:rPr>
        <w:t>2</w:t>
      </w:r>
      <w:r>
        <w:rPr>
          <w:rFonts w:hint="default"/>
          <w:color w:val="auto"/>
          <w:u w:val="none" w:color="auto"/>
        </w:rPr>
        <w:t>。</w:t>
      </w:r>
    </w:p>
    <w:p w14:paraId="40DE81D6">
      <w:pPr>
        <w:pStyle w:val="21"/>
        <w:bidi w:val="0"/>
        <w:rPr>
          <w:rFonts w:hint="default"/>
          <w:color w:val="auto"/>
          <w:u w:val="none" w:color="auto"/>
        </w:rPr>
      </w:pPr>
      <w:r>
        <w:rPr>
          <w:rFonts w:hint="default"/>
          <w:color w:val="auto"/>
          <w:u w:val="none" w:color="auto"/>
        </w:rPr>
        <w:t>③对两个以上多个声源同时存在时，声源对预测点产生的贡献值采用下面公式：</w:t>
      </w:r>
    </w:p>
    <w:p w14:paraId="681146D2">
      <w:pPr>
        <w:pStyle w:val="21"/>
        <w:bidi w:val="0"/>
        <w:ind w:left="0" w:leftChars="0" w:firstLine="0" w:firstLineChars="0"/>
        <w:jc w:val="center"/>
        <w:rPr>
          <w:rFonts w:hint="default"/>
          <w:color w:val="auto"/>
          <w:u w:val="none" w:color="auto"/>
        </w:rPr>
      </w:pPr>
      <w:r>
        <w:rPr>
          <w:rFonts w:hint="default"/>
          <w:color w:val="auto"/>
          <w:u w:val="none" w:color="auto"/>
        </w:rPr>
        <w:t></w:t>
      </w:r>
      <w:r>
        <w:rPr>
          <w:color w:val="auto"/>
          <w:u w:val="none" w:color="auto"/>
        </w:rPr>
        <w:drawing>
          <wp:inline distT="0" distB="0" distL="114300" distR="114300">
            <wp:extent cx="3000375" cy="685800"/>
            <wp:effectExtent l="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37"/>
                    <a:stretch>
                      <a:fillRect/>
                    </a:stretch>
                  </pic:blipFill>
                  <pic:spPr>
                    <a:xfrm>
                      <a:off x="0" y="0"/>
                      <a:ext cx="3000375" cy="685800"/>
                    </a:xfrm>
                    <a:prstGeom prst="rect">
                      <a:avLst/>
                    </a:prstGeom>
                    <a:noFill/>
                    <a:ln>
                      <a:noFill/>
                    </a:ln>
                  </pic:spPr>
                </pic:pic>
              </a:graphicData>
            </a:graphic>
          </wp:inline>
        </w:drawing>
      </w:r>
    </w:p>
    <w:p w14:paraId="1B978200">
      <w:pPr>
        <w:pStyle w:val="21"/>
        <w:bidi w:val="0"/>
        <w:rPr>
          <w:rFonts w:hint="default"/>
          <w:color w:val="auto"/>
          <w:u w:val="none" w:color="auto"/>
        </w:rPr>
      </w:pPr>
      <w:r>
        <w:rPr>
          <w:rFonts w:hint="default"/>
          <w:color w:val="auto"/>
          <w:u w:val="none" w:color="auto"/>
        </w:rPr>
        <w:t>式中：L</w:t>
      </w:r>
      <w:r>
        <w:rPr>
          <w:rFonts w:hint="default"/>
          <w:color w:val="auto"/>
          <w:u w:val="none" w:color="auto"/>
          <w:vertAlign w:val="subscript"/>
        </w:rPr>
        <w:t>eqg</w:t>
      </w:r>
      <w:r>
        <w:rPr>
          <w:rFonts w:hint="default"/>
          <w:color w:val="auto"/>
          <w:u w:val="none" w:color="auto"/>
        </w:rPr>
        <w:t>——建设项目声源在预测点产生的噪声贡献值，dB；</w:t>
      </w:r>
    </w:p>
    <w:p w14:paraId="686092B2">
      <w:pPr>
        <w:pStyle w:val="21"/>
        <w:bidi w:val="0"/>
        <w:ind w:firstLine="1200" w:firstLineChars="500"/>
        <w:rPr>
          <w:rFonts w:hint="default"/>
          <w:color w:val="auto"/>
          <w:u w:val="none" w:color="auto"/>
        </w:rPr>
      </w:pPr>
      <w:r>
        <w:rPr>
          <w:rFonts w:hint="default"/>
          <w:color w:val="auto"/>
          <w:u w:val="none" w:color="auto"/>
        </w:rPr>
        <w:t>T——用于计算等效声级的时间，s；</w:t>
      </w:r>
    </w:p>
    <w:p w14:paraId="2952641A">
      <w:pPr>
        <w:pStyle w:val="21"/>
        <w:bidi w:val="0"/>
        <w:ind w:firstLine="1200" w:firstLineChars="500"/>
        <w:rPr>
          <w:rFonts w:hint="default"/>
          <w:color w:val="auto"/>
          <w:u w:val="none" w:color="auto"/>
        </w:rPr>
      </w:pPr>
      <w:r>
        <w:rPr>
          <w:rFonts w:hint="default"/>
          <w:color w:val="auto"/>
          <w:u w:val="none" w:color="auto"/>
        </w:rPr>
        <w:t>N——室外声源个数；</w:t>
      </w:r>
    </w:p>
    <w:p w14:paraId="740EC704">
      <w:pPr>
        <w:pStyle w:val="21"/>
        <w:bidi w:val="0"/>
        <w:ind w:firstLine="1200" w:firstLineChars="500"/>
        <w:rPr>
          <w:rFonts w:hint="default"/>
          <w:color w:val="auto"/>
          <w:u w:val="none" w:color="auto"/>
        </w:rPr>
      </w:pPr>
      <w:r>
        <w:rPr>
          <w:rFonts w:hint="default"/>
          <w:color w:val="auto"/>
          <w:u w:val="none" w:color="auto"/>
        </w:rPr>
        <w:t>t</w:t>
      </w:r>
      <w:r>
        <w:rPr>
          <w:rFonts w:hint="default"/>
          <w:color w:val="auto"/>
          <w:u w:val="none" w:color="auto"/>
          <w:vertAlign w:val="subscript"/>
        </w:rPr>
        <w:t>i</w:t>
      </w:r>
      <w:r>
        <w:rPr>
          <w:rFonts w:hint="default"/>
          <w:color w:val="auto"/>
          <w:u w:val="none" w:color="auto"/>
        </w:rPr>
        <w:t>——在T时间内i声源工作时间，s；</w:t>
      </w:r>
    </w:p>
    <w:p w14:paraId="5F5D6909">
      <w:pPr>
        <w:pStyle w:val="21"/>
        <w:bidi w:val="0"/>
        <w:ind w:firstLine="1200" w:firstLineChars="500"/>
        <w:rPr>
          <w:rFonts w:hint="default"/>
          <w:color w:val="auto"/>
          <w:u w:val="none" w:color="auto"/>
        </w:rPr>
      </w:pPr>
      <w:r>
        <w:rPr>
          <w:rFonts w:hint="default"/>
          <w:color w:val="auto"/>
          <w:u w:val="none" w:color="auto"/>
        </w:rPr>
        <w:t>M——等效室外声源个数；</w:t>
      </w:r>
    </w:p>
    <w:p w14:paraId="36C53C59">
      <w:pPr>
        <w:pStyle w:val="21"/>
        <w:bidi w:val="0"/>
        <w:ind w:firstLine="1200" w:firstLineChars="500"/>
        <w:rPr>
          <w:rFonts w:hint="default"/>
          <w:color w:val="auto"/>
          <w:u w:val="none" w:color="auto"/>
        </w:rPr>
      </w:pPr>
      <w:r>
        <w:rPr>
          <w:rFonts w:hint="default"/>
          <w:color w:val="auto"/>
          <w:u w:val="none" w:color="auto"/>
        </w:rPr>
        <w:t>t</w:t>
      </w:r>
      <w:r>
        <w:rPr>
          <w:rFonts w:hint="default"/>
          <w:color w:val="auto"/>
          <w:u w:val="none" w:color="auto"/>
          <w:vertAlign w:val="subscript"/>
        </w:rPr>
        <w:t>j</w:t>
      </w:r>
      <w:r>
        <w:rPr>
          <w:rFonts w:hint="default"/>
          <w:color w:val="auto"/>
          <w:u w:val="none" w:color="auto"/>
        </w:rPr>
        <w:t>——在T时间内j声源工作时间，s；</w:t>
      </w:r>
    </w:p>
    <w:p w14:paraId="55C4F72A">
      <w:pPr>
        <w:pStyle w:val="21"/>
        <w:bidi w:val="0"/>
        <w:rPr>
          <w:rFonts w:hint="default"/>
          <w:color w:val="auto"/>
          <w:u w:val="none" w:color="auto"/>
        </w:rPr>
      </w:pPr>
      <w:r>
        <w:rPr>
          <w:rFonts w:hint="default"/>
          <w:color w:val="auto"/>
          <w:u w:val="none" w:color="auto"/>
        </w:rPr>
        <w:t>④噪声预测值</w:t>
      </w:r>
    </w:p>
    <w:p w14:paraId="2981C0C5">
      <w:pPr>
        <w:pStyle w:val="21"/>
        <w:bidi w:val="0"/>
        <w:ind w:left="0" w:leftChars="0" w:firstLine="0" w:firstLineChars="0"/>
        <w:jc w:val="center"/>
        <w:rPr>
          <w:color w:val="auto"/>
          <w:u w:val="none" w:color="auto"/>
        </w:rPr>
      </w:pPr>
      <w:r>
        <w:rPr>
          <w:color w:val="auto"/>
          <w:u w:val="none" w:color="auto"/>
        </w:rPr>
        <w:drawing>
          <wp:inline distT="0" distB="0" distL="114300" distR="114300">
            <wp:extent cx="2257425" cy="533400"/>
            <wp:effectExtent l="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8"/>
                    <a:stretch>
                      <a:fillRect/>
                    </a:stretch>
                  </pic:blipFill>
                  <pic:spPr>
                    <a:xfrm>
                      <a:off x="0" y="0"/>
                      <a:ext cx="2257425" cy="533400"/>
                    </a:xfrm>
                    <a:prstGeom prst="rect">
                      <a:avLst/>
                    </a:prstGeom>
                    <a:noFill/>
                    <a:ln>
                      <a:noFill/>
                    </a:ln>
                  </pic:spPr>
                </pic:pic>
              </a:graphicData>
            </a:graphic>
          </wp:inline>
        </w:drawing>
      </w:r>
    </w:p>
    <w:p w14:paraId="368F21D9">
      <w:pPr>
        <w:pStyle w:val="21"/>
        <w:bidi w:val="0"/>
        <w:rPr>
          <w:rFonts w:hint="default"/>
          <w:color w:val="auto"/>
          <w:u w:val="none" w:color="auto"/>
        </w:rPr>
      </w:pPr>
      <w:r>
        <w:rPr>
          <w:rFonts w:hint="default"/>
          <w:color w:val="auto"/>
          <w:u w:val="none" w:color="auto"/>
        </w:rPr>
        <w:t>式中：L</w:t>
      </w:r>
      <w:r>
        <w:rPr>
          <w:rFonts w:hint="default"/>
          <w:color w:val="auto"/>
          <w:u w:val="none" w:color="auto"/>
          <w:vertAlign w:val="subscript"/>
        </w:rPr>
        <w:t>eq</w:t>
      </w:r>
      <w:r>
        <w:rPr>
          <w:rFonts w:hint="default"/>
          <w:color w:val="auto"/>
          <w:u w:val="none" w:color="auto"/>
        </w:rPr>
        <w:t>——预测点的噪声预测值，dB；</w:t>
      </w:r>
    </w:p>
    <w:p w14:paraId="0B56E498">
      <w:pPr>
        <w:pStyle w:val="21"/>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eqg</w:t>
      </w:r>
      <w:r>
        <w:rPr>
          <w:rFonts w:hint="default"/>
          <w:color w:val="auto"/>
          <w:u w:val="none" w:color="auto"/>
        </w:rPr>
        <w:t>——建设项目声源在预测点产生的噪声贡献值，dB；</w:t>
      </w:r>
    </w:p>
    <w:p w14:paraId="37E51007">
      <w:pPr>
        <w:pStyle w:val="21"/>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eqb</w:t>
      </w:r>
      <w:r>
        <w:rPr>
          <w:rFonts w:hint="default"/>
          <w:color w:val="auto"/>
          <w:u w:val="none" w:color="auto"/>
        </w:rPr>
        <w:t>——预测点的背景噪声值，dB。</w:t>
      </w:r>
    </w:p>
    <w:p w14:paraId="058D5295">
      <w:pPr>
        <w:pStyle w:val="21"/>
        <w:bidi w:val="0"/>
        <w:rPr>
          <w:rFonts w:hint="default"/>
          <w:color w:val="auto"/>
          <w:u w:val="none" w:color="auto"/>
        </w:rPr>
      </w:pPr>
      <w:r>
        <w:rPr>
          <w:rFonts w:hint="default"/>
          <w:color w:val="auto"/>
          <w:u w:val="none" w:color="auto"/>
        </w:rPr>
        <w:t>在预测中考虑大气吸收衰减、室内声源等效室外声源等影响和计算方法。</w:t>
      </w:r>
    </w:p>
    <w:p w14:paraId="1DB3DD43">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3、预测参数的确定</w:t>
      </w:r>
    </w:p>
    <w:p w14:paraId="644AC44B">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项目噪声源衰减量包括遮挡物衰减量、空气吸收收衰减量、地面效应引起的衰减量，其中主要为遮挡物衰减量，而空气和地面引起的衰减量与距离衰减相比很小。因此，本评价预测只考虑设备降噪和厂房围护结构引起的衰减量，其衰减量通过估算得到。</w:t>
      </w:r>
    </w:p>
    <w:p w14:paraId="169A649B">
      <w:pPr>
        <w:pStyle w:val="21"/>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项目噪声环境影响预测基础数据见下表。</w:t>
      </w:r>
    </w:p>
    <w:p w14:paraId="46603BA7">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5.2-21</w:t>
      </w:r>
      <w:r>
        <w:rPr>
          <w:rFonts w:hint="default"/>
          <w:color w:val="auto"/>
          <w:u w:val="none" w:color="auto"/>
        </w:rPr>
        <w:t xml:space="preserve"> 项目建成后厂界噪声预测结果一览表 </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965"/>
        <w:gridCol w:w="2450"/>
        <w:gridCol w:w="2208"/>
        <w:gridCol w:w="1881"/>
      </w:tblGrid>
      <w:tr w14:paraId="3D052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1965" w:type="dxa"/>
            <w:vMerge w:val="restart"/>
            <w:tcBorders>
              <w:tl2br w:val="nil"/>
              <w:tr2bl w:val="nil"/>
            </w:tcBorders>
            <w:noWrap w:val="0"/>
            <w:vAlign w:val="center"/>
          </w:tcPr>
          <w:p w14:paraId="60A7AD05">
            <w:pPr>
              <w:pStyle w:val="25"/>
              <w:bidi w:val="0"/>
              <w:rPr>
                <w:rFonts w:hint="eastAsia" w:eastAsia="宋体"/>
                <w:b/>
                <w:bCs/>
                <w:color w:val="auto"/>
                <w:u w:val="none" w:color="auto"/>
                <w:lang w:val="en-US" w:eastAsia="zh-CN"/>
              </w:rPr>
            </w:pPr>
            <w:r>
              <w:rPr>
                <w:rFonts w:hint="eastAsia" w:eastAsia="宋体"/>
                <w:b/>
                <w:bCs/>
                <w:color w:val="auto"/>
                <w:u w:val="none" w:color="auto"/>
                <w:lang w:val="en-US" w:eastAsia="zh-CN"/>
              </w:rPr>
              <w:t>序号</w:t>
            </w:r>
          </w:p>
        </w:tc>
        <w:tc>
          <w:tcPr>
            <w:tcW w:w="2450" w:type="dxa"/>
            <w:vMerge w:val="restart"/>
            <w:tcBorders>
              <w:tl2br w:val="nil"/>
              <w:tr2bl w:val="nil"/>
            </w:tcBorders>
            <w:noWrap w:val="0"/>
            <w:vAlign w:val="center"/>
          </w:tcPr>
          <w:p w14:paraId="2B5F8E46">
            <w:pPr>
              <w:pStyle w:val="25"/>
              <w:bidi w:val="0"/>
              <w:rPr>
                <w:b/>
                <w:bCs/>
                <w:color w:val="auto"/>
                <w:u w:val="none" w:color="auto"/>
              </w:rPr>
            </w:pPr>
            <w:r>
              <w:rPr>
                <w:rFonts w:hint="eastAsia"/>
                <w:b/>
                <w:bCs/>
                <w:color w:val="auto"/>
                <w:u w:val="none" w:color="auto"/>
                <w:lang w:val="en-US" w:eastAsia="zh-CN"/>
              </w:rPr>
              <w:t>名称</w:t>
            </w:r>
          </w:p>
        </w:tc>
        <w:tc>
          <w:tcPr>
            <w:tcW w:w="2208" w:type="dxa"/>
            <w:vMerge w:val="restart"/>
            <w:tcBorders>
              <w:tl2br w:val="nil"/>
              <w:tr2bl w:val="nil"/>
            </w:tcBorders>
            <w:noWrap w:val="0"/>
            <w:vAlign w:val="center"/>
          </w:tcPr>
          <w:p w14:paraId="05F774B2">
            <w:pPr>
              <w:pStyle w:val="25"/>
              <w:bidi w:val="0"/>
              <w:rPr>
                <w:rFonts w:hint="eastAsia" w:eastAsia="宋体"/>
                <w:b/>
                <w:bCs/>
                <w:color w:val="auto"/>
                <w:u w:val="none" w:color="auto"/>
                <w:lang w:eastAsia="zh-CN"/>
              </w:rPr>
            </w:pPr>
            <w:r>
              <w:rPr>
                <w:rFonts w:hint="eastAsia"/>
                <w:b/>
                <w:bCs/>
                <w:color w:val="auto"/>
                <w:u w:val="none" w:color="auto"/>
                <w:lang w:val="en-US" w:eastAsia="zh-CN"/>
              </w:rPr>
              <w:t>单位</w:t>
            </w:r>
          </w:p>
        </w:tc>
        <w:tc>
          <w:tcPr>
            <w:tcW w:w="1881" w:type="dxa"/>
            <w:vMerge w:val="restart"/>
            <w:tcBorders>
              <w:tl2br w:val="nil"/>
              <w:tr2bl w:val="nil"/>
            </w:tcBorders>
            <w:noWrap w:val="0"/>
            <w:vAlign w:val="center"/>
          </w:tcPr>
          <w:p w14:paraId="32606295">
            <w:pPr>
              <w:pStyle w:val="25"/>
              <w:bidi w:val="0"/>
              <w:rPr>
                <w:rFonts w:hint="eastAsia" w:eastAsia="宋体"/>
                <w:b/>
                <w:bCs/>
                <w:color w:val="auto"/>
                <w:u w:val="none" w:color="auto"/>
                <w:lang w:eastAsia="zh-CN"/>
              </w:rPr>
            </w:pPr>
            <w:r>
              <w:rPr>
                <w:rFonts w:hint="eastAsia"/>
                <w:b/>
                <w:bCs/>
                <w:color w:val="auto"/>
                <w:u w:val="none" w:color="auto"/>
                <w:lang w:val="en-US" w:eastAsia="zh-CN"/>
              </w:rPr>
              <w:t>数据</w:t>
            </w:r>
          </w:p>
        </w:tc>
      </w:tr>
      <w:tr w14:paraId="39EEF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1965" w:type="dxa"/>
            <w:vMerge w:val="continue"/>
            <w:tcBorders>
              <w:tl2br w:val="nil"/>
              <w:tr2bl w:val="nil"/>
            </w:tcBorders>
            <w:shd w:val="clear" w:color="auto" w:fill="FFFFFF"/>
            <w:noWrap w:val="0"/>
            <w:vAlign w:val="center"/>
          </w:tcPr>
          <w:p w14:paraId="7C6221BC">
            <w:pPr>
              <w:pStyle w:val="25"/>
              <w:bidi w:val="0"/>
              <w:rPr>
                <w:b/>
                <w:bCs/>
                <w:color w:val="auto"/>
                <w:u w:val="none" w:color="auto"/>
              </w:rPr>
            </w:pPr>
          </w:p>
        </w:tc>
        <w:tc>
          <w:tcPr>
            <w:tcW w:w="2450" w:type="dxa"/>
            <w:vMerge w:val="continue"/>
            <w:tcBorders>
              <w:tl2br w:val="nil"/>
              <w:tr2bl w:val="nil"/>
            </w:tcBorders>
            <w:shd w:val="clear" w:color="auto" w:fill="FFFFFF"/>
            <w:noWrap w:val="0"/>
            <w:vAlign w:val="center"/>
          </w:tcPr>
          <w:p w14:paraId="221C2DE9">
            <w:pPr>
              <w:pStyle w:val="25"/>
              <w:bidi w:val="0"/>
              <w:rPr>
                <w:b/>
                <w:bCs/>
                <w:color w:val="auto"/>
                <w:u w:val="none" w:color="auto"/>
              </w:rPr>
            </w:pPr>
          </w:p>
        </w:tc>
        <w:tc>
          <w:tcPr>
            <w:tcW w:w="2208" w:type="dxa"/>
            <w:vMerge w:val="continue"/>
            <w:tcBorders>
              <w:tl2br w:val="nil"/>
              <w:tr2bl w:val="nil"/>
            </w:tcBorders>
            <w:shd w:val="clear" w:color="auto" w:fill="FFFFFF"/>
            <w:noWrap w:val="0"/>
            <w:vAlign w:val="center"/>
          </w:tcPr>
          <w:p w14:paraId="73E5F2E2">
            <w:pPr>
              <w:pStyle w:val="25"/>
              <w:bidi w:val="0"/>
              <w:rPr>
                <w:b/>
                <w:bCs/>
                <w:color w:val="auto"/>
                <w:u w:val="none" w:color="auto"/>
              </w:rPr>
            </w:pPr>
          </w:p>
        </w:tc>
        <w:tc>
          <w:tcPr>
            <w:tcW w:w="1881" w:type="dxa"/>
            <w:vMerge w:val="continue"/>
            <w:tcBorders>
              <w:tl2br w:val="nil"/>
              <w:tr2bl w:val="nil"/>
            </w:tcBorders>
            <w:shd w:val="clear" w:color="auto" w:fill="FFFFFF"/>
            <w:noWrap w:val="0"/>
            <w:vAlign w:val="center"/>
          </w:tcPr>
          <w:p w14:paraId="5A75C75C">
            <w:pPr>
              <w:pStyle w:val="25"/>
              <w:bidi w:val="0"/>
              <w:rPr>
                <w:b/>
                <w:bCs/>
                <w:color w:val="auto"/>
                <w:u w:val="none" w:color="auto"/>
              </w:rPr>
            </w:pPr>
          </w:p>
        </w:tc>
      </w:tr>
      <w:tr w14:paraId="37F46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6B1D39D6">
            <w:pPr>
              <w:pStyle w:val="25"/>
              <w:bidi w:val="0"/>
              <w:rPr>
                <w:rFonts w:hint="default" w:eastAsia="宋体"/>
                <w:color w:val="auto"/>
                <w:u w:val="none" w:color="auto"/>
                <w:lang w:val="en-US" w:eastAsia="zh-CN"/>
              </w:rPr>
            </w:pPr>
            <w:r>
              <w:rPr>
                <w:rFonts w:hint="eastAsia" w:eastAsia="宋体"/>
                <w:color w:val="auto"/>
                <w:u w:val="none" w:color="auto"/>
                <w:lang w:val="en-US" w:eastAsia="zh-CN"/>
              </w:rPr>
              <w:t>1</w:t>
            </w:r>
          </w:p>
        </w:tc>
        <w:tc>
          <w:tcPr>
            <w:tcW w:w="2450" w:type="dxa"/>
            <w:tcBorders>
              <w:tl2br w:val="nil"/>
              <w:tr2bl w:val="nil"/>
            </w:tcBorders>
            <w:shd w:val="clear" w:color="auto" w:fill="FFFFFF"/>
            <w:noWrap w:val="0"/>
            <w:vAlign w:val="center"/>
          </w:tcPr>
          <w:p w14:paraId="000EB3A1">
            <w:pPr>
              <w:pStyle w:val="25"/>
              <w:bidi w:val="0"/>
              <w:rPr>
                <w:rFonts w:hint="default" w:eastAsia="宋体"/>
                <w:color w:val="auto"/>
                <w:u w:val="none" w:color="auto"/>
                <w:lang w:val="en-US" w:eastAsia="zh-CN"/>
              </w:rPr>
            </w:pPr>
            <w:r>
              <w:rPr>
                <w:rFonts w:hint="eastAsia" w:eastAsia="宋体"/>
                <w:color w:val="auto"/>
                <w:u w:val="none" w:color="auto"/>
                <w:lang w:val="en-US" w:eastAsia="zh-CN"/>
              </w:rPr>
              <w:t>多年平均风速</w:t>
            </w:r>
          </w:p>
        </w:tc>
        <w:tc>
          <w:tcPr>
            <w:tcW w:w="2208" w:type="dxa"/>
            <w:tcBorders>
              <w:tl2br w:val="nil"/>
              <w:tr2bl w:val="nil"/>
            </w:tcBorders>
            <w:shd w:val="clear" w:color="auto" w:fill="FFFFFF"/>
            <w:noWrap w:val="0"/>
            <w:vAlign w:val="center"/>
          </w:tcPr>
          <w:p w14:paraId="69964AAE">
            <w:pPr>
              <w:pStyle w:val="25"/>
              <w:bidi w:val="0"/>
              <w:rPr>
                <w:rFonts w:hint="default" w:eastAsia="宋体"/>
                <w:color w:val="auto"/>
                <w:u w:val="none" w:color="auto"/>
                <w:lang w:val="en-US" w:eastAsia="zh-CN"/>
              </w:rPr>
            </w:pPr>
            <w:r>
              <w:rPr>
                <w:rFonts w:hint="eastAsia"/>
                <w:color w:val="auto"/>
                <w:u w:val="none" w:color="auto"/>
                <w:lang w:val="en-US" w:eastAsia="zh-CN"/>
              </w:rPr>
              <w:t>m/s</w:t>
            </w:r>
          </w:p>
        </w:tc>
        <w:tc>
          <w:tcPr>
            <w:tcW w:w="1881" w:type="dxa"/>
            <w:tcBorders>
              <w:tl2br w:val="nil"/>
              <w:tr2bl w:val="nil"/>
            </w:tcBorders>
            <w:shd w:val="clear" w:color="auto" w:fill="FFFFFF"/>
            <w:noWrap w:val="0"/>
            <w:vAlign w:val="center"/>
          </w:tcPr>
          <w:p w14:paraId="42AC7660">
            <w:pPr>
              <w:pStyle w:val="25"/>
              <w:bidi w:val="0"/>
              <w:rPr>
                <w:rFonts w:hint="default" w:eastAsia="宋体"/>
                <w:color w:val="auto"/>
                <w:u w:val="none" w:color="auto"/>
                <w:lang w:val="en-US" w:eastAsia="zh-CN"/>
              </w:rPr>
            </w:pPr>
            <w:r>
              <w:rPr>
                <w:rFonts w:hint="eastAsia"/>
                <w:color w:val="auto"/>
                <w:u w:val="none" w:color="auto"/>
                <w:lang w:val="en-US" w:eastAsia="zh-CN"/>
              </w:rPr>
              <w:t>2.1</w:t>
            </w:r>
          </w:p>
        </w:tc>
      </w:tr>
      <w:tr w14:paraId="7418A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2E028ACA">
            <w:pPr>
              <w:pStyle w:val="25"/>
              <w:bidi w:val="0"/>
              <w:rPr>
                <w:rFonts w:hint="default" w:eastAsia="宋体"/>
                <w:color w:val="auto"/>
                <w:u w:val="none" w:color="auto"/>
                <w:lang w:val="en-US" w:eastAsia="zh-CN"/>
              </w:rPr>
            </w:pPr>
            <w:r>
              <w:rPr>
                <w:rFonts w:hint="eastAsia" w:eastAsia="宋体"/>
                <w:color w:val="auto"/>
                <w:u w:val="none" w:color="auto"/>
                <w:lang w:val="en-US" w:eastAsia="zh-CN"/>
              </w:rPr>
              <w:t>2</w:t>
            </w:r>
          </w:p>
        </w:tc>
        <w:tc>
          <w:tcPr>
            <w:tcW w:w="2450" w:type="dxa"/>
            <w:tcBorders>
              <w:tl2br w:val="nil"/>
              <w:tr2bl w:val="nil"/>
            </w:tcBorders>
            <w:shd w:val="clear" w:color="auto" w:fill="FFFFFF"/>
            <w:noWrap w:val="0"/>
            <w:vAlign w:val="center"/>
          </w:tcPr>
          <w:p w14:paraId="6BBB887A">
            <w:pPr>
              <w:pStyle w:val="25"/>
              <w:bidi w:val="0"/>
              <w:rPr>
                <w:rFonts w:hint="default" w:eastAsia="宋体"/>
                <w:color w:val="auto"/>
                <w:u w:val="none" w:color="auto"/>
                <w:lang w:val="en-US" w:eastAsia="zh-CN"/>
              </w:rPr>
            </w:pPr>
            <w:r>
              <w:rPr>
                <w:rFonts w:hint="eastAsia" w:eastAsia="宋体"/>
                <w:color w:val="auto"/>
                <w:u w:val="none" w:color="auto"/>
                <w:lang w:val="en-US" w:eastAsia="zh-CN"/>
              </w:rPr>
              <w:t>主导风向</w:t>
            </w:r>
          </w:p>
        </w:tc>
        <w:tc>
          <w:tcPr>
            <w:tcW w:w="2208" w:type="dxa"/>
            <w:tcBorders>
              <w:tl2br w:val="nil"/>
              <w:tr2bl w:val="nil"/>
            </w:tcBorders>
            <w:shd w:val="clear" w:color="auto" w:fill="FFFFFF"/>
            <w:noWrap w:val="0"/>
            <w:vAlign w:val="center"/>
          </w:tcPr>
          <w:p w14:paraId="16618F24">
            <w:pPr>
              <w:pStyle w:val="25"/>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737B8CA5">
            <w:pPr>
              <w:pStyle w:val="25"/>
              <w:bidi w:val="0"/>
              <w:rPr>
                <w:rFonts w:hint="eastAsia" w:eastAsia="宋体"/>
                <w:color w:val="auto"/>
                <w:u w:val="none" w:color="auto"/>
                <w:lang w:eastAsia="zh-CN"/>
              </w:rPr>
            </w:pPr>
            <w:r>
              <w:rPr>
                <w:rFonts w:hint="eastAsia"/>
                <w:color w:val="auto"/>
                <w:u w:val="none" w:color="auto"/>
                <w:lang w:val="en-US" w:eastAsia="zh-CN"/>
              </w:rPr>
              <w:t>NNW</w:t>
            </w:r>
          </w:p>
        </w:tc>
      </w:tr>
      <w:tr w14:paraId="2DCAE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1830F89E">
            <w:pPr>
              <w:pStyle w:val="25"/>
              <w:bidi w:val="0"/>
              <w:rPr>
                <w:rFonts w:hint="default" w:eastAsia="宋体"/>
                <w:color w:val="auto"/>
                <w:u w:val="none" w:color="auto"/>
                <w:lang w:val="en-US" w:eastAsia="zh-CN"/>
              </w:rPr>
            </w:pPr>
            <w:r>
              <w:rPr>
                <w:rFonts w:hint="eastAsia" w:eastAsia="宋体"/>
                <w:color w:val="auto"/>
                <w:u w:val="none" w:color="auto"/>
                <w:lang w:val="en-US" w:eastAsia="zh-CN"/>
              </w:rPr>
              <w:t>3</w:t>
            </w:r>
          </w:p>
        </w:tc>
        <w:tc>
          <w:tcPr>
            <w:tcW w:w="2450" w:type="dxa"/>
            <w:tcBorders>
              <w:tl2br w:val="nil"/>
              <w:tr2bl w:val="nil"/>
            </w:tcBorders>
            <w:shd w:val="clear" w:color="auto" w:fill="FFFFFF"/>
            <w:noWrap w:val="0"/>
            <w:vAlign w:val="center"/>
          </w:tcPr>
          <w:p w14:paraId="6702B0FB">
            <w:pPr>
              <w:pStyle w:val="25"/>
              <w:bidi w:val="0"/>
              <w:rPr>
                <w:rFonts w:hint="default" w:eastAsia="宋体"/>
                <w:color w:val="auto"/>
                <w:u w:val="none" w:color="auto"/>
                <w:lang w:val="en-US" w:eastAsia="zh-CN"/>
              </w:rPr>
            </w:pPr>
            <w:r>
              <w:rPr>
                <w:rFonts w:hint="eastAsia" w:eastAsia="宋体"/>
                <w:color w:val="auto"/>
                <w:u w:val="none" w:color="auto"/>
                <w:lang w:val="en-US" w:eastAsia="zh-CN"/>
              </w:rPr>
              <w:t>年平均气温</w:t>
            </w:r>
          </w:p>
        </w:tc>
        <w:tc>
          <w:tcPr>
            <w:tcW w:w="2208" w:type="dxa"/>
            <w:tcBorders>
              <w:tl2br w:val="nil"/>
              <w:tr2bl w:val="nil"/>
            </w:tcBorders>
            <w:shd w:val="clear" w:color="auto" w:fill="FFFFFF"/>
            <w:noWrap w:val="0"/>
            <w:vAlign w:val="center"/>
          </w:tcPr>
          <w:p w14:paraId="40CBE6CB">
            <w:pPr>
              <w:pStyle w:val="25"/>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253FCB07">
            <w:pPr>
              <w:pStyle w:val="25"/>
              <w:bidi w:val="0"/>
              <w:rPr>
                <w:rFonts w:hint="default"/>
                <w:color w:val="auto"/>
                <w:u w:val="none" w:color="auto"/>
                <w:lang w:val="en-US" w:eastAsia="zh-CN"/>
              </w:rPr>
            </w:pPr>
            <w:r>
              <w:rPr>
                <w:rFonts w:hint="eastAsia"/>
                <w:color w:val="auto"/>
                <w:u w:val="none" w:color="auto"/>
                <w:lang w:val="en-US" w:eastAsia="zh-CN"/>
              </w:rPr>
              <w:t>17.1</w:t>
            </w:r>
          </w:p>
        </w:tc>
      </w:tr>
      <w:tr w14:paraId="552FF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287A2347">
            <w:pPr>
              <w:pStyle w:val="25"/>
              <w:bidi w:val="0"/>
              <w:rPr>
                <w:rFonts w:hint="default" w:eastAsia="宋体"/>
                <w:color w:val="auto"/>
                <w:u w:val="none" w:color="auto"/>
                <w:lang w:val="en-US" w:eastAsia="zh-CN"/>
              </w:rPr>
            </w:pPr>
            <w:r>
              <w:rPr>
                <w:rFonts w:hint="eastAsia" w:eastAsia="宋体"/>
                <w:color w:val="auto"/>
                <w:u w:val="none" w:color="auto"/>
                <w:lang w:val="en-US" w:eastAsia="zh-CN"/>
              </w:rPr>
              <w:t>4</w:t>
            </w:r>
          </w:p>
        </w:tc>
        <w:tc>
          <w:tcPr>
            <w:tcW w:w="2450" w:type="dxa"/>
            <w:tcBorders>
              <w:tl2br w:val="nil"/>
              <w:tr2bl w:val="nil"/>
            </w:tcBorders>
            <w:shd w:val="clear" w:color="auto" w:fill="FFFFFF"/>
            <w:noWrap w:val="0"/>
            <w:vAlign w:val="center"/>
          </w:tcPr>
          <w:p w14:paraId="15A9F125">
            <w:pPr>
              <w:pStyle w:val="25"/>
              <w:bidi w:val="0"/>
              <w:rPr>
                <w:rFonts w:hint="default" w:eastAsia="宋体"/>
                <w:color w:val="auto"/>
                <w:u w:val="none" w:color="auto"/>
                <w:lang w:val="en-US" w:eastAsia="zh-CN"/>
              </w:rPr>
            </w:pPr>
            <w:r>
              <w:rPr>
                <w:rFonts w:hint="eastAsia" w:eastAsia="宋体"/>
                <w:color w:val="auto"/>
                <w:u w:val="none" w:color="auto"/>
                <w:lang w:val="en-US" w:eastAsia="zh-CN"/>
              </w:rPr>
              <w:t>年平均相对湿度</w:t>
            </w:r>
          </w:p>
        </w:tc>
        <w:tc>
          <w:tcPr>
            <w:tcW w:w="2208" w:type="dxa"/>
            <w:tcBorders>
              <w:tl2br w:val="nil"/>
              <w:tr2bl w:val="nil"/>
            </w:tcBorders>
            <w:shd w:val="clear" w:color="auto" w:fill="FFFFFF"/>
            <w:noWrap w:val="0"/>
            <w:vAlign w:val="center"/>
          </w:tcPr>
          <w:p w14:paraId="18A915BA">
            <w:pPr>
              <w:pStyle w:val="25"/>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5B93DC69">
            <w:pPr>
              <w:pStyle w:val="25"/>
              <w:bidi w:val="0"/>
              <w:rPr>
                <w:rFonts w:hint="default"/>
                <w:color w:val="auto"/>
                <w:u w:val="none" w:color="auto"/>
                <w:lang w:val="en-US" w:eastAsia="zh-CN"/>
              </w:rPr>
            </w:pPr>
            <w:r>
              <w:rPr>
                <w:rFonts w:hint="eastAsia"/>
                <w:color w:val="auto"/>
                <w:u w:val="none" w:color="auto"/>
                <w:lang w:val="en-US" w:eastAsia="zh-CN"/>
              </w:rPr>
              <w:t>81</w:t>
            </w:r>
          </w:p>
        </w:tc>
      </w:tr>
      <w:tr w14:paraId="2C890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4C68E777">
            <w:pPr>
              <w:pStyle w:val="25"/>
              <w:bidi w:val="0"/>
              <w:rPr>
                <w:rFonts w:hint="default" w:eastAsia="宋体"/>
                <w:color w:val="auto"/>
                <w:u w:val="none" w:color="auto"/>
                <w:lang w:val="en-US" w:eastAsia="zh-CN"/>
              </w:rPr>
            </w:pPr>
            <w:r>
              <w:rPr>
                <w:rFonts w:hint="eastAsia" w:eastAsia="宋体"/>
                <w:color w:val="auto"/>
                <w:u w:val="none" w:color="auto"/>
                <w:lang w:val="en-US" w:eastAsia="zh-CN"/>
              </w:rPr>
              <w:t>5</w:t>
            </w:r>
          </w:p>
        </w:tc>
        <w:tc>
          <w:tcPr>
            <w:tcW w:w="2450" w:type="dxa"/>
            <w:tcBorders>
              <w:tl2br w:val="nil"/>
              <w:tr2bl w:val="nil"/>
            </w:tcBorders>
            <w:shd w:val="clear" w:color="auto" w:fill="FFFFFF"/>
            <w:noWrap w:val="0"/>
            <w:vAlign w:val="center"/>
          </w:tcPr>
          <w:p w14:paraId="15734944">
            <w:pPr>
              <w:pStyle w:val="25"/>
              <w:bidi w:val="0"/>
              <w:rPr>
                <w:rFonts w:hint="default" w:eastAsia="宋体"/>
                <w:color w:val="auto"/>
                <w:u w:val="none" w:color="auto"/>
                <w:lang w:val="en-US" w:eastAsia="zh-CN"/>
              </w:rPr>
            </w:pPr>
            <w:r>
              <w:rPr>
                <w:rFonts w:hint="eastAsia" w:eastAsia="宋体"/>
                <w:color w:val="auto"/>
                <w:u w:val="none" w:color="auto"/>
                <w:lang w:val="en-US" w:eastAsia="zh-CN"/>
              </w:rPr>
              <w:t>大气压强</w:t>
            </w:r>
          </w:p>
        </w:tc>
        <w:tc>
          <w:tcPr>
            <w:tcW w:w="2208" w:type="dxa"/>
            <w:tcBorders>
              <w:tl2br w:val="nil"/>
              <w:tr2bl w:val="nil"/>
            </w:tcBorders>
            <w:shd w:val="clear" w:color="auto" w:fill="FFFFFF"/>
            <w:noWrap w:val="0"/>
            <w:vAlign w:val="center"/>
          </w:tcPr>
          <w:p w14:paraId="1CF22034">
            <w:pPr>
              <w:pStyle w:val="25"/>
              <w:bidi w:val="0"/>
              <w:rPr>
                <w:rFonts w:hint="default"/>
                <w:color w:val="auto"/>
                <w:u w:val="none" w:color="auto"/>
                <w:lang w:val="en-US" w:eastAsia="zh-CN"/>
              </w:rPr>
            </w:pPr>
            <w:r>
              <w:rPr>
                <w:rFonts w:hint="eastAsia"/>
                <w:color w:val="auto"/>
                <w:u w:val="none" w:color="auto"/>
                <w:lang w:val="en-US" w:eastAsia="zh-CN"/>
              </w:rPr>
              <w:t>atm</w:t>
            </w:r>
          </w:p>
        </w:tc>
        <w:tc>
          <w:tcPr>
            <w:tcW w:w="1881" w:type="dxa"/>
            <w:tcBorders>
              <w:tl2br w:val="nil"/>
              <w:tr2bl w:val="nil"/>
            </w:tcBorders>
            <w:shd w:val="clear" w:color="auto" w:fill="FFFFFF"/>
            <w:noWrap w:val="0"/>
            <w:vAlign w:val="center"/>
          </w:tcPr>
          <w:p w14:paraId="12D73CE4">
            <w:pPr>
              <w:pStyle w:val="25"/>
              <w:bidi w:val="0"/>
              <w:rPr>
                <w:rFonts w:hint="default"/>
                <w:color w:val="auto"/>
                <w:u w:val="none" w:color="auto"/>
                <w:lang w:val="en-US" w:eastAsia="zh-CN"/>
              </w:rPr>
            </w:pPr>
            <w:r>
              <w:rPr>
                <w:rFonts w:hint="eastAsia"/>
                <w:color w:val="auto"/>
                <w:u w:val="none" w:color="auto"/>
                <w:lang w:val="en-US" w:eastAsia="zh-CN"/>
              </w:rPr>
              <w:t>1</w:t>
            </w:r>
          </w:p>
        </w:tc>
      </w:tr>
    </w:tbl>
    <w:p w14:paraId="08E67C45">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、噪声预测结果</w:t>
      </w:r>
    </w:p>
    <w:p w14:paraId="46CE5517">
      <w:pPr>
        <w:pStyle w:val="21"/>
        <w:bidi w:val="0"/>
        <w:rPr>
          <w:rFonts w:hint="default" w:ascii="Times New Roman" w:hAnsi="Times New Roman" w:cs="Times New Roman"/>
          <w:color w:val="auto"/>
          <w:u w:val="none" w:color="auto"/>
        </w:rPr>
      </w:pPr>
      <w:r>
        <w:rPr>
          <w:rFonts w:hint="default" w:ascii="Times New Roman" w:hAnsi="Times New Roman" w:cs="Times New Roman"/>
          <w:b w:val="0"/>
          <w:color w:val="auto"/>
          <w:u w:val="none" w:color="auto"/>
        </w:rPr>
        <w:t>根据噪声预测模式，各厂界的预测</w:t>
      </w:r>
      <w:r>
        <w:rPr>
          <w:rFonts w:hint="default" w:ascii="Times New Roman" w:hAnsi="Times New Roman" w:cs="Times New Roman"/>
          <w:color w:val="auto"/>
          <w:u w:val="none" w:color="auto"/>
        </w:rPr>
        <w:t>结果见表</w:t>
      </w:r>
      <w:r>
        <w:rPr>
          <w:rFonts w:hint="eastAsia" w:ascii="Times New Roman" w:hAnsi="Times New Roman" w:cs="Times New Roman"/>
          <w:color w:val="auto"/>
          <w:u w:val="none" w:color="auto"/>
          <w:lang w:val="en-US" w:eastAsia="zh-CN"/>
        </w:rPr>
        <w:t>5.2-22</w:t>
      </w:r>
      <w:r>
        <w:rPr>
          <w:rFonts w:hint="default" w:ascii="Times New Roman" w:hAnsi="Times New Roman" w:cs="Times New Roman"/>
          <w:color w:val="auto"/>
          <w:u w:val="none" w:color="auto"/>
        </w:rPr>
        <w:t>。</w:t>
      </w:r>
    </w:p>
    <w:p w14:paraId="32A2E498">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5.2-22</w:t>
      </w:r>
      <w:r>
        <w:rPr>
          <w:rFonts w:hint="default"/>
          <w:color w:val="auto"/>
          <w:u w:val="none" w:color="auto"/>
        </w:rPr>
        <w:t xml:space="preserve"> 项目建成后厂界噪声预测结果一览表 </w:t>
      </w:r>
    </w:p>
    <w:tbl>
      <w:tblPr>
        <w:tblStyle w:val="16"/>
        <w:tblW w:w="871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26"/>
        <w:gridCol w:w="821"/>
        <w:gridCol w:w="821"/>
        <w:gridCol w:w="821"/>
        <w:gridCol w:w="1015"/>
        <w:gridCol w:w="1449"/>
        <w:gridCol w:w="1450"/>
        <w:gridCol w:w="1215"/>
      </w:tblGrid>
      <w:tr w14:paraId="71DA1D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44A457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预测方位</w:t>
            </w:r>
          </w:p>
        </w:tc>
        <w:tc>
          <w:tcPr>
            <w:tcW w:w="2463" w:type="dxa"/>
            <w:gridSpan w:val="3"/>
            <w:tcBorders>
              <w:tl2br w:val="nil"/>
              <w:tr2bl w:val="nil"/>
            </w:tcBorders>
            <w:noWrap w:val="0"/>
            <w:vAlign w:val="center"/>
          </w:tcPr>
          <w:p w14:paraId="314EAD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lang w:val="en-US" w:eastAsia="zh-CN"/>
              </w:rPr>
              <w:t>最大值点</w:t>
            </w:r>
            <w:r>
              <w:rPr>
                <w:rFonts w:hint="default" w:ascii="Times New Roman" w:hAnsi="Times New Roman" w:eastAsia="宋体" w:cs="Times New Roman"/>
                <w:b/>
                <w:color w:val="auto"/>
                <w:sz w:val="21"/>
                <w:szCs w:val="21"/>
                <w:u w:val="none"/>
              </w:rPr>
              <w:t>空间相对位置/m</w:t>
            </w:r>
          </w:p>
        </w:tc>
        <w:tc>
          <w:tcPr>
            <w:tcW w:w="1015" w:type="dxa"/>
            <w:vMerge w:val="restart"/>
            <w:tcBorders>
              <w:tl2br w:val="nil"/>
              <w:tr2bl w:val="nil"/>
            </w:tcBorders>
            <w:noWrap w:val="0"/>
            <w:vAlign w:val="center"/>
          </w:tcPr>
          <w:p w14:paraId="7B6187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时段</w:t>
            </w:r>
          </w:p>
        </w:tc>
        <w:tc>
          <w:tcPr>
            <w:tcW w:w="1449" w:type="dxa"/>
            <w:vMerge w:val="restart"/>
            <w:tcBorders>
              <w:tl2br w:val="nil"/>
              <w:tr2bl w:val="nil"/>
            </w:tcBorders>
            <w:noWrap w:val="0"/>
            <w:vAlign w:val="center"/>
          </w:tcPr>
          <w:p w14:paraId="768159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贡献值（dB(A)）</w:t>
            </w:r>
          </w:p>
        </w:tc>
        <w:tc>
          <w:tcPr>
            <w:tcW w:w="1450" w:type="dxa"/>
            <w:vMerge w:val="restart"/>
            <w:tcBorders>
              <w:tl2br w:val="nil"/>
              <w:tr2bl w:val="nil"/>
            </w:tcBorders>
            <w:noWrap w:val="0"/>
            <w:vAlign w:val="center"/>
          </w:tcPr>
          <w:p w14:paraId="0A5EC3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标准限值（dB(A)）</w:t>
            </w:r>
          </w:p>
        </w:tc>
        <w:tc>
          <w:tcPr>
            <w:tcW w:w="1215" w:type="dxa"/>
            <w:vMerge w:val="restart"/>
            <w:tcBorders>
              <w:tl2br w:val="nil"/>
              <w:tr2bl w:val="nil"/>
            </w:tcBorders>
            <w:noWrap w:val="0"/>
            <w:vAlign w:val="center"/>
          </w:tcPr>
          <w:p w14:paraId="4D64FE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达标情况</w:t>
            </w:r>
          </w:p>
        </w:tc>
      </w:tr>
      <w:tr w14:paraId="373576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36C44A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821" w:type="dxa"/>
            <w:tcBorders>
              <w:tl2br w:val="nil"/>
              <w:tr2bl w:val="nil"/>
            </w:tcBorders>
            <w:noWrap w:val="0"/>
            <w:vAlign w:val="center"/>
          </w:tcPr>
          <w:p w14:paraId="292320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X</w:t>
            </w:r>
          </w:p>
        </w:tc>
        <w:tc>
          <w:tcPr>
            <w:tcW w:w="821" w:type="dxa"/>
            <w:tcBorders>
              <w:tl2br w:val="nil"/>
              <w:tr2bl w:val="nil"/>
            </w:tcBorders>
            <w:noWrap w:val="0"/>
            <w:vAlign w:val="center"/>
          </w:tcPr>
          <w:p w14:paraId="6811B0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Y</w:t>
            </w:r>
          </w:p>
        </w:tc>
        <w:tc>
          <w:tcPr>
            <w:tcW w:w="821" w:type="dxa"/>
            <w:tcBorders>
              <w:tl2br w:val="nil"/>
              <w:tr2bl w:val="nil"/>
            </w:tcBorders>
            <w:noWrap w:val="0"/>
            <w:vAlign w:val="center"/>
          </w:tcPr>
          <w:p w14:paraId="27F699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Z</w:t>
            </w:r>
          </w:p>
        </w:tc>
        <w:tc>
          <w:tcPr>
            <w:tcW w:w="1015" w:type="dxa"/>
            <w:vMerge w:val="continue"/>
            <w:tcBorders>
              <w:tl2br w:val="nil"/>
              <w:tr2bl w:val="nil"/>
            </w:tcBorders>
            <w:noWrap w:val="0"/>
            <w:vAlign w:val="center"/>
          </w:tcPr>
          <w:p w14:paraId="03AB43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449" w:type="dxa"/>
            <w:vMerge w:val="continue"/>
            <w:tcBorders>
              <w:tl2br w:val="nil"/>
              <w:tr2bl w:val="nil"/>
            </w:tcBorders>
            <w:noWrap w:val="0"/>
            <w:vAlign w:val="center"/>
          </w:tcPr>
          <w:p w14:paraId="7F29E1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450" w:type="dxa"/>
            <w:vMerge w:val="continue"/>
            <w:tcBorders>
              <w:tl2br w:val="nil"/>
              <w:tr2bl w:val="nil"/>
            </w:tcBorders>
            <w:noWrap w:val="0"/>
            <w:vAlign w:val="center"/>
          </w:tcPr>
          <w:p w14:paraId="13F54F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215" w:type="dxa"/>
            <w:vMerge w:val="continue"/>
            <w:tcBorders>
              <w:tl2br w:val="nil"/>
              <w:tr2bl w:val="nil"/>
            </w:tcBorders>
            <w:noWrap w:val="0"/>
            <w:vAlign w:val="center"/>
          </w:tcPr>
          <w:p w14:paraId="752953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r>
      <w:tr w14:paraId="6284E8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tcBorders>
              <w:tl2br w:val="nil"/>
              <w:tr2bl w:val="nil"/>
            </w:tcBorders>
            <w:noWrap w:val="0"/>
            <w:vAlign w:val="center"/>
          </w:tcPr>
          <w:p w14:paraId="272F6C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东侧</w:t>
            </w:r>
          </w:p>
        </w:tc>
        <w:tc>
          <w:tcPr>
            <w:tcW w:w="821" w:type="dxa"/>
            <w:tcBorders>
              <w:tl2br w:val="nil"/>
              <w:tr2bl w:val="nil"/>
            </w:tcBorders>
            <w:noWrap w:val="0"/>
            <w:vAlign w:val="center"/>
          </w:tcPr>
          <w:p w14:paraId="60A025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16</w:t>
            </w:r>
          </w:p>
        </w:tc>
        <w:tc>
          <w:tcPr>
            <w:tcW w:w="821" w:type="dxa"/>
            <w:tcBorders>
              <w:tl2br w:val="nil"/>
              <w:tr2bl w:val="nil"/>
            </w:tcBorders>
            <w:noWrap w:val="0"/>
            <w:vAlign w:val="center"/>
          </w:tcPr>
          <w:p w14:paraId="65F7AF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w:t>
            </w:r>
          </w:p>
        </w:tc>
        <w:tc>
          <w:tcPr>
            <w:tcW w:w="821" w:type="dxa"/>
            <w:tcBorders>
              <w:tl2br w:val="nil"/>
              <w:tr2bl w:val="nil"/>
            </w:tcBorders>
            <w:noWrap w:val="0"/>
            <w:vAlign w:val="center"/>
          </w:tcPr>
          <w:p w14:paraId="115DC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12ABBF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6D1DFD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50.2</w:t>
            </w:r>
          </w:p>
        </w:tc>
        <w:tc>
          <w:tcPr>
            <w:tcW w:w="1450" w:type="dxa"/>
            <w:tcBorders>
              <w:tl2br w:val="nil"/>
              <w:tr2bl w:val="nil"/>
            </w:tcBorders>
            <w:noWrap w:val="0"/>
            <w:vAlign w:val="center"/>
          </w:tcPr>
          <w:p w14:paraId="2668CE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1279A0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2CE644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tcBorders>
              <w:tl2br w:val="nil"/>
              <w:tr2bl w:val="nil"/>
            </w:tcBorders>
            <w:noWrap w:val="0"/>
            <w:vAlign w:val="center"/>
          </w:tcPr>
          <w:p w14:paraId="587215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南侧</w:t>
            </w:r>
          </w:p>
        </w:tc>
        <w:tc>
          <w:tcPr>
            <w:tcW w:w="821" w:type="dxa"/>
            <w:tcBorders>
              <w:tl2br w:val="nil"/>
              <w:tr2bl w:val="nil"/>
            </w:tcBorders>
            <w:noWrap w:val="0"/>
            <w:vAlign w:val="center"/>
          </w:tcPr>
          <w:p w14:paraId="36108D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-13</w:t>
            </w:r>
          </w:p>
        </w:tc>
        <w:tc>
          <w:tcPr>
            <w:tcW w:w="821" w:type="dxa"/>
            <w:tcBorders>
              <w:tl2br w:val="nil"/>
              <w:tr2bl w:val="nil"/>
            </w:tcBorders>
            <w:noWrap w:val="0"/>
            <w:vAlign w:val="center"/>
          </w:tcPr>
          <w:p w14:paraId="6BFFD2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-33</w:t>
            </w:r>
          </w:p>
        </w:tc>
        <w:tc>
          <w:tcPr>
            <w:tcW w:w="821" w:type="dxa"/>
            <w:tcBorders>
              <w:tl2br w:val="nil"/>
              <w:tr2bl w:val="nil"/>
            </w:tcBorders>
            <w:noWrap w:val="0"/>
            <w:vAlign w:val="center"/>
          </w:tcPr>
          <w:p w14:paraId="123AAD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75F668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2AB1B9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55.1</w:t>
            </w:r>
          </w:p>
        </w:tc>
        <w:tc>
          <w:tcPr>
            <w:tcW w:w="1450" w:type="dxa"/>
            <w:tcBorders>
              <w:tl2br w:val="nil"/>
              <w:tr2bl w:val="nil"/>
            </w:tcBorders>
            <w:noWrap w:val="0"/>
            <w:vAlign w:val="center"/>
          </w:tcPr>
          <w:p w14:paraId="40EBAE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1BEA8D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32164C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tcBorders>
              <w:tl2br w:val="nil"/>
              <w:tr2bl w:val="nil"/>
            </w:tcBorders>
            <w:noWrap w:val="0"/>
            <w:vAlign w:val="center"/>
          </w:tcPr>
          <w:p w14:paraId="0A1590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西侧</w:t>
            </w:r>
          </w:p>
        </w:tc>
        <w:tc>
          <w:tcPr>
            <w:tcW w:w="821" w:type="dxa"/>
            <w:tcBorders>
              <w:tl2br w:val="nil"/>
              <w:tr2bl w:val="nil"/>
            </w:tcBorders>
            <w:noWrap w:val="0"/>
            <w:vAlign w:val="center"/>
          </w:tcPr>
          <w:p w14:paraId="250C4F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-15</w:t>
            </w:r>
          </w:p>
        </w:tc>
        <w:tc>
          <w:tcPr>
            <w:tcW w:w="821" w:type="dxa"/>
            <w:tcBorders>
              <w:tl2br w:val="nil"/>
              <w:tr2bl w:val="nil"/>
            </w:tcBorders>
            <w:noWrap w:val="0"/>
            <w:vAlign w:val="center"/>
          </w:tcPr>
          <w:p w14:paraId="7719DD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-26</w:t>
            </w:r>
          </w:p>
        </w:tc>
        <w:tc>
          <w:tcPr>
            <w:tcW w:w="821" w:type="dxa"/>
            <w:tcBorders>
              <w:tl2br w:val="nil"/>
              <w:tr2bl w:val="nil"/>
            </w:tcBorders>
            <w:noWrap w:val="0"/>
            <w:vAlign w:val="center"/>
          </w:tcPr>
          <w:p w14:paraId="1E983E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3DA66A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0EFE41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51.6</w:t>
            </w:r>
          </w:p>
        </w:tc>
        <w:tc>
          <w:tcPr>
            <w:tcW w:w="1450" w:type="dxa"/>
            <w:tcBorders>
              <w:tl2br w:val="nil"/>
              <w:tr2bl w:val="nil"/>
            </w:tcBorders>
            <w:noWrap w:val="0"/>
            <w:vAlign w:val="center"/>
          </w:tcPr>
          <w:p w14:paraId="14853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2C4C42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26EA65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tcBorders>
              <w:tl2br w:val="nil"/>
              <w:tr2bl w:val="nil"/>
            </w:tcBorders>
            <w:noWrap w:val="0"/>
            <w:vAlign w:val="center"/>
          </w:tcPr>
          <w:p w14:paraId="087F50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北侧</w:t>
            </w:r>
          </w:p>
        </w:tc>
        <w:tc>
          <w:tcPr>
            <w:tcW w:w="821" w:type="dxa"/>
            <w:tcBorders>
              <w:tl2br w:val="nil"/>
              <w:tr2bl w:val="nil"/>
            </w:tcBorders>
            <w:noWrap w:val="0"/>
            <w:vAlign w:val="center"/>
          </w:tcPr>
          <w:p w14:paraId="57D18E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-14</w:t>
            </w:r>
          </w:p>
        </w:tc>
        <w:tc>
          <w:tcPr>
            <w:tcW w:w="821" w:type="dxa"/>
            <w:tcBorders>
              <w:tl2br w:val="nil"/>
              <w:tr2bl w:val="nil"/>
            </w:tcBorders>
            <w:noWrap w:val="0"/>
            <w:vAlign w:val="center"/>
          </w:tcPr>
          <w:p w14:paraId="405C77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23</w:t>
            </w:r>
          </w:p>
        </w:tc>
        <w:tc>
          <w:tcPr>
            <w:tcW w:w="821" w:type="dxa"/>
            <w:tcBorders>
              <w:tl2br w:val="nil"/>
              <w:tr2bl w:val="nil"/>
            </w:tcBorders>
            <w:noWrap w:val="0"/>
            <w:vAlign w:val="center"/>
          </w:tcPr>
          <w:p w14:paraId="51267B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08169E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1238D3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44.4</w:t>
            </w:r>
          </w:p>
        </w:tc>
        <w:tc>
          <w:tcPr>
            <w:tcW w:w="1450" w:type="dxa"/>
            <w:tcBorders>
              <w:tl2br w:val="nil"/>
              <w:tr2bl w:val="nil"/>
            </w:tcBorders>
            <w:noWrap w:val="0"/>
            <w:vAlign w:val="center"/>
          </w:tcPr>
          <w:p w14:paraId="3026CC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4D980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bl>
    <w:p w14:paraId="6C707963">
      <w:pPr>
        <w:spacing w:line="360" w:lineRule="auto"/>
        <w:ind w:firstLine="480" w:firstLineChars="200"/>
        <w:rPr>
          <w:rStyle w:val="52"/>
          <w:rFonts w:hint="default" w:ascii="Times New Roman" w:hAnsi="Times New Roman" w:cs="Times New Roman"/>
          <w:color w:val="auto"/>
          <w:u w:val="none" w:color="auto"/>
          <w:lang w:eastAsia="zh-CN"/>
        </w:rPr>
      </w:pPr>
      <w:r>
        <w:rPr>
          <w:rStyle w:val="52"/>
          <w:rFonts w:hint="default" w:ascii="Times New Roman" w:hAnsi="Times New Roman" w:cs="Times New Roman"/>
          <w:color w:val="auto"/>
          <w:u w:val="none" w:color="auto"/>
        </w:rPr>
        <w:t>由上表预测评价结果可知，项目各噪声源在东、南、西、北四至厂界的昼间噪声贡献值均能够满足《工业企业厂界环境噪声排放标准》(GB12348.2008) 3 类标准要求，项目运营对周围声环境质量不会产生明显影响</w:t>
      </w:r>
      <w:r>
        <w:rPr>
          <w:rStyle w:val="52"/>
          <w:rFonts w:hint="default" w:ascii="Times New Roman" w:hAnsi="Times New Roman" w:cs="Times New Roman"/>
          <w:color w:val="auto"/>
          <w:u w:val="none" w:color="auto"/>
          <w:lang w:eastAsia="zh-CN"/>
        </w:rPr>
        <w:t>。</w:t>
      </w:r>
    </w:p>
    <w:p w14:paraId="60801C70">
      <w:pPr>
        <w:pStyle w:val="23"/>
        <w:bidi w:val="0"/>
        <w:rPr>
          <w:rFonts w:hint="eastAsia"/>
          <w:color w:val="auto"/>
          <w:u w:val="none" w:color="auto"/>
          <w:lang w:val="en-US" w:eastAsia="zh-CN"/>
        </w:rPr>
      </w:pPr>
      <w:r>
        <w:rPr>
          <w:rFonts w:hint="eastAsia"/>
          <w:color w:val="auto"/>
          <w:u w:val="none" w:color="auto"/>
          <w:lang w:val="en-US" w:eastAsia="zh-CN"/>
        </w:rPr>
        <w:t>表5.2-23 项目建成后噪声敏感点预测结果一览表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521"/>
        <w:gridCol w:w="1197"/>
        <w:gridCol w:w="906"/>
        <w:gridCol w:w="979"/>
        <w:gridCol w:w="979"/>
        <w:gridCol w:w="979"/>
        <w:gridCol w:w="979"/>
        <w:gridCol w:w="979"/>
        <w:gridCol w:w="985"/>
      </w:tblGrid>
      <w:tr w14:paraId="03638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tcBorders>
              <w:tl2br w:val="nil"/>
              <w:tr2bl w:val="nil"/>
            </w:tcBorders>
            <w:noWrap w:val="0"/>
            <w:vAlign w:val="center"/>
          </w:tcPr>
          <w:p w14:paraId="40674F3F">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序号</w:t>
            </w:r>
          </w:p>
        </w:tc>
        <w:tc>
          <w:tcPr>
            <w:tcW w:w="1197" w:type="dxa"/>
            <w:tcBorders>
              <w:tl2br w:val="nil"/>
              <w:tr2bl w:val="nil"/>
            </w:tcBorders>
            <w:noWrap w:val="0"/>
            <w:vAlign w:val="center"/>
          </w:tcPr>
          <w:p w14:paraId="7B232C40">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声环境保护目标名称</w:t>
            </w:r>
          </w:p>
        </w:tc>
        <w:tc>
          <w:tcPr>
            <w:tcW w:w="906" w:type="dxa"/>
            <w:tcBorders>
              <w:tl2br w:val="nil"/>
              <w:tr2bl w:val="nil"/>
            </w:tcBorders>
            <w:noWrap w:val="0"/>
            <w:vAlign w:val="center"/>
          </w:tcPr>
          <w:p w14:paraId="7778D956">
            <w:pPr>
              <w:jc w:val="center"/>
              <w:rPr>
                <w:rFonts w:hint="eastAsia" w:ascii="Times New Roman" w:hAnsi="Times New Roman" w:eastAsia="宋体" w:cs="Times New Roman"/>
                <w:b/>
                <w:color w:val="auto"/>
                <w:sz w:val="21"/>
                <w:szCs w:val="21"/>
                <w:u w:val="none" w:color="auto"/>
                <w:lang w:val="en-US" w:eastAsia="zh-CN"/>
              </w:rPr>
            </w:pPr>
            <w:r>
              <w:rPr>
                <w:rFonts w:hint="eastAsia" w:ascii="Times New Roman" w:hAnsi="Times New Roman" w:eastAsia="宋体" w:cs="Times New Roman"/>
                <w:b/>
                <w:color w:val="auto"/>
                <w:sz w:val="21"/>
                <w:szCs w:val="21"/>
                <w:u w:val="none" w:color="auto"/>
                <w:lang w:val="en-US" w:eastAsia="zh-CN"/>
              </w:rPr>
              <w:t>时段</w:t>
            </w:r>
          </w:p>
        </w:tc>
        <w:tc>
          <w:tcPr>
            <w:tcW w:w="979" w:type="dxa"/>
            <w:tcBorders>
              <w:tl2br w:val="nil"/>
              <w:tr2bl w:val="nil"/>
            </w:tcBorders>
            <w:noWrap w:val="0"/>
            <w:vAlign w:val="center"/>
          </w:tcPr>
          <w:p w14:paraId="50CE3D7E">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现状值/dB(A)</w:t>
            </w:r>
          </w:p>
        </w:tc>
        <w:tc>
          <w:tcPr>
            <w:tcW w:w="979" w:type="dxa"/>
            <w:tcBorders>
              <w:tl2br w:val="nil"/>
              <w:tr2bl w:val="nil"/>
            </w:tcBorders>
            <w:noWrap w:val="0"/>
            <w:vAlign w:val="center"/>
          </w:tcPr>
          <w:p w14:paraId="37A7D4B2">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标准/dB(A)</w:t>
            </w:r>
          </w:p>
        </w:tc>
        <w:tc>
          <w:tcPr>
            <w:tcW w:w="979" w:type="dxa"/>
            <w:tcBorders>
              <w:tl2br w:val="nil"/>
              <w:tr2bl w:val="nil"/>
            </w:tcBorders>
            <w:noWrap w:val="0"/>
            <w:vAlign w:val="center"/>
          </w:tcPr>
          <w:p w14:paraId="6C703E5A">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贡献值/dB(A)</w:t>
            </w:r>
          </w:p>
        </w:tc>
        <w:tc>
          <w:tcPr>
            <w:tcW w:w="979" w:type="dxa"/>
            <w:tcBorders>
              <w:tl2br w:val="nil"/>
              <w:tr2bl w:val="nil"/>
            </w:tcBorders>
            <w:noWrap w:val="0"/>
            <w:vAlign w:val="center"/>
          </w:tcPr>
          <w:p w14:paraId="05E3E46C">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声预测值/dB(A)</w:t>
            </w:r>
          </w:p>
        </w:tc>
        <w:tc>
          <w:tcPr>
            <w:tcW w:w="979" w:type="dxa"/>
            <w:tcBorders>
              <w:tl2br w:val="nil"/>
              <w:tr2bl w:val="nil"/>
            </w:tcBorders>
            <w:noWrap w:val="0"/>
            <w:vAlign w:val="center"/>
          </w:tcPr>
          <w:p w14:paraId="0F223C57">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较现状增量/dB(A)</w:t>
            </w:r>
          </w:p>
        </w:tc>
        <w:tc>
          <w:tcPr>
            <w:tcW w:w="985" w:type="dxa"/>
            <w:tcBorders>
              <w:tl2br w:val="nil"/>
              <w:tr2bl w:val="nil"/>
            </w:tcBorders>
            <w:noWrap w:val="0"/>
            <w:vAlign w:val="center"/>
          </w:tcPr>
          <w:p w14:paraId="7F282C91">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超标和达标情况</w:t>
            </w:r>
          </w:p>
        </w:tc>
      </w:tr>
      <w:tr w14:paraId="0307B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tcBorders>
              <w:tl2br w:val="nil"/>
              <w:tr2bl w:val="nil"/>
            </w:tcBorders>
            <w:shd w:val="clear" w:color="auto" w:fill="FFFFFF"/>
            <w:noWrap w:val="0"/>
            <w:vAlign w:val="center"/>
          </w:tcPr>
          <w:p w14:paraId="26D7DF06">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1197" w:type="dxa"/>
            <w:tcBorders>
              <w:tl2br w:val="nil"/>
              <w:tr2bl w:val="nil"/>
            </w:tcBorders>
            <w:shd w:val="clear" w:color="auto" w:fill="FFFFFF"/>
            <w:noWrap w:val="0"/>
            <w:vAlign w:val="center"/>
          </w:tcPr>
          <w:p w14:paraId="40AF43F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东侧居民点1F</w:t>
            </w:r>
          </w:p>
        </w:tc>
        <w:tc>
          <w:tcPr>
            <w:tcW w:w="906" w:type="dxa"/>
            <w:vMerge w:val="restart"/>
            <w:tcBorders>
              <w:tl2br w:val="nil"/>
              <w:tr2bl w:val="nil"/>
            </w:tcBorders>
            <w:shd w:val="clear" w:color="auto" w:fill="FFFFFF"/>
            <w:noWrap w:val="0"/>
            <w:vAlign w:val="center"/>
          </w:tcPr>
          <w:p w14:paraId="0E5A25C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昼间</w:t>
            </w:r>
          </w:p>
        </w:tc>
        <w:tc>
          <w:tcPr>
            <w:tcW w:w="979" w:type="dxa"/>
            <w:tcBorders>
              <w:tl2br w:val="nil"/>
              <w:tr2bl w:val="nil"/>
            </w:tcBorders>
            <w:shd w:val="clear" w:color="auto" w:fill="FFFFFF"/>
            <w:noWrap w:val="0"/>
            <w:vAlign w:val="center"/>
          </w:tcPr>
          <w:p w14:paraId="4E04E4DB">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w:t>
            </w:r>
          </w:p>
        </w:tc>
        <w:tc>
          <w:tcPr>
            <w:tcW w:w="979" w:type="dxa"/>
            <w:tcBorders>
              <w:tl2br w:val="nil"/>
              <w:tr2bl w:val="nil"/>
            </w:tcBorders>
            <w:shd w:val="clear" w:color="auto" w:fill="FFFFFF"/>
            <w:noWrap w:val="0"/>
            <w:vAlign w:val="center"/>
          </w:tcPr>
          <w:p w14:paraId="5E9A2BB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979" w:type="dxa"/>
            <w:tcBorders>
              <w:tl2br w:val="nil"/>
              <w:tr2bl w:val="nil"/>
            </w:tcBorders>
            <w:shd w:val="clear" w:color="auto" w:fill="FFFFFF"/>
            <w:noWrap w:val="0"/>
            <w:vAlign w:val="center"/>
          </w:tcPr>
          <w:p w14:paraId="7B3EADFC">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38.0</w:t>
            </w:r>
          </w:p>
        </w:tc>
        <w:tc>
          <w:tcPr>
            <w:tcW w:w="979" w:type="dxa"/>
            <w:tcBorders>
              <w:tl2br w:val="nil"/>
              <w:tr2bl w:val="nil"/>
            </w:tcBorders>
            <w:shd w:val="clear" w:color="auto" w:fill="FFFFFF"/>
            <w:noWrap w:val="0"/>
            <w:vAlign w:val="center"/>
          </w:tcPr>
          <w:p w14:paraId="2E95FB1A">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55.1</w:t>
            </w:r>
          </w:p>
        </w:tc>
        <w:tc>
          <w:tcPr>
            <w:tcW w:w="979" w:type="dxa"/>
            <w:tcBorders>
              <w:tl2br w:val="nil"/>
              <w:tr2bl w:val="nil"/>
            </w:tcBorders>
            <w:shd w:val="clear" w:color="auto" w:fill="FFFFFF"/>
            <w:noWrap w:val="0"/>
            <w:vAlign w:val="center"/>
          </w:tcPr>
          <w:p w14:paraId="649F5FA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w:t>
            </w:r>
          </w:p>
        </w:tc>
        <w:tc>
          <w:tcPr>
            <w:tcW w:w="985" w:type="dxa"/>
            <w:tcBorders>
              <w:tl2br w:val="nil"/>
              <w:tr2bl w:val="nil"/>
            </w:tcBorders>
            <w:shd w:val="clear" w:color="auto" w:fill="FFFFFF"/>
            <w:noWrap w:val="0"/>
            <w:vAlign w:val="center"/>
          </w:tcPr>
          <w:p w14:paraId="03EDF450">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达标</w:t>
            </w:r>
          </w:p>
        </w:tc>
      </w:tr>
      <w:tr w14:paraId="728E6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tcBorders>
              <w:tl2br w:val="nil"/>
              <w:tr2bl w:val="nil"/>
            </w:tcBorders>
            <w:shd w:val="clear" w:color="auto" w:fill="FFFFFF"/>
            <w:noWrap w:val="0"/>
            <w:vAlign w:val="center"/>
          </w:tcPr>
          <w:p w14:paraId="4E9B9132">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1197" w:type="dxa"/>
            <w:tcBorders>
              <w:tl2br w:val="nil"/>
              <w:tr2bl w:val="nil"/>
            </w:tcBorders>
            <w:shd w:val="clear" w:color="auto" w:fill="FFFFFF"/>
            <w:noWrap w:val="0"/>
            <w:vAlign w:val="center"/>
          </w:tcPr>
          <w:p w14:paraId="16B12812">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东侧居民点4F</w:t>
            </w:r>
          </w:p>
        </w:tc>
        <w:tc>
          <w:tcPr>
            <w:tcW w:w="906" w:type="dxa"/>
            <w:vMerge w:val="continue"/>
            <w:tcBorders>
              <w:tl2br w:val="nil"/>
              <w:tr2bl w:val="nil"/>
            </w:tcBorders>
            <w:shd w:val="clear" w:color="auto" w:fill="FFFFFF"/>
            <w:noWrap w:val="0"/>
            <w:vAlign w:val="center"/>
          </w:tcPr>
          <w:p w14:paraId="234E54F1">
            <w:pPr>
              <w:jc w:val="center"/>
              <w:rPr>
                <w:rFonts w:hint="eastAsia" w:ascii="Times New Roman" w:hAnsi="Times New Roman" w:eastAsia="宋体" w:cs="Times New Roman"/>
                <w:color w:val="auto"/>
                <w:sz w:val="21"/>
                <w:szCs w:val="21"/>
                <w:u w:val="none" w:color="auto"/>
                <w:lang w:val="en-US" w:eastAsia="zh-CN"/>
              </w:rPr>
            </w:pPr>
          </w:p>
        </w:tc>
        <w:tc>
          <w:tcPr>
            <w:tcW w:w="979" w:type="dxa"/>
            <w:tcBorders>
              <w:tl2br w:val="nil"/>
              <w:tr2bl w:val="nil"/>
            </w:tcBorders>
            <w:shd w:val="clear" w:color="auto" w:fill="FFFFFF"/>
            <w:noWrap w:val="0"/>
            <w:vAlign w:val="center"/>
          </w:tcPr>
          <w:p w14:paraId="639A16E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54</w:t>
            </w:r>
          </w:p>
        </w:tc>
        <w:tc>
          <w:tcPr>
            <w:tcW w:w="979" w:type="dxa"/>
            <w:tcBorders>
              <w:tl2br w:val="nil"/>
              <w:tr2bl w:val="nil"/>
            </w:tcBorders>
            <w:shd w:val="clear" w:color="auto" w:fill="FFFFFF"/>
            <w:noWrap w:val="0"/>
            <w:vAlign w:val="center"/>
          </w:tcPr>
          <w:p w14:paraId="2BC9218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979" w:type="dxa"/>
            <w:tcBorders>
              <w:tl2br w:val="nil"/>
              <w:tr2bl w:val="nil"/>
            </w:tcBorders>
            <w:shd w:val="clear" w:color="auto" w:fill="FFFFFF"/>
            <w:noWrap w:val="0"/>
            <w:vAlign w:val="center"/>
          </w:tcPr>
          <w:p w14:paraId="1B859E6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37.0</w:t>
            </w:r>
          </w:p>
        </w:tc>
        <w:tc>
          <w:tcPr>
            <w:tcW w:w="979" w:type="dxa"/>
            <w:tcBorders>
              <w:tl2br w:val="nil"/>
              <w:tr2bl w:val="nil"/>
            </w:tcBorders>
            <w:shd w:val="clear" w:color="auto" w:fill="FFFFFF"/>
            <w:noWrap w:val="0"/>
            <w:vAlign w:val="center"/>
          </w:tcPr>
          <w:p w14:paraId="51C33C7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54.1</w:t>
            </w:r>
          </w:p>
        </w:tc>
        <w:tc>
          <w:tcPr>
            <w:tcW w:w="979" w:type="dxa"/>
            <w:tcBorders>
              <w:tl2br w:val="nil"/>
              <w:tr2bl w:val="nil"/>
            </w:tcBorders>
            <w:shd w:val="clear" w:color="auto" w:fill="FFFFFF"/>
            <w:noWrap w:val="0"/>
            <w:vAlign w:val="center"/>
          </w:tcPr>
          <w:p w14:paraId="0920AD0B">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w:t>
            </w:r>
          </w:p>
        </w:tc>
        <w:tc>
          <w:tcPr>
            <w:tcW w:w="985" w:type="dxa"/>
            <w:tcBorders>
              <w:tl2br w:val="nil"/>
              <w:tr2bl w:val="nil"/>
            </w:tcBorders>
            <w:shd w:val="clear" w:color="auto" w:fill="FFFFFF"/>
            <w:noWrap w:val="0"/>
            <w:vAlign w:val="center"/>
          </w:tcPr>
          <w:p w14:paraId="744746E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达标</w:t>
            </w:r>
          </w:p>
        </w:tc>
      </w:tr>
    </w:tbl>
    <w:p w14:paraId="1BA9C747">
      <w:pPr>
        <w:pStyle w:val="21"/>
        <w:bidi w:val="0"/>
        <w:rPr>
          <w:rFonts w:hint="default"/>
          <w:color w:val="auto"/>
          <w:u w:val="none" w:color="auto"/>
          <w:lang w:val="en-US" w:eastAsia="zh-CN"/>
        </w:rPr>
      </w:pPr>
      <w:r>
        <w:rPr>
          <w:rFonts w:hint="default"/>
          <w:color w:val="auto"/>
          <w:u w:val="none" w:color="auto"/>
        </w:rPr>
        <w:t>从</w:t>
      </w:r>
      <w:r>
        <w:rPr>
          <w:rFonts w:hint="eastAsia"/>
          <w:color w:val="auto"/>
          <w:u w:val="none" w:color="auto"/>
          <w:lang w:val="en-US" w:eastAsia="zh-CN"/>
        </w:rPr>
        <w:t>上表</w:t>
      </w:r>
      <w:r>
        <w:rPr>
          <w:rFonts w:hint="default"/>
          <w:color w:val="auto"/>
          <w:u w:val="none" w:color="auto"/>
        </w:rPr>
        <w:t>可以看出，项目建成后</w:t>
      </w:r>
      <w:r>
        <w:rPr>
          <w:rFonts w:hint="eastAsia"/>
          <w:color w:val="auto"/>
          <w:u w:val="none" w:color="auto"/>
          <w:lang w:val="en-US" w:eastAsia="zh-CN"/>
        </w:rPr>
        <w:t>厂界东侧居民点的</w:t>
      </w:r>
      <w:r>
        <w:rPr>
          <w:rFonts w:hint="default"/>
          <w:color w:val="auto"/>
          <w:u w:val="none" w:color="auto"/>
        </w:rPr>
        <w:t>噪声源</w:t>
      </w:r>
      <w:r>
        <w:rPr>
          <w:rFonts w:hint="eastAsia"/>
          <w:color w:val="auto"/>
          <w:u w:val="none" w:color="auto"/>
          <w:lang w:val="en-US" w:eastAsia="zh-CN"/>
        </w:rPr>
        <w:t>预测</w:t>
      </w:r>
      <w:r>
        <w:rPr>
          <w:rFonts w:hint="default"/>
          <w:color w:val="auto"/>
          <w:u w:val="none" w:color="auto"/>
        </w:rPr>
        <w:t>值昼间小于</w:t>
      </w:r>
      <w:r>
        <w:rPr>
          <w:rFonts w:hint="eastAsia"/>
          <w:color w:val="auto"/>
          <w:u w:val="none" w:color="auto"/>
          <w:lang w:val="en-US" w:eastAsia="zh-CN"/>
        </w:rPr>
        <w:t>70</w:t>
      </w:r>
      <w:r>
        <w:rPr>
          <w:rFonts w:hint="default"/>
          <w:color w:val="auto"/>
          <w:u w:val="none" w:color="auto"/>
        </w:rPr>
        <w:t>dB(A)</w:t>
      </w:r>
      <w:r>
        <w:rPr>
          <w:rFonts w:hint="eastAsia"/>
          <w:color w:val="auto"/>
          <w:u w:val="none" w:color="auto"/>
          <w:lang w:eastAsia="zh-CN"/>
        </w:rPr>
        <w:t>，</w:t>
      </w:r>
      <w:r>
        <w:rPr>
          <w:rFonts w:hint="default"/>
          <w:color w:val="auto"/>
          <w:u w:val="none" w:color="auto"/>
        </w:rPr>
        <w:t>符合《</w:t>
      </w:r>
      <w:r>
        <w:rPr>
          <w:rFonts w:hint="eastAsia"/>
          <w:color w:val="auto"/>
          <w:u w:val="none" w:color="auto"/>
          <w:lang w:val="en-US" w:eastAsia="zh-CN"/>
        </w:rPr>
        <w:t>声环境质量标准</w:t>
      </w:r>
      <w:r>
        <w:rPr>
          <w:rFonts w:hint="default"/>
          <w:color w:val="auto"/>
          <w:u w:val="none" w:color="auto"/>
        </w:rPr>
        <w:t>》（GB</w:t>
      </w:r>
      <w:r>
        <w:rPr>
          <w:rFonts w:hint="eastAsia"/>
          <w:color w:val="auto"/>
          <w:u w:val="none" w:color="auto"/>
          <w:lang w:val="en-US" w:eastAsia="zh-CN"/>
        </w:rPr>
        <w:t>3096-2008</w:t>
      </w:r>
      <w:r>
        <w:rPr>
          <w:rFonts w:hint="default"/>
          <w:color w:val="auto"/>
          <w:u w:val="none" w:color="auto"/>
        </w:rPr>
        <w:t>）中的</w:t>
      </w:r>
      <w:r>
        <w:rPr>
          <w:rFonts w:hint="eastAsia"/>
          <w:color w:val="auto"/>
          <w:u w:val="none" w:color="auto"/>
          <w:lang w:val="en-US" w:eastAsia="zh-CN"/>
        </w:rPr>
        <w:t>4a</w:t>
      </w:r>
      <w:r>
        <w:rPr>
          <w:rFonts w:hint="default"/>
          <w:color w:val="auto"/>
          <w:u w:val="none" w:color="auto"/>
        </w:rPr>
        <w:t>类标准要求</w:t>
      </w:r>
      <w:r>
        <w:rPr>
          <w:rFonts w:hint="eastAsia"/>
          <w:color w:val="auto"/>
          <w:u w:val="none" w:color="auto"/>
          <w:lang w:eastAsia="zh-CN"/>
        </w:rPr>
        <w:t>，</w:t>
      </w:r>
      <w:r>
        <w:rPr>
          <w:rFonts w:hint="eastAsia"/>
          <w:color w:val="auto"/>
          <w:u w:val="none" w:color="auto"/>
          <w:lang w:val="en-US" w:eastAsia="zh-CN"/>
        </w:rPr>
        <w:t>项目生产过程中产生的噪声对居民点处影响较小，在可接受范围内</w:t>
      </w:r>
      <w:r>
        <w:rPr>
          <w:rFonts w:hint="default"/>
          <w:color w:val="auto"/>
          <w:u w:val="none" w:color="auto"/>
          <w:lang w:eastAsia="zh-CN"/>
        </w:rPr>
        <w:t>。</w:t>
      </w:r>
    </w:p>
    <w:bookmarkEnd w:id="1059"/>
    <w:p w14:paraId="15BBDAFC">
      <w:pPr>
        <w:pStyle w:val="8"/>
        <w:rPr>
          <w:rFonts w:hint="default" w:ascii="Times New Roman" w:hAnsi="Times New Roman" w:cs="Times New Roman"/>
          <w:color w:val="auto"/>
          <w:u w:val="none" w:color="auto"/>
        </w:rPr>
      </w:pPr>
      <w:bookmarkStart w:id="1061" w:name="_Toc12026"/>
      <w:bookmarkStart w:id="1062" w:name="_Toc25414_WPSOffice_Level1"/>
      <w:bookmarkStart w:id="1063" w:name="_Toc22955"/>
      <w:bookmarkStart w:id="1064" w:name="_Toc6062"/>
      <w:bookmarkStart w:id="1065" w:name="_Toc3150"/>
      <w:bookmarkStart w:id="1066" w:name="_Toc1065"/>
      <w:bookmarkStart w:id="1067" w:name="_Toc14950"/>
      <w:bookmarkStart w:id="1068" w:name="_Toc13997"/>
      <w:bookmarkStart w:id="1069" w:name="_Toc15289"/>
      <w:bookmarkStart w:id="1070" w:name="_Toc12493"/>
      <w:bookmarkStart w:id="1071" w:name="_Toc20368"/>
      <w:bookmarkStart w:id="1072" w:name="_Toc19958"/>
      <w:bookmarkStart w:id="1073" w:name="_Toc21143_WPSOffice_Level1"/>
      <w:bookmarkStart w:id="1074" w:name="_Toc7027"/>
      <w:bookmarkStart w:id="1075" w:name="_Toc9864"/>
      <w:bookmarkStart w:id="1076" w:name="_Toc6921_WPSOffice_Level1"/>
      <w:bookmarkStart w:id="1077" w:name="_Toc20583"/>
      <w:bookmarkStart w:id="1078" w:name="_Toc3711_WPSOffice_Level1"/>
      <w:bookmarkStart w:id="1079" w:name="_Toc11734"/>
      <w:bookmarkStart w:id="1080" w:name="_Toc32178"/>
      <w:bookmarkStart w:id="1081" w:name="_Toc6738"/>
      <w:bookmarkStart w:id="1082" w:name="_Toc8384"/>
      <w:bookmarkStart w:id="1083" w:name="_Toc10486"/>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.5固体废物环境影响评价</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37E474E1">
      <w:pPr>
        <w:pStyle w:val="21"/>
        <w:ind w:firstLine="480"/>
        <w:rPr>
          <w:rFonts w:hint="default" w:ascii="Times New Roman" w:hAnsi="Times New Roman" w:cs="Times New Roman"/>
          <w:color w:val="auto"/>
          <w:u w:val="none" w:color="auto"/>
        </w:rPr>
      </w:pPr>
      <w:bookmarkStart w:id="1084" w:name="_Toc20665_WPSOffice_Level1"/>
      <w:bookmarkStart w:id="1085" w:name="_Toc10683_WPSOffice_Level1"/>
      <w:bookmarkStart w:id="1086" w:name="_Toc9065_WPSOffice_Level1"/>
      <w:bookmarkStart w:id="1087" w:name="_Toc9880_WPSOffice_Level1"/>
      <w:bookmarkStart w:id="1088" w:name="_Toc19407"/>
      <w:bookmarkStart w:id="1089" w:name="_Toc17466"/>
      <w:bookmarkStart w:id="1090" w:name="_Toc21934"/>
      <w:bookmarkStart w:id="1091" w:name="_Toc11069"/>
      <w:bookmarkStart w:id="1092" w:name="_Toc21317_WPSOffice_Level1"/>
      <w:bookmarkStart w:id="1093" w:name="_Toc23109"/>
      <w:bookmarkStart w:id="1094" w:name="_Toc26388"/>
      <w:bookmarkStart w:id="1095" w:name="_Toc7995_WPSOffice_Level1"/>
      <w:bookmarkStart w:id="1096" w:name="_Toc22770"/>
      <w:bookmarkStart w:id="1097" w:name="_Toc23883_WPSOffice_Level1"/>
      <w:bookmarkStart w:id="1098" w:name="_Toc25642"/>
      <w:bookmarkStart w:id="1099" w:name="_Toc23319"/>
      <w:bookmarkStart w:id="1100" w:name="_Toc7268_WPSOffice_Level1"/>
      <w:bookmarkStart w:id="1101" w:name="_Toc12218"/>
      <w:bookmarkStart w:id="1102" w:name="_Toc16196"/>
      <w:bookmarkStart w:id="1103" w:name="_Toc13816"/>
      <w:bookmarkStart w:id="1104" w:name="_Toc31670"/>
      <w:bookmarkStart w:id="1105" w:name="_Toc16332"/>
      <w:bookmarkStart w:id="1106" w:name="_Toc7828"/>
      <w:bookmarkStart w:id="1107" w:name="_Toc372124956"/>
      <w:r>
        <w:rPr>
          <w:rFonts w:hint="default" w:ascii="Times New Roman" w:hAnsi="Times New Roman" w:cs="Times New Roman"/>
          <w:bCs/>
          <w:color w:val="auto"/>
          <w:u w:val="none" w:color="auto"/>
        </w:rPr>
        <w:t>本</w:t>
      </w:r>
      <w:r>
        <w:rPr>
          <w:rFonts w:hint="default" w:ascii="Times New Roman" w:hAnsi="Times New Roman" w:cs="Times New Roman"/>
          <w:color w:val="auto"/>
          <w:u w:val="none" w:color="auto"/>
        </w:rPr>
        <w:t>项目营运期过程中，厂内会产生</w:t>
      </w:r>
      <w:r>
        <w:rPr>
          <w:rFonts w:hint="eastAsia" w:ascii="Times New Roman" w:hAnsi="Times New Roman" w:cs="Times New Roman"/>
          <w:color w:val="auto"/>
          <w:u w:val="none" w:color="auto"/>
          <w:lang w:val="en-US" w:eastAsia="zh-CN"/>
        </w:rPr>
        <w:t>一般性废弃包装物</w:t>
      </w:r>
      <w:r>
        <w:rPr>
          <w:rFonts w:hint="default" w:ascii="Times New Roman" w:hAnsi="Times New Roman" w:cs="Times New Roman"/>
          <w:color w:val="auto"/>
          <w:u w:val="none" w:color="auto"/>
        </w:rPr>
        <w:t>等一般固废和废活性炭等危险废物。</w:t>
      </w:r>
    </w:p>
    <w:p w14:paraId="6C0F74F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1、固体废物主要污染途径</w:t>
      </w:r>
      <w:bookmarkEnd w:id="1084"/>
      <w:bookmarkEnd w:id="1085"/>
      <w:bookmarkEnd w:id="1086"/>
      <w:bookmarkEnd w:id="1087"/>
    </w:p>
    <w:p w14:paraId="508421B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以上各类固废由于收集、贮放、运输、处置等环节的不严格或不妥善，会造成土壤、地下水污染，其主要可能途径有：</w:t>
      </w:r>
    </w:p>
    <w:p w14:paraId="62F294A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（1）废物产生后，不能完全收集而流失于环境中；</w:t>
      </w:r>
    </w:p>
    <w:p w14:paraId="79E5404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（2）废物临时堆放地无防雨、防风、防渗设施，雨水洗淋后污染物随渗滤液进入土壤和地表、地下水环境，大风时也可造成风蚀流失；</w:t>
      </w:r>
    </w:p>
    <w:p w14:paraId="0F80FB9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（3）因管理不善而造成人为流失继而污染环境；</w:t>
      </w:r>
    </w:p>
    <w:p w14:paraId="2F40214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（4）废物得不到及时处置，在处置场所因各种因素造成流失；</w:t>
      </w:r>
    </w:p>
    <w:p w14:paraId="36D3F8F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（5）废物处置工艺不合理，有毒有害物质被转移而造成二次污染问题；</w:t>
      </w:r>
    </w:p>
    <w:p w14:paraId="2F1E2F46">
      <w:pPr>
        <w:pStyle w:val="21"/>
        <w:ind w:firstLine="480"/>
        <w:rPr>
          <w:rFonts w:hint="default" w:ascii="Times New Roman" w:hAnsi="Times New Roman" w:cs="Times New Roman"/>
          <w:color w:val="auto"/>
          <w:u w:val="none" w:color="auto"/>
        </w:rPr>
      </w:pPr>
      <w:bookmarkStart w:id="1108" w:name="_Toc26294_WPSOffice_Level1"/>
      <w:bookmarkStart w:id="1109" w:name="_Toc31207_WPSOffice_Level1"/>
      <w:bookmarkStart w:id="1110" w:name="_Toc17635_WPSOffice_Level1"/>
      <w:bookmarkStart w:id="1111" w:name="_Toc7876_WPSOffice_Level1"/>
      <w:r>
        <w:rPr>
          <w:rFonts w:hint="default" w:ascii="Times New Roman" w:hAnsi="Times New Roman" w:cs="Times New Roman"/>
          <w:color w:val="auto"/>
          <w:u w:val="none" w:color="auto"/>
        </w:rPr>
        <w:t>2、固体废物对环境的污染危害影响</w:t>
      </w:r>
      <w:bookmarkEnd w:id="1108"/>
      <w:bookmarkEnd w:id="1109"/>
      <w:bookmarkEnd w:id="1110"/>
      <w:bookmarkEnd w:id="1111"/>
    </w:p>
    <w:p w14:paraId="2E0A7EA3">
      <w:pPr>
        <w:pStyle w:val="21"/>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本项目污染物排放如不受控制，在上述所列污染途径情况下，可能对环境的污染危害影响主要有</w:t>
      </w:r>
      <w:r>
        <w:rPr>
          <w:rFonts w:hint="default" w:ascii="Times New Roman" w:hAnsi="Times New Roman" w:cs="Times New Roman"/>
          <w:color w:val="auto"/>
          <w:u w:val="none" w:color="auto"/>
          <w:lang w:eastAsia="zh-CN"/>
        </w:rPr>
        <w:t>：</w:t>
      </w:r>
    </w:p>
    <w:p w14:paraId="0274895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（1）土壤结构和土质受到破坏，土壤中微生物生长受到毒素和抑制，栖息环境恶劣，微生物种群改变和减少；</w:t>
      </w:r>
    </w:p>
    <w:p w14:paraId="70F78FC8">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（2）生活垃圾的杂乱堆积影响人们居住环境的卫生状况，对人们的健康构成威胁。</w:t>
      </w:r>
    </w:p>
    <w:p w14:paraId="4C4CF317">
      <w:pPr>
        <w:pStyle w:val="21"/>
        <w:ind w:firstLine="480"/>
        <w:rPr>
          <w:rFonts w:hint="default" w:ascii="Times New Roman" w:hAnsi="Times New Roman" w:cs="Times New Roman"/>
          <w:color w:val="auto"/>
          <w:u w:val="none" w:color="auto"/>
        </w:rPr>
      </w:pPr>
      <w:bookmarkStart w:id="1112" w:name="_Toc25688_WPSOffice_Level1"/>
      <w:bookmarkStart w:id="1113" w:name="_Toc24889_WPSOffice_Level1"/>
      <w:bookmarkStart w:id="1114" w:name="_Toc14345_WPSOffice_Level1"/>
      <w:bookmarkStart w:id="1115" w:name="_Toc11577_WPSOffice_Level1"/>
      <w:r>
        <w:rPr>
          <w:rFonts w:hint="default" w:ascii="Times New Roman" w:hAnsi="Times New Roman" w:cs="Times New Roman"/>
          <w:color w:val="auto"/>
          <w:u w:val="none" w:color="auto"/>
        </w:rPr>
        <w:t>3、项目对固体废物采取的措施及影响分析</w:t>
      </w:r>
      <w:bookmarkEnd w:id="1112"/>
      <w:bookmarkEnd w:id="1113"/>
      <w:bookmarkEnd w:id="1114"/>
      <w:bookmarkEnd w:id="1115"/>
    </w:p>
    <w:p w14:paraId="6F3824D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除不合格品暂存于厂房内新建的不合格品区1、不合格品区2外，其他固体废物均</w:t>
      </w:r>
      <w:r>
        <w:rPr>
          <w:rFonts w:hint="default" w:ascii="Times New Roman" w:hAnsi="Times New Roman" w:cs="Times New Roman"/>
          <w:color w:val="auto"/>
          <w:u w:val="none" w:color="auto"/>
        </w:rPr>
        <w:t>依托</w:t>
      </w:r>
      <w:r>
        <w:rPr>
          <w:rFonts w:hint="eastAsia" w:ascii="Times New Roman" w:hAnsi="Times New Roman" w:cs="Times New Roman"/>
          <w:color w:val="auto"/>
          <w:u w:val="none" w:color="auto"/>
          <w:lang w:val="en-US" w:eastAsia="zh-CN"/>
        </w:rPr>
        <w:t>建设单位</w:t>
      </w:r>
      <w:r>
        <w:rPr>
          <w:rFonts w:hint="default" w:ascii="Times New Roman" w:hAnsi="Times New Roman" w:cs="Times New Roman"/>
          <w:color w:val="auto"/>
          <w:u w:val="none" w:color="auto"/>
        </w:rPr>
        <w:t>已建的一般固体废物暂存间和危险废物暂存间，一般固体废物暂存间已作好防风、防雨措施，地面进行硬化处理，</w:t>
      </w:r>
      <w:r>
        <w:rPr>
          <w:rFonts w:hint="eastAsia" w:ascii="Times New Roman" w:hAnsi="Times New Roman" w:cs="Times New Roman"/>
          <w:color w:val="auto"/>
          <w:u w:val="none" w:color="auto"/>
          <w:lang w:val="en-US" w:eastAsia="zh-CN"/>
        </w:rPr>
        <w:t>本项目新建的不合格品区1、不合格品区2按要求</w:t>
      </w:r>
      <w:r>
        <w:rPr>
          <w:rFonts w:hint="default" w:ascii="Times New Roman" w:hAnsi="Times New Roman" w:cs="Times New Roman"/>
          <w:color w:val="auto"/>
          <w:u w:val="none" w:color="auto"/>
        </w:rPr>
        <w:t>作好防风、防雨措施，地面进行硬化处理</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危险废物暂存区已作好防风、防雨、防晒，防渗防漏处理。项目一般固体废物的种类不多，收集的固废可分类暂存于暂存区。</w:t>
      </w:r>
    </w:p>
    <w:p w14:paraId="336ABC7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一般固体废物的暂存需按照</w:t>
      </w:r>
      <w:r>
        <w:rPr>
          <w:rFonts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的相关要求建设、管理规范暂存库，通过加强管理，不与危险废物和生活垃圾相混。</w:t>
      </w:r>
    </w:p>
    <w:p w14:paraId="6609DB02">
      <w:pPr>
        <w:pStyle w:val="21"/>
        <w:ind w:firstLine="480"/>
        <w:rPr>
          <w:rFonts w:hint="default" w:ascii="Times New Roman" w:hAnsi="Times New Roman" w:cs="Times New Roman"/>
          <w:color w:val="auto"/>
          <w:u w:val="none" w:color="auto"/>
        </w:rPr>
      </w:pPr>
      <w:r>
        <w:rPr>
          <w:rFonts w:hint="default" w:ascii="Times New Roman" w:hAnsi="Times New Roman" w:cs="Times New Roman"/>
          <w:b w:val="0"/>
          <w:bCs w:val="0"/>
          <w:color w:val="auto"/>
          <w:u w:val="none" w:color="auto"/>
        </w:rPr>
        <w:t>项目</w:t>
      </w:r>
      <w:r>
        <w:rPr>
          <w:rFonts w:hint="default" w:ascii="Times New Roman" w:hAnsi="Times New Roman" w:cs="Times New Roman"/>
          <w:b w:val="0"/>
          <w:bCs w:val="0"/>
          <w:color w:val="auto"/>
          <w:u w:val="none" w:color="auto"/>
          <w:lang w:eastAsia="zh-CN"/>
        </w:rPr>
        <w:t>废活性炭</w:t>
      </w:r>
      <w:r>
        <w:rPr>
          <w:rFonts w:hint="eastAsia" w:ascii="Times New Roman" w:hAnsi="Times New Roman" w:cs="Times New Roman"/>
          <w:b w:val="0"/>
          <w:bCs w:val="0"/>
          <w:color w:val="auto"/>
          <w:u w:val="none" w:color="auto"/>
          <w:lang w:eastAsia="zh-CN"/>
        </w:rPr>
        <w:t>、</w:t>
      </w:r>
      <w:r>
        <w:rPr>
          <w:rFonts w:hint="eastAsia" w:ascii="Times New Roman" w:hAnsi="Times New Roman" w:cs="Times New Roman"/>
          <w:b w:val="0"/>
          <w:bCs w:val="0"/>
          <w:color w:val="auto"/>
          <w:u w:val="none" w:color="auto"/>
          <w:lang w:val="en-US" w:eastAsia="zh-CN"/>
        </w:rPr>
        <w:t>废矿物油</w:t>
      </w:r>
      <w:r>
        <w:rPr>
          <w:rFonts w:hint="default" w:ascii="Times New Roman" w:hAnsi="Times New Roman" w:cs="Times New Roman"/>
          <w:b w:val="0"/>
          <w:bCs w:val="0"/>
          <w:color w:val="auto"/>
          <w:u w:val="none" w:color="auto"/>
        </w:rPr>
        <w:t>等属于危险废物</w:t>
      </w:r>
      <w:r>
        <w:rPr>
          <w:rFonts w:hint="eastAsia" w:ascii="Times New Roman" w:hAnsi="Times New Roman" w:cs="Times New Roman"/>
          <w:b w:val="0"/>
          <w:bCs w:val="0"/>
          <w:color w:val="auto"/>
          <w:u w:val="none" w:color="auto"/>
          <w:lang w:eastAsia="zh-CN"/>
        </w:rPr>
        <w:t>，</w:t>
      </w:r>
      <w:r>
        <w:rPr>
          <w:rFonts w:hint="default" w:ascii="Times New Roman" w:hAnsi="Times New Roman" w:cs="Times New Roman"/>
          <w:b w:val="0"/>
          <w:bCs w:val="0"/>
          <w:color w:val="auto"/>
          <w:u w:val="none" w:color="auto"/>
          <w:lang w:eastAsia="zh-CN"/>
        </w:rPr>
        <w:t>定期交由有资质的单位处置。</w:t>
      </w:r>
      <w:r>
        <w:rPr>
          <w:rFonts w:hint="default" w:ascii="Times New Roman" w:hAnsi="Times New Roman" w:cs="Times New Roman"/>
          <w:color w:val="auto"/>
          <w:u w:val="none" w:color="auto"/>
        </w:rPr>
        <w:t>危险废物储存、运输、处置必须严格按《中华人民共和国固体废物污染环境防治法》、国家环保总局《关于发布〈危险废物污染防治技术政策〉的通知》</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环发2001</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199</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号]及《危险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同时应严格履行国家与地方政府关于危险废物转移的规定，危险废物送至具有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14:paraId="7747C6F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生活垃圾：本项目职工办公、生活产生的垃圾属于生活垃圾，建设单位在厂内设立垃圾收集箱，由环卫部门集中收集处理，对环境的影响很小。</w:t>
      </w:r>
    </w:p>
    <w:p w14:paraId="2347F58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综上所述，项目固体废物处置遵</w:t>
      </w:r>
      <w:r>
        <w:rPr>
          <w:rFonts w:hint="eastAsia" w:ascii="宋体" w:hAnsi="宋体" w:eastAsia="宋体" w:cs="宋体"/>
          <w:color w:val="auto"/>
          <w:u w:val="none" w:color="auto"/>
        </w:rPr>
        <w:t>循“减量化、资源化、无害化”的</w:t>
      </w:r>
      <w:r>
        <w:rPr>
          <w:rFonts w:hint="default" w:ascii="Times New Roman" w:hAnsi="Times New Roman" w:cs="Times New Roman"/>
          <w:color w:val="auto"/>
          <w:u w:val="none" w:color="auto"/>
        </w:rPr>
        <w:t>原则，危险废物和一般工业固废均可得到综合利用或合理处置，不会造成二次污染，对周边环境影响较小。</w:t>
      </w:r>
    </w:p>
    <w:p w14:paraId="6D39A564">
      <w:pPr>
        <w:pStyle w:val="8"/>
        <w:rPr>
          <w:rFonts w:hint="default" w:ascii="Times New Roman" w:hAnsi="Times New Roman" w:cs="Times New Roman"/>
          <w:color w:val="auto"/>
          <w:u w:val="none" w:color="auto"/>
        </w:rPr>
      </w:pPr>
      <w:bookmarkStart w:id="1116" w:name="_Toc23127"/>
      <w:bookmarkStart w:id="1117" w:name="_Toc8145"/>
      <w:bookmarkStart w:id="1118" w:name="_Toc11961"/>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.6生态环境影响分析</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16"/>
      <w:bookmarkEnd w:id="1117"/>
      <w:bookmarkEnd w:id="1118"/>
    </w:p>
    <w:p w14:paraId="15B83929">
      <w:pPr>
        <w:pStyle w:val="21"/>
        <w:ind w:firstLine="480"/>
        <w:rPr>
          <w:rFonts w:hint="default" w:ascii="Times New Roman" w:hAnsi="Times New Roman" w:cs="Times New Roman"/>
          <w:color w:val="auto"/>
          <w:u w:val="none" w:color="auto"/>
        </w:rPr>
      </w:pPr>
      <w:bookmarkStart w:id="1119" w:name="_Toc2966"/>
      <w:bookmarkStart w:id="1120" w:name="_Toc1589"/>
      <w:bookmarkStart w:id="1121" w:name="_Toc24211_WPSOffice_Level1"/>
      <w:bookmarkStart w:id="1122" w:name="_Toc912"/>
      <w:bookmarkStart w:id="1123" w:name="_Toc9081"/>
      <w:bookmarkStart w:id="1124" w:name="_Toc29692_WPSOffice_Level1"/>
      <w:bookmarkStart w:id="1125" w:name="_Toc31269"/>
      <w:bookmarkStart w:id="1126" w:name="_Toc22492"/>
      <w:bookmarkStart w:id="1127" w:name="_Toc351"/>
      <w:bookmarkStart w:id="1128" w:name="_Toc24609"/>
      <w:bookmarkStart w:id="1129" w:name="_Toc5366"/>
      <w:bookmarkStart w:id="1130" w:name="_Toc15018"/>
      <w:bookmarkStart w:id="1131" w:name="_Toc22139"/>
      <w:bookmarkStart w:id="1132" w:name="_Toc3156"/>
      <w:bookmarkStart w:id="1133" w:name="_Toc27218"/>
      <w:bookmarkStart w:id="1134" w:name="_Toc2673_WPSOffice_Level1"/>
      <w:bookmarkStart w:id="1135" w:name="_Toc21998"/>
      <w:bookmarkStart w:id="1136" w:name="_Toc30469_WPSOffice_Level1"/>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位于工业园区内，项目所在区域</w:t>
      </w:r>
      <w:r>
        <w:rPr>
          <w:rFonts w:hint="default" w:ascii="Times New Roman" w:hAnsi="Times New Roman" w:cs="Times New Roman"/>
          <w:color w:val="auto"/>
          <w:u w:val="none" w:color="auto"/>
        </w:rPr>
        <w:t>动物以常见种为主，如鼠类、麻雀、蜻蜓等，没有珍稀濒危动植物资源。本次项目营运期对生态环境的影响主要是项目排放的废气对周边植被的影响。本次项目外排废气主要是</w:t>
      </w:r>
      <w:r>
        <w:rPr>
          <w:rFonts w:hint="eastAsia" w:ascii="Times New Roman" w:hAnsi="Times New Roman" w:cs="Times New Roman"/>
          <w:color w:val="auto"/>
          <w:u w:val="none" w:color="auto"/>
          <w:lang w:val="en-US" w:eastAsia="zh-CN"/>
        </w:rPr>
        <w:t>颗粒物、非甲烷总烃</w:t>
      </w:r>
      <w:r>
        <w:rPr>
          <w:rFonts w:hint="default" w:ascii="Times New Roman" w:hAnsi="Times New Roman" w:cs="Times New Roman"/>
          <w:color w:val="auto"/>
          <w:u w:val="none" w:color="auto"/>
        </w:rPr>
        <w:t xml:space="preserve">等，其对植被的影响主要有以下： </w:t>
      </w:r>
    </w:p>
    <w:p w14:paraId="03B2996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 xml:space="preserve">（1）颗粒物对植物的危害主要表现为：沉积在绿色植物叶面，堵塞气孔，阻挡光合作用、呼吸作用、蒸腾作用等，危害植物健康。另外农作物叶片上积尘太多会影响区域的景观环境。 </w:t>
      </w:r>
    </w:p>
    <w:p w14:paraId="0E1A1F0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有机废气</w:t>
      </w:r>
      <w:r>
        <w:rPr>
          <w:rFonts w:hint="default" w:ascii="Times New Roman" w:hAnsi="Times New Roman" w:cs="Times New Roman"/>
          <w:color w:val="auto"/>
          <w:u w:val="none" w:color="auto"/>
        </w:rPr>
        <w:t>的排放会造成臭氧层的毁坏，工业废气中</w:t>
      </w:r>
      <w:r>
        <w:rPr>
          <w:rFonts w:hint="eastAsia" w:ascii="Times New Roman" w:hAnsi="Times New Roman" w:cs="Times New Roman"/>
          <w:color w:val="auto"/>
          <w:u w:val="none" w:color="auto"/>
          <w:lang w:val="en-US" w:eastAsia="zh-CN"/>
        </w:rPr>
        <w:t>有机废气</w:t>
      </w:r>
      <w:r>
        <w:rPr>
          <w:rFonts w:hint="default" w:ascii="Times New Roman" w:hAnsi="Times New Roman" w:cs="Times New Roman"/>
          <w:color w:val="auto"/>
          <w:u w:val="none" w:color="auto"/>
        </w:rPr>
        <w:t>会造成酸雨，危害植物的生长并造成农作物产量下降，腐蚀建筑等。工业废气会造成全球气候变暖和冰山融化，对生态环境造成威胁。</w:t>
      </w:r>
    </w:p>
    <w:p w14:paraId="34A0BC2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在结合实际技术情况的条件下，应尽量采用最优的废气污染控制技术，遵循严格的废气排放标准，加强运行管理，减少事故排放，尽可能把废气污染程度降到最低，使其对周围生态环境产生更小的影响。此外，通过厂区内外采取有效的绿化措施，不仅可以创造良好的工作环境、有效地减少厂区内各功能分区之间的相互影响，还可减少污染、净化空气、美化厂容，有效地减轻生产 运营对城区及周边生态环境的影响。</w:t>
      </w:r>
    </w:p>
    <w:p w14:paraId="1A608BE5">
      <w:pPr>
        <w:pStyle w:val="8"/>
        <w:rPr>
          <w:rFonts w:hint="default" w:ascii="Times New Roman" w:hAnsi="Times New Roman" w:eastAsia="宋体" w:cs="Times New Roman"/>
          <w:color w:val="auto"/>
          <w:u w:val="none" w:color="auto"/>
          <w:lang w:val="en-US" w:eastAsia="zh-CN"/>
        </w:rPr>
      </w:pPr>
      <w:bookmarkStart w:id="1137" w:name="_Toc2005"/>
      <w:bookmarkStart w:id="1138" w:name="_Toc349"/>
      <w:bookmarkStart w:id="1139" w:name="_Toc8123"/>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.7土壤环境</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Pr>
          <w:rFonts w:hint="default" w:ascii="Times New Roman" w:hAnsi="Times New Roman" w:cs="Times New Roman"/>
          <w:color w:val="auto"/>
          <w:u w:val="none" w:color="auto"/>
        </w:rPr>
        <w:t>影响分析</w:t>
      </w:r>
      <w:bookmarkEnd w:id="1137"/>
      <w:bookmarkEnd w:id="1138"/>
      <w:bookmarkEnd w:id="1139"/>
    </w:p>
    <w:p w14:paraId="60CAB50B">
      <w:pPr>
        <w:pStyle w:val="21"/>
        <w:ind w:firstLine="480"/>
        <w:rPr>
          <w:rFonts w:hint="eastAsia"/>
          <w:color w:val="auto"/>
          <w:u w:val="none" w:color="auto"/>
        </w:rPr>
      </w:pPr>
      <w:r>
        <w:rPr>
          <w:rFonts w:hint="eastAsia"/>
          <w:color w:val="auto"/>
          <w:u w:val="none" w:color="auto"/>
        </w:rPr>
        <w:t>根据《环境影响评价技术导则-土壤环境》(HJ964-2018)中附录A（规范性附录）土壤环境影响评价行业项目类别表，可知本项目属于“非金属矿物制品业”中的“含焙烧的石墨、碳素制品”，类别为</w:t>
      </w:r>
      <w:r>
        <w:rPr>
          <w:rFonts w:hint="default" w:ascii="Times New Roman" w:hAnsi="Times New Roman" w:cs="Times New Roman"/>
          <w:color w:val="auto"/>
          <w:u w:val="none" w:color="auto"/>
        </w:rPr>
        <w:t>Ⅱ</w:t>
      </w:r>
      <w:r>
        <w:rPr>
          <w:rFonts w:hint="eastAsia"/>
          <w:color w:val="auto"/>
          <w:u w:val="none" w:color="auto"/>
        </w:rPr>
        <w:t>类。</w:t>
      </w:r>
    </w:p>
    <w:p w14:paraId="1DE5D2D0">
      <w:pPr>
        <w:pStyle w:val="21"/>
        <w:ind w:firstLine="480"/>
        <w:rPr>
          <w:rFonts w:hint="eastAsia"/>
          <w:color w:val="auto"/>
          <w:u w:val="none" w:color="auto"/>
        </w:rPr>
      </w:pPr>
      <w:r>
        <w:rPr>
          <w:rFonts w:hint="eastAsia"/>
          <w:color w:val="auto"/>
          <w:u w:val="none" w:color="auto"/>
        </w:rPr>
        <w:t>本项目占地面积</w:t>
      </w:r>
      <w:r>
        <w:rPr>
          <w:rFonts w:hint="eastAsia"/>
          <w:color w:val="auto"/>
          <w:u w:val="none" w:color="auto"/>
          <w:lang w:val="en-US" w:eastAsia="zh-CN"/>
        </w:rPr>
        <w:t>4000</w:t>
      </w:r>
      <w:r>
        <w:rPr>
          <w:rFonts w:hint="eastAsia"/>
          <w:color w:val="auto"/>
          <w:u w:val="none" w:color="auto"/>
        </w:rPr>
        <w:t>m</w:t>
      </w:r>
      <w:r>
        <w:rPr>
          <w:rFonts w:hint="eastAsia"/>
          <w:color w:val="auto"/>
          <w:u w:val="none" w:color="auto"/>
          <w:vertAlign w:val="superscript"/>
        </w:rPr>
        <w:t>2</w:t>
      </w:r>
      <w:r>
        <w:rPr>
          <w:rFonts w:hint="eastAsia"/>
          <w:color w:val="auto"/>
          <w:u w:val="none" w:color="auto"/>
        </w:rPr>
        <w:t>≤5hm</w:t>
      </w:r>
      <w:r>
        <w:rPr>
          <w:rFonts w:hint="eastAsia"/>
          <w:color w:val="auto"/>
          <w:u w:val="none" w:color="auto"/>
          <w:vertAlign w:val="superscript"/>
        </w:rPr>
        <w:t>2</w:t>
      </w:r>
      <w:r>
        <w:rPr>
          <w:rFonts w:hint="eastAsia"/>
          <w:color w:val="auto"/>
          <w:u w:val="none" w:color="auto"/>
        </w:rPr>
        <w:t>，占地规模属于</w:t>
      </w:r>
      <w:r>
        <w:rPr>
          <w:rFonts w:hint="eastAsia"/>
          <w:color w:val="auto"/>
          <w:u w:val="none" w:color="auto"/>
          <w:lang w:val="en-US" w:eastAsia="zh-CN"/>
        </w:rPr>
        <w:t>小</w:t>
      </w:r>
      <w:r>
        <w:rPr>
          <w:rFonts w:hint="eastAsia"/>
          <w:color w:val="auto"/>
          <w:u w:val="none" w:color="auto"/>
        </w:rPr>
        <w:t>型。</w:t>
      </w:r>
    </w:p>
    <w:p w14:paraId="2D786BBB">
      <w:pPr>
        <w:pStyle w:val="21"/>
        <w:ind w:firstLine="480"/>
        <w:rPr>
          <w:rFonts w:hint="eastAsia"/>
          <w:color w:val="auto"/>
          <w:u w:val="none" w:color="auto"/>
        </w:rPr>
      </w:pPr>
      <w:r>
        <w:rPr>
          <w:rFonts w:hint="eastAsia"/>
          <w:color w:val="auto"/>
          <w:u w:val="none" w:color="auto"/>
        </w:rPr>
        <w:t>根据现场调查，项目位于工业园区，距离东侧居民约155m，根据《环境影响评价技术导则-土壤环境》中表3污染影响型敏感程度分级表，敏感程度为敏感。</w:t>
      </w:r>
    </w:p>
    <w:p w14:paraId="2522593E">
      <w:pPr>
        <w:pStyle w:val="21"/>
        <w:ind w:firstLine="480"/>
        <w:rPr>
          <w:rFonts w:hint="eastAsia"/>
          <w:color w:val="auto"/>
          <w:u w:val="none" w:color="auto"/>
        </w:rPr>
      </w:pPr>
      <w:r>
        <w:rPr>
          <w:rFonts w:hint="eastAsia"/>
          <w:color w:val="auto"/>
          <w:u w:val="none" w:color="auto"/>
        </w:rPr>
        <w:t>本项目属于</w:t>
      </w:r>
      <w:r>
        <w:rPr>
          <w:rFonts w:hint="default" w:ascii="Times New Roman" w:hAnsi="Times New Roman" w:cs="Times New Roman"/>
          <w:color w:val="auto"/>
          <w:u w:val="none" w:color="auto"/>
        </w:rPr>
        <w:t>Ⅱ</w:t>
      </w:r>
      <w:r>
        <w:rPr>
          <w:rFonts w:hint="eastAsia"/>
          <w:color w:val="auto"/>
          <w:u w:val="none" w:color="auto"/>
        </w:rPr>
        <w:t>类项目，占地面积为</w:t>
      </w:r>
      <w:r>
        <w:rPr>
          <w:rFonts w:hint="eastAsia"/>
          <w:color w:val="auto"/>
          <w:u w:val="none" w:color="auto"/>
          <w:lang w:val="en-US" w:eastAsia="zh-CN"/>
        </w:rPr>
        <w:t>小</w:t>
      </w:r>
      <w:r>
        <w:rPr>
          <w:rFonts w:hint="eastAsia"/>
          <w:color w:val="auto"/>
          <w:u w:val="none" w:color="auto"/>
        </w:rPr>
        <w:t>型，占地类型为敏感类型，评价等级为</w:t>
      </w:r>
      <w:r>
        <w:rPr>
          <w:rFonts w:hint="eastAsia"/>
          <w:color w:val="auto"/>
          <w:u w:val="none" w:color="auto"/>
          <w:lang w:val="en-US" w:eastAsia="zh-CN"/>
        </w:rPr>
        <w:t>二</w:t>
      </w:r>
      <w:r>
        <w:rPr>
          <w:rFonts w:hint="eastAsia"/>
          <w:color w:val="auto"/>
          <w:u w:val="none" w:color="auto"/>
        </w:rPr>
        <w:t>级。</w:t>
      </w:r>
    </w:p>
    <w:p w14:paraId="2E5A888C">
      <w:pPr>
        <w:widowControl/>
        <w:spacing w:line="360" w:lineRule="auto"/>
        <w:outlineLvl w:val="3"/>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.1</w:t>
      </w:r>
      <w:r>
        <w:rPr>
          <w:rFonts w:hint="eastAsia" w:ascii="Times New Roman" w:hAnsi="Times New Roman" w:eastAsia="宋体" w:cs="Times New Roman"/>
          <w:b/>
          <w:bCs/>
          <w:color w:val="auto"/>
          <w:sz w:val="24"/>
          <w:szCs w:val="24"/>
          <w:u w:val="none" w:color="auto"/>
          <w:lang w:val="en-US" w:eastAsia="zh-CN"/>
        </w:rPr>
        <w:t>土壤环境影响识别</w:t>
      </w:r>
    </w:p>
    <w:p w14:paraId="6243354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highlight w:val="none"/>
          <w:u w:val="none" w:color="auto"/>
          <w:lang w:val="en-US" w:eastAsia="zh-CN"/>
        </w:rPr>
      </w:pPr>
      <w:r>
        <w:rPr>
          <w:rFonts w:hint="eastAsia" w:ascii="Times New Roman" w:hAnsi="Times New Roman" w:cs="Times New Roman"/>
          <w:bCs/>
          <w:color w:val="auto"/>
          <w:sz w:val="24"/>
          <w:highlight w:val="none"/>
          <w:u w:val="none" w:color="auto"/>
          <w:lang w:val="en-US" w:eastAsia="zh-CN"/>
        </w:rPr>
        <w:t>根据</w:t>
      </w:r>
      <w:r>
        <w:rPr>
          <w:rFonts w:hint="default" w:ascii="Times New Roman" w:hAnsi="Times New Roman" w:cs="Times New Roman"/>
          <w:bCs/>
          <w:color w:val="auto"/>
          <w:sz w:val="24"/>
          <w:highlight w:val="none"/>
          <w:u w:val="none" w:color="auto"/>
          <w:lang w:eastAsia="zh-CN"/>
        </w:rPr>
        <w:t>《环境影响评价技术导则</w:t>
      </w:r>
      <w:r>
        <w:rPr>
          <w:rFonts w:hint="eastAsia" w:ascii="Times New Roman" w:hAnsi="Times New Roman" w:cs="Times New Roman"/>
          <w:bCs/>
          <w:color w:val="auto"/>
          <w:sz w:val="24"/>
          <w:highlight w:val="none"/>
          <w:u w:val="none" w:color="auto"/>
          <w:lang w:val="en-US" w:eastAsia="zh-CN"/>
        </w:rPr>
        <w:t xml:space="preserve">  </w:t>
      </w:r>
      <w:r>
        <w:rPr>
          <w:rFonts w:hint="eastAsia" w:ascii="Times New Roman" w:hAnsi="Times New Roman" w:cs="Times New Roman"/>
          <w:bCs/>
          <w:color w:val="auto"/>
          <w:sz w:val="24"/>
          <w:highlight w:val="none"/>
          <w:u w:val="none" w:color="auto"/>
          <w:lang w:eastAsia="zh-CN"/>
        </w:rPr>
        <w:t>土壤</w:t>
      </w:r>
      <w:r>
        <w:rPr>
          <w:rFonts w:hint="default" w:ascii="Times New Roman" w:hAnsi="Times New Roman" w:cs="Times New Roman"/>
          <w:bCs/>
          <w:color w:val="auto"/>
          <w:sz w:val="24"/>
          <w:highlight w:val="none"/>
          <w:u w:val="none" w:color="auto"/>
          <w:lang w:eastAsia="zh-CN"/>
        </w:rPr>
        <w:t>环境</w:t>
      </w:r>
      <w:r>
        <w:rPr>
          <w:rFonts w:hint="eastAsia" w:ascii="Times New Roman" w:hAnsi="Times New Roman" w:cs="Times New Roman"/>
          <w:bCs/>
          <w:color w:val="auto"/>
          <w:sz w:val="24"/>
          <w:highlight w:val="none"/>
          <w:u w:val="none" w:color="auto"/>
          <w:lang w:eastAsia="zh-CN"/>
        </w:rPr>
        <w:t>（试行）</w:t>
      </w:r>
      <w:r>
        <w:rPr>
          <w:rFonts w:hint="default" w:ascii="Times New Roman" w:hAnsi="Times New Roman" w:cs="Times New Roman"/>
          <w:bCs/>
          <w:color w:val="auto"/>
          <w:sz w:val="24"/>
          <w:highlight w:val="none"/>
          <w:u w:val="none" w:color="auto"/>
          <w:lang w:eastAsia="zh-CN"/>
        </w:rPr>
        <w:t>》（HJ</w:t>
      </w:r>
      <w:r>
        <w:rPr>
          <w:rFonts w:hint="eastAsia" w:ascii="Times New Roman" w:hAnsi="Times New Roman" w:cs="Times New Roman"/>
          <w:bCs/>
          <w:color w:val="auto"/>
          <w:sz w:val="24"/>
          <w:highlight w:val="none"/>
          <w:u w:val="none" w:color="auto"/>
          <w:lang w:val="en-US" w:eastAsia="zh-CN"/>
        </w:rPr>
        <w:t>964</w:t>
      </w:r>
      <w:r>
        <w:rPr>
          <w:rFonts w:hint="default" w:ascii="Times New Roman" w:hAnsi="Times New Roman" w:cs="Times New Roman"/>
          <w:bCs/>
          <w:color w:val="auto"/>
          <w:sz w:val="24"/>
          <w:highlight w:val="none"/>
          <w:u w:val="none" w:color="auto"/>
          <w:lang w:eastAsia="zh-CN"/>
        </w:rPr>
        <w:t>-201</w:t>
      </w:r>
      <w:r>
        <w:rPr>
          <w:rFonts w:hint="eastAsia" w:ascii="Times New Roman" w:hAnsi="Times New Roman" w:cs="Times New Roman"/>
          <w:bCs/>
          <w:color w:val="auto"/>
          <w:sz w:val="24"/>
          <w:highlight w:val="none"/>
          <w:u w:val="none" w:color="auto"/>
          <w:lang w:val="en-US" w:eastAsia="zh-CN"/>
        </w:rPr>
        <w:t>8</w:t>
      </w:r>
      <w:r>
        <w:rPr>
          <w:rFonts w:hint="default" w:ascii="Times New Roman" w:hAnsi="Times New Roman" w:cs="Times New Roman"/>
          <w:bCs/>
          <w:color w:val="auto"/>
          <w:sz w:val="24"/>
          <w:highlight w:val="none"/>
          <w:u w:val="none" w:color="auto"/>
          <w:lang w:eastAsia="zh-CN"/>
        </w:rPr>
        <w:t>）</w:t>
      </w:r>
      <w:r>
        <w:rPr>
          <w:rFonts w:hint="eastAsia" w:ascii="Times New Roman" w:hAnsi="Times New Roman" w:cs="Times New Roman"/>
          <w:bCs/>
          <w:color w:val="auto"/>
          <w:sz w:val="24"/>
          <w:highlight w:val="none"/>
          <w:u w:val="none" w:color="auto"/>
          <w:lang w:eastAsia="zh-CN"/>
        </w:rPr>
        <w:t>中影响识别基本要求</w:t>
      </w:r>
      <w:r>
        <w:rPr>
          <w:rFonts w:hint="eastAsia" w:ascii="Times New Roman" w:hAnsi="Times New Roman" w:cs="Times New Roman"/>
          <w:bCs/>
          <w:color w:val="auto"/>
          <w:sz w:val="24"/>
          <w:highlight w:val="none"/>
          <w:u w:val="none" w:color="auto"/>
          <w:lang w:val="en-US" w:eastAsia="zh-CN"/>
        </w:rPr>
        <w:t>5.1，在工程分析结果的基础上，结合土壤环境敏感目标，根据建设项目建设期、营运期和服务期满后（可根据项目情况选择）三个阶段的具体特征，识别土壤环境影响类型与影响途径；对于运营期内对土壤影响源可能发生变化的建设项目，还应按其变化特征分阶段进行环境影响识别。</w:t>
      </w:r>
    </w:p>
    <w:p w14:paraId="63E04E0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highlight w:val="none"/>
          <w:u w:val="none" w:color="auto"/>
          <w:lang w:val="en-US" w:eastAsia="zh-CN"/>
        </w:rPr>
      </w:pPr>
      <w:r>
        <w:rPr>
          <w:rFonts w:hint="eastAsia" w:ascii="Times New Roman" w:hAnsi="Times New Roman" w:cs="Times New Roman"/>
          <w:bCs/>
          <w:color w:val="auto"/>
          <w:sz w:val="24"/>
          <w:highlight w:val="none"/>
          <w:u w:val="none" w:color="auto"/>
          <w:lang w:val="en-US" w:eastAsia="zh-CN"/>
        </w:rPr>
        <w:t>根据工程分析，本项目属于污染影响型，本项目租赁汨罗市乾源材料有限公司现有厂房及新建厂房进行生产，则本次评价按照营运期对土壤环境影响类型与影响途径进行识别。本项目对土壤环境的影响类型和途径详见表5.2-17。</w:t>
      </w:r>
    </w:p>
    <w:p w14:paraId="3D186B9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表5.2-17 土壤环境影响类型与途径识别一览表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9"/>
        <w:gridCol w:w="2179"/>
        <w:gridCol w:w="2182"/>
      </w:tblGrid>
      <w:tr w14:paraId="3CC20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Merge w:val="restart"/>
            <w:tcBorders>
              <w:tl2br w:val="nil"/>
              <w:tr2bl w:val="nil"/>
            </w:tcBorders>
            <w:noWrap w:val="0"/>
            <w:vAlign w:val="center"/>
          </w:tcPr>
          <w:p w14:paraId="7687D41C">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不同时段</w:t>
            </w:r>
          </w:p>
        </w:tc>
        <w:tc>
          <w:tcPr>
            <w:tcW w:w="6540" w:type="dxa"/>
            <w:gridSpan w:val="3"/>
            <w:tcBorders>
              <w:tl2br w:val="nil"/>
              <w:tr2bl w:val="nil"/>
            </w:tcBorders>
            <w:noWrap w:val="0"/>
            <w:vAlign w:val="center"/>
          </w:tcPr>
          <w:p w14:paraId="5949B5D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污染影响型</w:t>
            </w:r>
          </w:p>
        </w:tc>
      </w:tr>
      <w:tr w14:paraId="66CA8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Merge w:val="continue"/>
            <w:tcBorders>
              <w:tl2br w:val="nil"/>
              <w:tr2bl w:val="nil"/>
            </w:tcBorders>
            <w:noWrap w:val="0"/>
            <w:vAlign w:val="center"/>
          </w:tcPr>
          <w:p w14:paraId="7E5C2989">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p>
        </w:tc>
        <w:tc>
          <w:tcPr>
            <w:tcW w:w="2179" w:type="dxa"/>
            <w:tcBorders>
              <w:tl2br w:val="nil"/>
              <w:tr2bl w:val="nil"/>
            </w:tcBorders>
            <w:noWrap w:val="0"/>
            <w:vAlign w:val="center"/>
          </w:tcPr>
          <w:p w14:paraId="3803731C">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大气沉降</w:t>
            </w:r>
          </w:p>
        </w:tc>
        <w:tc>
          <w:tcPr>
            <w:tcW w:w="2179" w:type="dxa"/>
            <w:tcBorders>
              <w:tl2br w:val="nil"/>
              <w:tr2bl w:val="nil"/>
            </w:tcBorders>
            <w:noWrap w:val="0"/>
            <w:vAlign w:val="center"/>
          </w:tcPr>
          <w:p w14:paraId="5E3490F7">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地面漫流</w:t>
            </w:r>
          </w:p>
        </w:tc>
        <w:tc>
          <w:tcPr>
            <w:tcW w:w="2182" w:type="dxa"/>
            <w:tcBorders>
              <w:tl2br w:val="nil"/>
              <w:tr2bl w:val="nil"/>
            </w:tcBorders>
            <w:noWrap w:val="0"/>
            <w:vAlign w:val="center"/>
          </w:tcPr>
          <w:p w14:paraId="64B5D2AF">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垂直入渗</w:t>
            </w:r>
          </w:p>
        </w:tc>
      </w:tr>
      <w:tr w14:paraId="0A57E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tcBorders>
              <w:tl2br w:val="nil"/>
              <w:tr2bl w:val="nil"/>
            </w:tcBorders>
            <w:noWrap w:val="0"/>
            <w:vAlign w:val="center"/>
          </w:tcPr>
          <w:p w14:paraId="105F0B6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ascii="Times New Roman" w:hAnsi="Times New Roman" w:cs="Times New Roman"/>
                <w:bCs/>
                <w:color w:val="auto"/>
                <w:sz w:val="21"/>
                <w:szCs w:val="21"/>
                <w:highlight w:val="none"/>
                <w:u w:val="none" w:color="auto"/>
                <w:vertAlign w:val="baseline"/>
                <w:lang w:val="en-US" w:eastAsia="zh-CN"/>
              </w:rPr>
              <w:t>营运期</w:t>
            </w:r>
          </w:p>
        </w:tc>
        <w:tc>
          <w:tcPr>
            <w:tcW w:w="2179" w:type="dxa"/>
            <w:tcBorders>
              <w:tl2br w:val="nil"/>
              <w:tr2bl w:val="nil"/>
            </w:tcBorders>
            <w:noWrap w:val="0"/>
            <w:vAlign w:val="center"/>
          </w:tcPr>
          <w:p w14:paraId="00E96CDA">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Arial" w:hAnsi="Arial" w:cs="Arial"/>
                <w:bCs/>
                <w:color w:val="auto"/>
                <w:sz w:val="21"/>
                <w:szCs w:val="21"/>
                <w:highlight w:val="none"/>
                <w:u w:val="none" w:color="auto"/>
                <w:vertAlign w:val="baseline"/>
                <w:lang w:val="en-US" w:eastAsia="zh-CN"/>
              </w:rPr>
              <w:t>√</w:t>
            </w:r>
          </w:p>
        </w:tc>
        <w:tc>
          <w:tcPr>
            <w:tcW w:w="2179" w:type="dxa"/>
            <w:tcBorders>
              <w:tl2br w:val="nil"/>
              <w:tr2bl w:val="nil"/>
            </w:tcBorders>
            <w:noWrap w:val="0"/>
            <w:vAlign w:val="center"/>
          </w:tcPr>
          <w:p w14:paraId="7B9C8311">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ascii="Arial" w:hAnsi="Arial" w:cs="Arial"/>
                <w:bCs/>
                <w:color w:val="auto"/>
                <w:sz w:val="21"/>
                <w:szCs w:val="21"/>
                <w:highlight w:val="none"/>
                <w:u w:val="none" w:color="auto"/>
                <w:vertAlign w:val="baseline"/>
                <w:lang w:val="en-US" w:eastAsia="zh-CN"/>
              </w:rPr>
              <w:t>-</w:t>
            </w:r>
          </w:p>
        </w:tc>
        <w:tc>
          <w:tcPr>
            <w:tcW w:w="2182" w:type="dxa"/>
            <w:tcBorders>
              <w:tl2br w:val="nil"/>
              <w:tr2bl w:val="nil"/>
            </w:tcBorders>
            <w:noWrap w:val="0"/>
            <w:vAlign w:val="center"/>
          </w:tcPr>
          <w:p w14:paraId="3AAF2BE6">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Arial" w:hAnsi="Arial" w:cs="Arial"/>
                <w:bCs/>
                <w:color w:val="auto"/>
                <w:sz w:val="21"/>
                <w:szCs w:val="21"/>
                <w:highlight w:val="none"/>
                <w:u w:val="none" w:color="auto"/>
                <w:vertAlign w:val="baseline"/>
                <w:lang w:val="en-US" w:eastAsia="zh-CN"/>
              </w:rPr>
              <w:t>√</w:t>
            </w:r>
          </w:p>
        </w:tc>
      </w:tr>
      <w:tr w14:paraId="388BE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tcBorders>
              <w:tl2br w:val="nil"/>
              <w:tr2bl w:val="nil"/>
            </w:tcBorders>
            <w:noWrap w:val="0"/>
            <w:vAlign w:val="center"/>
          </w:tcPr>
          <w:p w14:paraId="122A5753">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服务期满后</w:t>
            </w:r>
          </w:p>
        </w:tc>
        <w:tc>
          <w:tcPr>
            <w:tcW w:w="2179" w:type="dxa"/>
            <w:tcBorders>
              <w:tl2br w:val="nil"/>
              <w:tr2bl w:val="nil"/>
            </w:tcBorders>
            <w:noWrap w:val="0"/>
            <w:vAlign w:val="center"/>
          </w:tcPr>
          <w:p w14:paraId="2E48F02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w:t>
            </w:r>
          </w:p>
        </w:tc>
        <w:tc>
          <w:tcPr>
            <w:tcW w:w="2179" w:type="dxa"/>
            <w:tcBorders>
              <w:tl2br w:val="nil"/>
              <w:tr2bl w:val="nil"/>
            </w:tcBorders>
            <w:noWrap w:val="0"/>
            <w:vAlign w:val="center"/>
          </w:tcPr>
          <w:p w14:paraId="1A8BDF18">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w:t>
            </w:r>
          </w:p>
        </w:tc>
        <w:tc>
          <w:tcPr>
            <w:tcW w:w="2182" w:type="dxa"/>
            <w:tcBorders>
              <w:tl2br w:val="nil"/>
              <w:tr2bl w:val="nil"/>
            </w:tcBorders>
            <w:noWrap w:val="0"/>
            <w:vAlign w:val="center"/>
          </w:tcPr>
          <w:p w14:paraId="57F4BC3B">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u w:val="none" w:color="auto"/>
                <w:vertAlign w:val="baseline"/>
                <w:lang w:val="en-US" w:eastAsia="zh-CN"/>
              </w:rPr>
            </w:pPr>
            <w:r>
              <w:rPr>
                <w:rFonts w:hint="eastAsia" w:ascii="Times New Roman" w:hAnsi="Times New Roman" w:cs="Times New Roman"/>
                <w:bCs/>
                <w:color w:val="auto"/>
                <w:sz w:val="21"/>
                <w:szCs w:val="21"/>
                <w:highlight w:val="none"/>
                <w:u w:val="none" w:color="auto"/>
                <w:vertAlign w:val="baseline"/>
                <w:lang w:val="en-US" w:eastAsia="zh-CN"/>
              </w:rPr>
              <w:t>-</w:t>
            </w:r>
          </w:p>
        </w:tc>
      </w:tr>
    </w:tbl>
    <w:p w14:paraId="36E563D9">
      <w:pPr>
        <w:pStyle w:val="2"/>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cs="Times New Roman"/>
          <w:bCs/>
          <w:color w:val="auto"/>
          <w:sz w:val="24"/>
          <w:highlight w:val="none"/>
          <w:u w:val="none" w:color="auto"/>
          <w:lang w:val="en-US" w:eastAsia="zh-CN"/>
        </w:rPr>
      </w:pPr>
      <w:r>
        <w:rPr>
          <w:rFonts w:hint="eastAsia" w:ascii="Times New Roman" w:hAnsi="Times New Roman" w:cs="Times New Roman"/>
          <w:bCs/>
          <w:color w:val="auto"/>
          <w:sz w:val="24"/>
          <w:highlight w:val="none"/>
          <w:u w:val="none" w:color="auto"/>
          <w:lang w:val="en-US" w:eastAsia="zh-CN"/>
        </w:rPr>
        <w:t>本项目的土壤环境影响源及影响因子识别详见表5.2-18。</w:t>
      </w:r>
    </w:p>
    <w:p w14:paraId="6FED4664">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val="0"/>
          <w:color w:val="auto"/>
          <w:sz w:val="21"/>
          <w:szCs w:val="21"/>
          <w:highlight w:val="none"/>
          <w:u w:val="none" w:color="auto"/>
          <w:lang w:val="en-US" w:eastAsia="zh-CN"/>
        </w:rPr>
      </w:pPr>
      <w:r>
        <w:rPr>
          <w:rFonts w:hint="eastAsia" w:ascii="Times New Roman" w:hAnsi="Times New Roman" w:cs="Times New Roman"/>
          <w:b/>
          <w:bCs w:val="0"/>
          <w:color w:val="auto"/>
          <w:sz w:val="21"/>
          <w:szCs w:val="21"/>
          <w:highlight w:val="none"/>
          <w:u w:val="none" w:color="auto"/>
          <w:lang w:val="en-US" w:eastAsia="zh-CN"/>
        </w:rPr>
        <w:t>表5.2-18 土壤环境影响源及影响因子识别一览表</w:t>
      </w:r>
    </w:p>
    <w:tbl>
      <w:tblPr>
        <w:tblStyle w:val="17"/>
        <w:tblW w:w="88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406"/>
        <w:gridCol w:w="1180"/>
        <w:gridCol w:w="2470"/>
        <w:gridCol w:w="1388"/>
        <w:gridCol w:w="716"/>
      </w:tblGrid>
      <w:tr w14:paraId="34F10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6C68417F">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污染源</w:t>
            </w:r>
          </w:p>
        </w:tc>
        <w:tc>
          <w:tcPr>
            <w:tcW w:w="2406" w:type="dxa"/>
            <w:tcBorders>
              <w:tl2br w:val="nil"/>
              <w:tr2bl w:val="nil"/>
            </w:tcBorders>
            <w:noWrap w:val="0"/>
            <w:vAlign w:val="center"/>
          </w:tcPr>
          <w:p w14:paraId="3E9CA55C">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工艺流程/节点</w:t>
            </w:r>
          </w:p>
        </w:tc>
        <w:tc>
          <w:tcPr>
            <w:tcW w:w="1180" w:type="dxa"/>
            <w:tcBorders>
              <w:tl2br w:val="nil"/>
              <w:tr2bl w:val="nil"/>
            </w:tcBorders>
            <w:noWrap w:val="0"/>
            <w:vAlign w:val="center"/>
          </w:tcPr>
          <w:p w14:paraId="4C01DABA">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污染途径</w:t>
            </w:r>
          </w:p>
        </w:tc>
        <w:tc>
          <w:tcPr>
            <w:tcW w:w="2470" w:type="dxa"/>
            <w:tcBorders>
              <w:tl2br w:val="nil"/>
              <w:tr2bl w:val="nil"/>
            </w:tcBorders>
            <w:noWrap w:val="0"/>
            <w:vAlign w:val="center"/>
          </w:tcPr>
          <w:p w14:paraId="291155BB">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全部污染物指标</w:t>
            </w:r>
            <w:r>
              <w:rPr>
                <w:rFonts w:hint="default" w:ascii="Times New Roman" w:hAnsi="Times New Roman" w:cs="Times New Roman"/>
                <w:color w:val="auto"/>
                <w:sz w:val="21"/>
                <w:szCs w:val="21"/>
                <w:highlight w:val="none"/>
                <w:u w:val="none" w:color="auto"/>
                <w:vertAlign w:val="superscript"/>
                <w:lang w:val="en-US" w:eastAsia="zh-CN"/>
              </w:rPr>
              <w:t>a</w:t>
            </w:r>
          </w:p>
        </w:tc>
        <w:tc>
          <w:tcPr>
            <w:tcW w:w="1388" w:type="dxa"/>
            <w:tcBorders>
              <w:tl2br w:val="nil"/>
              <w:tr2bl w:val="nil"/>
            </w:tcBorders>
            <w:noWrap w:val="0"/>
            <w:vAlign w:val="center"/>
          </w:tcPr>
          <w:p w14:paraId="65664E50">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特征因子</w:t>
            </w:r>
          </w:p>
        </w:tc>
        <w:tc>
          <w:tcPr>
            <w:tcW w:w="716" w:type="dxa"/>
            <w:tcBorders>
              <w:tl2br w:val="nil"/>
              <w:tr2bl w:val="nil"/>
            </w:tcBorders>
            <w:noWrap w:val="0"/>
            <w:vAlign w:val="center"/>
          </w:tcPr>
          <w:p w14:paraId="5F3CF0E8">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备注</w:t>
            </w:r>
            <w:r>
              <w:rPr>
                <w:rFonts w:hint="default" w:ascii="Times New Roman" w:hAnsi="Times New Roman" w:cs="Times New Roman"/>
                <w:color w:val="auto"/>
                <w:sz w:val="21"/>
                <w:szCs w:val="21"/>
                <w:highlight w:val="none"/>
                <w:u w:val="none" w:color="auto"/>
                <w:vertAlign w:val="superscript"/>
                <w:lang w:val="en-US" w:eastAsia="zh-CN"/>
              </w:rPr>
              <w:t>b</w:t>
            </w:r>
          </w:p>
        </w:tc>
      </w:tr>
      <w:tr w14:paraId="43877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1410864B">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1</w:t>
            </w:r>
          </w:p>
        </w:tc>
        <w:tc>
          <w:tcPr>
            <w:tcW w:w="2406" w:type="dxa"/>
            <w:tcBorders>
              <w:tl2br w:val="nil"/>
              <w:tr2bl w:val="nil"/>
            </w:tcBorders>
            <w:noWrap w:val="0"/>
            <w:vAlign w:val="center"/>
          </w:tcPr>
          <w:p w14:paraId="2E0081AA">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配料投料废气</w:t>
            </w:r>
          </w:p>
        </w:tc>
        <w:tc>
          <w:tcPr>
            <w:tcW w:w="1180" w:type="dxa"/>
            <w:tcBorders>
              <w:tl2br w:val="nil"/>
              <w:tr2bl w:val="nil"/>
            </w:tcBorders>
            <w:noWrap w:val="0"/>
            <w:vAlign w:val="center"/>
          </w:tcPr>
          <w:p w14:paraId="1AB2C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大气沉降</w:t>
            </w:r>
          </w:p>
        </w:tc>
        <w:tc>
          <w:tcPr>
            <w:tcW w:w="2470" w:type="dxa"/>
            <w:tcBorders>
              <w:tl2br w:val="nil"/>
              <w:tr2bl w:val="nil"/>
            </w:tcBorders>
            <w:noWrap w:val="0"/>
            <w:vAlign w:val="center"/>
          </w:tcPr>
          <w:p w14:paraId="478C6B9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颗粒物</w:t>
            </w:r>
            <w:r>
              <w:rPr>
                <w:rFonts w:hint="eastAsia" w:ascii="Times New Roman" w:hAnsi="Times New Roman" w:cs="Times New Roman"/>
                <w:color w:val="auto"/>
                <w:sz w:val="21"/>
                <w:szCs w:val="21"/>
                <w:highlight w:val="none"/>
                <w:u w:val="none" w:color="auto"/>
                <w:vertAlign w:val="baseline"/>
                <w:lang w:val="en-US" w:eastAsia="zh-CN"/>
              </w:rPr>
              <w:t>（TSP）</w:t>
            </w:r>
          </w:p>
        </w:tc>
        <w:tc>
          <w:tcPr>
            <w:tcW w:w="1388" w:type="dxa"/>
            <w:tcBorders>
              <w:tl2br w:val="nil"/>
              <w:tr2bl w:val="nil"/>
            </w:tcBorders>
            <w:noWrap w:val="0"/>
            <w:vAlign w:val="center"/>
          </w:tcPr>
          <w:p w14:paraId="0480178C">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w:t>
            </w:r>
          </w:p>
        </w:tc>
        <w:tc>
          <w:tcPr>
            <w:tcW w:w="716" w:type="dxa"/>
            <w:tcBorders>
              <w:tl2br w:val="nil"/>
              <w:tr2bl w:val="nil"/>
            </w:tcBorders>
            <w:noWrap w:val="0"/>
            <w:vAlign w:val="center"/>
          </w:tcPr>
          <w:p w14:paraId="6BFCF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正常</w:t>
            </w:r>
          </w:p>
        </w:tc>
      </w:tr>
      <w:tr w14:paraId="43843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2DCED91D">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2</w:t>
            </w:r>
          </w:p>
        </w:tc>
        <w:tc>
          <w:tcPr>
            <w:tcW w:w="2406" w:type="dxa"/>
            <w:tcBorders>
              <w:tl2br w:val="nil"/>
              <w:tr2bl w:val="nil"/>
            </w:tcBorders>
            <w:noWrap w:val="0"/>
            <w:vAlign w:val="center"/>
          </w:tcPr>
          <w:p w14:paraId="314ACF41">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加热混捏废气、冷却废气、磨粉废气、混合废气</w:t>
            </w:r>
          </w:p>
        </w:tc>
        <w:tc>
          <w:tcPr>
            <w:tcW w:w="1180" w:type="dxa"/>
            <w:tcBorders>
              <w:tl2br w:val="nil"/>
              <w:tr2bl w:val="nil"/>
            </w:tcBorders>
            <w:noWrap w:val="0"/>
            <w:vAlign w:val="center"/>
          </w:tcPr>
          <w:p w14:paraId="3D227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大气沉降</w:t>
            </w:r>
          </w:p>
        </w:tc>
        <w:tc>
          <w:tcPr>
            <w:tcW w:w="2470" w:type="dxa"/>
            <w:tcBorders>
              <w:tl2br w:val="nil"/>
              <w:tr2bl w:val="nil"/>
            </w:tcBorders>
            <w:noWrap w:val="0"/>
            <w:vAlign w:val="center"/>
          </w:tcPr>
          <w:p w14:paraId="344F5AB7">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颗粒物</w:t>
            </w:r>
            <w:r>
              <w:rPr>
                <w:rFonts w:hint="eastAsia" w:ascii="Times New Roman" w:hAnsi="Times New Roman" w:cs="Times New Roman"/>
                <w:color w:val="auto"/>
                <w:sz w:val="21"/>
                <w:szCs w:val="21"/>
                <w:highlight w:val="none"/>
                <w:u w:val="none" w:color="auto"/>
                <w:vertAlign w:val="baseline"/>
                <w:lang w:val="en-US" w:eastAsia="zh-CN"/>
              </w:rPr>
              <w:t>（PM</w:t>
            </w:r>
            <w:r>
              <w:rPr>
                <w:rFonts w:hint="eastAsia" w:ascii="Times New Roman" w:hAnsi="Times New Roman" w:cs="Times New Roman"/>
                <w:color w:val="auto"/>
                <w:sz w:val="21"/>
                <w:szCs w:val="21"/>
                <w:highlight w:val="none"/>
                <w:u w:val="none" w:color="auto"/>
                <w:vertAlign w:val="subscript"/>
                <w:lang w:val="en-US" w:eastAsia="zh-CN"/>
              </w:rPr>
              <w:t>10</w:t>
            </w:r>
            <w:r>
              <w:rPr>
                <w:rFonts w:hint="eastAsia" w:ascii="Times New Roman" w:hAnsi="Times New Roman" w:cs="Times New Roman"/>
                <w:color w:val="auto"/>
                <w:sz w:val="21"/>
                <w:szCs w:val="21"/>
                <w:highlight w:val="none"/>
                <w:u w:val="none" w:color="auto"/>
                <w:vertAlign w:val="baseline"/>
                <w:lang w:val="en-US" w:eastAsia="zh-CN"/>
              </w:rPr>
              <w:t>）、非甲烷总烃、酚类、甲醛</w:t>
            </w:r>
          </w:p>
        </w:tc>
        <w:tc>
          <w:tcPr>
            <w:tcW w:w="1388" w:type="dxa"/>
            <w:tcBorders>
              <w:tl2br w:val="nil"/>
              <w:tr2bl w:val="nil"/>
            </w:tcBorders>
            <w:noWrap w:val="0"/>
            <w:vAlign w:val="center"/>
          </w:tcPr>
          <w:p w14:paraId="186BB40F">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甲醛</w:t>
            </w:r>
          </w:p>
        </w:tc>
        <w:tc>
          <w:tcPr>
            <w:tcW w:w="716" w:type="dxa"/>
            <w:tcBorders>
              <w:tl2br w:val="nil"/>
              <w:tr2bl w:val="nil"/>
            </w:tcBorders>
            <w:noWrap w:val="0"/>
            <w:vAlign w:val="center"/>
          </w:tcPr>
          <w:p w14:paraId="75FB7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正常</w:t>
            </w:r>
          </w:p>
        </w:tc>
      </w:tr>
      <w:tr w14:paraId="6985F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60F8B14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3</w:t>
            </w:r>
          </w:p>
        </w:tc>
        <w:tc>
          <w:tcPr>
            <w:tcW w:w="2406" w:type="dxa"/>
            <w:tcBorders>
              <w:tl2br w:val="nil"/>
              <w:tr2bl w:val="nil"/>
            </w:tcBorders>
            <w:noWrap w:val="0"/>
            <w:vAlign w:val="center"/>
          </w:tcPr>
          <w:p w14:paraId="3AB384D9">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热压废气</w:t>
            </w:r>
          </w:p>
        </w:tc>
        <w:tc>
          <w:tcPr>
            <w:tcW w:w="1180" w:type="dxa"/>
            <w:tcBorders>
              <w:tl2br w:val="nil"/>
              <w:tr2bl w:val="nil"/>
            </w:tcBorders>
            <w:noWrap w:val="0"/>
            <w:vAlign w:val="center"/>
          </w:tcPr>
          <w:p w14:paraId="19045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大气沉降</w:t>
            </w:r>
          </w:p>
        </w:tc>
        <w:tc>
          <w:tcPr>
            <w:tcW w:w="2470" w:type="dxa"/>
            <w:tcBorders>
              <w:tl2br w:val="nil"/>
              <w:tr2bl w:val="nil"/>
            </w:tcBorders>
            <w:noWrap w:val="0"/>
            <w:vAlign w:val="center"/>
          </w:tcPr>
          <w:p w14:paraId="59C81CF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酚类</w:t>
            </w:r>
          </w:p>
        </w:tc>
        <w:tc>
          <w:tcPr>
            <w:tcW w:w="1388" w:type="dxa"/>
            <w:tcBorders>
              <w:tl2br w:val="nil"/>
              <w:tr2bl w:val="nil"/>
            </w:tcBorders>
            <w:noWrap w:val="0"/>
            <w:vAlign w:val="center"/>
          </w:tcPr>
          <w:p w14:paraId="626AA936">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苯酚</w:t>
            </w:r>
          </w:p>
        </w:tc>
        <w:tc>
          <w:tcPr>
            <w:tcW w:w="716" w:type="dxa"/>
            <w:tcBorders>
              <w:tl2br w:val="nil"/>
              <w:tr2bl w:val="nil"/>
            </w:tcBorders>
            <w:noWrap w:val="0"/>
            <w:vAlign w:val="center"/>
          </w:tcPr>
          <w:p w14:paraId="6AF3F0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正常</w:t>
            </w:r>
          </w:p>
        </w:tc>
      </w:tr>
      <w:tr w14:paraId="333C3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58DDE0D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4</w:t>
            </w:r>
          </w:p>
        </w:tc>
        <w:tc>
          <w:tcPr>
            <w:tcW w:w="2406" w:type="dxa"/>
            <w:tcBorders>
              <w:tl2br w:val="nil"/>
              <w:tr2bl w:val="nil"/>
            </w:tcBorders>
            <w:noWrap w:val="0"/>
            <w:vAlign w:val="center"/>
          </w:tcPr>
          <w:p w14:paraId="121194DE">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焙烧废气</w:t>
            </w:r>
          </w:p>
        </w:tc>
        <w:tc>
          <w:tcPr>
            <w:tcW w:w="1180" w:type="dxa"/>
            <w:tcBorders>
              <w:tl2br w:val="nil"/>
              <w:tr2bl w:val="nil"/>
            </w:tcBorders>
            <w:noWrap w:val="0"/>
            <w:vAlign w:val="center"/>
          </w:tcPr>
          <w:p w14:paraId="7608B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大气沉降</w:t>
            </w:r>
          </w:p>
        </w:tc>
        <w:tc>
          <w:tcPr>
            <w:tcW w:w="2470" w:type="dxa"/>
            <w:tcBorders>
              <w:tl2br w:val="nil"/>
              <w:tr2bl w:val="nil"/>
            </w:tcBorders>
            <w:noWrap w:val="0"/>
            <w:vAlign w:val="center"/>
          </w:tcPr>
          <w:p w14:paraId="4D5783DB">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r>
              <w:rPr>
                <w:rFonts w:hint="eastAsia" w:ascii="Times New Roman" w:hAnsi="Times New Roman" w:cs="Times New Roman"/>
                <w:color w:val="auto"/>
                <w:sz w:val="21"/>
                <w:szCs w:val="21"/>
                <w:highlight w:val="none"/>
                <w:u w:val="none" w:color="auto"/>
                <w:vertAlign w:val="baseline"/>
                <w:lang w:val="en-US" w:eastAsia="zh-CN"/>
              </w:rPr>
              <w:t>（TSP）、二氧化硫、氮氧化物、非甲烷总烃、酚类</w:t>
            </w:r>
          </w:p>
        </w:tc>
        <w:tc>
          <w:tcPr>
            <w:tcW w:w="1388" w:type="dxa"/>
            <w:tcBorders>
              <w:tl2br w:val="nil"/>
              <w:tr2bl w:val="nil"/>
            </w:tcBorders>
            <w:noWrap w:val="0"/>
            <w:vAlign w:val="center"/>
          </w:tcPr>
          <w:p w14:paraId="74A00457">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苯酚</w:t>
            </w:r>
          </w:p>
        </w:tc>
        <w:tc>
          <w:tcPr>
            <w:tcW w:w="716" w:type="dxa"/>
            <w:tcBorders>
              <w:tl2br w:val="nil"/>
              <w:tr2bl w:val="nil"/>
            </w:tcBorders>
            <w:noWrap w:val="0"/>
            <w:vAlign w:val="center"/>
          </w:tcPr>
          <w:p w14:paraId="2F120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连续</w:t>
            </w:r>
          </w:p>
        </w:tc>
      </w:tr>
      <w:tr w14:paraId="74669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7" w:type="dxa"/>
            <w:tcBorders>
              <w:tl2br w:val="nil"/>
              <w:tr2bl w:val="nil"/>
            </w:tcBorders>
            <w:noWrap w:val="0"/>
            <w:vAlign w:val="center"/>
          </w:tcPr>
          <w:p w14:paraId="78762CC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5</w:t>
            </w:r>
          </w:p>
        </w:tc>
        <w:tc>
          <w:tcPr>
            <w:tcW w:w="2406" w:type="dxa"/>
            <w:tcBorders>
              <w:tl2br w:val="nil"/>
              <w:tr2bl w:val="nil"/>
            </w:tcBorders>
            <w:noWrap w:val="0"/>
            <w:vAlign w:val="center"/>
          </w:tcPr>
          <w:p w14:paraId="58CD12E1">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导热油炉、压机、废液压油、废矿物油、废导热油</w:t>
            </w:r>
          </w:p>
        </w:tc>
        <w:tc>
          <w:tcPr>
            <w:tcW w:w="1180" w:type="dxa"/>
            <w:tcBorders>
              <w:tl2br w:val="nil"/>
              <w:tr2bl w:val="nil"/>
            </w:tcBorders>
            <w:noWrap w:val="0"/>
            <w:vAlign w:val="center"/>
          </w:tcPr>
          <w:p w14:paraId="5DB964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垂直入渗</w:t>
            </w:r>
          </w:p>
        </w:tc>
        <w:tc>
          <w:tcPr>
            <w:tcW w:w="2470" w:type="dxa"/>
            <w:tcBorders>
              <w:tl2br w:val="nil"/>
              <w:tr2bl w:val="nil"/>
            </w:tcBorders>
            <w:noWrap w:val="0"/>
            <w:vAlign w:val="center"/>
          </w:tcPr>
          <w:p w14:paraId="60798CF6">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石油类</w:t>
            </w:r>
          </w:p>
        </w:tc>
        <w:tc>
          <w:tcPr>
            <w:tcW w:w="1388" w:type="dxa"/>
            <w:tcBorders>
              <w:tl2br w:val="nil"/>
              <w:tr2bl w:val="nil"/>
            </w:tcBorders>
            <w:noWrap w:val="0"/>
            <w:vAlign w:val="center"/>
          </w:tcPr>
          <w:p w14:paraId="348AE294">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w:t>
            </w:r>
          </w:p>
        </w:tc>
        <w:tc>
          <w:tcPr>
            <w:tcW w:w="716" w:type="dxa"/>
            <w:tcBorders>
              <w:tl2br w:val="nil"/>
              <w:tr2bl w:val="nil"/>
            </w:tcBorders>
            <w:noWrap w:val="0"/>
            <w:vAlign w:val="center"/>
          </w:tcPr>
          <w:p w14:paraId="34A49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事故</w:t>
            </w:r>
          </w:p>
        </w:tc>
      </w:tr>
      <w:tr w14:paraId="51763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857" w:type="dxa"/>
            <w:gridSpan w:val="6"/>
            <w:tcBorders>
              <w:tl2br w:val="nil"/>
              <w:tr2bl w:val="nil"/>
            </w:tcBorders>
            <w:noWrap w:val="0"/>
            <w:vAlign w:val="center"/>
          </w:tcPr>
          <w:p w14:paraId="6D382013">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注：</w:t>
            </w:r>
          </w:p>
          <w:p w14:paraId="1A0715C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a、根据工程分析内容填写。</w:t>
            </w:r>
          </w:p>
          <w:p w14:paraId="637AFDD6">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b、应描述污染源特征，如连续、间断、正常、事故等；涉及大气沉降途径的应识别建设项目周边的土壤环境敏感目标。</w:t>
            </w:r>
          </w:p>
        </w:tc>
      </w:tr>
    </w:tbl>
    <w:p w14:paraId="2E71DA65">
      <w:pPr>
        <w:widowControl/>
        <w:spacing w:line="360" w:lineRule="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rPr>
        <w:t>预测评价范围</w:t>
      </w:r>
    </w:p>
    <w:p w14:paraId="150E4AF8">
      <w:pPr>
        <w:widowControl/>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预测范围与现状调查范围一致，为项目厂区及厂区外</w:t>
      </w:r>
      <w:r>
        <w:rPr>
          <w:rFonts w:hint="eastAsia" w:ascii="Times New Roman" w:hAnsi="Times New Roman" w:eastAsia="宋体" w:cs="Times New Roman"/>
          <w:color w:val="auto"/>
          <w:sz w:val="24"/>
          <w:szCs w:val="24"/>
          <w:u w:val="none" w:color="auto"/>
          <w:lang w:val="en-US" w:eastAsia="zh-CN"/>
        </w:rPr>
        <w:t>0.2</w:t>
      </w:r>
      <w:r>
        <w:rPr>
          <w:rFonts w:hint="default" w:ascii="Times New Roman" w:hAnsi="Times New Roman" w:eastAsia="宋体" w:cs="Times New Roman"/>
          <w:color w:val="auto"/>
          <w:sz w:val="24"/>
          <w:szCs w:val="24"/>
          <w:u w:val="none" w:color="auto"/>
        </w:rPr>
        <w:t>km范围。</w:t>
      </w:r>
    </w:p>
    <w:p w14:paraId="6D46367E">
      <w:pPr>
        <w:widowControl/>
        <w:spacing w:line="360" w:lineRule="auto"/>
        <w:outlineLvl w:val="3"/>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rPr>
        <w:t xml:space="preserve"> 预测评价时段</w:t>
      </w:r>
    </w:p>
    <w:p w14:paraId="4B22124E">
      <w:pPr>
        <w:widowControl/>
        <w:spacing w:line="360" w:lineRule="auto"/>
        <w:ind w:firstLine="48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根据本建设项目的类型，结合《环境影响评价技术导则-土壤环境》（HJ964-2018）的规定，项目的评价预测时段可以分为以下</w:t>
      </w:r>
      <w:r>
        <w:rPr>
          <w:rFonts w:hint="eastAsia" w:ascii="Times New Roman" w:hAnsi="Times New Roman" w:eastAsia="宋体" w:cs="Times New Roman"/>
          <w:color w:val="auto"/>
          <w:sz w:val="24"/>
          <w:szCs w:val="24"/>
          <w:u w:val="none" w:color="auto"/>
          <w:lang w:val="en-US" w:eastAsia="zh-CN"/>
        </w:rPr>
        <w:t>三</w:t>
      </w:r>
      <w:r>
        <w:rPr>
          <w:rFonts w:hint="default" w:ascii="Times New Roman" w:hAnsi="Times New Roman" w:eastAsia="宋体" w:cs="Times New Roman"/>
          <w:color w:val="auto"/>
          <w:sz w:val="24"/>
          <w:szCs w:val="24"/>
          <w:u w:val="none" w:color="auto"/>
        </w:rPr>
        <w:t>个关键时段：污染发生后5年、污染发生后10年、污染发生后</w:t>
      </w:r>
      <w:r>
        <w:rPr>
          <w:rFonts w:hint="eastAsia"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0年。</w:t>
      </w:r>
    </w:p>
    <w:p w14:paraId="54317427">
      <w:pPr>
        <w:widowControl/>
        <w:spacing w:line="360" w:lineRule="auto"/>
        <w:outlineLvl w:val="3"/>
        <w:rPr>
          <w:rFonts w:hint="eastAsia"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b/>
          <w:bCs/>
          <w:color w:val="auto"/>
          <w:sz w:val="24"/>
          <w:szCs w:val="24"/>
          <w:u w:val="none" w:color="auto"/>
          <w:lang w:val="en-US" w:eastAsia="zh-CN"/>
        </w:rPr>
        <w:t xml:space="preserve">4 </w:t>
      </w:r>
      <w:r>
        <w:rPr>
          <w:rFonts w:hint="default" w:ascii="Times New Roman" w:hAnsi="Times New Roman" w:eastAsia="宋体" w:cs="Times New Roman"/>
          <w:b/>
          <w:bCs/>
          <w:color w:val="auto"/>
          <w:sz w:val="24"/>
          <w:szCs w:val="24"/>
          <w:u w:val="none" w:color="auto"/>
        </w:rPr>
        <w:t>预测评价因子</w:t>
      </w:r>
      <w:r>
        <w:rPr>
          <w:rFonts w:hint="eastAsia" w:ascii="Times New Roman" w:hAnsi="Times New Roman" w:eastAsia="宋体" w:cs="Times New Roman"/>
          <w:b/>
          <w:bCs/>
          <w:color w:val="auto"/>
          <w:sz w:val="24"/>
          <w:szCs w:val="24"/>
          <w:u w:val="none" w:color="auto"/>
          <w:lang w:val="en-US" w:eastAsia="zh-CN"/>
        </w:rPr>
        <w:t>筛选</w:t>
      </w:r>
    </w:p>
    <w:p w14:paraId="669CF523">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本次评价针</w:t>
      </w:r>
      <w:r>
        <w:rPr>
          <w:rFonts w:hint="eastAsia" w:ascii="宋体" w:hAnsi="宋体" w:eastAsia="宋体" w:cs="宋体"/>
          <w:color w:val="auto"/>
          <w:sz w:val="24"/>
          <w:szCs w:val="24"/>
          <w:highlight w:val="none"/>
          <w:u w:val="none" w:color="auto"/>
          <w:lang w:val="en-US" w:eastAsia="zh-CN"/>
        </w:rPr>
        <w:t>对“不同途径对土壤环境的影响”采</w:t>
      </w:r>
      <w:r>
        <w:rPr>
          <w:rFonts w:hint="default" w:ascii="Times New Roman" w:hAnsi="Times New Roman" w:eastAsia="宋体" w:cs="Times New Roman"/>
          <w:color w:val="auto"/>
          <w:sz w:val="24"/>
          <w:szCs w:val="24"/>
          <w:highlight w:val="none"/>
          <w:u w:val="none" w:color="auto"/>
          <w:lang w:val="en-US" w:eastAsia="zh-CN"/>
        </w:rPr>
        <w:t>取不同的分析方法，如下所述：</w:t>
      </w:r>
    </w:p>
    <w:p w14:paraId="48BAC763">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1、大气沉降</w:t>
      </w:r>
    </w:p>
    <w:p w14:paraId="6219CDF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w:t>
      </w:r>
      <w:r>
        <w:rPr>
          <w:rFonts w:hint="eastAsia" w:ascii="宋体" w:hAnsi="宋体" w:eastAsia="宋体" w:cs="宋体"/>
          <w:color w:val="auto"/>
          <w:sz w:val="24"/>
          <w:szCs w:val="24"/>
          <w:highlight w:val="none"/>
          <w:u w:val="none" w:color="auto"/>
          <w:lang w:val="en-US" w:eastAsia="zh-CN"/>
        </w:rPr>
        <w:t>据“土壤环境影响源及影响因子识别一览表”</w:t>
      </w:r>
      <w:r>
        <w:rPr>
          <w:rFonts w:hint="default" w:ascii="Times New Roman" w:hAnsi="Times New Roman" w:eastAsia="宋体" w:cs="Times New Roman"/>
          <w:color w:val="auto"/>
          <w:sz w:val="24"/>
          <w:szCs w:val="24"/>
          <w:highlight w:val="none"/>
          <w:u w:val="none" w:color="auto"/>
          <w:lang w:val="en-US" w:eastAsia="zh-CN"/>
        </w:rPr>
        <w:t>，项目营运期废气排出的污因子主要为颗粒物（PM</w:t>
      </w:r>
      <w:r>
        <w:rPr>
          <w:rFonts w:hint="default" w:ascii="Times New Roman" w:hAnsi="Times New Roman" w:eastAsia="宋体" w:cs="Times New Roman"/>
          <w:color w:val="auto"/>
          <w:sz w:val="24"/>
          <w:szCs w:val="24"/>
          <w:highlight w:val="none"/>
          <w:u w:val="none" w:color="auto"/>
          <w:vertAlign w:val="subscript"/>
          <w:lang w:val="en-US" w:eastAsia="zh-CN"/>
        </w:rPr>
        <w:t>10</w:t>
      </w:r>
      <w:r>
        <w:rPr>
          <w:rFonts w:hint="default" w:ascii="Times New Roman" w:hAnsi="Times New Roman" w:eastAsia="宋体" w:cs="Times New Roman"/>
          <w:color w:val="auto"/>
          <w:sz w:val="24"/>
          <w:szCs w:val="24"/>
          <w:highlight w:val="none"/>
          <w:u w:val="none" w:color="auto"/>
          <w:lang w:val="en-US" w:eastAsia="zh-CN"/>
        </w:rPr>
        <w:t>）、颗粒物（TSP）、SO</w:t>
      </w:r>
      <w:r>
        <w:rPr>
          <w:rFonts w:hint="default" w:ascii="Times New Roman" w:hAnsi="Times New Roman" w:eastAsia="宋体" w:cs="Times New Roman"/>
          <w:color w:val="auto"/>
          <w:sz w:val="24"/>
          <w:szCs w:val="24"/>
          <w:highlight w:val="none"/>
          <w:u w:val="none" w:color="auto"/>
          <w:vertAlign w:val="subscript"/>
          <w:lang w:val="en-US" w:eastAsia="zh-CN"/>
        </w:rPr>
        <w:t>2</w:t>
      </w:r>
      <w:r>
        <w:rPr>
          <w:rFonts w:hint="default" w:ascii="Times New Roman" w:hAnsi="Times New Roman" w:eastAsia="宋体" w:cs="Times New Roman"/>
          <w:color w:val="auto"/>
          <w:sz w:val="24"/>
          <w:szCs w:val="24"/>
          <w:highlight w:val="none"/>
          <w:u w:val="none" w:color="auto"/>
          <w:lang w:val="en-US" w:eastAsia="zh-CN"/>
        </w:rPr>
        <w:t>、NOx、VOCs、</w:t>
      </w:r>
      <w:r>
        <w:rPr>
          <w:rFonts w:hint="eastAsia" w:ascii="Times New Roman" w:hAnsi="Times New Roman" w:eastAsia="宋体" w:cs="Times New Roman"/>
          <w:color w:val="auto"/>
          <w:sz w:val="24"/>
          <w:szCs w:val="24"/>
          <w:highlight w:val="none"/>
          <w:u w:val="none" w:color="auto"/>
          <w:lang w:val="en-US" w:eastAsia="zh-CN"/>
        </w:rPr>
        <w:t>甲醛、酚类</w:t>
      </w:r>
      <w:r>
        <w:rPr>
          <w:rFonts w:hint="default" w:ascii="Times New Roman" w:hAnsi="Times New Roman" w:eastAsia="宋体" w:cs="Times New Roman"/>
          <w:color w:val="auto"/>
          <w:sz w:val="24"/>
          <w:szCs w:val="24"/>
          <w:highlight w:val="none"/>
          <w:u w:val="none" w:color="auto"/>
          <w:lang w:val="en-US" w:eastAsia="zh-CN"/>
        </w:rPr>
        <w:t>，其中：</w:t>
      </w:r>
    </w:p>
    <w:p w14:paraId="145A4E4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（1）污染因子颗粒物（PM</w:t>
      </w:r>
      <w:r>
        <w:rPr>
          <w:rFonts w:hint="default" w:ascii="Times New Roman" w:hAnsi="Times New Roman" w:eastAsia="宋体" w:cs="Times New Roman"/>
          <w:color w:val="auto"/>
          <w:sz w:val="24"/>
          <w:szCs w:val="24"/>
          <w:highlight w:val="none"/>
          <w:u w:val="none" w:color="auto"/>
          <w:vertAlign w:val="subscript"/>
          <w:lang w:val="en-US" w:eastAsia="zh-CN"/>
        </w:rPr>
        <w:t>10</w:t>
      </w:r>
      <w:r>
        <w:rPr>
          <w:rFonts w:hint="default" w:ascii="Times New Roman" w:hAnsi="Times New Roman" w:eastAsia="宋体" w:cs="Times New Roman"/>
          <w:color w:val="auto"/>
          <w:sz w:val="24"/>
          <w:szCs w:val="24"/>
          <w:highlight w:val="none"/>
          <w:u w:val="none" w:color="auto"/>
          <w:lang w:val="en-US" w:eastAsia="zh-CN"/>
        </w:rPr>
        <w:t>）是空气动力学直径小于或等于10微米的颗粒物，也称可吸入颗粒物或飘尘，即能在大气中长期漂浮的悬浮物，由此可知，该污染因子大气沉降率较低，对土壤环境影响较小，本次评价仅定性分析该污染因子对土壤环境的影响。</w:t>
      </w:r>
    </w:p>
    <w:p w14:paraId="16C2C48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污染因子颗粒物（TSP）是指能悬浮在空气中，空气动力学当量直径≤100微米的颗粒物。由此可知，该污染因子大气沉降率较低。同时，本项目采用的燃料均为清洁能源天然气，颗粒物（TSP）排放量较小。因此，污染因子颗粒物（TSP）对土壤环境影响较小，本次评价仅定性分析该污染因子对土壤环境的影响。</w:t>
      </w:r>
    </w:p>
    <w:p w14:paraId="2536C29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（3）污染因子SO</w:t>
      </w:r>
      <w:r>
        <w:rPr>
          <w:rFonts w:hint="default" w:ascii="Times New Roman" w:hAnsi="Times New Roman" w:eastAsia="宋体" w:cs="Times New Roman"/>
          <w:color w:val="auto"/>
          <w:sz w:val="24"/>
          <w:szCs w:val="24"/>
          <w:highlight w:val="none"/>
          <w:u w:val="none" w:color="auto"/>
          <w:vertAlign w:val="subscript"/>
          <w:lang w:val="en-US" w:eastAsia="zh-CN"/>
        </w:rPr>
        <w:t>2</w:t>
      </w:r>
      <w:r>
        <w:rPr>
          <w:rFonts w:hint="default" w:ascii="Times New Roman" w:hAnsi="Times New Roman" w:eastAsia="宋体" w:cs="Times New Roman"/>
          <w:color w:val="auto"/>
          <w:sz w:val="24"/>
          <w:szCs w:val="24"/>
          <w:highlight w:val="none"/>
          <w:u w:val="none" w:color="auto"/>
          <w:lang w:val="en-US" w:eastAsia="zh-CN"/>
        </w:rPr>
        <w:t>、NOx为酸性物质H</w:t>
      </w:r>
      <w:r>
        <w:rPr>
          <w:rFonts w:hint="default" w:ascii="Times New Roman" w:hAnsi="Times New Roman" w:eastAsia="宋体" w:cs="Times New Roman"/>
          <w:color w:val="auto"/>
          <w:sz w:val="24"/>
          <w:szCs w:val="24"/>
          <w:highlight w:val="none"/>
          <w:u w:val="none" w:color="auto"/>
          <w:vertAlign w:val="subscript"/>
          <w:lang w:val="en-US" w:eastAsia="zh-CN"/>
        </w:rPr>
        <w:t>2</w:t>
      </w:r>
      <w:r>
        <w:rPr>
          <w:rFonts w:hint="default" w:ascii="Times New Roman" w:hAnsi="Times New Roman" w:eastAsia="宋体" w:cs="Times New Roman"/>
          <w:color w:val="auto"/>
          <w:sz w:val="24"/>
          <w:szCs w:val="24"/>
          <w:highlight w:val="none"/>
          <w:u w:val="none" w:color="auto"/>
          <w:lang w:val="en-US" w:eastAsia="zh-CN"/>
        </w:rPr>
        <w:t>SO</w:t>
      </w:r>
      <w:r>
        <w:rPr>
          <w:rFonts w:hint="default" w:ascii="Times New Roman" w:hAnsi="Times New Roman" w:eastAsia="宋体" w:cs="Times New Roman"/>
          <w:color w:val="auto"/>
          <w:sz w:val="24"/>
          <w:szCs w:val="24"/>
          <w:highlight w:val="none"/>
          <w:u w:val="none" w:color="auto"/>
          <w:vertAlign w:val="subscript"/>
          <w:lang w:val="en-US" w:eastAsia="zh-CN"/>
        </w:rPr>
        <w:t>4</w:t>
      </w:r>
      <w:r>
        <w:rPr>
          <w:rFonts w:hint="default" w:ascii="Times New Roman" w:hAnsi="Times New Roman" w:eastAsia="宋体" w:cs="Times New Roman"/>
          <w:color w:val="auto"/>
          <w:sz w:val="24"/>
          <w:szCs w:val="24"/>
          <w:highlight w:val="none"/>
          <w:u w:val="none" w:color="auto"/>
          <w:lang w:val="en-US" w:eastAsia="zh-CN"/>
        </w:rPr>
        <w:t>、HNO</w:t>
      </w:r>
      <w:r>
        <w:rPr>
          <w:rFonts w:hint="default" w:ascii="Times New Roman" w:hAnsi="Times New Roman" w:eastAsia="宋体" w:cs="Times New Roman"/>
          <w:color w:val="auto"/>
          <w:sz w:val="24"/>
          <w:szCs w:val="24"/>
          <w:highlight w:val="none"/>
          <w:u w:val="none" w:color="auto"/>
          <w:vertAlign w:val="subscript"/>
          <w:lang w:val="en-US" w:eastAsia="zh-CN"/>
        </w:rPr>
        <w:t>3</w:t>
      </w:r>
      <w:r>
        <w:rPr>
          <w:rFonts w:hint="default" w:ascii="Times New Roman" w:hAnsi="Times New Roman" w:eastAsia="宋体" w:cs="Times New Roman"/>
          <w:color w:val="auto"/>
          <w:sz w:val="24"/>
          <w:szCs w:val="24"/>
          <w:highlight w:val="none"/>
          <w:u w:val="none" w:color="auto"/>
          <w:lang w:val="en-US" w:eastAsia="zh-CN"/>
        </w:rPr>
        <w:t>的前体物，通过干湿沉降进入土壤环境，会影响土壤环境的pH值，但本项目采用的燃料均为清净能源天然气，并且总消耗量不高，则污染因子SO</w:t>
      </w:r>
      <w:r>
        <w:rPr>
          <w:rFonts w:hint="default" w:ascii="Times New Roman" w:hAnsi="Times New Roman" w:eastAsia="宋体" w:cs="Times New Roman"/>
          <w:color w:val="auto"/>
          <w:sz w:val="24"/>
          <w:szCs w:val="24"/>
          <w:highlight w:val="none"/>
          <w:u w:val="none" w:color="auto"/>
          <w:vertAlign w:val="subscript"/>
          <w:lang w:val="en-US" w:eastAsia="zh-CN"/>
        </w:rPr>
        <w:t>2</w:t>
      </w:r>
      <w:r>
        <w:rPr>
          <w:rFonts w:hint="default" w:ascii="Times New Roman" w:hAnsi="Times New Roman" w:eastAsia="宋体" w:cs="Times New Roman"/>
          <w:color w:val="auto"/>
          <w:sz w:val="24"/>
          <w:szCs w:val="24"/>
          <w:highlight w:val="none"/>
          <w:u w:val="none" w:color="auto"/>
          <w:lang w:val="en-US" w:eastAsia="zh-CN"/>
        </w:rPr>
        <w:t>、NOx的排放量较少，对土壤环境影响较小，本次评价仅定性分析该污染因子对土壤环境的影响。</w:t>
      </w:r>
    </w:p>
    <w:p w14:paraId="5AFD7449">
      <w:pPr>
        <w:keepNext w:val="0"/>
        <w:keepLines w:val="0"/>
        <w:pageBreakBefore w:val="0"/>
        <w:kinsoku/>
        <w:wordWrap/>
        <w:overflowPunct/>
        <w:topLinePunct w:val="0"/>
        <w:bidi w:val="0"/>
        <w:snapToGrid/>
        <w:spacing w:beforeAutospacing="0" w:afterAutospacing="0"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（4）污染因子VOCs、</w:t>
      </w:r>
      <w:r>
        <w:rPr>
          <w:rFonts w:hint="eastAsia" w:ascii="Times New Roman" w:hAnsi="Times New Roman" w:eastAsia="宋体" w:cs="Times New Roman"/>
          <w:color w:val="auto"/>
          <w:sz w:val="24"/>
          <w:szCs w:val="24"/>
          <w:highlight w:val="none"/>
          <w:u w:val="none" w:color="auto"/>
          <w:lang w:val="en-US" w:eastAsia="zh-CN"/>
        </w:rPr>
        <w:t>甲醛、苯酚</w:t>
      </w:r>
      <w:r>
        <w:rPr>
          <w:rFonts w:hint="default" w:ascii="Times New Roman" w:hAnsi="Times New Roman" w:eastAsia="宋体" w:cs="Times New Roman"/>
          <w:color w:val="auto"/>
          <w:sz w:val="24"/>
          <w:szCs w:val="24"/>
          <w:highlight w:val="none"/>
          <w:u w:val="none" w:color="auto"/>
          <w:lang w:val="en-US" w:eastAsia="zh-CN"/>
        </w:rPr>
        <w:t>通过干湿沉降进入土壤环境。因污染物因子VOCs是土壤环境中重大污染物之一。同时，通过大气沉降污染物对土壤环境造成累积影响，本次评价选取VOCs</w:t>
      </w:r>
      <w:r>
        <w:rPr>
          <w:rFonts w:hint="eastAsia" w:ascii="Times New Roman" w:hAnsi="Times New Roman" w:eastAsia="宋体" w:cs="Times New Roman"/>
          <w:color w:val="auto"/>
          <w:sz w:val="24"/>
          <w:szCs w:val="24"/>
          <w:highlight w:val="none"/>
          <w:u w:val="none" w:color="auto"/>
          <w:lang w:val="en-US" w:eastAsia="zh-CN"/>
        </w:rPr>
        <w:t>、甲醛、苯酚</w:t>
      </w:r>
      <w:r>
        <w:rPr>
          <w:rFonts w:hint="default" w:ascii="Times New Roman" w:hAnsi="Times New Roman" w:eastAsia="宋体" w:cs="Times New Roman"/>
          <w:color w:val="auto"/>
          <w:sz w:val="24"/>
          <w:szCs w:val="24"/>
          <w:highlight w:val="none"/>
          <w:u w:val="none" w:color="auto"/>
          <w:lang w:val="en-US" w:eastAsia="zh-CN"/>
        </w:rPr>
        <w:t>作为大气沉降预测因子，即采取定量分析。</w:t>
      </w:r>
    </w:p>
    <w:p w14:paraId="67C84376">
      <w:pPr>
        <w:keepNext w:val="0"/>
        <w:keepLines w:val="0"/>
        <w:pageBreakBefore w:val="0"/>
        <w:kinsoku/>
        <w:wordWrap/>
        <w:overflowPunct/>
        <w:topLinePunct w:val="0"/>
        <w:bidi w:val="0"/>
        <w:snapToGrid/>
        <w:spacing w:beforeAutospacing="0" w:afterAutospacing="0"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2、垂直入渗</w:t>
      </w:r>
    </w:p>
    <w:p w14:paraId="09CF004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项目厂区均采取地面硬化，布设完整的雨污排水系统，</w:t>
      </w:r>
      <w:r>
        <w:rPr>
          <w:rFonts w:hint="eastAsia" w:ascii="Times New Roman" w:hAnsi="Times New Roman" w:eastAsia="宋体" w:cs="Times New Roman"/>
          <w:color w:val="auto"/>
          <w:sz w:val="24"/>
          <w:szCs w:val="24"/>
          <w:highlight w:val="none"/>
          <w:u w:val="none" w:color="auto"/>
          <w:lang w:val="en-US" w:eastAsia="zh-CN"/>
        </w:rPr>
        <w:t>且本项目不涉及生产废水产生及外排</w:t>
      </w:r>
      <w:r>
        <w:rPr>
          <w:rFonts w:hint="default" w:ascii="Times New Roman" w:hAnsi="Times New Roman" w:eastAsia="宋体" w:cs="Times New Roman"/>
          <w:color w:val="auto"/>
          <w:sz w:val="24"/>
          <w:szCs w:val="24"/>
          <w:highlight w:val="none"/>
          <w:u w:val="none" w:color="auto"/>
          <w:lang w:val="en-US" w:eastAsia="zh-CN"/>
        </w:rPr>
        <w:t>。由此表明，垂直入渗对土壤环境的影响概率很小。因此，本次评价</w:t>
      </w:r>
      <w:r>
        <w:rPr>
          <w:rFonts w:hint="eastAsia" w:ascii="宋体" w:hAnsi="宋体" w:eastAsia="宋体" w:cs="宋体"/>
          <w:color w:val="auto"/>
          <w:sz w:val="24"/>
          <w:szCs w:val="24"/>
          <w:highlight w:val="none"/>
          <w:u w:val="none" w:color="auto"/>
          <w:lang w:val="en-US" w:eastAsia="zh-CN"/>
        </w:rPr>
        <w:t>对“垂直入渗途径对土壤环境的影响”采</w:t>
      </w:r>
      <w:r>
        <w:rPr>
          <w:rFonts w:hint="default" w:ascii="Times New Roman" w:hAnsi="Times New Roman" w:eastAsia="宋体" w:cs="Times New Roman"/>
          <w:color w:val="auto"/>
          <w:sz w:val="24"/>
          <w:szCs w:val="24"/>
          <w:highlight w:val="none"/>
          <w:u w:val="none" w:color="auto"/>
          <w:lang w:val="en-US" w:eastAsia="zh-CN"/>
        </w:rPr>
        <w:t>取定性分析。</w:t>
      </w:r>
    </w:p>
    <w:p w14:paraId="1365F64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根据工程分析、环境影响因素识别及判定结果，确定本项目环境影响要素的评价因子见表</w:t>
      </w:r>
      <w:r>
        <w:rPr>
          <w:rFonts w:hint="eastAsia" w:ascii="Times New Roman" w:hAnsi="Times New Roman" w:cs="Times New Roman"/>
          <w:color w:val="auto"/>
          <w:sz w:val="24"/>
          <w:szCs w:val="24"/>
          <w:highlight w:val="none"/>
          <w:u w:val="none" w:color="auto"/>
          <w:lang w:val="en-US" w:eastAsia="zh-CN"/>
        </w:rPr>
        <w:t>5.2-19</w:t>
      </w:r>
    </w:p>
    <w:p w14:paraId="5DDC2C2A">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表</w:t>
      </w:r>
      <w:r>
        <w:rPr>
          <w:rFonts w:hint="eastAsia" w:ascii="Times New Roman" w:hAnsi="Times New Roman" w:cs="Times New Roman"/>
          <w:b/>
          <w:bCs/>
          <w:color w:val="auto"/>
          <w:sz w:val="21"/>
          <w:szCs w:val="21"/>
          <w:highlight w:val="none"/>
          <w:u w:val="none" w:color="auto"/>
          <w:lang w:val="en-US" w:eastAsia="zh-CN"/>
        </w:rPr>
        <w:t>5.2-19</w:t>
      </w:r>
      <w:r>
        <w:rPr>
          <w:rFonts w:hint="default" w:ascii="Times New Roman" w:hAnsi="Times New Roman" w:cs="Times New Roman"/>
          <w:b/>
          <w:bCs/>
          <w:color w:val="auto"/>
          <w:sz w:val="21"/>
          <w:szCs w:val="21"/>
          <w:highlight w:val="none"/>
          <w:u w:val="none" w:color="auto"/>
          <w:lang w:val="en-US" w:eastAsia="zh-CN"/>
        </w:rPr>
        <w:t xml:space="preserve">  评价因子筛选一览表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5261"/>
        <w:gridCol w:w="2273"/>
      </w:tblGrid>
      <w:tr w14:paraId="52F6E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87" w:type="dxa"/>
            <w:tcBorders>
              <w:tl2br w:val="nil"/>
              <w:tr2bl w:val="nil"/>
            </w:tcBorders>
            <w:noWrap w:val="0"/>
            <w:vAlign w:val="center"/>
          </w:tcPr>
          <w:p w14:paraId="6F6DF811">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环境要素</w:t>
            </w:r>
          </w:p>
        </w:tc>
        <w:tc>
          <w:tcPr>
            <w:tcW w:w="5261" w:type="dxa"/>
            <w:tcBorders>
              <w:tl2br w:val="nil"/>
              <w:tr2bl w:val="nil"/>
            </w:tcBorders>
            <w:noWrap w:val="0"/>
            <w:vAlign w:val="center"/>
          </w:tcPr>
          <w:p w14:paraId="02ACC8EC">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现状评价因子</w:t>
            </w:r>
          </w:p>
        </w:tc>
        <w:tc>
          <w:tcPr>
            <w:tcW w:w="2273" w:type="dxa"/>
            <w:tcBorders>
              <w:tl2br w:val="nil"/>
              <w:tr2bl w:val="nil"/>
            </w:tcBorders>
            <w:noWrap w:val="0"/>
            <w:vAlign w:val="center"/>
          </w:tcPr>
          <w:p w14:paraId="49009D93">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预测/影响评价因子</w:t>
            </w:r>
          </w:p>
        </w:tc>
      </w:tr>
      <w:tr w14:paraId="06406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187" w:type="dxa"/>
            <w:tcBorders>
              <w:tl2br w:val="nil"/>
              <w:tr2bl w:val="nil"/>
            </w:tcBorders>
            <w:noWrap w:val="0"/>
            <w:vAlign w:val="center"/>
          </w:tcPr>
          <w:p w14:paraId="64230858">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土壤环境</w:t>
            </w:r>
          </w:p>
        </w:tc>
        <w:tc>
          <w:tcPr>
            <w:tcW w:w="5261" w:type="dxa"/>
            <w:tcBorders>
              <w:tl2br w:val="nil"/>
              <w:tr2bl w:val="nil"/>
            </w:tcBorders>
            <w:noWrap w:val="0"/>
            <w:vAlign w:val="center"/>
          </w:tcPr>
          <w:p w14:paraId="6C46E869">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u w:val="none"/>
                <w:lang w:val="en-US" w:eastAsia="zh-CN" w:bidi="ar-SA"/>
              </w:rPr>
              <w:t>pH、铜、铅、镉、铬（六价）、砷、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ascii="Times New Roman" w:hAnsi="Times New Roman" w:eastAsia="宋体"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石油烃共4</w:t>
            </w:r>
            <w:r>
              <w:rPr>
                <w:rFonts w:hint="eastAsia" w:ascii="Times New Roman" w:hAnsi="Times New Roman" w:eastAsia="宋体" w:cs="Times New Roman"/>
                <w:color w:val="auto"/>
                <w:kern w:val="2"/>
                <w:sz w:val="21"/>
                <w:szCs w:val="21"/>
                <w:u w:val="none"/>
                <w:lang w:val="en-US" w:eastAsia="zh-CN" w:bidi="ar-SA"/>
              </w:rPr>
              <w:t>7</w:t>
            </w:r>
            <w:r>
              <w:rPr>
                <w:rFonts w:hint="default" w:ascii="Times New Roman" w:hAnsi="Times New Roman" w:eastAsia="宋体" w:cs="Times New Roman"/>
                <w:color w:val="auto"/>
                <w:kern w:val="2"/>
                <w:sz w:val="21"/>
                <w:szCs w:val="21"/>
                <w:u w:val="none"/>
                <w:lang w:val="en-US" w:eastAsia="zh-CN" w:bidi="ar-SA"/>
              </w:rPr>
              <w:t>项</w:t>
            </w:r>
          </w:p>
        </w:tc>
        <w:tc>
          <w:tcPr>
            <w:tcW w:w="2273" w:type="dxa"/>
            <w:tcBorders>
              <w:tl2br w:val="nil"/>
              <w:tr2bl w:val="nil"/>
            </w:tcBorders>
            <w:noWrap w:val="0"/>
            <w:vAlign w:val="center"/>
          </w:tcPr>
          <w:p w14:paraId="63B54B9C">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大气沉降：</w:t>
            </w:r>
            <w:r>
              <w:rPr>
                <w:rFonts w:hint="eastAsia" w:ascii="Times New Roman" w:hAnsi="Times New Roman" w:cs="Times New Roman"/>
                <w:color w:val="auto"/>
                <w:sz w:val="21"/>
                <w:szCs w:val="21"/>
                <w:highlight w:val="none"/>
                <w:u w:val="none" w:color="auto"/>
                <w:vertAlign w:val="baseline"/>
                <w:lang w:val="en-US" w:eastAsia="zh-CN"/>
              </w:rPr>
              <w:t>VOCs、甲醛、苯酚</w:t>
            </w:r>
          </w:p>
          <w:p w14:paraId="54FBD92A">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垂直入渗：定性分析</w:t>
            </w:r>
          </w:p>
        </w:tc>
      </w:tr>
    </w:tbl>
    <w:p w14:paraId="09641A7C">
      <w:pPr>
        <w:widowControl/>
        <w:spacing w:line="360" w:lineRule="auto"/>
        <w:outlineLvl w:val="3"/>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5.2.</w:t>
      </w:r>
      <w:r>
        <w:rPr>
          <w:rFonts w:hint="eastAsia" w:ascii="Times New Roman" w:hAnsi="Times New Roman" w:eastAsia="宋体" w:cs="Times New Roman"/>
          <w:b/>
          <w:bCs/>
          <w:color w:val="auto"/>
          <w:sz w:val="24"/>
          <w:szCs w:val="24"/>
          <w:u w:val="none" w:color="auto"/>
          <w:lang w:val="en-US" w:eastAsia="zh-CN"/>
        </w:rPr>
        <w:t>7</w:t>
      </w:r>
      <w:r>
        <w:rPr>
          <w:rFonts w:hint="default" w:ascii="Times New Roman" w:hAnsi="Times New Roman" w:eastAsia="宋体" w:cs="Times New Roman"/>
          <w:b/>
          <w:bCs/>
          <w:color w:val="auto"/>
          <w:sz w:val="24"/>
          <w:szCs w:val="24"/>
          <w:u w:val="none" w:color="auto"/>
          <w:lang w:val="en-US" w:eastAsia="zh-CN"/>
        </w:rPr>
        <w:t>.</w:t>
      </w:r>
      <w:r>
        <w:rPr>
          <w:rFonts w:hint="eastAsia" w:ascii="Times New Roman" w:hAnsi="Times New Roman" w:eastAsia="宋体" w:cs="Times New Roman"/>
          <w:b/>
          <w:bCs/>
          <w:color w:val="auto"/>
          <w:sz w:val="24"/>
          <w:szCs w:val="24"/>
          <w:u w:val="none" w:color="auto"/>
          <w:lang w:val="en-US" w:eastAsia="zh-CN"/>
        </w:rPr>
        <w:t>5</w:t>
      </w:r>
      <w:r>
        <w:rPr>
          <w:rFonts w:hint="default" w:ascii="Times New Roman" w:hAnsi="Times New Roman" w:eastAsia="宋体" w:cs="Times New Roman"/>
          <w:b/>
          <w:bCs/>
          <w:color w:val="auto"/>
          <w:sz w:val="24"/>
          <w:szCs w:val="24"/>
          <w:u w:val="none" w:color="auto"/>
          <w:lang w:val="en-US" w:eastAsia="zh-CN"/>
        </w:rPr>
        <w:t xml:space="preserve"> </w:t>
      </w:r>
      <w:r>
        <w:rPr>
          <w:rFonts w:hint="eastAsia" w:ascii="Times New Roman" w:hAnsi="Times New Roman" w:eastAsia="宋体" w:cs="Times New Roman"/>
          <w:b/>
          <w:bCs/>
          <w:color w:val="auto"/>
          <w:sz w:val="24"/>
          <w:szCs w:val="24"/>
          <w:u w:val="none" w:color="auto"/>
          <w:lang w:val="en-US" w:eastAsia="zh-CN"/>
        </w:rPr>
        <w:t>土壤环境现状调查及评价</w:t>
      </w:r>
    </w:p>
    <w:p w14:paraId="0A209A2E">
      <w:pPr>
        <w:pStyle w:val="21"/>
        <w:bidi w:val="0"/>
        <w:rPr>
          <w:rFonts w:hint="eastAsia"/>
          <w:lang w:eastAsia="zh-CN"/>
        </w:rPr>
      </w:pPr>
      <w:r>
        <w:rPr>
          <w:rFonts w:hint="eastAsia"/>
          <w:lang w:eastAsia="zh-CN"/>
        </w:rPr>
        <w:t>汨罗土壤的成土母质有第四纪松散堆积物、花岗岩母质、板页岩母质及云母片岩母质、红岩母质4种，不同母质形成不同类型的土壤。土壤类型有水稻土45.60万亩，红（黄）壤94.57万亩，紫色土11.57万亩，潮土2.54万亩。土壤分布为南部红（黄）壤水稻土区、中北部红壤水稻土区、汨罗江流域潮土及水稻土区、东北部紫色土、红壤水稻土区。</w:t>
      </w:r>
    </w:p>
    <w:p w14:paraId="4B5F8C91">
      <w:pPr>
        <w:pStyle w:val="21"/>
        <w:bidi w:val="0"/>
        <w:rPr>
          <w:rFonts w:hint="eastAsia"/>
          <w:color w:val="auto"/>
          <w:u w:val="none" w:color="auto"/>
          <w:lang w:val="en-US" w:eastAsia="zh-CN"/>
        </w:rPr>
      </w:pPr>
      <w:r>
        <w:rPr>
          <w:rFonts w:hint="eastAsia"/>
          <w:color w:val="auto"/>
          <w:u w:val="none" w:color="auto"/>
          <w:lang w:val="en-US" w:eastAsia="zh-CN"/>
        </w:rPr>
        <w:t>红壤是我国现行土壤发生分类系统中发育在我国中亚热带温暖湿润气候条件下的一个地带性土壤类型名称。据湖南省第二次土壤普查成果资料，红壤是湖南省现行土壤分类体系中的13个土类之一，全省共有红壤面积8637200hm</w:t>
      </w:r>
      <w:r>
        <w:rPr>
          <w:rFonts w:hint="eastAsia"/>
          <w:color w:val="auto"/>
          <w:u w:val="none" w:color="auto"/>
          <w:vertAlign w:val="superscript"/>
          <w:lang w:val="en-US" w:eastAsia="zh-CN"/>
        </w:rPr>
        <w:t>2</w:t>
      </w:r>
      <w:r>
        <w:rPr>
          <w:rFonts w:hint="eastAsia"/>
          <w:color w:val="auto"/>
          <w:u w:val="none" w:color="auto"/>
          <w:lang w:val="en-US" w:eastAsia="zh-CN"/>
        </w:rPr>
        <w:t>，占全省土壤总面积的51.0%，是湖南省面积最大的土类。该土类广泛分布于湖南省的低山丘陵和岗地，南缘五岭山北麓，北至洞庭湖滨，东起罗霄山西麓，西至雪峰山东西两侧。在湖南省的垂直分布上限因地理位置和坡向不同而有一定的差异，湘中、湘东为海拔500~600m，湘南为600~ 700 m，湘北为400~500 m，南坡高，北坡低。红壤广泛发育于板页岩风化物、砂岩风化物、花岗岩风化物、石灰岩风化物和第四纪红色粘土等各种母质，以板页岩红壤面积最大，占红壤的47.8%，砂岩红壤和石灰岩红壤沙之，分别占21.9%和14.3%，花岗岩红壤和第四纪红土约壤较少，分别仅占8.3%和7.7%。红壤是湖南省旱粮作物、蔬菜作物、经济作物和水果作物的主要生产基地，在湖南省农业生产可持续发展中具有举足轻重的作用。</w:t>
      </w:r>
    </w:p>
    <w:p w14:paraId="45452AA2">
      <w:pPr>
        <w:pStyle w:val="21"/>
        <w:bidi w:val="0"/>
        <w:rPr>
          <w:rFonts w:hint="default"/>
          <w:color w:val="auto"/>
          <w:u w:val="none" w:color="auto"/>
          <w:lang w:val="en-US" w:eastAsia="zh-CN"/>
        </w:rPr>
      </w:pPr>
      <w:r>
        <w:rPr>
          <w:rFonts w:hint="eastAsia"/>
          <w:color w:val="auto"/>
          <w:u w:val="none" w:color="auto"/>
          <w:lang w:val="en-US" w:eastAsia="zh-CN"/>
        </w:rPr>
        <w:t>本项目所在</w:t>
      </w:r>
      <w:r>
        <w:rPr>
          <w:rFonts w:hint="default"/>
          <w:color w:val="auto"/>
          <w:u w:val="none" w:color="auto"/>
          <w:lang w:val="en-US" w:eastAsia="zh-CN"/>
        </w:rPr>
        <w:t>区域的土壤理化特征，详见</w:t>
      </w:r>
      <w:r>
        <w:rPr>
          <w:rFonts w:hint="eastAsia"/>
          <w:color w:val="auto"/>
          <w:u w:val="none" w:color="auto"/>
          <w:lang w:val="en-US" w:eastAsia="zh-CN"/>
        </w:rPr>
        <w:t>4.3.5土壤环境现状监测与评价</w:t>
      </w:r>
      <w:r>
        <w:rPr>
          <w:rFonts w:hint="default"/>
          <w:color w:val="auto"/>
          <w:u w:val="none" w:color="auto"/>
          <w:lang w:val="en-US" w:eastAsia="zh-CN"/>
        </w:rPr>
        <w:t>表</w:t>
      </w:r>
      <w:r>
        <w:rPr>
          <w:rFonts w:hint="eastAsia"/>
          <w:color w:val="auto"/>
          <w:u w:val="none" w:color="auto"/>
          <w:lang w:val="en-US" w:eastAsia="zh-CN"/>
        </w:rPr>
        <w:t>4.3-10</w:t>
      </w:r>
      <w:r>
        <w:rPr>
          <w:rFonts w:hint="default"/>
          <w:color w:val="auto"/>
          <w:u w:val="none" w:color="auto"/>
          <w:lang w:val="en-US" w:eastAsia="zh-CN"/>
        </w:rPr>
        <w:t>。</w:t>
      </w:r>
    </w:p>
    <w:p w14:paraId="4015B03B">
      <w:pPr>
        <w:pStyle w:val="30"/>
        <w:bidi w:val="0"/>
        <w:rPr>
          <w:rFonts w:hint="default"/>
          <w:lang w:val="en-US" w:eastAsia="zh-CN"/>
        </w:rPr>
      </w:pPr>
      <w:r>
        <w:rPr>
          <w:rFonts w:hint="eastAsia"/>
          <w:lang w:val="en-US" w:eastAsia="zh-CN"/>
        </w:rPr>
        <w:t>3、土壤污染源调查</w:t>
      </w:r>
    </w:p>
    <w:p w14:paraId="176345FF">
      <w:pPr>
        <w:pStyle w:val="30"/>
        <w:bidi w:val="0"/>
        <w:rPr>
          <w:rFonts w:hint="default"/>
        </w:rPr>
      </w:pPr>
      <w:r>
        <w:rPr>
          <w:rFonts w:hint="eastAsia"/>
          <w:lang w:val="en-US" w:eastAsia="zh-CN"/>
        </w:rPr>
        <w:t>根据现场调查，本项目评价范围内无对土壤环境产生影响的工业企业</w:t>
      </w:r>
      <w:r>
        <w:rPr>
          <w:rFonts w:hint="default"/>
        </w:rPr>
        <w:t>。</w:t>
      </w:r>
    </w:p>
    <w:p w14:paraId="2973EC44">
      <w:pPr>
        <w:widowControl/>
        <w:spacing w:line="360" w:lineRule="auto"/>
        <w:outlineLvl w:val="3"/>
        <w:rPr>
          <w:rFonts w:hint="default" w:ascii="Times New Roman" w:hAnsi="Times New Roman" w:eastAsia="宋体" w:cs="Times New Roman"/>
          <w:b/>
          <w:bCs/>
          <w:color w:val="auto"/>
          <w:sz w:val="24"/>
          <w:szCs w:val="24"/>
          <w:u w:val="none" w:color="auto"/>
          <w:lang w:val="en-US" w:eastAsia="zh-CN"/>
        </w:rPr>
      </w:pPr>
      <w:bookmarkStart w:id="1140" w:name="_Toc19016"/>
      <w:bookmarkStart w:id="1141" w:name="_Toc15301"/>
      <w:bookmarkStart w:id="1142" w:name="_Toc15913"/>
      <w:bookmarkStart w:id="1143" w:name="_Toc31617"/>
      <w:bookmarkStart w:id="1144" w:name="_Toc26504"/>
      <w:bookmarkStart w:id="1145" w:name="_Toc5920"/>
      <w:r>
        <w:rPr>
          <w:rFonts w:hint="default" w:ascii="Times New Roman" w:hAnsi="Times New Roman" w:eastAsia="宋体" w:cs="Times New Roman"/>
          <w:b/>
          <w:bCs/>
          <w:color w:val="auto"/>
          <w:sz w:val="24"/>
          <w:szCs w:val="24"/>
          <w:u w:val="none" w:color="auto"/>
          <w:lang w:val="en-US" w:eastAsia="zh-CN"/>
        </w:rPr>
        <w:t>5.2.</w:t>
      </w:r>
      <w:r>
        <w:rPr>
          <w:rFonts w:hint="eastAsia" w:ascii="Times New Roman" w:hAnsi="Times New Roman" w:eastAsia="宋体" w:cs="Times New Roman"/>
          <w:b/>
          <w:bCs/>
          <w:color w:val="auto"/>
          <w:sz w:val="24"/>
          <w:szCs w:val="24"/>
          <w:u w:val="none" w:color="auto"/>
          <w:lang w:val="en-US" w:eastAsia="zh-CN"/>
        </w:rPr>
        <w:t>7.6</w:t>
      </w:r>
      <w:r>
        <w:rPr>
          <w:rFonts w:hint="default" w:ascii="Times New Roman" w:hAnsi="Times New Roman" w:eastAsia="宋体" w:cs="Times New Roman"/>
          <w:b/>
          <w:bCs/>
          <w:color w:val="auto"/>
          <w:sz w:val="24"/>
          <w:szCs w:val="24"/>
          <w:u w:val="none" w:color="auto"/>
          <w:lang w:val="en-US" w:eastAsia="zh-CN"/>
        </w:rPr>
        <w:t xml:space="preserve"> 预测</w:t>
      </w:r>
      <w:bookmarkEnd w:id="1140"/>
      <w:bookmarkEnd w:id="1141"/>
      <w:bookmarkEnd w:id="1142"/>
      <w:bookmarkEnd w:id="1143"/>
      <w:bookmarkEnd w:id="1144"/>
      <w:bookmarkEnd w:id="1145"/>
      <w:r>
        <w:rPr>
          <w:rFonts w:hint="eastAsia" w:ascii="Times New Roman" w:hAnsi="Times New Roman" w:eastAsia="宋体" w:cs="Times New Roman"/>
          <w:b/>
          <w:bCs/>
          <w:color w:val="auto"/>
          <w:sz w:val="24"/>
          <w:szCs w:val="24"/>
          <w:u w:val="none" w:color="auto"/>
          <w:lang w:val="en-US" w:eastAsia="zh-CN"/>
        </w:rPr>
        <w:t>及评价</w:t>
      </w:r>
    </w:p>
    <w:p w14:paraId="285E95AF">
      <w:pPr>
        <w:pStyle w:val="21"/>
        <w:bidi w:val="0"/>
        <w:rPr>
          <w:rFonts w:hint="default"/>
          <w:color w:val="auto"/>
          <w:u w:val="none" w:color="auto"/>
          <w:lang w:val="en-US" w:eastAsia="zh-CN"/>
        </w:rPr>
      </w:pPr>
      <w:r>
        <w:rPr>
          <w:rFonts w:hint="default"/>
          <w:color w:val="auto"/>
          <w:u w:val="none" w:color="auto"/>
          <w:lang w:val="en-US" w:eastAsia="zh-CN"/>
        </w:rPr>
        <w:t>1、大气沉降</w:t>
      </w:r>
    </w:p>
    <w:p w14:paraId="1283D7BE">
      <w:pPr>
        <w:pStyle w:val="21"/>
        <w:bidi w:val="0"/>
        <w:rPr>
          <w:rFonts w:hint="default"/>
          <w:color w:val="auto"/>
          <w:u w:val="none" w:color="auto"/>
          <w:lang w:val="en-US" w:eastAsia="zh-CN"/>
        </w:rPr>
      </w:pPr>
      <w:r>
        <w:rPr>
          <w:rFonts w:hint="default"/>
          <w:color w:val="auto"/>
          <w:u w:val="none" w:color="auto"/>
          <w:lang w:val="en-US" w:eastAsia="zh-CN"/>
        </w:rPr>
        <w:t>（1）预测评价范围、时段和情景设置</w:t>
      </w:r>
    </w:p>
    <w:p w14:paraId="1462AFFC">
      <w:pPr>
        <w:pStyle w:val="21"/>
        <w:bidi w:val="0"/>
        <w:rPr>
          <w:rFonts w:hint="default"/>
          <w:color w:val="auto"/>
          <w:u w:val="none" w:color="auto"/>
          <w:lang w:val="en-US" w:eastAsia="zh-CN"/>
        </w:rPr>
      </w:pPr>
      <w:r>
        <w:rPr>
          <w:rFonts w:hint="default"/>
          <w:color w:val="auto"/>
          <w:u w:val="none" w:color="auto"/>
          <w:lang w:val="en-US" w:eastAsia="zh-CN"/>
        </w:rPr>
        <w:t>本次评价的预测评价范围与现状调查评价范围一致，即项目厂区外</w:t>
      </w:r>
      <w:r>
        <w:rPr>
          <w:rFonts w:hint="eastAsia"/>
          <w:color w:val="auto"/>
          <w:u w:val="none" w:color="auto"/>
          <w:lang w:val="en-US" w:eastAsia="zh-CN"/>
        </w:rPr>
        <w:t>0.2</w:t>
      </w:r>
      <w:r>
        <w:rPr>
          <w:rFonts w:hint="default"/>
          <w:color w:val="auto"/>
          <w:u w:val="none" w:color="auto"/>
          <w:lang w:val="en-US" w:eastAsia="zh-CN"/>
        </w:rPr>
        <w:t>km范围内；评价时段为营运期，并以项目正常工况作为预测工况。</w:t>
      </w:r>
    </w:p>
    <w:p w14:paraId="7D24643F">
      <w:pPr>
        <w:pStyle w:val="21"/>
        <w:bidi w:val="0"/>
        <w:rPr>
          <w:rFonts w:hint="default"/>
          <w:color w:val="auto"/>
          <w:u w:val="none" w:color="auto"/>
          <w:lang w:val="en-US" w:eastAsia="zh-CN"/>
        </w:rPr>
      </w:pPr>
      <w:r>
        <w:rPr>
          <w:rFonts w:hint="default"/>
          <w:color w:val="auto"/>
          <w:u w:val="none" w:color="auto"/>
          <w:lang w:val="en-US" w:eastAsia="zh-CN"/>
        </w:rPr>
        <w:t>本次评价假定废气中污染物全部沉降，不考虑其输出影响；废气污染物排放量保持不变，均匀沉降在固定区域内，并按最不利排放情况的影响进行预测。</w:t>
      </w:r>
    </w:p>
    <w:p w14:paraId="1BD7A774">
      <w:pPr>
        <w:pStyle w:val="21"/>
        <w:bidi w:val="0"/>
        <w:rPr>
          <w:rFonts w:hint="default"/>
          <w:color w:val="auto"/>
          <w:u w:val="none" w:color="auto"/>
          <w:lang w:val="en-US" w:eastAsia="zh-CN"/>
        </w:rPr>
      </w:pPr>
      <w:r>
        <w:rPr>
          <w:rFonts w:hint="default"/>
          <w:color w:val="auto"/>
          <w:u w:val="none" w:color="auto"/>
          <w:lang w:val="en-US" w:eastAsia="zh-CN"/>
        </w:rPr>
        <w:t>（2）预测评价因子</w:t>
      </w:r>
    </w:p>
    <w:p w14:paraId="53E8AC14">
      <w:pPr>
        <w:pStyle w:val="21"/>
        <w:bidi w:val="0"/>
        <w:rPr>
          <w:rFonts w:hint="default"/>
          <w:color w:val="auto"/>
          <w:u w:val="none" w:color="auto"/>
          <w:lang w:val="en-US" w:eastAsia="zh-CN"/>
        </w:rPr>
      </w:pPr>
      <w:r>
        <w:rPr>
          <w:rFonts w:hint="default"/>
          <w:color w:val="auto"/>
          <w:u w:val="none" w:color="auto"/>
          <w:lang w:eastAsia="zh-CN"/>
        </w:rPr>
        <w:t>《环境影响评价技术导则</w:t>
      </w:r>
      <w:r>
        <w:rPr>
          <w:rFonts w:hint="default"/>
          <w:color w:val="auto"/>
          <w:u w:val="none" w:color="auto"/>
          <w:lang w:val="en-US" w:eastAsia="zh-CN"/>
        </w:rPr>
        <w:t xml:space="preserve">  </w:t>
      </w:r>
      <w:r>
        <w:rPr>
          <w:rFonts w:hint="default"/>
          <w:color w:val="auto"/>
          <w:u w:val="none" w:color="auto"/>
          <w:lang w:eastAsia="zh-CN"/>
        </w:rPr>
        <w:t>土壤环境（试行）》（HJ</w:t>
      </w:r>
      <w:r>
        <w:rPr>
          <w:rFonts w:hint="default"/>
          <w:color w:val="auto"/>
          <w:u w:val="none" w:color="auto"/>
          <w:lang w:val="en-US" w:eastAsia="zh-CN"/>
        </w:rPr>
        <w:t>964</w:t>
      </w:r>
      <w:r>
        <w:rPr>
          <w:rFonts w:hint="default"/>
          <w:color w:val="auto"/>
          <w:u w:val="none" w:color="auto"/>
          <w:lang w:eastAsia="zh-CN"/>
        </w:rPr>
        <w:t>-201</w:t>
      </w:r>
      <w:r>
        <w:rPr>
          <w:rFonts w:hint="default"/>
          <w:color w:val="auto"/>
          <w:u w:val="none" w:color="auto"/>
          <w:lang w:val="en-US" w:eastAsia="zh-CN"/>
        </w:rPr>
        <w:t>8</w:t>
      </w:r>
      <w:r>
        <w:rPr>
          <w:rFonts w:hint="default"/>
          <w:color w:val="auto"/>
          <w:u w:val="none" w:color="auto"/>
          <w:lang w:eastAsia="zh-CN"/>
        </w:rPr>
        <w:t>）中</w:t>
      </w:r>
      <w:r>
        <w:rPr>
          <w:rFonts w:hint="default"/>
          <w:color w:val="auto"/>
          <w:u w:val="none" w:color="auto"/>
          <w:lang w:val="en-US" w:eastAsia="zh-CN"/>
        </w:rPr>
        <w:t>8.5预测与评价因子明确：污染影响型建设项目应根据环境影响识别出的特征因子选取关键预测因子。本次评价选取</w:t>
      </w:r>
      <w:r>
        <w:rPr>
          <w:rFonts w:hint="default" w:ascii="Times New Roman" w:hAnsi="Times New Roman" w:eastAsia="宋体" w:cs="Times New Roman"/>
          <w:color w:val="auto"/>
          <w:sz w:val="24"/>
          <w:szCs w:val="24"/>
          <w:highlight w:val="none"/>
          <w:u w:val="none" w:color="auto"/>
          <w:lang w:val="en-US" w:eastAsia="zh-CN"/>
        </w:rPr>
        <w:t>VOCs</w:t>
      </w:r>
      <w:r>
        <w:rPr>
          <w:rFonts w:hint="eastAsia" w:ascii="Times New Roman" w:hAnsi="Times New Roman" w:eastAsia="宋体" w:cs="Times New Roman"/>
          <w:color w:val="auto"/>
          <w:sz w:val="24"/>
          <w:szCs w:val="24"/>
          <w:highlight w:val="none"/>
          <w:u w:val="none" w:color="auto"/>
          <w:lang w:val="en-US" w:eastAsia="zh-CN"/>
        </w:rPr>
        <w:t>、甲醛、苯酚</w:t>
      </w:r>
      <w:r>
        <w:rPr>
          <w:rFonts w:hint="default"/>
          <w:color w:val="auto"/>
          <w:u w:val="none" w:color="auto"/>
          <w:lang w:val="en-US" w:eastAsia="zh-CN"/>
        </w:rPr>
        <w:t>作为大气沉降预测因子。</w:t>
      </w:r>
    </w:p>
    <w:p w14:paraId="52BA3CC9">
      <w:pPr>
        <w:pStyle w:val="21"/>
        <w:bidi w:val="0"/>
        <w:rPr>
          <w:rFonts w:hint="default"/>
          <w:color w:val="auto"/>
          <w:u w:val="none" w:color="auto"/>
          <w:lang w:val="en-US" w:eastAsia="zh-CN"/>
        </w:rPr>
      </w:pPr>
      <w:r>
        <w:rPr>
          <w:rFonts w:hint="eastAsia"/>
          <w:color w:val="auto"/>
          <w:u w:val="none" w:color="auto"/>
          <w:lang w:val="en-US" w:eastAsia="zh-CN"/>
        </w:rPr>
        <w:t>根据正常工况下，本项目有组织和无组织大气污染源中</w:t>
      </w:r>
      <w:r>
        <w:rPr>
          <w:rFonts w:hint="default" w:ascii="Times New Roman" w:hAnsi="Times New Roman" w:eastAsia="宋体" w:cs="Times New Roman"/>
          <w:color w:val="auto"/>
          <w:sz w:val="24"/>
          <w:szCs w:val="24"/>
          <w:highlight w:val="none"/>
          <w:u w:val="none" w:color="auto"/>
          <w:lang w:val="en-US" w:eastAsia="zh-CN"/>
        </w:rPr>
        <w:t>VOCs</w:t>
      </w:r>
      <w:r>
        <w:rPr>
          <w:rFonts w:hint="eastAsia" w:ascii="Times New Roman" w:hAnsi="Times New Roman" w:eastAsia="宋体" w:cs="Times New Roman"/>
          <w:color w:val="auto"/>
          <w:sz w:val="24"/>
          <w:szCs w:val="24"/>
          <w:highlight w:val="none"/>
          <w:u w:val="none" w:color="auto"/>
          <w:lang w:val="en-US" w:eastAsia="zh-CN"/>
        </w:rPr>
        <w:t>、甲醛、苯酚</w:t>
      </w:r>
      <w:r>
        <w:rPr>
          <w:rFonts w:hint="eastAsia"/>
          <w:color w:val="auto"/>
          <w:u w:val="none" w:color="auto"/>
          <w:lang w:val="en-US" w:eastAsia="zh-CN"/>
        </w:rPr>
        <w:t>的年排放量分别为4.502t/a、0.402t/a、0.672t/a，则本次评价预测评价范围内单位年份表层土壤中VOCs的输入量取4502000g、402000g、672000g。</w:t>
      </w:r>
    </w:p>
    <w:p w14:paraId="11238D40">
      <w:pPr>
        <w:pStyle w:val="21"/>
        <w:bidi w:val="0"/>
        <w:rPr>
          <w:rFonts w:hint="default"/>
          <w:color w:val="auto"/>
          <w:u w:val="none" w:color="auto"/>
          <w:lang w:val="en-US" w:eastAsia="zh-CN"/>
        </w:rPr>
      </w:pPr>
      <w:r>
        <w:rPr>
          <w:rFonts w:hint="default"/>
          <w:color w:val="auto"/>
          <w:u w:val="none" w:color="auto"/>
          <w:lang w:val="en-US" w:eastAsia="zh-CN"/>
        </w:rPr>
        <w:t>（3）预测方法</w:t>
      </w:r>
    </w:p>
    <w:p w14:paraId="16E87332">
      <w:pPr>
        <w:pStyle w:val="21"/>
        <w:bidi w:val="0"/>
        <w:rPr>
          <w:rFonts w:hint="default"/>
          <w:color w:val="auto"/>
          <w:u w:val="none" w:color="auto"/>
          <w:lang w:val="en-US" w:eastAsia="zh-CN"/>
        </w:rPr>
      </w:pPr>
      <w:r>
        <w:rPr>
          <w:rFonts w:hint="default"/>
          <w:color w:val="auto"/>
          <w:u w:val="none" w:color="auto"/>
          <w:lang w:val="en-US" w:eastAsia="zh-CN"/>
        </w:rPr>
        <w:fldChar w:fldCharType="begin"/>
      </w:r>
      <w:r>
        <w:rPr>
          <w:rFonts w:hint="default"/>
          <w:color w:val="auto"/>
          <w:u w:val="none" w:color="auto"/>
          <w:lang w:val="en-US" w:eastAsia="zh-CN"/>
        </w:rPr>
        <w:instrText xml:space="preserve"> = 1 \* GB3 \* MERGEFORMAT </w:instrText>
      </w:r>
      <w:r>
        <w:rPr>
          <w:rFonts w:hint="default"/>
          <w:color w:val="auto"/>
          <w:u w:val="none" w:color="auto"/>
          <w:lang w:val="en-US" w:eastAsia="zh-CN"/>
        </w:rPr>
        <w:fldChar w:fldCharType="separate"/>
      </w:r>
      <w:r>
        <w:rPr>
          <w:rFonts w:hint="default"/>
          <w:color w:val="auto"/>
          <w:u w:val="none" w:color="auto"/>
        </w:rPr>
        <w:t>①</w:t>
      </w:r>
      <w:r>
        <w:rPr>
          <w:rFonts w:hint="default"/>
          <w:color w:val="auto"/>
          <w:u w:val="none" w:color="auto"/>
          <w:lang w:val="en-US" w:eastAsia="zh-CN"/>
        </w:rPr>
        <w:fldChar w:fldCharType="end"/>
      </w:r>
      <w:r>
        <w:rPr>
          <w:rFonts w:hint="default"/>
          <w:color w:val="auto"/>
          <w:u w:val="none" w:color="auto"/>
          <w:lang w:val="en-US" w:eastAsia="zh-CN"/>
        </w:rPr>
        <w:t>根据</w:t>
      </w:r>
      <w:r>
        <w:rPr>
          <w:rFonts w:hint="default"/>
          <w:color w:val="auto"/>
          <w:u w:val="none" w:color="auto"/>
          <w:lang w:eastAsia="zh-CN"/>
        </w:rPr>
        <w:t>《环境影响评价技术导则</w:t>
      </w:r>
      <w:r>
        <w:rPr>
          <w:rFonts w:hint="default"/>
          <w:color w:val="auto"/>
          <w:u w:val="none" w:color="auto"/>
          <w:lang w:val="en-US" w:eastAsia="zh-CN"/>
        </w:rPr>
        <w:t xml:space="preserve">  </w:t>
      </w:r>
      <w:r>
        <w:rPr>
          <w:rFonts w:hint="default"/>
          <w:color w:val="auto"/>
          <w:u w:val="none" w:color="auto"/>
          <w:lang w:eastAsia="zh-CN"/>
        </w:rPr>
        <w:t>土壤环境（试行）》（HJ</w:t>
      </w:r>
      <w:r>
        <w:rPr>
          <w:rFonts w:hint="default"/>
          <w:color w:val="auto"/>
          <w:u w:val="none" w:color="auto"/>
          <w:lang w:val="en-US" w:eastAsia="zh-CN"/>
        </w:rPr>
        <w:t>964</w:t>
      </w:r>
      <w:r>
        <w:rPr>
          <w:rFonts w:hint="default"/>
          <w:color w:val="auto"/>
          <w:u w:val="none" w:color="auto"/>
          <w:lang w:eastAsia="zh-CN"/>
        </w:rPr>
        <w:t>-201</w:t>
      </w:r>
      <w:r>
        <w:rPr>
          <w:rFonts w:hint="default"/>
          <w:color w:val="auto"/>
          <w:u w:val="none" w:color="auto"/>
          <w:lang w:val="en-US" w:eastAsia="zh-CN"/>
        </w:rPr>
        <w:t>8</w:t>
      </w:r>
      <w:r>
        <w:rPr>
          <w:rFonts w:hint="default"/>
          <w:color w:val="auto"/>
          <w:u w:val="none" w:color="auto"/>
          <w:lang w:eastAsia="zh-CN"/>
        </w:rPr>
        <w:t>）中</w:t>
      </w:r>
      <w:r>
        <w:rPr>
          <w:rFonts w:hint="default"/>
          <w:color w:val="auto"/>
          <w:u w:val="none" w:color="auto"/>
          <w:lang w:val="en-US" w:eastAsia="zh-CN"/>
        </w:rPr>
        <w:t>E.1.3预测方法，单位质量土壤中某种物质的增量可用下式计算：</w:t>
      </w:r>
    </w:p>
    <w:p w14:paraId="61FF060F">
      <w:pPr>
        <w:pStyle w:val="21"/>
        <w:bidi w:val="0"/>
        <w:rPr>
          <w:rFonts w:hint="default"/>
          <w:color w:val="auto"/>
          <w:u w:val="none" w:color="auto"/>
          <w:lang w:val="en-US" w:eastAsia="zh-CN"/>
        </w:rPr>
      </w:pPr>
      <w:r>
        <w:rPr>
          <w:rFonts w:hint="default" w:ascii="Times New Roman" w:hAnsi="Times New Roman" w:eastAsia="宋体" w:cs="Times New Roman"/>
          <w:color w:val="auto"/>
          <w:position w:val="-12"/>
          <w:highlight w:val="none"/>
          <w:u w:val="none" w:color="auto"/>
          <w:lang w:val="en-US" w:eastAsia="zh-CN"/>
        </w:rPr>
        <w:object>
          <v:shape id="_x0000_i1042" o:spt="75" type="#_x0000_t75" style="height:29.3pt;width:259.5pt;" o:ole="t" filled="f" o:preferrelative="t" stroked="f" coordsize="21600,21600">
            <v:path/>
            <v:fill on="f" focussize="0,0"/>
            <v:stroke on="f"/>
            <v:imagedata r:id="rId40" o:title=""/>
            <o:lock v:ext="edit" aspectratio="t"/>
            <w10:wrap type="none"/>
            <w10:anchorlock/>
          </v:shape>
          <o:OLEObject Type="Embed" ProgID="Equation.KSEE3" ShapeID="_x0000_i1042" DrawAspect="Content" ObjectID="_1468075732" r:id="rId39">
            <o:LockedField>false</o:LockedField>
          </o:OLEObject>
        </w:object>
      </w:r>
    </w:p>
    <w:p w14:paraId="3F27AC74">
      <w:pPr>
        <w:pStyle w:val="21"/>
        <w:bidi w:val="0"/>
        <w:rPr>
          <w:rFonts w:hint="default"/>
          <w:color w:val="auto"/>
          <w:u w:val="none" w:color="auto"/>
          <w:lang w:val="en-US" w:eastAsia="zh-CN"/>
        </w:rPr>
      </w:pPr>
      <w:r>
        <w:rPr>
          <w:rFonts w:hint="default"/>
          <w:color w:val="auto"/>
          <w:u w:val="none" w:color="auto"/>
          <w:lang w:val="en-US" w:eastAsia="zh-CN"/>
        </w:rPr>
        <w:t>式中：</w:t>
      </w:r>
      <w:r>
        <w:rPr>
          <w:rFonts w:hint="default"/>
          <w:color w:val="auto"/>
          <w:u w:val="none" w:color="auto"/>
        </w:rPr>
        <w:drawing>
          <wp:inline distT="0" distB="0" distL="114300" distR="114300">
            <wp:extent cx="133350" cy="161925"/>
            <wp:effectExtent l="0" t="0" r="0" b="762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1"/>
                    <a:stretch>
                      <a:fillRect/>
                    </a:stretch>
                  </pic:blipFill>
                  <pic:spPr>
                    <a:xfrm>
                      <a:off x="0" y="0"/>
                      <a:ext cx="133350" cy="161925"/>
                    </a:xfrm>
                    <a:prstGeom prst="rect">
                      <a:avLst/>
                    </a:prstGeom>
                    <a:noFill/>
                    <a:ln>
                      <a:noFill/>
                    </a:ln>
                  </pic:spPr>
                </pic:pic>
              </a:graphicData>
            </a:graphic>
          </wp:inline>
        </w:drawing>
      </w:r>
      <w:r>
        <w:rPr>
          <w:rFonts w:hint="default"/>
          <w:color w:val="auto"/>
          <w:u w:val="none" w:color="auto"/>
          <w:lang w:val="en-US" w:eastAsia="zh-CN"/>
        </w:rPr>
        <w:t>S——单位质量表层土壤中某种物质的增量，g/kg；</w:t>
      </w:r>
    </w:p>
    <w:p w14:paraId="506B3F51">
      <w:pPr>
        <w:pStyle w:val="21"/>
        <w:bidi w:val="0"/>
        <w:rPr>
          <w:rFonts w:hint="default"/>
          <w:color w:val="auto"/>
          <w:u w:val="none" w:color="auto"/>
          <w:lang w:val="en-US" w:eastAsia="zh-CN"/>
        </w:rPr>
      </w:pPr>
      <w:r>
        <w:rPr>
          <w:rFonts w:hint="default"/>
          <w:color w:val="auto"/>
          <w:u w:val="none" w:color="auto"/>
          <w:lang w:val="en-US" w:eastAsia="zh-CN"/>
        </w:rPr>
        <w:t>Is——预测评价范围内单位年份表层土壤中某种物质的输入量，g；</w:t>
      </w:r>
    </w:p>
    <w:p w14:paraId="1542C934">
      <w:pPr>
        <w:pStyle w:val="21"/>
        <w:bidi w:val="0"/>
        <w:rPr>
          <w:rFonts w:hint="default"/>
          <w:color w:val="auto"/>
          <w:u w:val="none" w:color="auto"/>
          <w:lang w:val="en-US" w:eastAsia="zh-CN"/>
        </w:rPr>
      </w:pPr>
      <w:r>
        <w:rPr>
          <w:rFonts w:hint="default"/>
          <w:color w:val="auto"/>
          <w:u w:val="none" w:color="auto"/>
          <w:lang w:val="en-US" w:eastAsia="zh-CN"/>
        </w:rPr>
        <w:t>Ls——预测评价范围内单位年份表层土壤中某种物质经淋溶排出的量，g；</w:t>
      </w:r>
    </w:p>
    <w:p w14:paraId="01C6CEA7">
      <w:pPr>
        <w:pStyle w:val="21"/>
        <w:bidi w:val="0"/>
        <w:rPr>
          <w:rFonts w:hint="default"/>
          <w:color w:val="auto"/>
          <w:u w:val="none" w:color="auto"/>
          <w:lang w:val="en-US" w:eastAsia="zh-CN"/>
        </w:rPr>
      </w:pPr>
      <w:r>
        <w:rPr>
          <w:rFonts w:hint="default"/>
          <w:color w:val="auto"/>
          <w:u w:val="none" w:color="auto"/>
          <w:lang w:val="en-US" w:eastAsia="zh-CN"/>
        </w:rPr>
        <w:t>Rs——预测评价范围内单位年份表层土壤中某种物质经径流排出的量，g；</w:t>
      </w:r>
    </w:p>
    <w:p w14:paraId="4CB2357E">
      <w:pPr>
        <w:pStyle w:val="21"/>
        <w:bidi w:val="0"/>
        <w:rPr>
          <w:rFonts w:hint="default"/>
          <w:color w:val="auto"/>
          <w:u w:val="none" w:color="auto"/>
          <w:lang w:val="en-US" w:eastAsia="zh-CN"/>
        </w:rPr>
      </w:pPr>
      <w:r>
        <w:rPr>
          <w:rFonts w:hint="default"/>
          <w:color w:val="auto"/>
          <w:u w:val="none" w:color="auto"/>
          <w:lang w:val="en-US" w:eastAsia="zh-CN"/>
        </w:rPr>
        <w:t>ρb——表层土壤容重，kg/m</w:t>
      </w:r>
      <w:r>
        <w:rPr>
          <w:rFonts w:hint="default"/>
          <w:color w:val="auto"/>
          <w:u w:val="none" w:color="auto"/>
          <w:vertAlign w:val="superscript"/>
          <w:lang w:val="en-US" w:eastAsia="zh-CN"/>
        </w:rPr>
        <w:t>3</w:t>
      </w:r>
      <w:r>
        <w:rPr>
          <w:rFonts w:hint="default"/>
          <w:color w:val="auto"/>
          <w:u w:val="none" w:color="auto"/>
          <w:lang w:val="en-US" w:eastAsia="zh-CN"/>
        </w:rPr>
        <w:t>；</w:t>
      </w:r>
    </w:p>
    <w:p w14:paraId="1D436EF9">
      <w:pPr>
        <w:pStyle w:val="21"/>
        <w:bidi w:val="0"/>
        <w:rPr>
          <w:rFonts w:hint="default"/>
          <w:color w:val="auto"/>
          <w:u w:val="none" w:color="auto"/>
          <w:lang w:val="en-US" w:eastAsia="zh-CN"/>
        </w:rPr>
      </w:pPr>
      <w:r>
        <w:rPr>
          <w:rFonts w:hint="default"/>
          <w:color w:val="auto"/>
          <w:u w:val="none" w:color="auto"/>
          <w:lang w:val="en-US" w:eastAsia="zh-CN"/>
        </w:rPr>
        <w:t>A——预测评价范围，m</w:t>
      </w:r>
      <w:r>
        <w:rPr>
          <w:rFonts w:hint="default"/>
          <w:color w:val="auto"/>
          <w:u w:val="none" w:color="auto"/>
          <w:vertAlign w:val="superscript"/>
          <w:lang w:val="en-US" w:eastAsia="zh-CN"/>
        </w:rPr>
        <w:t>2</w:t>
      </w:r>
      <w:r>
        <w:rPr>
          <w:rFonts w:hint="default"/>
          <w:color w:val="auto"/>
          <w:u w:val="none" w:color="auto"/>
          <w:lang w:val="en-US" w:eastAsia="zh-CN"/>
        </w:rPr>
        <w:t>；</w:t>
      </w:r>
    </w:p>
    <w:p w14:paraId="59879B3F">
      <w:pPr>
        <w:pStyle w:val="21"/>
        <w:bidi w:val="0"/>
        <w:rPr>
          <w:rFonts w:hint="default"/>
          <w:color w:val="auto"/>
          <w:u w:val="none" w:color="auto"/>
          <w:lang w:val="en-US" w:eastAsia="zh-CN"/>
        </w:rPr>
      </w:pPr>
      <w:r>
        <w:rPr>
          <w:rFonts w:hint="default"/>
          <w:color w:val="auto"/>
          <w:u w:val="none" w:color="auto"/>
          <w:lang w:val="en-US" w:eastAsia="zh-CN"/>
        </w:rPr>
        <w:t>D——表层土壤深度，一般取0.2m，可根据实际情况适当调整；</w:t>
      </w:r>
    </w:p>
    <w:p w14:paraId="05E5B08B">
      <w:pPr>
        <w:pStyle w:val="21"/>
        <w:bidi w:val="0"/>
        <w:rPr>
          <w:rFonts w:hint="default"/>
          <w:color w:val="auto"/>
          <w:u w:val="none" w:color="auto"/>
          <w:lang w:val="en-US" w:eastAsia="zh-CN"/>
        </w:rPr>
      </w:pPr>
      <w:r>
        <w:rPr>
          <w:rFonts w:hint="default"/>
          <w:color w:val="auto"/>
          <w:u w:val="none" w:color="auto"/>
          <w:lang w:val="en-US" w:eastAsia="zh-CN"/>
        </w:rPr>
        <w:t>n——持续年份，a。</w:t>
      </w:r>
    </w:p>
    <w:p w14:paraId="6B1E93CC">
      <w:pPr>
        <w:pStyle w:val="21"/>
        <w:bidi w:val="0"/>
        <w:rPr>
          <w:rFonts w:hint="eastAsia"/>
          <w:color w:val="auto"/>
          <w:u w:val="none" w:color="auto"/>
          <w:lang w:val="en-US" w:eastAsia="zh-CN"/>
        </w:rPr>
      </w:pPr>
      <w:r>
        <w:rPr>
          <w:rFonts w:hint="eastAsia"/>
          <w:color w:val="auto"/>
          <w:u w:val="none" w:color="auto"/>
          <w:lang w:val="en-US" w:eastAsia="zh-CN"/>
        </w:rPr>
        <w:t>根据土壤导则，涉及大气沉降影响，可不考虑输出量，因此，上述公式可简化为如下公式：</w:t>
      </w:r>
    </w:p>
    <w:p w14:paraId="185CE8A1">
      <w:pPr>
        <w:pStyle w:val="21"/>
        <w:bidi w:val="0"/>
        <w:rPr>
          <w:rFonts w:hint="default"/>
          <w:color w:val="auto"/>
          <w:u w:val="none" w:color="auto"/>
          <w:lang w:val="en-US" w:eastAsia="zh-CN"/>
        </w:rPr>
      </w:pPr>
      <w:r>
        <w:rPr>
          <w:rFonts w:hint="eastAsia" w:eastAsia="宋体"/>
          <w:color w:val="auto"/>
          <w:position w:val="-12"/>
          <w:highlight w:val="none"/>
          <w:u w:val="none" w:color="auto"/>
          <w:lang w:val="en-US" w:eastAsia="zh-CN"/>
        </w:rPr>
        <w:object>
          <v:shape id="_x0000_i1044" o:spt="75" type="#_x0000_t75" style="height:29.55pt;width:176.1pt;" o:ole="t" filled="f" o:preferrelative="t" stroked="f" coordsize="21600,21600">
            <v:path/>
            <v:fill on="f" focussize="0,0"/>
            <v:stroke on="f"/>
            <v:imagedata r:id="rId43" o:title=""/>
            <o:lock v:ext="edit" aspectratio="t"/>
            <w10:wrap type="none"/>
            <w10:anchorlock/>
          </v:shape>
          <o:OLEObject Type="Embed" ProgID="Equation.KSEE3" ShapeID="_x0000_i1044" DrawAspect="Content" ObjectID="_1468075733" r:id="rId42">
            <o:LockedField>false</o:LockedField>
          </o:OLEObject>
        </w:object>
      </w:r>
    </w:p>
    <w:p w14:paraId="0535B612">
      <w:pPr>
        <w:pStyle w:val="21"/>
        <w:bidi w:val="0"/>
        <w:rPr>
          <w:rFonts w:hint="eastAsia"/>
          <w:color w:val="auto"/>
          <w:u w:val="none" w:color="auto"/>
          <w:lang w:val="en-US" w:eastAsia="zh-CN"/>
        </w:rPr>
      </w:pPr>
      <w:r>
        <w:rPr>
          <w:rFonts w:hint="eastAsia"/>
          <w:color w:val="auto"/>
          <w:u w:val="none" w:color="auto"/>
          <w:lang w:val="en-US" w:eastAsia="zh-CN"/>
        </w:rPr>
        <w:fldChar w:fldCharType="begin"/>
      </w:r>
      <w:r>
        <w:rPr>
          <w:rFonts w:hint="eastAsia"/>
          <w:color w:val="auto"/>
          <w:u w:val="none" w:color="auto"/>
          <w:lang w:val="en-US" w:eastAsia="zh-CN"/>
        </w:rPr>
        <w:instrText xml:space="preserve"> = 2 \* GB3 \* MERGEFORMAT </w:instrText>
      </w:r>
      <w:r>
        <w:rPr>
          <w:rFonts w:hint="eastAsia"/>
          <w:color w:val="auto"/>
          <w:u w:val="none" w:color="auto"/>
          <w:lang w:val="en-US" w:eastAsia="zh-CN"/>
        </w:rPr>
        <w:fldChar w:fldCharType="separate"/>
      </w:r>
      <w:r>
        <w:rPr>
          <w:color w:val="auto"/>
          <w:u w:val="none" w:color="auto"/>
        </w:rPr>
        <w:t>②</w:t>
      </w:r>
      <w:r>
        <w:rPr>
          <w:rFonts w:hint="eastAsia"/>
          <w:color w:val="auto"/>
          <w:u w:val="none" w:color="auto"/>
          <w:lang w:val="en-US" w:eastAsia="zh-CN"/>
        </w:rPr>
        <w:fldChar w:fldCharType="end"/>
      </w:r>
      <w:r>
        <w:rPr>
          <w:rFonts w:hint="eastAsia"/>
          <w:color w:val="auto"/>
          <w:u w:val="none" w:color="auto"/>
          <w:lang w:val="en-US" w:eastAsia="zh-CN"/>
        </w:rPr>
        <w:t>单位质量土壤中某种物质的预测值可根据其增量叠加现状值进行计算：</w:t>
      </w:r>
    </w:p>
    <w:p w14:paraId="45686FA1">
      <w:pPr>
        <w:pStyle w:val="21"/>
        <w:bidi w:val="0"/>
        <w:rPr>
          <w:rFonts w:hint="eastAsia"/>
          <w:color w:val="auto"/>
          <w:u w:val="none" w:color="auto"/>
          <w:lang w:val="en-US" w:eastAsia="zh-CN"/>
        </w:rPr>
      </w:pPr>
      <w:r>
        <w:rPr>
          <w:rFonts w:hint="eastAsia" w:eastAsia="宋体"/>
          <w:color w:val="auto"/>
          <w:position w:val="-12"/>
          <w:highlight w:val="none"/>
          <w:u w:val="none" w:color="auto"/>
          <w:lang w:val="en-US" w:eastAsia="zh-CN"/>
        </w:rPr>
        <w:object>
          <v:shape id="_x0000_i1045" o:spt="75" type="#_x0000_t75" style="height:30pt;width:99.95pt;" o:ole="t" filled="f" o:preferrelative="t" stroked="f" coordsize="21600,21600">
            <v:path/>
            <v:fill on="f" focussize="0,0"/>
            <v:stroke on="f"/>
            <v:imagedata r:id="rId45" o:title=""/>
            <o:lock v:ext="edit" aspectratio="t"/>
            <w10:wrap type="none"/>
            <w10:anchorlock/>
          </v:shape>
          <o:OLEObject Type="Embed" ProgID="Equation.KSEE3" ShapeID="_x0000_i1045" DrawAspect="Content" ObjectID="_1468075734" r:id="rId44">
            <o:LockedField>false</o:LockedField>
          </o:OLEObject>
        </w:object>
      </w:r>
    </w:p>
    <w:p w14:paraId="42D02840">
      <w:pPr>
        <w:pStyle w:val="21"/>
        <w:bidi w:val="0"/>
        <w:rPr>
          <w:rFonts w:hint="eastAsia"/>
          <w:color w:val="auto"/>
          <w:u w:val="none" w:color="auto"/>
          <w:lang w:val="en-US" w:eastAsia="zh-CN"/>
        </w:rPr>
      </w:pPr>
      <w:r>
        <w:rPr>
          <w:rFonts w:hint="eastAsia"/>
          <w:color w:val="auto"/>
          <w:u w:val="none" w:color="auto"/>
          <w:lang w:val="en-US" w:eastAsia="zh-CN"/>
        </w:rPr>
        <w:t>上式中：Sb——单位质量表层土壤中某种物质的现状值，g/kg；</w:t>
      </w:r>
    </w:p>
    <w:p w14:paraId="45789F2D">
      <w:pPr>
        <w:pStyle w:val="21"/>
        <w:bidi w:val="0"/>
        <w:rPr>
          <w:rFonts w:hint="eastAsia"/>
          <w:color w:val="auto"/>
          <w:u w:val="none" w:color="auto"/>
          <w:lang w:val="en-US" w:eastAsia="zh-CN"/>
        </w:rPr>
      </w:pPr>
      <w:r>
        <w:rPr>
          <w:rFonts w:hint="eastAsia"/>
          <w:color w:val="auto"/>
          <w:u w:val="none" w:color="auto"/>
          <w:lang w:val="en-US" w:eastAsia="zh-CN"/>
        </w:rPr>
        <w:t xml:space="preserve">        S——单位质量表层土壤中某种物质的预测值，g/kg。</w:t>
      </w:r>
    </w:p>
    <w:p w14:paraId="0E035F2A">
      <w:pPr>
        <w:pStyle w:val="21"/>
        <w:bidi w:val="0"/>
        <w:rPr>
          <w:rFonts w:hint="default"/>
          <w:color w:val="auto"/>
          <w:u w:val="none" w:color="auto"/>
          <w:lang w:val="en-US" w:eastAsia="zh-CN"/>
        </w:rPr>
      </w:pPr>
      <w:r>
        <w:rPr>
          <w:rFonts w:hint="eastAsia"/>
          <w:color w:val="auto"/>
          <w:u w:val="none" w:color="auto"/>
          <w:lang w:val="en-US" w:eastAsia="zh-CN"/>
        </w:rPr>
        <w:t>（</w:t>
      </w:r>
      <w:r>
        <w:rPr>
          <w:rFonts w:hint="default"/>
          <w:color w:val="auto"/>
          <w:u w:val="none" w:color="auto"/>
          <w:lang w:val="en-US" w:eastAsia="zh-CN"/>
        </w:rPr>
        <w:t>4）预测结果</w:t>
      </w:r>
    </w:p>
    <w:p w14:paraId="343B6876">
      <w:pPr>
        <w:pStyle w:val="21"/>
        <w:bidi w:val="0"/>
        <w:rPr>
          <w:rFonts w:hint="default"/>
          <w:color w:val="auto"/>
          <w:u w:val="none" w:color="auto"/>
          <w:lang w:val="en-US" w:eastAsia="zh-CN"/>
        </w:rPr>
      </w:pPr>
      <w:r>
        <w:rPr>
          <w:rFonts w:hint="default"/>
          <w:color w:val="auto"/>
          <w:u w:val="none" w:color="auto"/>
          <w:lang w:val="en-US" w:eastAsia="zh-CN"/>
        </w:rPr>
        <w:t>本项目土壤环境影响预测评价范围为</w:t>
      </w:r>
      <w:r>
        <w:rPr>
          <w:rFonts w:hint="eastAsia"/>
          <w:color w:val="auto"/>
          <w:u w:val="none" w:color="auto"/>
          <w:lang w:val="en-US" w:eastAsia="zh-CN"/>
        </w:rPr>
        <w:t>0.188</w:t>
      </w:r>
      <w:r>
        <w:rPr>
          <w:rFonts w:hint="default"/>
          <w:color w:val="auto"/>
          <w:u w:val="none" w:color="auto"/>
          <w:lang w:val="en-US" w:eastAsia="zh-CN"/>
        </w:rPr>
        <w:t>km</w:t>
      </w:r>
      <w:r>
        <w:rPr>
          <w:rFonts w:hint="default"/>
          <w:color w:val="auto"/>
          <w:u w:val="none" w:color="auto"/>
          <w:vertAlign w:val="superscript"/>
          <w:lang w:val="en-US" w:eastAsia="zh-CN"/>
        </w:rPr>
        <w:t>2</w:t>
      </w:r>
      <w:r>
        <w:rPr>
          <w:rFonts w:hint="default"/>
          <w:color w:val="auto"/>
          <w:u w:val="none" w:color="auto"/>
          <w:lang w:val="en-US" w:eastAsia="zh-CN"/>
        </w:rPr>
        <w:t>（即现状调查评价范围，含厂区内），根据大气污染物扩散情况，假设</w:t>
      </w:r>
      <w:r>
        <w:rPr>
          <w:rFonts w:hint="default" w:ascii="Times New Roman" w:hAnsi="Times New Roman" w:eastAsia="宋体" w:cs="Times New Roman"/>
          <w:color w:val="auto"/>
          <w:sz w:val="24"/>
          <w:szCs w:val="24"/>
          <w:highlight w:val="none"/>
          <w:u w:val="none" w:color="auto"/>
          <w:lang w:val="en-US" w:eastAsia="zh-CN"/>
        </w:rPr>
        <w:t>VOCs</w:t>
      </w:r>
      <w:r>
        <w:rPr>
          <w:rFonts w:hint="eastAsia" w:ascii="Times New Roman" w:hAnsi="Times New Roman" w:eastAsia="宋体" w:cs="Times New Roman"/>
          <w:color w:val="auto"/>
          <w:sz w:val="24"/>
          <w:szCs w:val="24"/>
          <w:highlight w:val="none"/>
          <w:u w:val="none" w:color="auto"/>
          <w:lang w:val="en-US" w:eastAsia="zh-CN"/>
        </w:rPr>
        <w:t>、甲醛、苯酚</w:t>
      </w:r>
      <w:r>
        <w:rPr>
          <w:rFonts w:hint="default"/>
          <w:color w:val="auto"/>
          <w:u w:val="none" w:color="auto"/>
          <w:lang w:val="en-US" w:eastAsia="zh-CN"/>
        </w:rPr>
        <w:t>全部沉降至某一地块，设置不同的地块面积情形（分别占本项目预测评价范围的5%、10%、20%、35%、55%和100%）和不同持续年丰（分别为5、10、30年）的情形进行土壤增量预测，其预测情形参数设置详见表</w:t>
      </w:r>
      <w:r>
        <w:rPr>
          <w:rFonts w:hint="eastAsia"/>
          <w:color w:val="auto"/>
          <w:u w:val="none" w:color="auto"/>
          <w:lang w:val="en-US" w:eastAsia="zh-CN"/>
        </w:rPr>
        <w:t>5.2-21</w:t>
      </w:r>
      <w:r>
        <w:rPr>
          <w:rFonts w:hint="default"/>
          <w:color w:val="auto"/>
          <w:u w:val="none" w:color="auto"/>
          <w:lang w:val="en-US" w:eastAsia="zh-CN"/>
        </w:rPr>
        <w:t>。</w:t>
      </w:r>
    </w:p>
    <w:p w14:paraId="4F3C955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14:paraId="3F9C275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14:paraId="0805C98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14:paraId="3AF30BA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p>
    <w:p w14:paraId="32F52F7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sectPr>
          <w:pgSz w:w="11906" w:h="16838"/>
          <w:pgMar w:top="1587" w:right="1587" w:bottom="1440" w:left="1814"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66E092D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w:t>
      </w:r>
      <w:r>
        <w:rPr>
          <w:rFonts w:hint="eastAsia" w:ascii="Times New Roman" w:hAnsi="Times New Roman" w:eastAsia="宋体" w:cs="Times New Roman"/>
          <w:b/>
          <w:bCs/>
          <w:color w:val="auto"/>
          <w:sz w:val="21"/>
          <w:szCs w:val="21"/>
          <w:highlight w:val="none"/>
          <w:u w:val="none" w:color="auto"/>
          <w:lang w:val="en-US" w:eastAsia="zh-CN"/>
        </w:rPr>
        <w:t>5.2-21</w:t>
      </w:r>
      <w:r>
        <w:rPr>
          <w:rFonts w:hint="default" w:ascii="Times New Roman" w:hAnsi="Times New Roman" w:eastAsia="宋体" w:cs="Times New Roman"/>
          <w:b/>
          <w:bCs/>
          <w:color w:val="auto"/>
          <w:sz w:val="21"/>
          <w:szCs w:val="21"/>
          <w:highlight w:val="none"/>
          <w:u w:val="none" w:color="auto"/>
          <w:lang w:val="en-US" w:eastAsia="zh-CN"/>
        </w:rPr>
        <w:t xml:space="preserve">   预测参数设置及结果</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08"/>
        <w:gridCol w:w="738"/>
        <w:gridCol w:w="884"/>
        <w:gridCol w:w="694"/>
        <w:gridCol w:w="664"/>
        <w:gridCol w:w="810"/>
        <w:gridCol w:w="1380"/>
        <w:gridCol w:w="1339"/>
        <w:gridCol w:w="797"/>
      </w:tblGrid>
      <w:tr w14:paraId="62FA7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08" w:type="dxa"/>
            <w:tcBorders>
              <w:tl2br w:val="nil"/>
              <w:tr2bl w:val="nil"/>
            </w:tcBorders>
            <w:noWrap w:val="0"/>
            <w:vAlign w:val="center"/>
          </w:tcPr>
          <w:p w14:paraId="2160EC9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污染物</w:t>
            </w:r>
          </w:p>
        </w:tc>
        <w:tc>
          <w:tcPr>
            <w:tcW w:w="608" w:type="dxa"/>
            <w:tcBorders>
              <w:tl2br w:val="nil"/>
              <w:tr2bl w:val="nil"/>
            </w:tcBorders>
            <w:noWrap w:val="0"/>
            <w:vAlign w:val="center"/>
          </w:tcPr>
          <w:p w14:paraId="628D568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n</w:t>
            </w:r>
          </w:p>
          <w:p w14:paraId="32F23FD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(年)</w:t>
            </w:r>
          </w:p>
        </w:tc>
        <w:tc>
          <w:tcPr>
            <w:tcW w:w="738" w:type="dxa"/>
            <w:tcBorders>
              <w:tl2br w:val="nil"/>
              <w:tr2bl w:val="nil"/>
            </w:tcBorders>
            <w:noWrap w:val="0"/>
            <w:vAlign w:val="center"/>
          </w:tcPr>
          <w:p w14:paraId="47A1561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ρ</w:t>
            </w:r>
            <w:r>
              <w:rPr>
                <w:rFonts w:hint="default" w:ascii="Times New Roman" w:hAnsi="Times New Roman" w:eastAsia="宋体" w:cs="Times New Roman"/>
                <w:color w:val="auto"/>
                <w:sz w:val="21"/>
                <w:szCs w:val="21"/>
                <w:highlight w:val="none"/>
                <w:u w:val="none" w:color="auto"/>
                <w:vertAlign w:val="subscript"/>
                <w:lang w:val="en-US" w:eastAsia="zh-CN"/>
              </w:rPr>
              <w:t>b</w:t>
            </w:r>
          </w:p>
          <w:p w14:paraId="7A0D3CF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kg/m</w:t>
            </w:r>
            <w:r>
              <w:rPr>
                <w:rFonts w:hint="default" w:ascii="Times New Roman" w:hAnsi="Times New Roman" w:eastAsia="宋体" w:cs="Times New Roman"/>
                <w:color w:val="auto"/>
                <w:sz w:val="21"/>
                <w:szCs w:val="21"/>
                <w:highlight w:val="none"/>
                <w:u w:val="none" w:color="auto"/>
                <w:vertAlign w:val="superscript"/>
                <w:lang w:val="en-US" w:eastAsia="zh-CN"/>
              </w:rPr>
              <w:t>3</w:t>
            </w:r>
          </w:p>
        </w:tc>
        <w:tc>
          <w:tcPr>
            <w:tcW w:w="884" w:type="dxa"/>
            <w:tcBorders>
              <w:tl2br w:val="nil"/>
              <w:tr2bl w:val="nil"/>
            </w:tcBorders>
            <w:noWrap w:val="0"/>
            <w:vAlign w:val="center"/>
          </w:tcPr>
          <w:p w14:paraId="7D724FB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A</w:t>
            </w:r>
          </w:p>
          <w:p w14:paraId="14B240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w:t>
            </w:r>
            <w:r>
              <w:rPr>
                <w:rFonts w:hint="default" w:ascii="Times New Roman" w:hAnsi="Times New Roman" w:eastAsia="宋体" w:cs="Times New Roman"/>
                <w:color w:val="auto"/>
                <w:sz w:val="21"/>
                <w:szCs w:val="21"/>
                <w:highlight w:val="none"/>
                <w:u w:val="none" w:color="auto"/>
                <w:vertAlign w:val="superscript"/>
                <w:lang w:val="en-US" w:eastAsia="zh-CN"/>
              </w:rPr>
              <w:t>2</w:t>
            </w: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694" w:type="dxa"/>
            <w:tcBorders>
              <w:tl2br w:val="nil"/>
              <w:tr2bl w:val="nil"/>
            </w:tcBorders>
            <w:noWrap w:val="0"/>
            <w:vAlign w:val="center"/>
          </w:tcPr>
          <w:p w14:paraId="4BD4681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D</w:t>
            </w:r>
          </w:p>
          <w:p w14:paraId="10848D8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w:t>
            </w:r>
          </w:p>
        </w:tc>
        <w:tc>
          <w:tcPr>
            <w:tcW w:w="664" w:type="dxa"/>
            <w:tcBorders>
              <w:tl2br w:val="nil"/>
              <w:tr2bl w:val="nil"/>
            </w:tcBorders>
            <w:noWrap w:val="0"/>
            <w:vAlign w:val="center"/>
          </w:tcPr>
          <w:p w14:paraId="236DC3C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Is（g）</w:t>
            </w:r>
          </w:p>
        </w:tc>
        <w:tc>
          <w:tcPr>
            <w:tcW w:w="810" w:type="dxa"/>
            <w:tcBorders>
              <w:tl2br w:val="nil"/>
              <w:tr2bl w:val="nil"/>
            </w:tcBorders>
            <w:noWrap w:val="0"/>
            <w:vAlign w:val="center"/>
          </w:tcPr>
          <w:p w14:paraId="7C9FBB2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背景值mg/kg</w:t>
            </w:r>
          </w:p>
        </w:tc>
        <w:tc>
          <w:tcPr>
            <w:tcW w:w="1380" w:type="dxa"/>
            <w:tcBorders>
              <w:tl2br w:val="nil"/>
              <w:tr2bl w:val="nil"/>
            </w:tcBorders>
            <w:noWrap w:val="0"/>
            <w:vAlign w:val="center"/>
          </w:tcPr>
          <w:p w14:paraId="325EF10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drawing>
                <wp:inline distT="0" distB="0" distL="114300" distR="114300">
                  <wp:extent cx="133350" cy="161925"/>
                  <wp:effectExtent l="0" t="0" r="0"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1"/>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cs="Times New Roman"/>
                <w:color w:val="auto"/>
                <w:sz w:val="21"/>
                <w:szCs w:val="21"/>
                <w:highlight w:val="none"/>
                <w:u w:val="none" w:color="auto"/>
                <w:lang w:val="en-US" w:eastAsia="zh-CN"/>
              </w:rPr>
              <w:t>S</w:t>
            </w:r>
          </w:p>
          <w:p w14:paraId="31CBCB0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（mg/kg）</w:t>
            </w:r>
          </w:p>
        </w:tc>
        <w:tc>
          <w:tcPr>
            <w:tcW w:w="1339" w:type="dxa"/>
            <w:tcBorders>
              <w:tl2br w:val="nil"/>
              <w:tr2bl w:val="nil"/>
            </w:tcBorders>
            <w:noWrap w:val="0"/>
            <w:vAlign w:val="center"/>
          </w:tcPr>
          <w:p w14:paraId="523124A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预测值</w:t>
            </w:r>
          </w:p>
          <w:p w14:paraId="74B8A77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（mg/kg）</w:t>
            </w:r>
          </w:p>
        </w:tc>
        <w:tc>
          <w:tcPr>
            <w:tcW w:w="797" w:type="dxa"/>
            <w:tcBorders>
              <w:tl2br w:val="nil"/>
              <w:tr2bl w:val="nil"/>
            </w:tcBorders>
            <w:noWrap w:val="0"/>
            <w:vAlign w:val="center"/>
          </w:tcPr>
          <w:p w14:paraId="67C88AC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筛选值</w:t>
            </w:r>
          </w:p>
          <w:p w14:paraId="4296044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mg/kg</w:t>
            </w:r>
          </w:p>
        </w:tc>
      </w:tr>
      <w:tr w14:paraId="21211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00756FE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VOCs</w:t>
            </w:r>
          </w:p>
        </w:tc>
        <w:tc>
          <w:tcPr>
            <w:tcW w:w="608" w:type="dxa"/>
            <w:vMerge w:val="restart"/>
            <w:tcBorders>
              <w:tl2br w:val="nil"/>
              <w:tr2bl w:val="nil"/>
            </w:tcBorders>
            <w:noWrap w:val="0"/>
            <w:vAlign w:val="center"/>
          </w:tcPr>
          <w:p w14:paraId="03E365F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w:t>
            </w:r>
          </w:p>
        </w:tc>
        <w:tc>
          <w:tcPr>
            <w:tcW w:w="738" w:type="dxa"/>
            <w:vMerge w:val="restart"/>
            <w:tcBorders>
              <w:tl2br w:val="nil"/>
              <w:tr2bl w:val="nil"/>
            </w:tcBorders>
            <w:noWrap w:val="0"/>
            <w:vAlign w:val="center"/>
          </w:tcPr>
          <w:p w14:paraId="2E51E17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950</w:t>
            </w:r>
          </w:p>
        </w:tc>
        <w:tc>
          <w:tcPr>
            <w:tcW w:w="884" w:type="dxa"/>
            <w:tcBorders>
              <w:tl2br w:val="nil"/>
              <w:tr2bl w:val="nil"/>
            </w:tcBorders>
            <w:noWrap w:val="0"/>
            <w:vAlign w:val="center"/>
          </w:tcPr>
          <w:p w14:paraId="24FFA2D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restart"/>
            <w:tcBorders>
              <w:tl2br w:val="nil"/>
              <w:tr2bl w:val="nil"/>
            </w:tcBorders>
            <w:noWrap w:val="0"/>
            <w:vAlign w:val="center"/>
          </w:tcPr>
          <w:p w14:paraId="19A5BB3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0.2</w:t>
            </w:r>
          </w:p>
        </w:tc>
        <w:tc>
          <w:tcPr>
            <w:tcW w:w="664" w:type="dxa"/>
            <w:vMerge w:val="restart"/>
            <w:tcBorders>
              <w:tl2br w:val="nil"/>
              <w:tr2bl w:val="nil"/>
            </w:tcBorders>
            <w:noWrap w:val="0"/>
            <w:vAlign w:val="center"/>
          </w:tcPr>
          <w:p w14:paraId="10C91F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4502000</w:t>
            </w:r>
          </w:p>
        </w:tc>
        <w:tc>
          <w:tcPr>
            <w:tcW w:w="810" w:type="dxa"/>
            <w:vMerge w:val="restart"/>
            <w:tcBorders>
              <w:tl2br w:val="nil"/>
              <w:tr2bl w:val="nil"/>
            </w:tcBorders>
            <w:noWrap w:val="0"/>
            <w:vAlign w:val="center"/>
          </w:tcPr>
          <w:p w14:paraId="29DFFC1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4D085E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12.57815949</w:t>
            </w:r>
          </w:p>
        </w:tc>
        <w:tc>
          <w:tcPr>
            <w:tcW w:w="1339" w:type="dxa"/>
            <w:tcBorders>
              <w:tl2br w:val="nil"/>
              <w:tr2bl w:val="nil"/>
            </w:tcBorders>
            <w:noWrap w:val="0"/>
            <w:vAlign w:val="center"/>
          </w:tcPr>
          <w:p w14:paraId="7473DE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12.57815949</w:t>
            </w:r>
          </w:p>
        </w:tc>
        <w:tc>
          <w:tcPr>
            <w:tcW w:w="797" w:type="dxa"/>
            <w:vMerge w:val="restart"/>
            <w:tcBorders>
              <w:tl2br w:val="nil"/>
              <w:tr2bl w:val="nil"/>
            </w:tcBorders>
            <w:noWrap w:val="0"/>
            <w:vAlign w:val="center"/>
          </w:tcPr>
          <w:p w14:paraId="59B3DA9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t>/</w:t>
            </w:r>
          </w:p>
        </w:tc>
      </w:tr>
      <w:tr w14:paraId="5FA3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2D09C07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0FFA81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EF70FD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033A37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65D134F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B06CD3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4ECF487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9BF12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6.289079744</w:t>
            </w:r>
          </w:p>
        </w:tc>
        <w:tc>
          <w:tcPr>
            <w:tcW w:w="1339" w:type="dxa"/>
            <w:tcBorders>
              <w:tl2br w:val="nil"/>
              <w:tr2bl w:val="nil"/>
            </w:tcBorders>
            <w:noWrap w:val="0"/>
            <w:vAlign w:val="center"/>
          </w:tcPr>
          <w:p w14:paraId="5B8200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6.289079744</w:t>
            </w:r>
          </w:p>
        </w:tc>
        <w:tc>
          <w:tcPr>
            <w:tcW w:w="797" w:type="dxa"/>
            <w:vMerge w:val="continue"/>
            <w:tcBorders>
              <w:tl2br w:val="nil"/>
              <w:tr2bl w:val="nil"/>
            </w:tcBorders>
            <w:noWrap w:val="0"/>
            <w:vAlign w:val="center"/>
          </w:tcPr>
          <w:p w14:paraId="711A95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F4C7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08" w:type="dxa"/>
            <w:vMerge w:val="continue"/>
            <w:tcBorders>
              <w:tl2br w:val="nil"/>
              <w:tr2bl w:val="nil"/>
            </w:tcBorders>
            <w:noWrap w:val="0"/>
            <w:vAlign w:val="center"/>
          </w:tcPr>
          <w:p w14:paraId="261F462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582C825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784104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55CAE5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56849C9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C6F2A3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10EA53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367164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3.144539872</w:t>
            </w:r>
          </w:p>
        </w:tc>
        <w:tc>
          <w:tcPr>
            <w:tcW w:w="1339" w:type="dxa"/>
            <w:tcBorders>
              <w:tl2br w:val="nil"/>
              <w:tr2bl w:val="nil"/>
            </w:tcBorders>
            <w:noWrap w:val="0"/>
            <w:vAlign w:val="center"/>
          </w:tcPr>
          <w:p w14:paraId="3BD027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3.144539872</w:t>
            </w:r>
          </w:p>
        </w:tc>
        <w:tc>
          <w:tcPr>
            <w:tcW w:w="797" w:type="dxa"/>
            <w:vMerge w:val="continue"/>
            <w:tcBorders>
              <w:tl2br w:val="nil"/>
              <w:tr2bl w:val="nil"/>
            </w:tcBorders>
            <w:noWrap w:val="0"/>
            <w:vAlign w:val="center"/>
          </w:tcPr>
          <w:p w14:paraId="34FDDB8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67E8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418BAB1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71B47D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6811DB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5A35C7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6A6F9EE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42C59D9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30FA5B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B9403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1.796879927</w:t>
            </w:r>
          </w:p>
        </w:tc>
        <w:tc>
          <w:tcPr>
            <w:tcW w:w="1339" w:type="dxa"/>
            <w:tcBorders>
              <w:tl2br w:val="nil"/>
              <w:tr2bl w:val="nil"/>
            </w:tcBorders>
            <w:noWrap w:val="0"/>
            <w:vAlign w:val="center"/>
          </w:tcPr>
          <w:p w14:paraId="0929F1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1.796879927</w:t>
            </w:r>
          </w:p>
        </w:tc>
        <w:tc>
          <w:tcPr>
            <w:tcW w:w="797" w:type="dxa"/>
            <w:vMerge w:val="continue"/>
            <w:tcBorders>
              <w:tl2br w:val="nil"/>
              <w:tr2bl w:val="nil"/>
            </w:tcBorders>
            <w:noWrap w:val="0"/>
            <w:vAlign w:val="center"/>
          </w:tcPr>
          <w:p w14:paraId="1C4757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09434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1245DD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85B992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2C6911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1F2E40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437A385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413941C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1FBEEEC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E254F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1.143469044</w:t>
            </w:r>
          </w:p>
        </w:tc>
        <w:tc>
          <w:tcPr>
            <w:tcW w:w="1339" w:type="dxa"/>
            <w:tcBorders>
              <w:tl2br w:val="nil"/>
              <w:tr2bl w:val="nil"/>
            </w:tcBorders>
            <w:noWrap w:val="0"/>
            <w:vAlign w:val="center"/>
          </w:tcPr>
          <w:p w14:paraId="517B07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1.143469044</w:t>
            </w:r>
          </w:p>
        </w:tc>
        <w:tc>
          <w:tcPr>
            <w:tcW w:w="797" w:type="dxa"/>
            <w:vMerge w:val="continue"/>
            <w:tcBorders>
              <w:tl2br w:val="nil"/>
              <w:tr2bl w:val="nil"/>
            </w:tcBorders>
            <w:noWrap w:val="0"/>
            <w:vAlign w:val="center"/>
          </w:tcPr>
          <w:p w14:paraId="3A1255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7F92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7A65872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574F547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AF5DA3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A32F82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5B01FD1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E322CF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10BEADB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54865C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0.628901297</w:t>
            </w:r>
          </w:p>
        </w:tc>
        <w:tc>
          <w:tcPr>
            <w:tcW w:w="1339" w:type="dxa"/>
            <w:tcBorders>
              <w:tl2br w:val="nil"/>
              <w:tr2bl w:val="nil"/>
            </w:tcBorders>
            <w:noWrap w:val="0"/>
            <w:vAlign w:val="center"/>
          </w:tcPr>
          <w:p w14:paraId="2C1842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0.628901297</w:t>
            </w:r>
          </w:p>
        </w:tc>
        <w:tc>
          <w:tcPr>
            <w:tcW w:w="797" w:type="dxa"/>
            <w:vMerge w:val="continue"/>
            <w:tcBorders>
              <w:tl2br w:val="nil"/>
              <w:tr2bl w:val="nil"/>
            </w:tcBorders>
            <w:noWrap w:val="0"/>
            <w:vAlign w:val="center"/>
          </w:tcPr>
          <w:p w14:paraId="5187D8F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09404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4778BE0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甲醛</w:t>
            </w:r>
          </w:p>
        </w:tc>
        <w:tc>
          <w:tcPr>
            <w:tcW w:w="608" w:type="dxa"/>
            <w:vMerge w:val="continue"/>
            <w:tcBorders>
              <w:tl2br w:val="nil"/>
              <w:tr2bl w:val="nil"/>
            </w:tcBorders>
            <w:noWrap w:val="0"/>
            <w:vAlign w:val="center"/>
          </w:tcPr>
          <w:p w14:paraId="2ACD09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5C715B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4F4FADF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0889DD2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5CABA83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402000</w:t>
            </w:r>
          </w:p>
        </w:tc>
        <w:tc>
          <w:tcPr>
            <w:tcW w:w="810" w:type="dxa"/>
            <w:vMerge w:val="restart"/>
            <w:tcBorders>
              <w:tl2br w:val="nil"/>
              <w:tr2bl w:val="nil"/>
            </w:tcBorders>
            <w:noWrap w:val="0"/>
            <w:vAlign w:val="center"/>
          </w:tcPr>
          <w:p w14:paraId="4A3A05D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3C45B3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1.123149737</w:t>
            </w:r>
          </w:p>
        </w:tc>
        <w:tc>
          <w:tcPr>
            <w:tcW w:w="1339" w:type="dxa"/>
            <w:tcBorders>
              <w:tl2br w:val="nil"/>
              <w:tr2bl w:val="nil"/>
            </w:tcBorders>
            <w:noWrap w:val="0"/>
            <w:vAlign w:val="center"/>
          </w:tcPr>
          <w:p w14:paraId="4A51FB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1.123149737</w:t>
            </w:r>
          </w:p>
        </w:tc>
        <w:tc>
          <w:tcPr>
            <w:tcW w:w="797" w:type="dxa"/>
            <w:vMerge w:val="continue"/>
            <w:tcBorders>
              <w:tl2br w:val="nil"/>
              <w:tr2bl w:val="nil"/>
            </w:tcBorders>
            <w:noWrap w:val="0"/>
            <w:vAlign w:val="center"/>
          </w:tcPr>
          <w:p w14:paraId="60534F7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CE34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6BDAD8B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923FDA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216BE5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E08CB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6DA4307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1D6F7DB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6CC84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AEA46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0.561574868</w:t>
            </w:r>
          </w:p>
        </w:tc>
        <w:tc>
          <w:tcPr>
            <w:tcW w:w="1339" w:type="dxa"/>
            <w:tcBorders>
              <w:tl2br w:val="nil"/>
              <w:tr2bl w:val="nil"/>
            </w:tcBorders>
            <w:noWrap w:val="0"/>
            <w:vAlign w:val="center"/>
          </w:tcPr>
          <w:p w14:paraId="5A2DBE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0.561574868</w:t>
            </w:r>
          </w:p>
        </w:tc>
        <w:tc>
          <w:tcPr>
            <w:tcW w:w="797" w:type="dxa"/>
            <w:vMerge w:val="continue"/>
            <w:tcBorders>
              <w:tl2br w:val="nil"/>
              <w:tr2bl w:val="nil"/>
            </w:tcBorders>
            <w:noWrap w:val="0"/>
            <w:vAlign w:val="center"/>
          </w:tcPr>
          <w:p w14:paraId="0B4005B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A84C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4DD3EB2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1B0E7CB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3BF501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F4EC9C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7600366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660397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3FD3A10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F6884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0.280787434</w:t>
            </w:r>
          </w:p>
        </w:tc>
        <w:tc>
          <w:tcPr>
            <w:tcW w:w="1339" w:type="dxa"/>
            <w:tcBorders>
              <w:tl2br w:val="nil"/>
              <w:tr2bl w:val="nil"/>
            </w:tcBorders>
            <w:noWrap w:val="0"/>
            <w:vAlign w:val="center"/>
          </w:tcPr>
          <w:p w14:paraId="3CBA0E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0.280787434</w:t>
            </w:r>
          </w:p>
        </w:tc>
        <w:tc>
          <w:tcPr>
            <w:tcW w:w="797" w:type="dxa"/>
            <w:vMerge w:val="continue"/>
            <w:tcBorders>
              <w:tl2br w:val="nil"/>
              <w:tr2bl w:val="nil"/>
            </w:tcBorders>
            <w:noWrap w:val="0"/>
            <w:vAlign w:val="center"/>
          </w:tcPr>
          <w:p w14:paraId="48AED9F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B919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58B998B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AFD38F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AD644F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266058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0B3A4BA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5650D4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F470B8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00DC48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0.160449962</w:t>
            </w:r>
          </w:p>
        </w:tc>
        <w:tc>
          <w:tcPr>
            <w:tcW w:w="1339" w:type="dxa"/>
            <w:tcBorders>
              <w:tl2br w:val="nil"/>
              <w:tr2bl w:val="nil"/>
            </w:tcBorders>
            <w:noWrap w:val="0"/>
            <w:vAlign w:val="center"/>
          </w:tcPr>
          <w:p w14:paraId="4E2AB7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0.160449962</w:t>
            </w:r>
          </w:p>
        </w:tc>
        <w:tc>
          <w:tcPr>
            <w:tcW w:w="797" w:type="dxa"/>
            <w:vMerge w:val="continue"/>
            <w:tcBorders>
              <w:tl2br w:val="nil"/>
              <w:tr2bl w:val="nil"/>
            </w:tcBorders>
            <w:noWrap w:val="0"/>
            <w:vAlign w:val="center"/>
          </w:tcPr>
          <w:p w14:paraId="7C2FCE3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22C14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5636DD0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0FD9BEA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ECF349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F23729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5E573C1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237BF02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381EF69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C05E5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0.102104522</w:t>
            </w:r>
          </w:p>
        </w:tc>
        <w:tc>
          <w:tcPr>
            <w:tcW w:w="1339" w:type="dxa"/>
            <w:tcBorders>
              <w:tl2br w:val="nil"/>
              <w:tr2bl w:val="nil"/>
            </w:tcBorders>
            <w:noWrap w:val="0"/>
            <w:vAlign w:val="center"/>
          </w:tcPr>
          <w:p w14:paraId="2767A9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0.102104522</w:t>
            </w:r>
          </w:p>
        </w:tc>
        <w:tc>
          <w:tcPr>
            <w:tcW w:w="797" w:type="dxa"/>
            <w:vMerge w:val="continue"/>
            <w:tcBorders>
              <w:tl2br w:val="nil"/>
              <w:tr2bl w:val="nil"/>
            </w:tcBorders>
            <w:noWrap w:val="0"/>
            <w:vAlign w:val="center"/>
          </w:tcPr>
          <w:p w14:paraId="564E1D5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B1D3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0230F02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7C5BE21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6C1002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AA8170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00606F8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F6D322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4E8ED7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3B01D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0.056156891</w:t>
            </w:r>
          </w:p>
        </w:tc>
        <w:tc>
          <w:tcPr>
            <w:tcW w:w="1339" w:type="dxa"/>
            <w:tcBorders>
              <w:tl2br w:val="nil"/>
              <w:tr2bl w:val="nil"/>
            </w:tcBorders>
            <w:noWrap w:val="0"/>
            <w:vAlign w:val="center"/>
          </w:tcPr>
          <w:p w14:paraId="1577EE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0.056156891</w:t>
            </w:r>
          </w:p>
        </w:tc>
        <w:tc>
          <w:tcPr>
            <w:tcW w:w="797" w:type="dxa"/>
            <w:vMerge w:val="continue"/>
            <w:tcBorders>
              <w:tl2br w:val="nil"/>
              <w:tr2bl w:val="nil"/>
            </w:tcBorders>
            <w:noWrap w:val="0"/>
            <w:vAlign w:val="center"/>
          </w:tcPr>
          <w:p w14:paraId="4D75034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7679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4F30C18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苯酚</w:t>
            </w:r>
          </w:p>
        </w:tc>
        <w:tc>
          <w:tcPr>
            <w:tcW w:w="608" w:type="dxa"/>
            <w:vMerge w:val="continue"/>
            <w:tcBorders>
              <w:tl2br w:val="nil"/>
              <w:tr2bl w:val="nil"/>
            </w:tcBorders>
            <w:noWrap w:val="0"/>
            <w:vAlign w:val="center"/>
          </w:tcPr>
          <w:p w14:paraId="453C1A0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6A7058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199713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1B944EB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262CA8E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672000</w:t>
            </w:r>
          </w:p>
        </w:tc>
        <w:tc>
          <w:tcPr>
            <w:tcW w:w="810" w:type="dxa"/>
            <w:vMerge w:val="restart"/>
            <w:tcBorders>
              <w:tl2br w:val="nil"/>
              <w:tr2bl w:val="nil"/>
            </w:tcBorders>
            <w:noWrap w:val="0"/>
            <w:vAlign w:val="center"/>
          </w:tcPr>
          <w:p w14:paraId="3889EE2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2A1E3C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1.877504037</w:t>
            </w:r>
          </w:p>
        </w:tc>
        <w:tc>
          <w:tcPr>
            <w:tcW w:w="1339" w:type="dxa"/>
            <w:tcBorders>
              <w:tl2br w:val="nil"/>
              <w:tr2bl w:val="nil"/>
            </w:tcBorders>
            <w:noWrap w:val="0"/>
            <w:vAlign w:val="center"/>
          </w:tcPr>
          <w:p w14:paraId="16D90E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1.877504037</w:t>
            </w:r>
          </w:p>
        </w:tc>
        <w:tc>
          <w:tcPr>
            <w:tcW w:w="797" w:type="dxa"/>
            <w:vMerge w:val="continue"/>
            <w:tcBorders>
              <w:tl2br w:val="nil"/>
              <w:tr2bl w:val="nil"/>
            </w:tcBorders>
            <w:noWrap w:val="0"/>
            <w:vAlign w:val="center"/>
          </w:tcPr>
          <w:p w14:paraId="54C9B4E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7E0B3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7B56E05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645CC2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00B423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CE172D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4F2AFE8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C97FE8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500D0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3CA64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0.938752019</w:t>
            </w:r>
          </w:p>
        </w:tc>
        <w:tc>
          <w:tcPr>
            <w:tcW w:w="1339" w:type="dxa"/>
            <w:tcBorders>
              <w:tl2br w:val="nil"/>
              <w:tr2bl w:val="nil"/>
            </w:tcBorders>
            <w:noWrap w:val="0"/>
            <w:vAlign w:val="center"/>
          </w:tcPr>
          <w:p w14:paraId="27E268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0.938752019</w:t>
            </w:r>
          </w:p>
        </w:tc>
        <w:tc>
          <w:tcPr>
            <w:tcW w:w="797" w:type="dxa"/>
            <w:vMerge w:val="continue"/>
            <w:tcBorders>
              <w:tl2br w:val="nil"/>
              <w:tr2bl w:val="nil"/>
            </w:tcBorders>
            <w:noWrap w:val="0"/>
            <w:vAlign w:val="center"/>
          </w:tcPr>
          <w:p w14:paraId="613E240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0FE04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3404E46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5CEC26F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B65B06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64C2DD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230C955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12AE80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6C7D75D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CB770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0.469376009</w:t>
            </w:r>
          </w:p>
        </w:tc>
        <w:tc>
          <w:tcPr>
            <w:tcW w:w="1339" w:type="dxa"/>
            <w:tcBorders>
              <w:tl2br w:val="nil"/>
              <w:tr2bl w:val="nil"/>
            </w:tcBorders>
            <w:noWrap w:val="0"/>
            <w:vAlign w:val="center"/>
          </w:tcPr>
          <w:p w14:paraId="70D3CE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0.469376009</w:t>
            </w:r>
          </w:p>
        </w:tc>
        <w:tc>
          <w:tcPr>
            <w:tcW w:w="797" w:type="dxa"/>
            <w:vMerge w:val="continue"/>
            <w:tcBorders>
              <w:tl2br w:val="nil"/>
              <w:tr2bl w:val="nil"/>
            </w:tcBorders>
            <w:noWrap w:val="0"/>
            <w:vAlign w:val="center"/>
          </w:tcPr>
          <w:p w14:paraId="0F6F516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25FD5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75AAC49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2DBCD6C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80FA8D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35071EA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37FF6B0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FC56B8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5D75078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FFA1F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0.268214862</w:t>
            </w:r>
          </w:p>
        </w:tc>
        <w:tc>
          <w:tcPr>
            <w:tcW w:w="1339" w:type="dxa"/>
            <w:tcBorders>
              <w:tl2br w:val="nil"/>
              <w:tr2bl w:val="nil"/>
            </w:tcBorders>
            <w:noWrap w:val="0"/>
            <w:vAlign w:val="center"/>
          </w:tcPr>
          <w:p w14:paraId="5879F1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0.268214862</w:t>
            </w:r>
          </w:p>
        </w:tc>
        <w:tc>
          <w:tcPr>
            <w:tcW w:w="797" w:type="dxa"/>
            <w:vMerge w:val="continue"/>
            <w:tcBorders>
              <w:tl2br w:val="nil"/>
              <w:tr2bl w:val="nil"/>
            </w:tcBorders>
            <w:noWrap w:val="0"/>
            <w:vAlign w:val="center"/>
          </w:tcPr>
          <w:p w14:paraId="084DD39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7C4AC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5DE139A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C1EBF1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7697856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7CC031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062B202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1E7FA1C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416FE26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80127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0.170682185</w:t>
            </w:r>
          </w:p>
        </w:tc>
        <w:tc>
          <w:tcPr>
            <w:tcW w:w="1339" w:type="dxa"/>
            <w:tcBorders>
              <w:tl2br w:val="nil"/>
              <w:tr2bl w:val="nil"/>
            </w:tcBorders>
            <w:noWrap w:val="0"/>
            <w:vAlign w:val="center"/>
          </w:tcPr>
          <w:p w14:paraId="0CFD8A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0.170682185</w:t>
            </w:r>
          </w:p>
        </w:tc>
        <w:tc>
          <w:tcPr>
            <w:tcW w:w="797" w:type="dxa"/>
            <w:vMerge w:val="continue"/>
            <w:tcBorders>
              <w:tl2br w:val="nil"/>
              <w:tr2bl w:val="nil"/>
            </w:tcBorders>
            <w:noWrap w:val="0"/>
            <w:vAlign w:val="center"/>
          </w:tcPr>
          <w:p w14:paraId="49DC82B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79625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70935F1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61FB7E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AC52F2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9999C9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5CD35EF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2A4B627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449443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56F0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0.093874205</w:t>
            </w:r>
          </w:p>
        </w:tc>
        <w:tc>
          <w:tcPr>
            <w:tcW w:w="1339" w:type="dxa"/>
            <w:tcBorders>
              <w:tl2br w:val="nil"/>
              <w:tr2bl w:val="nil"/>
            </w:tcBorders>
            <w:noWrap w:val="0"/>
            <w:vAlign w:val="center"/>
          </w:tcPr>
          <w:p w14:paraId="10A807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0.093874205</w:t>
            </w:r>
          </w:p>
        </w:tc>
        <w:tc>
          <w:tcPr>
            <w:tcW w:w="797" w:type="dxa"/>
            <w:vMerge w:val="continue"/>
            <w:tcBorders>
              <w:tl2br w:val="nil"/>
              <w:tr2bl w:val="nil"/>
            </w:tcBorders>
            <w:noWrap w:val="0"/>
            <w:vAlign w:val="center"/>
          </w:tcPr>
          <w:p w14:paraId="32B32F7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4B14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2AACC6E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VOCs</w:t>
            </w:r>
          </w:p>
          <w:p w14:paraId="49CE662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restart"/>
            <w:tcBorders>
              <w:tl2br w:val="nil"/>
              <w:tr2bl w:val="nil"/>
            </w:tcBorders>
            <w:noWrap w:val="0"/>
            <w:vAlign w:val="center"/>
          </w:tcPr>
          <w:p w14:paraId="67F927D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10</w:t>
            </w:r>
          </w:p>
        </w:tc>
        <w:tc>
          <w:tcPr>
            <w:tcW w:w="738" w:type="dxa"/>
            <w:vMerge w:val="restart"/>
            <w:tcBorders>
              <w:tl2br w:val="nil"/>
              <w:tr2bl w:val="nil"/>
            </w:tcBorders>
            <w:noWrap w:val="0"/>
            <w:vAlign w:val="center"/>
          </w:tcPr>
          <w:p w14:paraId="3ADF2BA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950</w:t>
            </w:r>
          </w:p>
        </w:tc>
        <w:tc>
          <w:tcPr>
            <w:tcW w:w="884" w:type="dxa"/>
            <w:tcBorders>
              <w:tl2br w:val="nil"/>
              <w:tr2bl w:val="nil"/>
            </w:tcBorders>
            <w:noWrap w:val="0"/>
            <w:vAlign w:val="center"/>
          </w:tcPr>
          <w:p w14:paraId="711A213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restart"/>
            <w:tcBorders>
              <w:tl2br w:val="nil"/>
              <w:tr2bl w:val="nil"/>
            </w:tcBorders>
            <w:noWrap w:val="0"/>
            <w:vAlign w:val="center"/>
          </w:tcPr>
          <w:p w14:paraId="1471CD9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0.2</w:t>
            </w:r>
          </w:p>
        </w:tc>
        <w:tc>
          <w:tcPr>
            <w:tcW w:w="664" w:type="dxa"/>
            <w:vMerge w:val="restart"/>
            <w:tcBorders>
              <w:tl2br w:val="nil"/>
              <w:tr2bl w:val="nil"/>
            </w:tcBorders>
            <w:noWrap w:val="0"/>
            <w:vAlign w:val="center"/>
          </w:tcPr>
          <w:p w14:paraId="11D0611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4502000</w:t>
            </w:r>
          </w:p>
          <w:p w14:paraId="1D2B8C8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restart"/>
            <w:tcBorders>
              <w:tl2br w:val="nil"/>
              <w:tr2bl w:val="nil"/>
            </w:tcBorders>
            <w:noWrap w:val="0"/>
            <w:vAlign w:val="center"/>
          </w:tcPr>
          <w:p w14:paraId="6173968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3AD092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25.15631897</w:t>
            </w:r>
          </w:p>
        </w:tc>
        <w:tc>
          <w:tcPr>
            <w:tcW w:w="1339" w:type="dxa"/>
            <w:tcBorders>
              <w:tl2br w:val="nil"/>
              <w:tr2bl w:val="nil"/>
            </w:tcBorders>
            <w:noWrap w:val="0"/>
            <w:vAlign w:val="center"/>
          </w:tcPr>
          <w:p w14:paraId="714D64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25.15631897</w:t>
            </w:r>
          </w:p>
        </w:tc>
        <w:tc>
          <w:tcPr>
            <w:tcW w:w="797" w:type="dxa"/>
            <w:vMerge w:val="continue"/>
            <w:tcBorders>
              <w:tl2br w:val="nil"/>
              <w:tr2bl w:val="nil"/>
            </w:tcBorders>
            <w:noWrap w:val="0"/>
            <w:vAlign w:val="center"/>
          </w:tcPr>
          <w:p w14:paraId="5AE887A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449C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6704E0E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52B0B05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6578CA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D90127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253A8AF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4BCFED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6C2B234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DECA6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12.57815949</w:t>
            </w:r>
          </w:p>
        </w:tc>
        <w:tc>
          <w:tcPr>
            <w:tcW w:w="1339" w:type="dxa"/>
            <w:tcBorders>
              <w:tl2br w:val="nil"/>
              <w:tr2bl w:val="nil"/>
            </w:tcBorders>
            <w:noWrap w:val="0"/>
            <w:vAlign w:val="center"/>
          </w:tcPr>
          <w:p w14:paraId="4270FE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12.57815949</w:t>
            </w:r>
          </w:p>
        </w:tc>
        <w:tc>
          <w:tcPr>
            <w:tcW w:w="797" w:type="dxa"/>
            <w:vMerge w:val="continue"/>
            <w:tcBorders>
              <w:tl2br w:val="nil"/>
              <w:tr2bl w:val="nil"/>
            </w:tcBorders>
            <w:noWrap w:val="0"/>
            <w:vAlign w:val="center"/>
          </w:tcPr>
          <w:p w14:paraId="1A3169B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F7D2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618654B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57E089F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20519E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045512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0808538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69928A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A6D466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03830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6.289079744</w:t>
            </w:r>
          </w:p>
        </w:tc>
        <w:tc>
          <w:tcPr>
            <w:tcW w:w="1339" w:type="dxa"/>
            <w:tcBorders>
              <w:tl2br w:val="nil"/>
              <w:tr2bl w:val="nil"/>
            </w:tcBorders>
            <w:noWrap w:val="0"/>
            <w:vAlign w:val="center"/>
          </w:tcPr>
          <w:p w14:paraId="407FD0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6.289079744</w:t>
            </w:r>
          </w:p>
        </w:tc>
        <w:tc>
          <w:tcPr>
            <w:tcW w:w="797" w:type="dxa"/>
            <w:vMerge w:val="continue"/>
            <w:tcBorders>
              <w:tl2br w:val="nil"/>
              <w:tr2bl w:val="nil"/>
            </w:tcBorders>
            <w:noWrap w:val="0"/>
            <w:vAlign w:val="center"/>
          </w:tcPr>
          <w:p w14:paraId="01215F4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6BC4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79724B8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1462ED3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1C1BA1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73E8E4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483D5ED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460B769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96D81A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9E5EB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3.593759854</w:t>
            </w:r>
          </w:p>
        </w:tc>
        <w:tc>
          <w:tcPr>
            <w:tcW w:w="1339" w:type="dxa"/>
            <w:tcBorders>
              <w:tl2br w:val="nil"/>
              <w:tr2bl w:val="nil"/>
            </w:tcBorders>
            <w:noWrap w:val="0"/>
            <w:vAlign w:val="center"/>
          </w:tcPr>
          <w:p w14:paraId="4B1E4F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3.593759854</w:t>
            </w:r>
          </w:p>
        </w:tc>
        <w:tc>
          <w:tcPr>
            <w:tcW w:w="797" w:type="dxa"/>
            <w:vMerge w:val="continue"/>
            <w:tcBorders>
              <w:tl2br w:val="nil"/>
              <w:tr2bl w:val="nil"/>
            </w:tcBorders>
            <w:noWrap w:val="0"/>
            <w:vAlign w:val="center"/>
          </w:tcPr>
          <w:p w14:paraId="20FDE9B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1CC4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17FC940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0B7CE2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C179A5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003A42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24805EC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644BBFA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A49B0A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1ECE6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2.286938089</w:t>
            </w:r>
          </w:p>
        </w:tc>
        <w:tc>
          <w:tcPr>
            <w:tcW w:w="1339" w:type="dxa"/>
            <w:tcBorders>
              <w:tl2br w:val="nil"/>
              <w:tr2bl w:val="nil"/>
            </w:tcBorders>
            <w:noWrap w:val="0"/>
            <w:vAlign w:val="center"/>
          </w:tcPr>
          <w:p w14:paraId="230F08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2.286938089</w:t>
            </w:r>
          </w:p>
        </w:tc>
        <w:tc>
          <w:tcPr>
            <w:tcW w:w="797" w:type="dxa"/>
            <w:vMerge w:val="continue"/>
            <w:tcBorders>
              <w:tl2br w:val="nil"/>
              <w:tr2bl w:val="nil"/>
            </w:tcBorders>
            <w:noWrap w:val="0"/>
            <w:vAlign w:val="center"/>
          </w:tcPr>
          <w:p w14:paraId="54B2B5D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F6AF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3AA6C64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D9E7C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279D3A4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9E3253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7CC7DF7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D73D54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50532B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3F3AF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1.257802595</w:t>
            </w:r>
          </w:p>
        </w:tc>
        <w:tc>
          <w:tcPr>
            <w:tcW w:w="1339" w:type="dxa"/>
            <w:tcBorders>
              <w:tl2br w:val="nil"/>
              <w:tr2bl w:val="nil"/>
            </w:tcBorders>
            <w:noWrap w:val="0"/>
            <w:vAlign w:val="center"/>
          </w:tcPr>
          <w:p w14:paraId="3138FB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1.257802595</w:t>
            </w:r>
          </w:p>
        </w:tc>
        <w:tc>
          <w:tcPr>
            <w:tcW w:w="797" w:type="dxa"/>
            <w:vMerge w:val="continue"/>
            <w:tcBorders>
              <w:tl2br w:val="nil"/>
              <w:tr2bl w:val="nil"/>
            </w:tcBorders>
            <w:noWrap w:val="0"/>
            <w:vAlign w:val="center"/>
          </w:tcPr>
          <w:p w14:paraId="01935AB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3AC9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4742593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甲醛</w:t>
            </w:r>
          </w:p>
          <w:p w14:paraId="1791976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292C6C7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4E96E37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A51EA1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6FA3F66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3EBE5E9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402000</w:t>
            </w:r>
          </w:p>
          <w:p w14:paraId="74BF6D7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restart"/>
            <w:tcBorders>
              <w:tl2br w:val="nil"/>
              <w:tr2bl w:val="nil"/>
            </w:tcBorders>
            <w:noWrap w:val="0"/>
            <w:vAlign w:val="center"/>
          </w:tcPr>
          <w:p w14:paraId="42793EA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79EC32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2.246299473</w:t>
            </w:r>
          </w:p>
        </w:tc>
        <w:tc>
          <w:tcPr>
            <w:tcW w:w="1339" w:type="dxa"/>
            <w:tcBorders>
              <w:tl2br w:val="nil"/>
              <w:tr2bl w:val="nil"/>
            </w:tcBorders>
            <w:noWrap w:val="0"/>
            <w:vAlign w:val="center"/>
          </w:tcPr>
          <w:p w14:paraId="1C8FCC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2.246299473</w:t>
            </w:r>
          </w:p>
        </w:tc>
        <w:tc>
          <w:tcPr>
            <w:tcW w:w="797" w:type="dxa"/>
            <w:vMerge w:val="continue"/>
            <w:tcBorders>
              <w:tl2br w:val="nil"/>
              <w:tr2bl w:val="nil"/>
            </w:tcBorders>
            <w:noWrap w:val="0"/>
            <w:vAlign w:val="center"/>
          </w:tcPr>
          <w:p w14:paraId="6B171A8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8709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1699DF0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599B14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A54E38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D8A97C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5E40D00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1B0E922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1EE592C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2FDBD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1.123149737</w:t>
            </w:r>
          </w:p>
        </w:tc>
        <w:tc>
          <w:tcPr>
            <w:tcW w:w="1339" w:type="dxa"/>
            <w:tcBorders>
              <w:tl2br w:val="nil"/>
              <w:tr2bl w:val="nil"/>
            </w:tcBorders>
            <w:noWrap w:val="0"/>
            <w:vAlign w:val="center"/>
          </w:tcPr>
          <w:p w14:paraId="4302BD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1.123149737</w:t>
            </w:r>
          </w:p>
        </w:tc>
        <w:tc>
          <w:tcPr>
            <w:tcW w:w="797" w:type="dxa"/>
            <w:vMerge w:val="continue"/>
            <w:tcBorders>
              <w:tl2br w:val="nil"/>
              <w:tr2bl w:val="nil"/>
            </w:tcBorders>
            <w:noWrap w:val="0"/>
            <w:vAlign w:val="center"/>
          </w:tcPr>
          <w:p w14:paraId="670265F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27CFF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294F835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A4DC8F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22E18CF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E33492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00D7B85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883440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6EE5B7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C4B3D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0.561574868</w:t>
            </w:r>
          </w:p>
        </w:tc>
        <w:tc>
          <w:tcPr>
            <w:tcW w:w="1339" w:type="dxa"/>
            <w:tcBorders>
              <w:tl2br w:val="nil"/>
              <w:tr2bl w:val="nil"/>
            </w:tcBorders>
            <w:noWrap w:val="0"/>
            <w:vAlign w:val="center"/>
          </w:tcPr>
          <w:p w14:paraId="237E3A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0.561574868</w:t>
            </w:r>
          </w:p>
        </w:tc>
        <w:tc>
          <w:tcPr>
            <w:tcW w:w="797" w:type="dxa"/>
            <w:vMerge w:val="continue"/>
            <w:tcBorders>
              <w:tl2br w:val="nil"/>
              <w:tr2bl w:val="nil"/>
            </w:tcBorders>
            <w:noWrap w:val="0"/>
            <w:vAlign w:val="center"/>
          </w:tcPr>
          <w:p w14:paraId="4B175B0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3295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558F519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09D0183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4F196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D220D0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36970BF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673AA1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A0340D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9DEDA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0.320899925</w:t>
            </w:r>
          </w:p>
        </w:tc>
        <w:tc>
          <w:tcPr>
            <w:tcW w:w="1339" w:type="dxa"/>
            <w:tcBorders>
              <w:tl2br w:val="nil"/>
              <w:tr2bl w:val="nil"/>
            </w:tcBorders>
            <w:noWrap w:val="0"/>
            <w:vAlign w:val="center"/>
          </w:tcPr>
          <w:p w14:paraId="5F0E79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0.320899925</w:t>
            </w:r>
          </w:p>
        </w:tc>
        <w:tc>
          <w:tcPr>
            <w:tcW w:w="797" w:type="dxa"/>
            <w:vMerge w:val="continue"/>
            <w:tcBorders>
              <w:tl2br w:val="nil"/>
              <w:tr2bl w:val="nil"/>
            </w:tcBorders>
            <w:noWrap w:val="0"/>
            <w:vAlign w:val="center"/>
          </w:tcPr>
          <w:p w14:paraId="46897D7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3B6D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119C4B5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7BF48A7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0EB5A3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6D0261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2A7DF36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43A592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E901D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A820E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0.204209043</w:t>
            </w:r>
          </w:p>
        </w:tc>
        <w:tc>
          <w:tcPr>
            <w:tcW w:w="1339" w:type="dxa"/>
            <w:tcBorders>
              <w:tl2br w:val="nil"/>
              <w:tr2bl w:val="nil"/>
            </w:tcBorders>
            <w:noWrap w:val="0"/>
            <w:vAlign w:val="center"/>
          </w:tcPr>
          <w:p w14:paraId="19B6D1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0.204209043</w:t>
            </w:r>
          </w:p>
        </w:tc>
        <w:tc>
          <w:tcPr>
            <w:tcW w:w="797" w:type="dxa"/>
            <w:vMerge w:val="continue"/>
            <w:tcBorders>
              <w:tl2br w:val="nil"/>
              <w:tr2bl w:val="nil"/>
            </w:tcBorders>
            <w:noWrap w:val="0"/>
            <w:vAlign w:val="center"/>
          </w:tcPr>
          <w:p w14:paraId="2C61FFB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159B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227E5DA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E1A921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AF8ACD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25D30B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592A52B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65180E9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6FEFB1A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1D831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0.112313781</w:t>
            </w:r>
          </w:p>
        </w:tc>
        <w:tc>
          <w:tcPr>
            <w:tcW w:w="1339" w:type="dxa"/>
            <w:tcBorders>
              <w:tl2br w:val="nil"/>
              <w:tr2bl w:val="nil"/>
            </w:tcBorders>
            <w:noWrap w:val="0"/>
            <w:vAlign w:val="center"/>
          </w:tcPr>
          <w:p w14:paraId="19ACC9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0.112313781</w:t>
            </w:r>
          </w:p>
        </w:tc>
        <w:tc>
          <w:tcPr>
            <w:tcW w:w="797" w:type="dxa"/>
            <w:vMerge w:val="continue"/>
            <w:tcBorders>
              <w:tl2br w:val="nil"/>
              <w:tr2bl w:val="nil"/>
            </w:tcBorders>
            <w:noWrap w:val="0"/>
            <w:vAlign w:val="center"/>
          </w:tcPr>
          <w:p w14:paraId="06923AF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6182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restart"/>
            <w:tcBorders>
              <w:tl2br w:val="nil"/>
              <w:tr2bl w:val="nil"/>
            </w:tcBorders>
            <w:noWrap w:val="0"/>
            <w:vAlign w:val="center"/>
          </w:tcPr>
          <w:p w14:paraId="5DE9D2A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苯酚</w:t>
            </w:r>
          </w:p>
        </w:tc>
        <w:tc>
          <w:tcPr>
            <w:tcW w:w="608" w:type="dxa"/>
            <w:vMerge w:val="continue"/>
            <w:tcBorders>
              <w:tl2br w:val="nil"/>
              <w:tr2bl w:val="nil"/>
            </w:tcBorders>
            <w:noWrap w:val="0"/>
            <w:vAlign w:val="center"/>
          </w:tcPr>
          <w:p w14:paraId="3A57EC2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78C9C68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37AB00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230698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05FECFF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672000</w:t>
            </w:r>
          </w:p>
        </w:tc>
        <w:tc>
          <w:tcPr>
            <w:tcW w:w="810" w:type="dxa"/>
            <w:vMerge w:val="restart"/>
            <w:tcBorders>
              <w:tl2br w:val="nil"/>
              <w:tr2bl w:val="nil"/>
            </w:tcBorders>
            <w:noWrap w:val="0"/>
            <w:vAlign w:val="center"/>
          </w:tcPr>
          <w:p w14:paraId="480B384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566BDE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3.755008074</w:t>
            </w:r>
          </w:p>
        </w:tc>
        <w:tc>
          <w:tcPr>
            <w:tcW w:w="1339" w:type="dxa"/>
            <w:tcBorders>
              <w:tl2br w:val="nil"/>
              <w:tr2bl w:val="nil"/>
            </w:tcBorders>
            <w:noWrap w:val="0"/>
            <w:vAlign w:val="center"/>
          </w:tcPr>
          <w:p w14:paraId="158EC9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3.755008074</w:t>
            </w:r>
          </w:p>
        </w:tc>
        <w:tc>
          <w:tcPr>
            <w:tcW w:w="797" w:type="dxa"/>
            <w:vMerge w:val="continue"/>
            <w:tcBorders>
              <w:tl2br w:val="nil"/>
              <w:tr2bl w:val="nil"/>
            </w:tcBorders>
            <w:noWrap w:val="0"/>
            <w:vAlign w:val="center"/>
          </w:tcPr>
          <w:p w14:paraId="2F0DA1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76CA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480CA84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756D9E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7FB2605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98E716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3B288DB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01DC8E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D3A071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5F4F3B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1.877504037</w:t>
            </w:r>
          </w:p>
        </w:tc>
        <w:tc>
          <w:tcPr>
            <w:tcW w:w="1339" w:type="dxa"/>
            <w:tcBorders>
              <w:tl2br w:val="nil"/>
              <w:tr2bl w:val="nil"/>
            </w:tcBorders>
            <w:noWrap w:val="0"/>
            <w:vAlign w:val="center"/>
          </w:tcPr>
          <w:p w14:paraId="33BE49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1.877504037</w:t>
            </w:r>
          </w:p>
        </w:tc>
        <w:tc>
          <w:tcPr>
            <w:tcW w:w="797" w:type="dxa"/>
            <w:vMerge w:val="continue"/>
            <w:tcBorders>
              <w:tl2br w:val="nil"/>
              <w:tr2bl w:val="nil"/>
            </w:tcBorders>
            <w:noWrap w:val="0"/>
            <w:vAlign w:val="center"/>
          </w:tcPr>
          <w:p w14:paraId="4274347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09C0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24F54B4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71FEF5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CEE47F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4AF725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1D2B8D7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1E4706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62105D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27C27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0.938752019</w:t>
            </w:r>
          </w:p>
        </w:tc>
        <w:tc>
          <w:tcPr>
            <w:tcW w:w="1339" w:type="dxa"/>
            <w:tcBorders>
              <w:tl2br w:val="nil"/>
              <w:tr2bl w:val="nil"/>
            </w:tcBorders>
            <w:noWrap w:val="0"/>
            <w:vAlign w:val="center"/>
          </w:tcPr>
          <w:p w14:paraId="5E53FA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0.938752019</w:t>
            </w:r>
          </w:p>
        </w:tc>
        <w:tc>
          <w:tcPr>
            <w:tcW w:w="797" w:type="dxa"/>
            <w:vMerge w:val="continue"/>
            <w:tcBorders>
              <w:tl2br w:val="nil"/>
              <w:tr2bl w:val="nil"/>
            </w:tcBorders>
            <w:noWrap w:val="0"/>
            <w:vAlign w:val="center"/>
          </w:tcPr>
          <w:p w14:paraId="4315BCD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04FC3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44D6B2D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FA9A9F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318641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E791D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2F2C32E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268BEE9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C17843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3C8BFD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0.536429725</w:t>
            </w:r>
          </w:p>
        </w:tc>
        <w:tc>
          <w:tcPr>
            <w:tcW w:w="1339" w:type="dxa"/>
            <w:tcBorders>
              <w:tl2br w:val="nil"/>
              <w:tr2bl w:val="nil"/>
            </w:tcBorders>
            <w:noWrap w:val="0"/>
            <w:vAlign w:val="center"/>
          </w:tcPr>
          <w:p w14:paraId="583811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0.536429725</w:t>
            </w:r>
          </w:p>
        </w:tc>
        <w:tc>
          <w:tcPr>
            <w:tcW w:w="797" w:type="dxa"/>
            <w:vMerge w:val="continue"/>
            <w:tcBorders>
              <w:tl2br w:val="nil"/>
              <w:tr2bl w:val="nil"/>
            </w:tcBorders>
            <w:noWrap w:val="0"/>
            <w:vAlign w:val="center"/>
          </w:tcPr>
          <w:p w14:paraId="6F98CA3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9237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110697F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082C45E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46C5CB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77B4AC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23E0E75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C68F9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488249C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0DCB97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0.34136437</w:t>
            </w:r>
          </w:p>
        </w:tc>
        <w:tc>
          <w:tcPr>
            <w:tcW w:w="1339" w:type="dxa"/>
            <w:tcBorders>
              <w:tl2br w:val="nil"/>
              <w:tr2bl w:val="nil"/>
            </w:tcBorders>
            <w:noWrap w:val="0"/>
            <w:vAlign w:val="center"/>
          </w:tcPr>
          <w:p w14:paraId="49B48F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0.34136437</w:t>
            </w:r>
          </w:p>
        </w:tc>
        <w:tc>
          <w:tcPr>
            <w:tcW w:w="797" w:type="dxa"/>
            <w:vMerge w:val="continue"/>
            <w:tcBorders>
              <w:tl2br w:val="nil"/>
              <w:tr2bl w:val="nil"/>
            </w:tcBorders>
            <w:noWrap w:val="0"/>
            <w:vAlign w:val="center"/>
          </w:tcPr>
          <w:p w14:paraId="5BD1EC1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E110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27B2A83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239530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996732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282C96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3A4A946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B98A44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778C33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0EDC9C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0.18774841</w:t>
            </w:r>
          </w:p>
        </w:tc>
        <w:tc>
          <w:tcPr>
            <w:tcW w:w="1339" w:type="dxa"/>
            <w:tcBorders>
              <w:tl2br w:val="nil"/>
              <w:tr2bl w:val="nil"/>
            </w:tcBorders>
            <w:noWrap w:val="0"/>
            <w:vAlign w:val="center"/>
          </w:tcPr>
          <w:p w14:paraId="3B97D4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0.18774841</w:t>
            </w:r>
          </w:p>
        </w:tc>
        <w:tc>
          <w:tcPr>
            <w:tcW w:w="797" w:type="dxa"/>
            <w:vMerge w:val="continue"/>
            <w:tcBorders>
              <w:tl2br w:val="nil"/>
              <w:tr2bl w:val="nil"/>
            </w:tcBorders>
            <w:noWrap w:val="0"/>
            <w:vAlign w:val="center"/>
          </w:tcPr>
          <w:p w14:paraId="256AB57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4760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restart"/>
            <w:tcBorders>
              <w:tl2br w:val="nil"/>
              <w:tr2bl w:val="nil"/>
            </w:tcBorders>
            <w:noWrap w:val="0"/>
            <w:vAlign w:val="center"/>
          </w:tcPr>
          <w:p w14:paraId="0A49024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VOCs</w:t>
            </w:r>
          </w:p>
          <w:p w14:paraId="6FDDF86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restart"/>
            <w:tcBorders>
              <w:tl2br w:val="nil"/>
              <w:tr2bl w:val="nil"/>
            </w:tcBorders>
            <w:noWrap w:val="0"/>
            <w:vAlign w:val="center"/>
          </w:tcPr>
          <w:p w14:paraId="2E02904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30</w:t>
            </w:r>
          </w:p>
        </w:tc>
        <w:tc>
          <w:tcPr>
            <w:tcW w:w="738" w:type="dxa"/>
            <w:vMerge w:val="restart"/>
            <w:tcBorders>
              <w:tl2br w:val="nil"/>
              <w:tr2bl w:val="nil"/>
            </w:tcBorders>
            <w:noWrap w:val="0"/>
            <w:vAlign w:val="center"/>
          </w:tcPr>
          <w:p w14:paraId="5D06AD7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950</w:t>
            </w:r>
          </w:p>
        </w:tc>
        <w:tc>
          <w:tcPr>
            <w:tcW w:w="884" w:type="dxa"/>
            <w:tcBorders>
              <w:tl2br w:val="nil"/>
              <w:tr2bl w:val="nil"/>
            </w:tcBorders>
            <w:noWrap w:val="0"/>
            <w:vAlign w:val="center"/>
          </w:tcPr>
          <w:p w14:paraId="7EDAB51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restart"/>
            <w:tcBorders>
              <w:tl2br w:val="nil"/>
              <w:tr2bl w:val="nil"/>
            </w:tcBorders>
            <w:noWrap w:val="0"/>
            <w:vAlign w:val="center"/>
          </w:tcPr>
          <w:p w14:paraId="12BFF92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0.2</w:t>
            </w:r>
          </w:p>
        </w:tc>
        <w:tc>
          <w:tcPr>
            <w:tcW w:w="664" w:type="dxa"/>
            <w:vMerge w:val="restart"/>
            <w:tcBorders>
              <w:tl2br w:val="nil"/>
              <w:tr2bl w:val="nil"/>
            </w:tcBorders>
            <w:noWrap w:val="0"/>
            <w:vAlign w:val="center"/>
          </w:tcPr>
          <w:p w14:paraId="543C957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4502000</w:t>
            </w:r>
          </w:p>
          <w:p w14:paraId="69169B9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restart"/>
            <w:tcBorders>
              <w:tl2br w:val="nil"/>
              <w:tr2bl w:val="nil"/>
            </w:tcBorders>
            <w:noWrap w:val="0"/>
            <w:vAlign w:val="center"/>
          </w:tcPr>
          <w:p w14:paraId="0C5D704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2CB458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75.46895692</w:t>
            </w:r>
          </w:p>
        </w:tc>
        <w:tc>
          <w:tcPr>
            <w:tcW w:w="1339" w:type="dxa"/>
            <w:tcBorders>
              <w:tl2br w:val="nil"/>
              <w:tr2bl w:val="nil"/>
            </w:tcBorders>
            <w:noWrap w:val="0"/>
            <w:vAlign w:val="center"/>
          </w:tcPr>
          <w:p w14:paraId="229CAC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75.46895692</w:t>
            </w:r>
          </w:p>
        </w:tc>
        <w:tc>
          <w:tcPr>
            <w:tcW w:w="797" w:type="dxa"/>
            <w:vMerge w:val="continue"/>
            <w:tcBorders>
              <w:tl2br w:val="nil"/>
              <w:tr2bl w:val="nil"/>
            </w:tcBorders>
            <w:noWrap w:val="0"/>
            <w:vAlign w:val="center"/>
          </w:tcPr>
          <w:p w14:paraId="4CA5E6A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5773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1227FDB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18A8E7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B3A408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4FC655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62B3CF4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1C9FBF9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33EE43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A3657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37.73447846</w:t>
            </w:r>
          </w:p>
        </w:tc>
        <w:tc>
          <w:tcPr>
            <w:tcW w:w="1339" w:type="dxa"/>
            <w:tcBorders>
              <w:tl2br w:val="nil"/>
              <w:tr2bl w:val="nil"/>
            </w:tcBorders>
            <w:noWrap w:val="0"/>
            <w:vAlign w:val="center"/>
          </w:tcPr>
          <w:p w14:paraId="54F271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37.73447846</w:t>
            </w:r>
          </w:p>
        </w:tc>
        <w:tc>
          <w:tcPr>
            <w:tcW w:w="797" w:type="dxa"/>
            <w:vMerge w:val="continue"/>
            <w:tcBorders>
              <w:tl2br w:val="nil"/>
              <w:tr2bl w:val="nil"/>
            </w:tcBorders>
            <w:noWrap w:val="0"/>
            <w:vAlign w:val="center"/>
          </w:tcPr>
          <w:p w14:paraId="0173A17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7AB4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63F2DAE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4485074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FAAE9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2DC187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193E1E6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2186923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9AD651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FE1B3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18.86723923</w:t>
            </w:r>
          </w:p>
        </w:tc>
        <w:tc>
          <w:tcPr>
            <w:tcW w:w="1339" w:type="dxa"/>
            <w:tcBorders>
              <w:tl2br w:val="nil"/>
              <w:tr2bl w:val="nil"/>
            </w:tcBorders>
            <w:noWrap w:val="0"/>
            <w:vAlign w:val="center"/>
          </w:tcPr>
          <w:p w14:paraId="24C046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18.86723923</w:t>
            </w:r>
          </w:p>
        </w:tc>
        <w:tc>
          <w:tcPr>
            <w:tcW w:w="797" w:type="dxa"/>
            <w:vMerge w:val="continue"/>
            <w:tcBorders>
              <w:tl2br w:val="nil"/>
              <w:tr2bl w:val="nil"/>
            </w:tcBorders>
            <w:noWrap w:val="0"/>
            <w:vAlign w:val="center"/>
          </w:tcPr>
          <w:p w14:paraId="693CE42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F8CD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29520C7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1C98229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0AF425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6B49D8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7C41038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29DE008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3A18D5A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3329F0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10.78127956</w:t>
            </w:r>
          </w:p>
        </w:tc>
        <w:tc>
          <w:tcPr>
            <w:tcW w:w="1339" w:type="dxa"/>
            <w:tcBorders>
              <w:tl2br w:val="nil"/>
              <w:tr2bl w:val="nil"/>
            </w:tcBorders>
            <w:noWrap w:val="0"/>
            <w:vAlign w:val="center"/>
          </w:tcPr>
          <w:p w14:paraId="071D92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10.78127956</w:t>
            </w:r>
          </w:p>
        </w:tc>
        <w:tc>
          <w:tcPr>
            <w:tcW w:w="797" w:type="dxa"/>
            <w:vMerge w:val="continue"/>
            <w:tcBorders>
              <w:tl2br w:val="nil"/>
              <w:tr2bl w:val="nil"/>
            </w:tcBorders>
            <w:noWrap w:val="0"/>
            <w:vAlign w:val="center"/>
          </w:tcPr>
          <w:p w14:paraId="34EC27B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2142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5D418AF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0D1582F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1D8A787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081EF3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73C5DCF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50039A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235CFB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1722A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6.860814266</w:t>
            </w:r>
          </w:p>
        </w:tc>
        <w:tc>
          <w:tcPr>
            <w:tcW w:w="1339" w:type="dxa"/>
            <w:tcBorders>
              <w:tl2br w:val="nil"/>
              <w:tr2bl w:val="nil"/>
            </w:tcBorders>
            <w:noWrap w:val="0"/>
            <w:vAlign w:val="center"/>
          </w:tcPr>
          <w:p w14:paraId="1EFFE8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6.860814266</w:t>
            </w:r>
          </w:p>
        </w:tc>
        <w:tc>
          <w:tcPr>
            <w:tcW w:w="797" w:type="dxa"/>
            <w:vMerge w:val="continue"/>
            <w:tcBorders>
              <w:tl2br w:val="nil"/>
              <w:tr2bl w:val="nil"/>
            </w:tcBorders>
            <w:noWrap w:val="0"/>
            <w:vAlign w:val="center"/>
          </w:tcPr>
          <w:p w14:paraId="6D380CE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79BFA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578F63A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2136374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A9E9C6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8D716B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27A5F17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15F9504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DED10B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F6754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3.773407785</w:t>
            </w:r>
          </w:p>
        </w:tc>
        <w:tc>
          <w:tcPr>
            <w:tcW w:w="1339" w:type="dxa"/>
            <w:tcBorders>
              <w:tl2br w:val="nil"/>
              <w:tr2bl w:val="nil"/>
            </w:tcBorders>
            <w:noWrap w:val="0"/>
            <w:vAlign w:val="center"/>
          </w:tcPr>
          <w:p w14:paraId="11EE2A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3.773407785</w:t>
            </w:r>
          </w:p>
        </w:tc>
        <w:tc>
          <w:tcPr>
            <w:tcW w:w="797" w:type="dxa"/>
            <w:vMerge w:val="continue"/>
            <w:tcBorders>
              <w:tl2br w:val="nil"/>
              <w:tr2bl w:val="nil"/>
            </w:tcBorders>
            <w:noWrap w:val="0"/>
            <w:vAlign w:val="center"/>
          </w:tcPr>
          <w:p w14:paraId="0EA8756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DF3A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restart"/>
            <w:tcBorders>
              <w:tl2br w:val="nil"/>
              <w:tr2bl w:val="nil"/>
            </w:tcBorders>
            <w:noWrap w:val="0"/>
            <w:vAlign w:val="center"/>
          </w:tcPr>
          <w:p w14:paraId="1D92B41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甲醛</w:t>
            </w:r>
          </w:p>
          <w:p w14:paraId="568CE06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72F1BC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470A3DD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AA13F1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49A8E0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2C9BAD6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402000</w:t>
            </w:r>
          </w:p>
          <w:p w14:paraId="7F0A8E4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restart"/>
            <w:tcBorders>
              <w:tl2br w:val="nil"/>
              <w:tr2bl w:val="nil"/>
            </w:tcBorders>
            <w:noWrap w:val="0"/>
            <w:vAlign w:val="center"/>
          </w:tcPr>
          <w:p w14:paraId="6DD62BD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1CCDEE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6.738898419</w:t>
            </w:r>
          </w:p>
        </w:tc>
        <w:tc>
          <w:tcPr>
            <w:tcW w:w="1339" w:type="dxa"/>
            <w:tcBorders>
              <w:tl2br w:val="nil"/>
              <w:tr2bl w:val="nil"/>
            </w:tcBorders>
            <w:noWrap w:val="0"/>
            <w:vAlign w:val="center"/>
          </w:tcPr>
          <w:p w14:paraId="363569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6.738898419</w:t>
            </w:r>
          </w:p>
        </w:tc>
        <w:tc>
          <w:tcPr>
            <w:tcW w:w="797" w:type="dxa"/>
            <w:vMerge w:val="continue"/>
            <w:tcBorders>
              <w:tl2br w:val="nil"/>
              <w:tr2bl w:val="nil"/>
            </w:tcBorders>
            <w:noWrap w:val="0"/>
            <w:vAlign w:val="center"/>
          </w:tcPr>
          <w:p w14:paraId="4336F4B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7921A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47658C5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BAD90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5302CF4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AAD17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3F03CBC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1BB6A5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3D3A05B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33B00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3.36944921</w:t>
            </w:r>
          </w:p>
        </w:tc>
        <w:tc>
          <w:tcPr>
            <w:tcW w:w="1339" w:type="dxa"/>
            <w:tcBorders>
              <w:tl2br w:val="nil"/>
              <w:tr2bl w:val="nil"/>
            </w:tcBorders>
            <w:noWrap w:val="0"/>
            <w:vAlign w:val="center"/>
          </w:tcPr>
          <w:p w14:paraId="59B967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3.36944921</w:t>
            </w:r>
          </w:p>
        </w:tc>
        <w:tc>
          <w:tcPr>
            <w:tcW w:w="797" w:type="dxa"/>
            <w:vMerge w:val="continue"/>
            <w:tcBorders>
              <w:tl2br w:val="nil"/>
              <w:tr2bl w:val="nil"/>
            </w:tcBorders>
            <w:noWrap w:val="0"/>
            <w:vAlign w:val="center"/>
          </w:tcPr>
          <w:p w14:paraId="0082861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F891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660A8F5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304C83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55CC0B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401EE50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6518769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C3D9BA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0BA4BA4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02DB70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1.684724605</w:t>
            </w:r>
          </w:p>
        </w:tc>
        <w:tc>
          <w:tcPr>
            <w:tcW w:w="1339" w:type="dxa"/>
            <w:tcBorders>
              <w:tl2br w:val="nil"/>
              <w:tr2bl w:val="nil"/>
            </w:tcBorders>
            <w:noWrap w:val="0"/>
            <w:vAlign w:val="center"/>
          </w:tcPr>
          <w:p w14:paraId="1C0D3D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1.684724605</w:t>
            </w:r>
          </w:p>
        </w:tc>
        <w:tc>
          <w:tcPr>
            <w:tcW w:w="797" w:type="dxa"/>
            <w:vMerge w:val="continue"/>
            <w:tcBorders>
              <w:tl2br w:val="nil"/>
              <w:tr2bl w:val="nil"/>
            </w:tcBorders>
            <w:noWrap w:val="0"/>
            <w:vAlign w:val="center"/>
          </w:tcPr>
          <w:p w14:paraId="768CC38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670E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6957B1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7456FAF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17D750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064EC57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392AB11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64DF54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3FD0F3B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69102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0.962699774</w:t>
            </w:r>
          </w:p>
        </w:tc>
        <w:tc>
          <w:tcPr>
            <w:tcW w:w="1339" w:type="dxa"/>
            <w:tcBorders>
              <w:tl2br w:val="nil"/>
              <w:tr2bl w:val="nil"/>
            </w:tcBorders>
            <w:noWrap w:val="0"/>
            <w:vAlign w:val="center"/>
          </w:tcPr>
          <w:p w14:paraId="6C00AA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0.962699774</w:t>
            </w:r>
          </w:p>
        </w:tc>
        <w:tc>
          <w:tcPr>
            <w:tcW w:w="797" w:type="dxa"/>
            <w:vMerge w:val="continue"/>
            <w:tcBorders>
              <w:tl2br w:val="nil"/>
              <w:tr2bl w:val="nil"/>
            </w:tcBorders>
            <w:noWrap w:val="0"/>
            <w:vAlign w:val="center"/>
          </w:tcPr>
          <w:p w14:paraId="1E3E24C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B284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2797170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2DA7C97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B4B516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40E791F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48F09B3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6F06A13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2D0E656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5DE9F1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0.612627129</w:t>
            </w:r>
          </w:p>
        </w:tc>
        <w:tc>
          <w:tcPr>
            <w:tcW w:w="1339" w:type="dxa"/>
            <w:tcBorders>
              <w:tl2br w:val="nil"/>
              <w:tr2bl w:val="nil"/>
            </w:tcBorders>
            <w:noWrap w:val="0"/>
            <w:vAlign w:val="center"/>
          </w:tcPr>
          <w:p w14:paraId="155CE4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0.612627129</w:t>
            </w:r>
          </w:p>
        </w:tc>
        <w:tc>
          <w:tcPr>
            <w:tcW w:w="797" w:type="dxa"/>
            <w:vMerge w:val="continue"/>
            <w:tcBorders>
              <w:tl2br w:val="nil"/>
              <w:tr2bl w:val="nil"/>
            </w:tcBorders>
            <w:noWrap w:val="0"/>
            <w:vAlign w:val="center"/>
          </w:tcPr>
          <w:p w14:paraId="26CE234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058A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continue"/>
            <w:tcBorders>
              <w:tl2br w:val="nil"/>
              <w:tr2bl w:val="nil"/>
            </w:tcBorders>
            <w:noWrap w:val="0"/>
            <w:vAlign w:val="center"/>
          </w:tcPr>
          <w:p w14:paraId="4ADAFF1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21C5903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75EA3ED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3089949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1851855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F237CE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1CEB4A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60FEE9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0.336941344</w:t>
            </w:r>
          </w:p>
        </w:tc>
        <w:tc>
          <w:tcPr>
            <w:tcW w:w="1339" w:type="dxa"/>
            <w:tcBorders>
              <w:tl2br w:val="nil"/>
              <w:tr2bl w:val="nil"/>
            </w:tcBorders>
            <w:noWrap w:val="0"/>
            <w:vAlign w:val="center"/>
          </w:tcPr>
          <w:p w14:paraId="00C4E8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0.336941344</w:t>
            </w:r>
          </w:p>
        </w:tc>
        <w:tc>
          <w:tcPr>
            <w:tcW w:w="797" w:type="dxa"/>
            <w:vMerge w:val="continue"/>
            <w:tcBorders>
              <w:tl2br w:val="nil"/>
              <w:tr2bl w:val="nil"/>
            </w:tcBorders>
            <w:noWrap w:val="0"/>
            <w:vAlign w:val="center"/>
          </w:tcPr>
          <w:p w14:paraId="043E6BA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51284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8" w:type="dxa"/>
            <w:vMerge w:val="restart"/>
            <w:tcBorders>
              <w:tl2br w:val="nil"/>
              <w:tr2bl w:val="nil"/>
            </w:tcBorders>
            <w:noWrap w:val="0"/>
            <w:vAlign w:val="center"/>
          </w:tcPr>
          <w:p w14:paraId="1889AE4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苯酚</w:t>
            </w:r>
          </w:p>
        </w:tc>
        <w:tc>
          <w:tcPr>
            <w:tcW w:w="608" w:type="dxa"/>
            <w:vMerge w:val="continue"/>
            <w:tcBorders>
              <w:tl2br w:val="nil"/>
              <w:tr2bl w:val="nil"/>
            </w:tcBorders>
            <w:noWrap w:val="0"/>
            <w:vAlign w:val="center"/>
          </w:tcPr>
          <w:p w14:paraId="74638DA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4F44391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1793EE1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9419</w:t>
            </w:r>
          </w:p>
        </w:tc>
        <w:tc>
          <w:tcPr>
            <w:tcW w:w="694" w:type="dxa"/>
            <w:vMerge w:val="continue"/>
            <w:tcBorders>
              <w:tl2br w:val="nil"/>
              <w:tr2bl w:val="nil"/>
            </w:tcBorders>
            <w:noWrap w:val="0"/>
            <w:vAlign w:val="center"/>
          </w:tcPr>
          <w:p w14:paraId="4CDA998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restart"/>
            <w:tcBorders>
              <w:tl2br w:val="nil"/>
              <w:tr2bl w:val="nil"/>
            </w:tcBorders>
            <w:noWrap w:val="0"/>
            <w:vAlign w:val="center"/>
          </w:tcPr>
          <w:p w14:paraId="0103465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672000</w:t>
            </w:r>
          </w:p>
        </w:tc>
        <w:tc>
          <w:tcPr>
            <w:tcW w:w="810" w:type="dxa"/>
            <w:vMerge w:val="restart"/>
            <w:tcBorders>
              <w:tl2br w:val="nil"/>
              <w:tr2bl w:val="nil"/>
            </w:tcBorders>
            <w:noWrap w:val="0"/>
            <w:vAlign w:val="center"/>
          </w:tcPr>
          <w:p w14:paraId="1AF2CC0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380" w:type="dxa"/>
            <w:tcBorders>
              <w:tl2br w:val="nil"/>
              <w:tr2bl w:val="nil"/>
            </w:tcBorders>
            <w:noWrap w:val="0"/>
            <w:vAlign w:val="center"/>
          </w:tcPr>
          <w:p w14:paraId="531C65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11.26502422</w:t>
            </w:r>
          </w:p>
        </w:tc>
        <w:tc>
          <w:tcPr>
            <w:tcW w:w="1339" w:type="dxa"/>
            <w:tcBorders>
              <w:tl2br w:val="nil"/>
              <w:tr2bl w:val="nil"/>
            </w:tcBorders>
            <w:noWrap w:val="0"/>
            <w:vAlign w:val="center"/>
          </w:tcPr>
          <w:p w14:paraId="327F76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11.26502422</w:t>
            </w:r>
          </w:p>
        </w:tc>
        <w:tc>
          <w:tcPr>
            <w:tcW w:w="797" w:type="dxa"/>
            <w:vMerge w:val="continue"/>
            <w:tcBorders>
              <w:tl2br w:val="nil"/>
              <w:tr2bl w:val="nil"/>
            </w:tcBorders>
            <w:noWrap w:val="0"/>
            <w:vAlign w:val="center"/>
          </w:tcPr>
          <w:p w14:paraId="5C4503A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969C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63FD2FC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74E3D36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F7C80A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2375BB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w:t>
            </w:r>
          </w:p>
        </w:tc>
        <w:tc>
          <w:tcPr>
            <w:tcW w:w="694" w:type="dxa"/>
            <w:vMerge w:val="continue"/>
            <w:tcBorders>
              <w:tl2br w:val="nil"/>
              <w:tr2bl w:val="nil"/>
            </w:tcBorders>
            <w:noWrap w:val="0"/>
            <w:vAlign w:val="center"/>
          </w:tcPr>
          <w:p w14:paraId="3EEBAFD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51CB15C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1049B0B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39F724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5.632512112</w:t>
            </w:r>
          </w:p>
        </w:tc>
        <w:tc>
          <w:tcPr>
            <w:tcW w:w="1339" w:type="dxa"/>
            <w:tcBorders>
              <w:tl2br w:val="nil"/>
              <w:tr2bl w:val="nil"/>
            </w:tcBorders>
            <w:noWrap w:val="0"/>
            <w:vAlign w:val="center"/>
          </w:tcPr>
          <w:p w14:paraId="28AF79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5.632512112</w:t>
            </w:r>
          </w:p>
        </w:tc>
        <w:tc>
          <w:tcPr>
            <w:tcW w:w="797" w:type="dxa"/>
            <w:vMerge w:val="continue"/>
            <w:tcBorders>
              <w:tl2br w:val="nil"/>
              <w:tr2bl w:val="nil"/>
            </w:tcBorders>
            <w:noWrap w:val="0"/>
            <w:vAlign w:val="center"/>
          </w:tcPr>
          <w:p w14:paraId="4A290DF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3F9AF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4A17883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F537C2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32007E1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CBFAA6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37676</w:t>
            </w:r>
          </w:p>
        </w:tc>
        <w:tc>
          <w:tcPr>
            <w:tcW w:w="694" w:type="dxa"/>
            <w:vMerge w:val="continue"/>
            <w:tcBorders>
              <w:tl2br w:val="nil"/>
              <w:tr2bl w:val="nil"/>
            </w:tcBorders>
            <w:noWrap w:val="0"/>
            <w:vAlign w:val="center"/>
          </w:tcPr>
          <w:p w14:paraId="1AF89EE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43EF450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4E8C18A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4D26B8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2.816256056</w:t>
            </w:r>
          </w:p>
        </w:tc>
        <w:tc>
          <w:tcPr>
            <w:tcW w:w="1339" w:type="dxa"/>
            <w:tcBorders>
              <w:tl2br w:val="nil"/>
              <w:tr2bl w:val="nil"/>
            </w:tcBorders>
            <w:noWrap w:val="0"/>
            <w:vAlign w:val="center"/>
          </w:tcPr>
          <w:p w14:paraId="208ED0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2.816256056</w:t>
            </w:r>
          </w:p>
        </w:tc>
        <w:tc>
          <w:tcPr>
            <w:tcW w:w="797" w:type="dxa"/>
            <w:vMerge w:val="continue"/>
            <w:tcBorders>
              <w:tl2br w:val="nil"/>
              <w:tr2bl w:val="nil"/>
            </w:tcBorders>
            <w:noWrap w:val="0"/>
            <w:vAlign w:val="center"/>
          </w:tcPr>
          <w:p w14:paraId="134C762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2A747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5E910C3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6DA8F13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08E76F6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666BC03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65933</w:t>
            </w:r>
          </w:p>
        </w:tc>
        <w:tc>
          <w:tcPr>
            <w:tcW w:w="694" w:type="dxa"/>
            <w:vMerge w:val="continue"/>
            <w:tcBorders>
              <w:tl2br w:val="nil"/>
              <w:tr2bl w:val="nil"/>
            </w:tcBorders>
            <w:noWrap w:val="0"/>
            <w:vAlign w:val="center"/>
          </w:tcPr>
          <w:p w14:paraId="2BBEFE9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3A4331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1A5BDD6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2E7C54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1.609289175</w:t>
            </w:r>
          </w:p>
        </w:tc>
        <w:tc>
          <w:tcPr>
            <w:tcW w:w="1339" w:type="dxa"/>
            <w:tcBorders>
              <w:tl2br w:val="nil"/>
              <w:tr2bl w:val="nil"/>
            </w:tcBorders>
            <w:noWrap w:val="0"/>
            <w:vAlign w:val="center"/>
          </w:tcPr>
          <w:p w14:paraId="11173B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1.609289175</w:t>
            </w:r>
          </w:p>
        </w:tc>
        <w:tc>
          <w:tcPr>
            <w:tcW w:w="797" w:type="dxa"/>
            <w:vMerge w:val="continue"/>
            <w:tcBorders>
              <w:tl2br w:val="nil"/>
              <w:tr2bl w:val="nil"/>
            </w:tcBorders>
            <w:noWrap w:val="0"/>
            <w:vAlign w:val="center"/>
          </w:tcPr>
          <w:p w14:paraId="0E1DC1E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E221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08" w:type="dxa"/>
            <w:vMerge w:val="continue"/>
            <w:tcBorders>
              <w:tl2br w:val="nil"/>
              <w:tr2bl w:val="nil"/>
            </w:tcBorders>
            <w:noWrap w:val="0"/>
            <w:vAlign w:val="center"/>
          </w:tcPr>
          <w:p w14:paraId="26A5167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DCA902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69A776C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5C1F894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103609</w:t>
            </w:r>
          </w:p>
        </w:tc>
        <w:tc>
          <w:tcPr>
            <w:tcW w:w="694" w:type="dxa"/>
            <w:vMerge w:val="continue"/>
            <w:tcBorders>
              <w:tl2br w:val="nil"/>
              <w:tr2bl w:val="nil"/>
            </w:tcBorders>
            <w:noWrap w:val="0"/>
            <w:vAlign w:val="center"/>
          </w:tcPr>
          <w:p w14:paraId="25D9CAB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01A5614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5030182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188557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1.024093111</w:t>
            </w:r>
          </w:p>
        </w:tc>
        <w:tc>
          <w:tcPr>
            <w:tcW w:w="1339" w:type="dxa"/>
            <w:tcBorders>
              <w:tl2br w:val="nil"/>
              <w:tr2bl w:val="nil"/>
            </w:tcBorders>
            <w:noWrap w:val="0"/>
            <w:vAlign w:val="center"/>
          </w:tcPr>
          <w:p w14:paraId="62FCBE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1.024093111</w:t>
            </w:r>
          </w:p>
        </w:tc>
        <w:tc>
          <w:tcPr>
            <w:tcW w:w="797" w:type="dxa"/>
            <w:vMerge w:val="continue"/>
            <w:tcBorders>
              <w:tl2br w:val="nil"/>
              <w:tr2bl w:val="nil"/>
            </w:tcBorders>
            <w:noWrap w:val="0"/>
            <w:vAlign w:val="center"/>
          </w:tcPr>
          <w:p w14:paraId="0926EE3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E814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8" w:type="dxa"/>
            <w:vMerge w:val="continue"/>
            <w:tcBorders>
              <w:tl2br w:val="nil"/>
              <w:tr2bl w:val="nil"/>
            </w:tcBorders>
            <w:noWrap w:val="0"/>
            <w:vAlign w:val="center"/>
          </w:tcPr>
          <w:p w14:paraId="64A9A36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08" w:type="dxa"/>
            <w:vMerge w:val="continue"/>
            <w:tcBorders>
              <w:tl2br w:val="nil"/>
              <w:tr2bl w:val="nil"/>
            </w:tcBorders>
            <w:noWrap w:val="0"/>
            <w:vAlign w:val="center"/>
          </w:tcPr>
          <w:p w14:paraId="31EC92F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38" w:type="dxa"/>
            <w:vMerge w:val="continue"/>
            <w:tcBorders>
              <w:tl2br w:val="nil"/>
              <w:tr2bl w:val="nil"/>
            </w:tcBorders>
            <w:noWrap w:val="0"/>
            <w:vAlign w:val="center"/>
          </w:tcPr>
          <w:p w14:paraId="49C59FF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84" w:type="dxa"/>
            <w:tcBorders>
              <w:tl2br w:val="nil"/>
              <w:tr2bl w:val="nil"/>
            </w:tcBorders>
            <w:noWrap w:val="0"/>
            <w:vAlign w:val="center"/>
          </w:tcPr>
          <w:p w14:paraId="218F59E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sz w:val="21"/>
                <w:szCs w:val="21"/>
                <w:highlight w:val="none"/>
                <w:u w:val="none" w:color="auto"/>
                <w:vertAlign w:val="baseline"/>
                <w:lang w:val="en-US" w:eastAsia="zh-CN"/>
              </w:rPr>
              <w:t>188382</w:t>
            </w:r>
          </w:p>
        </w:tc>
        <w:tc>
          <w:tcPr>
            <w:tcW w:w="694" w:type="dxa"/>
            <w:vMerge w:val="continue"/>
            <w:tcBorders>
              <w:tl2br w:val="nil"/>
              <w:tr2bl w:val="nil"/>
            </w:tcBorders>
            <w:noWrap w:val="0"/>
            <w:vAlign w:val="center"/>
          </w:tcPr>
          <w:p w14:paraId="20DC2D9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664" w:type="dxa"/>
            <w:vMerge w:val="continue"/>
            <w:tcBorders>
              <w:tl2br w:val="nil"/>
              <w:tr2bl w:val="nil"/>
            </w:tcBorders>
            <w:noWrap w:val="0"/>
            <w:vAlign w:val="center"/>
          </w:tcPr>
          <w:p w14:paraId="7B5BF15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810" w:type="dxa"/>
            <w:vMerge w:val="continue"/>
            <w:tcBorders>
              <w:tl2br w:val="nil"/>
              <w:tr2bl w:val="nil"/>
            </w:tcBorders>
            <w:noWrap w:val="0"/>
            <w:vAlign w:val="center"/>
          </w:tcPr>
          <w:p w14:paraId="710E3E3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380" w:type="dxa"/>
            <w:tcBorders>
              <w:tl2br w:val="nil"/>
              <w:tr2bl w:val="nil"/>
            </w:tcBorders>
            <w:noWrap w:val="0"/>
            <w:vAlign w:val="center"/>
          </w:tcPr>
          <w:p w14:paraId="7B2F3C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0.563245231</w:t>
            </w:r>
          </w:p>
        </w:tc>
        <w:tc>
          <w:tcPr>
            <w:tcW w:w="1339" w:type="dxa"/>
            <w:tcBorders>
              <w:tl2br w:val="nil"/>
              <w:tr2bl w:val="nil"/>
            </w:tcBorders>
            <w:noWrap w:val="0"/>
            <w:vAlign w:val="center"/>
          </w:tcPr>
          <w:p w14:paraId="6729D5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0.563245231</w:t>
            </w:r>
          </w:p>
        </w:tc>
        <w:tc>
          <w:tcPr>
            <w:tcW w:w="797" w:type="dxa"/>
            <w:vMerge w:val="continue"/>
            <w:tcBorders>
              <w:tl2br w:val="nil"/>
              <w:tr2bl w:val="nil"/>
            </w:tcBorders>
            <w:noWrap w:val="0"/>
            <w:vAlign w:val="center"/>
          </w:tcPr>
          <w:p w14:paraId="3288150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BF38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22" w:type="dxa"/>
            <w:gridSpan w:val="10"/>
            <w:tcBorders>
              <w:tl2br w:val="nil"/>
              <w:tr2bl w:val="nil"/>
            </w:tcBorders>
            <w:noWrap w:val="0"/>
            <w:vAlign w:val="center"/>
          </w:tcPr>
          <w:p w14:paraId="3F00EA7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注：根据土壤环境质量现状监测结果可知：VOCs均未检出，则本次评价背景值取0</w:t>
            </w:r>
            <w:r>
              <w:rPr>
                <w:rFonts w:hint="default" w:ascii="Times New Roman" w:hAnsi="Times New Roman" w:eastAsia="宋体" w:cs="Times New Roman"/>
                <w:color w:val="auto"/>
                <w:sz w:val="21"/>
                <w:szCs w:val="21"/>
                <w:highlight w:val="none"/>
                <w:u w:val="none" w:color="auto"/>
                <w:vertAlign w:val="baseline"/>
                <w:lang w:val="en-US" w:eastAsia="zh-CN"/>
              </w:rPr>
              <w:t>mg/kg</w:t>
            </w:r>
            <w:r>
              <w:rPr>
                <w:rFonts w:hint="eastAsia" w:ascii="Times New Roman" w:hAnsi="Times New Roman" w:eastAsia="宋体" w:cs="Times New Roman"/>
                <w:color w:val="auto"/>
                <w:sz w:val="21"/>
                <w:szCs w:val="21"/>
                <w:highlight w:val="none"/>
                <w:u w:val="none" w:color="auto"/>
                <w:vertAlign w:val="baseline"/>
                <w:lang w:val="en-US" w:eastAsia="zh-CN"/>
              </w:rPr>
              <w:t>。</w:t>
            </w:r>
          </w:p>
        </w:tc>
      </w:tr>
    </w:tbl>
    <w:p w14:paraId="0508C17A">
      <w:pPr>
        <w:pStyle w:val="21"/>
        <w:bidi w:val="0"/>
        <w:rPr>
          <w:rFonts w:hint="eastAsia"/>
          <w:color w:val="auto"/>
          <w:u w:val="none" w:color="auto"/>
          <w:lang w:val="en-US" w:eastAsia="zh-CN"/>
        </w:rPr>
      </w:pPr>
      <w:r>
        <w:rPr>
          <w:rFonts w:hint="eastAsia"/>
          <w:color w:val="auto"/>
          <w:u w:val="none" w:color="auto"/>
          <w:lang w:val="en-US" w:eastAsia="zh-CN"/>
        </w:rPr>
        <w:t>根据以上表预测结果可知：分别以5%、10%、20%、35%、55%和100%评价范围面积为基础的情况下，建设项目运营5年、10年、30年土壤中VOCs、甲醛、苯酚增加量较小，对土壤环境影响较小。</w:t>
      </w:r>
    </w:p>
    <w:p w14:paraId="63A79C42">
      <w:pPr>
        <w:pStyle w:val="21"/>
        <w:bidi w:val="0"/>
        <w:rPr>
          <w:rFonts w:hint="default"/>
          <w:color w:val="auto"/>
          <w:u w:val="none" w:color="auto"/>
          <w:lang w:val="en-US" w:eastAsia="zh-CN"/>
        </w:rPr>
      </w:pPr>
      <w:r>
        <w:rPr>
          <w:rFonts w:hint="eastAsia"/>
          <w:color w:val="auto"/>
          <w:u w:val="none" w:color="auto"/>
          <w:lang w:val="en-US" w:eastAsia="zh-CN"/>
        </w:rPr>
        <w:t>2、</w:t>
      </w:r>
      <w:r>
        <w:rPr>
          <w:rFonts w:hint="default"/>
          <w:color w:val="auto"/>
          <w:u w:val="none" w:color="auto"/>
          <w:lang w:val="en-US" w:eastAsia="zh-CN"/>
        </w:rPr>
        <w:t>垂直入渗</w:t>
      </w:r>
    </w:p>
    <w:p w14:paraId="3840E48C">
      <w:pPr>
        <w:pStyle w:val="21"/>
        <w:bidi w:val="0"/>
        <w:rPr>
          <w:rFonts w:hint="default" w:ascii="Times New Roman" w:hAnsi="Times New Roman" w:eastAsia="宋体" w:cs="Times New Roman"/>
          <w:b/>
          <w:snapToGrid w:val="0"/>
          <w:color w:val="auto"/>
          <w:szCs w:val="24"/>
          <w:u w:val="none" w:color="auto"/>
        </w:rPr>
      </w:pPr>
      <w:r>
        <w:rPr>
          <w:rFonts w:hint="default"/>
          <w:color w:val="auto"/>
          <w:u w:val="none" w:color="auto"/>
        </w:rPr>
        <w:t>对于地下或半地下工程构筑物，在事故情况下，会造成物料、污染物等的泄露，通过垂直入渗进一步污染土壤。本项目根据场地特性和项目特征，制定分区防渗。对于地下及半地下工程构筑物采取重点防渗，对于可能发生物料和污染物泄露的地上构筑物采取一般防渗，其他区域按建筑要求做地面处理。防渗材料应与物料或污染物相兼容，其渗透系数应小于等于1.0×10</w:t>
      </w:r>
      <w:r>
        <w:rPr>
          <w:rFonts w:hint="default"/>
          <w:color w:val="auto"/>
          <w:u w:val="none" w:color="auto"/>
          <w:vertAlign w:val="superscript"/>
        </w:rPr>
        <w:t>-7</w:t>
      </w:r>
      <w:r>
        <w:rPr>
          <w:rFonts w:hint="default"/>
          <w:color w:val="auto"/>
          <w:u w:val="none" w:color="auto"/>
        </w:rPr>
        <w:t>cm/s。在全面落实分区防渗措施的情况下，物料或污染物的垂直入渗对土壤影响较小。</w:t>
      </w:r>
    </w:p>
    <w:p w14:paraId="0BB89F5F">
      <w:pPr>
        <w:widowControl/>
        <w:spacing w:line="360" w:lineRule="auto"/>
        <w:outlineLvl w:val="3"/>
        <w:rPr>
          <w:rFonts w:hint="default" w:ascii="Times New Roman" w:hAnsi="Times New Roman" w:eastAsia="宋体" w:cs="Times New Roman"/>
          <w:b/>
          <w:bCs/>
          <w:color w:val="auto"/>
          <w:sz w:val="24"/>
          <w:szCs w:val="24"/>
          <w:u w:val="none" w:color="auto"/>
          <w:lang w:val="en-US" w:eastAsia="zh-CN"/>
        </w:rPr>
      </w:pPr>
      <w:bookmarkStart w:id="1146" w:name="_Toc26261"/>
      <w:bookmarkStart w:id="1147" w:name="_Toc18717"/>
      <w:bookmarkStart w:id="1148" w:name="_Toc6318"/>
      <w:bookmarkStart w:id="1149" w:name="_Toc26275"/>
      <w:bookmarkStart w:id="1150" w:name="_Toc27112"/>
      <w:r>
        <w:rPr>
          <w:rFonts w:hint="default" w:ascii="Times New Roman" w:hAnsi="Times New Roman" w:eastAsia="宋体" w:cs="Times New Roman"/>
          <w:b/>
          <w:bCs/>
          <w:color w:val="auto"/>
          <w:sz w:val="24"/>
          <w:szCs w:val="24"/>
          <w:u w:val="none" w:color="auto"/>
          <w:lang w:val="en-US" w:eastAsia="zh-CN"/>
        </w:rPr>
        <w:t>5.2.</w:t>
      </w:r>
      <w:r>
        <w:rPr>
          <w:rFonts w:hint="eastAsia" w:ascii="Times New Roman" w:hAnsi="Times New Roman" w:eastAsia="宋体" w:cs="Times New Roman"/>
          <w:b/>
          <w:bCs/>
          <w:color w:val="auto"/>
          <w:sz w:val="24"/>
          <w:szCs w:val="24"/>
          <w:u w:val="none" w:color="auto"/>
          <w:lang w:val="en-US" w:eastAsia="zh-CN"/>
        </w:rPr>
        <w:t>7.7</w:t>
      </w:r>
      <w:r>
        <w:rPr>
          <w:rFonts w:hint="default" w:ascii="Times New Roman" w:hAnsi="Times New Roman" w:eastAsia="宋体" w:cs="Times New Roman"/>
          <w:b/>
          <w:bCs/>
          <w:color w:val="auto"/>
          <w:sz w:val="24"/>
          <w:szCs w:val="24"/>
          <w:u w:val="none" w:color="auto"/>
          <w:lang w:val="en-US" w:eastAsia="zh-CN"/>
        </w:rPr>
        <w:t xml:space="preserve"> 土壤环境保护措施与对策</w:t>
      </w:r>
      <w:bookmarkEnd w:id="1146"/>
      <w:bookmarkEnd w:id="1147"/>
      <w:bookmarkEnd w:id="1148"/>
      <w:bookmarkEnd w:id="1149"/>
      <w:bookmarkEnd w:id="1150"/>
    </w:p>
    <w:p w14:paraId="10BFCD8E">
      <w:pPr>
        <w:pStyle w:val="12"/>
        <w:spacing w:line="360" w:lineRule="auto"/>
        <w:ind w:firstLine="482"/>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根据本项目土壤环境质量现状调查可知，项目所在区域土壤主要为黄色、红棕色粘土，区域土壤环境质量较好。</w:t>
      </w:r>
    </w:p>
    <w:p w14:paraId="35CA3AE5">
      <w:pPr>
        <w:pStyle w:val="12"/>
        <w:spacing w:line="360" w:lineRule="auto"/>
        <w:ind w:firstLine="482"/>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本项目对土壤可能产生影响的途径主要为</w:t>
      </w:r>
      <w:r>
        <w:rPr>
          <w:rFonts w:hint="eastAsia" w:ascii="Times New Roman" w:hAnsi="Times New Roman" w:eastAsia="宋体" w:cs="Times New Roman"/>
          <w:color w:val="auto"/>
          <w:sz w:val="24"/>
          <w:szCs w:val="24"/>
          <w:u w:val="none" w:color="auto"/>
          <w:lang w:val="en-US" w:eastAsia="zh-CN"/>
        </w:rPr>
        <w:t>大气沉降</w:t>
      </w:r>
      <w:r>
        <w:rPr>
          <w:rFonts w:hint="default" w:ascii="Times New Roman" w:hAnsi="Times New Roman" w:eastAsia="宋体" w:cs="Times New Roman"/>
          <w:color w:val="auto"/>
          <w:sz w:val="24"/>
          <w:szCs w:val="24"/>
          <w:u w:val="none" w:color="auto"/>
          <w:lang w:val="en-US" w:eastAsia="zh-CN"/>
        </w:rPr>
        <w:t>过程未采取土壤保护措施或保护措施不当，会有部分污染物随着进入土壤。</w:t>
      </w:r>
    </w:p>
    <w:p w14:paraId="13FFF582">
      <w:pPr>
        <w:spacing w:line="360" w:lineRule="auto"/>
        <w:ind w:firstLine="482"/>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根据《环境影响评价技术导则 土壤环境》（HJ964-2018）、《工矿用地土壤环境管理办法（试行）》（部令第3号）等要求，拟建项目应采取如下土壤污染控制措施：</w:t>
      </w:r>
    </w:p>
    <w:p w14:paraId="4B5D6B08">
      <w:pPr>
        <w:pStyle w:val="21"/>
        <w:bidi w:val="0"/>
        <w:rPr>
          <w:rFonts w:hint="default"/>
          <w:color w:val="auto"/>
          <w:u w:val="none" w:color="auto"/>
          <w:lang w:val="en-US" w:eastAsia="zh-CN"/>
        </w:rPr>
      </w:pPr>
      <w:bookmarkStart w:id="1151" w:name="_Toc14996"/>
      <w:r>
        <w:rPr>
          <w:rFonts w:hint="default"/>
          <w:color w:val="auto"/>
          <w:u w:val="none" w:color="auto"/>
          <w:lang w:val="en-US" w:eastAsia="zh-CN"/>
        </w:rPr>
        <w:t>1、源头控制措施</w:t>
      </w:r>
      <w:bookmarkEnd w:id="1151"/>
    </w:p>
    <w:p w14:paraId="16AFBBEC">
      <w:pPr>
        <w:spacing w:line="360" w:lineRule="auto"/>
        <w:ind w:firstLine="482"/>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控制项目污染物的排放。大力推广闭路循环、清洁工艺，以减少污染物排放；控制污染物排放的数量和浓度，使之符合排放标准和总量控制要求。</w:t>
      </w:r>
    </w:p>
    <w:p w14:paraId="2D791BEE">
      <w:pPr>
        <w:pStyle w:val="21"/>
        <w:bidi w:val="0"/>
        <w:rPr>
          <w:rFonts w:hint="default"/>
          <w:color w:val="auto"/>
          <w:u w:val="none" w:color="auto"/>
        </w:rPr>
      </w:pPr>
      <w:bookmarkStart w:id="1152" w:name="_Toc4998"/>
      <w:bookmarkStart w:id="1153" w:name="_Toc1694"/>
      <w:r>
        <w:rPr>
          <w:rFonts w:hint="default"/>
          <w:color w:val="auto"/>
          <w:u w:val="none" w:color="auto"/>
        </w:rPr>
        <w:t>2、过程防控措施</w:t>
      </w:r>
      <w:bookmarkEnd w:id="1152"/>
      <w:bookmarkEnd w:id="1153"/>
      <w:r>
        <w:rPr>
          <w:rFonts w:hint="default"/>
          <w:color w:val="auto"/>
          <w:u w:val="none" w:color="auto"/>
        </w:rPr>
        <w:t xml:space="preserve"> </w:t>
      </w:r>
    </w:p>
    <w:p w14:paraId="6815F60F">
      <w:pPr>
        <w:spacing w:line="360" w:lineRule="auto"/>
        <w:ind w:firstLine="480"/>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（1）拟建项目建成后应加强厂区的绿化工作，尽量选择适宜当地环境且对大气污染物具有较强吸附能力的植物，从而控制污染物通过大气沉降影响土壤环境。</w:t>
      </w:r>
    </w:p>
    <w:p w14:paraId="374589DB">
      <w:pPr>
        <w:spacing w:line="360" w:lineRule="auto"/>
        <w:ind w:firstLine="480"/>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2）严格按照防渗分区及防渗要求，对各构筑物采取相应的防渗措施；装置和管道等存在土壤污染风险的设施，应当按照国家有关标准和规范的要求，设计、建设和安装有关防腐蚀、防泄漏设施和泄漏监测装置，从而控制污染物通过垂直入渗影响土壤环境。</w:t>
      </w:r>
    </w:p>
    <w:p w14:paraId="2AC9914A">
      <w:pPr>
        <w:spacing w:line="360" w:lineRule="auto"/>
        <w:ind w:firstLine="480"/>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（3）建立土壤污染隐患排查治理制度，定期对重点区域、重点设施开展隐患排查。发现污染隐患的，应当制定整改方案，及时采取技术、管理措施消除隐患。隐患排查、治理情况应当如实记录并建立档案。</w:t>
      </w:r>
    </w:p>
    <w:p w14:paraId="5C6809C8">
      <w:pPr>
        <w:spacing w:line="360" w:lineRule="auto"/>
        <w:ind w:firstLine="480"/>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（4）按照相关技术规范要求，自行或者委托第三方定期开展土壤监测，重点监测存在污染隐患的区域和设施周边的土壤、地下水，并按照规定公开相关信息。</w:t>
      </w:r>
    </w:p>
    <w:p w14:paraId="5D608410">
      <w:pPr>
        <w:spacing w:line="360" w:lineRule="auto"/>
        <w:ind w:firstLine="480"/>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5）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14:paraId="524C48D4">
      <w:pPr>
        <w:pStyle w:val="21"/>
        <w:bidi w:val="0"/>
        <w:rPr>
          <w:rFonts w:hint="default"/>
          <w:color w:val="auto"/>
          <w:u w:val="none" w:color="auto"/>
        </w:rPr>
      </w:pPr>
      <w:bookmarkStart w:id="1154" w:name="_Toc28664"/>
      <w:bookmarkStart w:id="1155" w:name="_Toc30164"/>
      <w:r>
        <w:rPr>
          <w:rFonts w:hint="default"/>
          <w:color w:val="auto"/>
          <w:u w:val="none" w:color="auto"/>
        </w:rPr>
        <w:t>3、环境跟踪监测方案</w:t>
      </w:r>
      <w:bookmarkEnd w:id="1154"/>
      <w:bookmarkEnd w:id="1155"/>
    </w:p>
    <w:p w14:paraId="37D224AF">
      <w:pPr>
        <w:pStyle w:val="12"/>
        <w:spacing w:line="360" w:lineRule="auto"/>
        <w:ind w:firstLine="480"/>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val="en-US" w:eastAsia="zh-CN"/>
        </w:rPr>
        <w:t>根据《环境影响评价技术导则 土壤环境》（HJ964-2018)，制定土壤环境跟踪监测计划</w:t>
      </w:r>
      <w:r>
        <w:rPr>
          <w:rFonts w:hint="eastAsia" w:ascii="Times New Roman" w:hAnsi="Times New Roman" w:eastAsia="宋体" w:cs="Times New Roman"/>
          <w:color w:val="auto"/>
          <w:kern w:val="0"/>
          <w:sz w:val="24"/>
          <w:szCs w:val="24"/>
          <w:u w:val="none" w:color="auto"/>
          <w:lang w:val="en-US" w:eastAsia="zh-CN"/>
        </w:rPr>
        <w:t>，具体见8.2--环境监测计划</w:t>
      </w:r>
      <w:r>
        <w:rPr>
          <w:rFonts w:hint="default" w:ascii="Times New Roman" w:hAnsi="Times New Roman" w:eastAsia="宋体" w:cs="Times New Roman"/>
          <w:color w:val="auto"/>
          <w:kern w:val="0"/>
          <w:sz w:val="24"/>
          <w:szCs w:val="24"/>
          <w:u w:val="none" w:color="auto"/>
          <w:lang w:val="en-US" w:eastAsia="zh-CN"/>
        </w:rPr>
        <w:t>。</w:t>
      </w:r>
    </w:p>
    <w:p w14:paraId="563AE376">
      <w:pPr>
        <w:widowControl/>
        <w:adjustRightInd w:val="0"/>
        <w:snapToGrid w:val="0"/>
        <w:spacing w:line="360" w:lineRule="auto"/>
        <w:ind w:firstLine="482"/>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根据本次环评现状监测，项目厂址区域土壤各污染物均满足《土壤环境质量 建设用地土壤污染风险管控标准（试行）》（GB36600-2018）筛选值第二类用地限值要求。</w:t>
      </w:r>
    </w:p>
    <w:p w14:paraId="592B2496">
      <w:pPr>
        <w:spacing w:line="360" w:lineRule="auto"/>
        <w:ind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在严格落实废气处理、重点区域防渗措施的条件下，拟建项目对土壤环境影响风险较小，在建立完善的土壤环境跟踪监测计划后，本项目运行对土壤污染的风险可控。</w:t>
      </w:r>
    </w:p>
    <w:p w14:paraId="2162E53B">
      <w:pPr>
        <w:pStyle w:val="21"/>
        <w:bidi w:val="0"/>
        <w:rPr>
          <w:rFonts w:hint="default"/>
          <w:color w:val="auto"/>
          <w:u w:val="none" w:color="auto"/>
          <w:lang w:val="en-US" w:eastAsia="zh-CN"/>
        </w:rPr>
      </w:pPr>
      <w:r>
        <w:rPr>
          <w:rFonts w:hint="default" w:ascii="Times New Roman" w:hAnsi="Times New Roman" w:eastAsia="宋体" w:cs="Times New Roman"/>
          <w:color w:val="auto"/>
          <w:sz w:val="24"/>
          <w:szCs w:val="24"/>
          <w:u w:val="none" w:color="auto"/>
        </w:rPr>
        <w:t>非正常工况或事故情况下，如：喷涂车间、危险废物暂存间等发生渗漏、泄漏。污染物渗入土壤，会对土壤环境造成一定的影响。根据同类工程类比分析，在采取有效的防渗漏措施的前提下，渗漏发生的概率较小</w:t>
      </w:r>
      <w:r>
        <w:rPr>
          <w:color w:val="auto"/>
          <w:u w:val="none" w:color="auto"/>
        </w:rPr>
        <w:t>。</w:t>
      </w:r>
    </w:p>
    <w:p w14:paraId="7D0C1D26">
      <w:pPr>
        <w:pStyle w:val="7"/>
        <w:bidi w:val="0"/>
        <w:rPr>
          <w:rFonts w:hint="default"/>
          <w:color w:val="auto"/>
          <w:u w:val="none" w:color="auto"/>
          <w:lang w:eastAsia="zh-CN"/>
        </w:rPr>
      </w:pPr>
      <w:bookmarkStart w:id="1156" w:name="_Toc15015"/>
      <w:bookmarkStart w:id="1157" w:name="_Toc20964"/>
      <w:bookmarkStart w:id="1158" w:name="_Toc6401"/>
      <w:bookmarkStart w:id="1159" w:name="_Toc5693"/>
      <w:bookmarkStart w:id="1160" w:name="_Toc18757"/>
      <w:bookmarkStart w:id="1161" w:name="_Toc21794"/>
      <w:bookmarkStart w:id="1162" w:name="_Toc7599_WPSOffice_Level1"/>
      <w:bookmarkStart w:id="1163" w:name="_Toc22401_WPSOffice_Level1"/>
      <w:bookmarkStart w:id="1164" w:name="_Toc28466_WPSOffice_Level1"/>
      <w:bookmarkStart w:id="1165" w:name="_Toc6163"/>
      <w:bookmarkStart w:id="1166" w:name="_Toc8534_WPSOffice_Level1"/>
      <w:r>
        <w:rPr>
          <w:rFonts w:hint="eastAsia"/>
          <w:color w:val="auto"/>
          <w:u w:val="none" w:color="auto"/>
          <w:lang w:val="en-US" w:eastAsia="zh-CN"/>
        </w:rPr>
        <w:t>5</w:t>
      </w:r>
      <w:r>
        <w:rPr>
          <w:rFonts w:hint="default"/>
          <w:color w:val="auto"/>
          <w:u w:val="none" w:color="auto"/>
          <w:lang w:val="en-US" w:eastAsia="zh-CN"/>
        </w:rPr>
        <w:t>.3</w:t>
      </w:r>
      <w:r>
        <w:rPr>
          <w:rFonts w:hint="default"/>
          <w:color w:val="auto"/>
          <w:u w:val="none" w:color="auto"/>
          <w:lang w:eastAsia="zh-CN"/>
        </w:rPr>
        <w:t>环境风险评价</w:t>
      </w:r>
      <w:bookmarkEnd w:id="1156"/>
      <w:bookmarkEnd w:id="1157"/>
      <w:bookmarkEnd w:id="1158"/>
      <w:bookmarkEnd w:id="1159"/>
      <w:bookmarkEnd w:id="1160"/>
    </w:p>
    <w:p w14:paraId="35AE756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项目在外界因素的破坏下，具有发生火灾、爆炸、有毒有害物料</w:t>
      </w:r>
      <w:r>
        <w:rPr>
          <w:rFonts w:hint="default" w:ascii="Times New Roman" w:hAnsi="Times New Roman" w:cs="Times New Roman"/>
          <w:color w:val="auto"/>
          <w:u w:val="none" w:color="auto"/>
          <w:lang w:eastAsia="zh-CN"/>
        </w:rPr>
        <w:t>泄漏</w:t>
      </w:r>
      <w:r>
        <w:rPr>
          <w:rFonts w:hint="default" w:ascii="Times New Roman" w:hAnsi="Times New Roman" w:cs="Times New Roman"/>
          <w:color w:val="auto"/>
          <w:u w:val="none" w:color="auto"/>
        </w:rPr>
        <w:t>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14:paraId="003B866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（1）根据项目特点，对项目装置和储运设施在生产过程中存在的各种事故风险因素及隐患进行识别，提出技术防范措施；</w:t>
      </w:r>
    </w:p>
    <w:p w14:paraId="598132F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（2）分析和预测建设项目可能发生的突发性事件或事故，引起有毒、有害、易燃和易爆等物质</w:t>
      </w:r>
      <w:r>
        <w:rPr>
          <w:rFonts w:hint="default" w:ascii="Times New Roman" w:hAnsi="Times New Roman" w:cs="Times New Roman"/>
          <w:color w:val="auto"/>
          <w:u w:val="none" w:color="auto"/>
          <w:lang w:eastAsia="zh-CN"/>
        </w:rPr>
        <w:t>泄漏</w:t>
      </w:r>
      <w:r>
        <w:rPr>
          <w:rFonts w:hint="default" w:ascii="Times New Roman" w:hAnsi="Times New Roman" w:cs="Times New Roman"/>
          <w:color w:val="auto"/>
          <w:u w:val="none" w:color="auto"/>
        </w:rPr>
        <w:t>到环境中所导致的后果（包括自然环境和社会环境），预测其对人身安全与环境的影响和损害程度；</w:t>
      </w:r>
    </w:p>
    <w:p w14:paraId="4510C86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（3）根据风险事件的预测结果，有针对性地提出合理、切实可行的防范减缓措施、应急处理计划和应急预案，以及现场监控报警系统，使得建设项目事故率、损失情况和环境影响达到可接受水平。</w:t>
      </w:r>
    </w:p>
    <w:p w14:paraId="49371B93">
      <w:pPr>
        <w:pStyle w:val="8"/>
        <w:rPr>
          <w:rFonts w:hint="default" w:ascii="Times New Roman" w:hAnsi="Times New Roman" w:cs="Times New Roman"/>
          <w:color w:val="auto"/>
          <w:u w:val="none" w:color="auto"/>
          <w:lang w:val="en-US" w:eastAsia="zh-CN"/>
        </w:rPr>
      </w:pPr>
      <w:bookmarkStart w:id="1167" w:name="_Toc6317"/>
      <w:bookmarkStart w:id="1168" w:name="_Toc7778"/>
      <w:bookmarkStart w:id="1169" w:name="_Toc12483"/>
      <w:bookmarkStart w:id="1170" w:name="_Toc3236"/>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1</w:t>
      </w:r>
      <w:bookmarkEnd w:id="1161"/>
      <w:bookmarkEnd w:id="1167"/>
      <w:bookmarkEnd w:id="1168"/>
      <w:bookmarkEnd w:id="1169"/>
      <w:r>
        <w:rPr>
          <w:rFonts w:hint="eastAsia" w:ascii="Times New Roman" w:hAnsi="Times New Roman" w:cs="Times New Roman"/>
          <w:color w:val="auto"/>
          <w:u w:val="none" w:color="auto"/>
          <w:lang w:val="en-US" w:eastAsia="zh-CN"/>
        </w:rPr>
        <w:t>风险调查</w:t>
      </w:r>
      <w:bookmarkEnd w:id="1170"/>
    </w:p>
    <w:p w14:paraId="009569AC">
      <w:pPr>
        <w:pStyle w:val="21"/>
        <w:bidi w:val="0"/>
        <w:rPr>
          <w:rFonts w:hint="default"/>
          <w:color w:val="auto"/>
          <w:u w:val="none" w:color="auto"/>
        </w:rPr>
      </w:pPr>
      <w:bookmarkStart w:id="1171" w:name="_Toc9352"/>
      <w:r>
        <w:rPr>
          <w:rFonts w:hint="default"/>
          <w:color w:val="auto"/>
          <w:u w:val="none" w:color="auto"/>
        </w:rPr>
        <w:t>依据《建设项目环境风险评价技术导则》（HJ169-2018）中规定的易燃易爆和有毒物质的临界量限值。</w:t>
      </w:r>
    </w:p>
    <w:p w14:paraId="41925914">
      <w:pPr>
        <w:pStyle w:val="21"/>
        <w:bidi w:val="0"/>
        <w:rPr>
          <w:rFonts w:hint="eastAsia"/>
          <w:color w:val="auto"/>
          <w:u w:val="none" w:color="auto"/>
          <w:lang w:val="en-US" w:eastAsia="zh-CN"/>
        </w:rPr>
      </w:pPr>
      <w:r>
        <w:rPr>
          <w:rFonts w:hint="eastAsia"/>
          <w:color w:val="auto"/>
          <w:u w:val="none" w:color="auto"/>
        </w:rPr>
        <w:t>（</w:t>
      </w:r>
      <w:r>
        <w:rPr>
          <w:rFonts w:hint="eastAsia"/>
          <w:color w:val="auto"/>
          <w:u w:val="none" w:color="auto"/>
          <w:lang w:val="en-US" w:eastAsia="zh-CN"/>
        </w:rPr>
        <w:t>1</w:t>
      </w:r>
      <w:r>
        <w:rPr>
          <w:rFonts w:hint="eastAsia"/>
          <w:color w:val="auto"/>
          <w:u w:val="none" w:color="auto"/>
        </w:rPr>
        <w:t>）</w:t>
      </w:r>
      <w:r>
        <w:rPr>
          <w:rFonts w:hint="eastAsia"/>
          <w:color w:val="auto"/>
          <w:u w:val="none" w:color="auto"/>
          <w:lang w:val="en-US" w:eastAsia="zh-CN"/>
        </w:rPr>
        <w:t>风险源调查</w:t>
      </w:r>
    </w:p>
    <w:p w14:paraId="4D7AB050">
      <w:pPr>
        <w:pStyle w:val="21"/>
        <w:bidi w:val="0"/>
        <w:rPr>
          <w:rFonts w:hint="default"/>
          <w:color w:val="auto"/>
          <w:u w:val="none" w:color="auto"/>
          <w:lang w:val="en-US" w:eastAsia="zh-CN"/>
        </w:rPr>
      </w:pPr>
      <w:r>
        <w:rPr>
          <w:rFonts w:hint="eastAsia"/>
          <w:color w:val="auto"/>
          <w:u w:val="none" w:color="auto"/>
          <w:lang w:val="en-US" w:eastAsia="zh-CN"/>
        </w:rPr>
        <w:t>①风险物质调查</w:t>
      </w:r>
    </w:p>
    <w:p w14:paraId="67293940">
      <w:pPr>
        <w:pStyle w:val="21"/>
        <w:bidi w:val="0"/>
        <w:rPr>
          <w:rFonts w:hint="eastAsia"/>
          <w:color w:val="auto"/>
          <w:u w:val="none" w:color="auto"/>
          <w:lang w:val="en-US" w:eastAsia="zh-CN"/>
        </w:rPr>
      </w:pPr>
      <w:r>
        <w:rPr>
          <w:rFonts w:hint="eastAsia"/>
          <w:color w:val="auto"/>
          <w:u w:val="none" w:color="auto"/>
          <w:lang w:val="en-US" w:eastAsia="zh-CN"/>
        </w:rPr>
        <w:t>根据《建设项目环境风险评价技术导则》（HJ169-2018），对企业生产原料、产品、中间产品、副产品、催化剂、辅助生产物料、燃料、“三废”污染物等是否涉及风险物质进行判定。对比《建设项目环境风险评价技术导则》（HJ169-2018）表 B1 突发环境事件风险物质及临界量，列入该表的风险物质包括矿物油、废矿物油、废活性炭等油类物质和危险废物。项目环境风险物质汇总如下。</w:t>
      </w:r>
    </w:p>
    <w:p w14:paraId="77D706C4">
      <w:pPr>
        <w:pStyle w:val="23"/>
        <w:bidi w:val="0"/>
        <w:rPr>
          <w:rFonts w:hint="default"/>
          <w:color w:val="auto"/>
          <w:u w:val="none" w:color="auto"/>
          <w:lang w:val="en-US" w:eastAsia="zh-CN"/>
        </w:rPr>
      </w:pPr>
      <w:r>
        <w:rPr>
          <w:rFonts w:hint="eastAsia"/>
          <w:color w:val="auto"/>
          <w:u w:val="none" w:color="auto"/>
          <w:lang w:val="en-US" w:eastAsia="zh-CN"/>
        </w:rPr>
        <w:t>表5.3-1 项目涉及的环境风险物质汇总表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394"/>
        <w:gridCol w:w="1701"/>
        <w:gridCol w:w="1701"/>
        <w:gridCol w:w="1701"/>
      </w:tblGrid>
      <w:tr w14:paraId="28653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49E4B424">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序号</w:t>
            </w:r>
          </w:p>
        </w:tc>
        <w:tc>
          <w:tcPr>
            <w:tcW w:w="2394" w:type="dxa"/>
            <w:tcBorders>
              <w:tl2br w:val="nil"/>
              <w:tr2bl w:val="nil"/>
            </w:tcBorders>
            <w:noWrap w:val="0"/>
            <w:vAlign w:val="center"/>
          </w:tcPr>
          <w:p w14:paraId="2E70F19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名称</w:t>
            </w:r>
          </w:p>
        </w:tc>
        <w:tc>
          <w:tcPr>
            <w:tcW w:w="1701" w:type="dxa"/>
            <w:tcBorders>
              <w:tl2br w:val="nil"/>
              <w:tr2bl w:val="nil"/>
            </w:tcBorders>
            <w:noWrap w:val="0"/>
            <w:vAlign w:val="center"/>
          </w:tcPr>
          <w:p w14:paraId="468A83BB">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包装方式</w:t>
            </w:r>
          </w:p>
        </w:tc>
        <w:tc>
          <w:tcPr>
            <w:tcW w:w="1701" w:type="dxa"/>
            <w:tcBorders>
              <w:tl2br w:val="nil"/>
              <w:tr2bl w:val="nil"/>
            </w:tcBorders>
            <w:noWrap w:val="0"/>
            <w:vAlign w:val="center"/>
          </w:tcPr>
          <w:p w14:paraId="6D4C948C">
            <w:pPr>
              <w:pStyle w:val="25"/>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最大贮存量</w:t>
            </w:r>
          </w:p>
        </w:tc>
        <w:tc>
          <w:tcPr>
            <w:tcW w:w="1701" w:type="dxa"/>
            <w:tcBorders>
              <w:tl2br w:val="nil"/>
              <w:tr2bl w:val="nil"/>
            </w:tcBorders>
            <w:noWrap w:val="0"/>
            <w:vAlign w:val="center"/>
          </w:tcPr>
          <w:p w14:paraId="77B1DD1E">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分布情况</w:t>
            </w:r>
          </w:p>
        </w:tc>
      </w:tr>
      <w:tr w14:paraId="73EC3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2C7F0D0F">
            <w:pPr>
              <w:pStyle w:val="25"/>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1</w:t>
            </w:r>
          </w:p>
        </w:tc>
        <w:tc>
          <w:tcPr>
            <w:tcW w:w="2394" w:type="dxa"/>
            <w:tcBorders>
              <w:tl2br w:val="nil"/>
              <w:tr2bl w:val="nil"/>
            </w:tcBorders>
            <w:noWrap w:val="0"/>
            <w:vAlign w:val="center"/>
          </w:tcPr>
          <w:p w14:paraId="3950256A">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废矿物油</w:t>
            </w:r>
          </w:p>
        </w:tc>
        <w:tc>
          <w:tcPr>
            <w:tcW w:w="1701" w:type="dxa"/>
            <w:tcBorders>
              <w:tl2br w:val="nil"/>
              <w:tr2bl w:val="nil"/>
            </w:tcBorders>
            <w:noWrap w:val="0"/>
            <w:vAlign w:val="center"/>
          </w:tcPr>
          <w:p w14:paraId="641B0CC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5D6CE647">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3FE6FAF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危废暂存间</w:t>
            </w:r>
          </w:p>
        </w:tc>
      </w:tr>
      <w:tr w14:paraId="3D0AC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220D0774">
            <w:pPr>
              <w:pStyle w:val="25"/>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2</w:t>
            </w:r>
          </w:p>
        </w:tc>
        <w:tc>
          <w:tcPr>
            <w:tcW w:w="2394" w:type="dxa"/>
            <w:tcBorders>
              <w:tl2br w:val="nil"/>
              <w:tr2bl w:val="nil"/>
            </w:tcBorders>
            <w:noWrap w:val="0"/>
            <w:vAlign w:val="center"/>
          </w:tcPr>
          <w:p w14:paraId="353616E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废液压油</w:t>
            </w:r>
          </w:p>
        </w:tc>
        <w:tc>
          <w:tcPr>
            <w:tcW w:w="1701" w:type="dxa"/>
            <w:tcBorders>
              <w:tl2br w:val="nil"/>
              <w:tr2bl w:val="nil"/>
            </w:tcBorders>
            <w:noWrap w:val="0"/>
            <w:vAlign w:val="center"/>
          </w:tcPr>
          <w:p w14:paraId="018A800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4010235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0.4</w:t>
            </w:r>
          </w:p>
        </w:tc>
        <w:tc>
          <w:tcPr>
            <w:tcW w:w="1701" w:type="dxa"/>
            <w:tcBorders>
              <w:tl2br w:val="nil"/>
              <w:tr2bl w:val="nil"/>
            </w:tcBorders>
            <w:noWrap w:val="0"/>
            <w:vAlign w:val="center"/>
          </w:tcPr>
          <w:p w14:paraId="3A453CB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危废暂存间</w:t>
            </w:r>
          </w:p>
        </w:tc>
      </w:tr>
      <w:tr w14:paraId="08DC0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2C28B583">
            <w:pPr>
              <w:pStyle w:val="25"/>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3</w:t>
            </w:r>
          </w:p>
        </w:tc>
        <w:tc>
          <w:tcPr>
            <w:tcW w:w="2394" w:type="dxa"/>
            <w:tcBorders>
              <w:tl2br w:val="nil"/>
              <w:tr2bl w:val="nil"/>
            </w:tcBorders>
            <w:noWrap w:val="0"/>
            <w:vAlign w:val="center"/>
          </w:tcPr>
          <w:p w14:paraId="6CEE2A6D">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废导热油</w:t>
            </w:r>
          </w:p>
        </w:tc>
        <w:tc>
          <w:tcPr>
            <w:tcW w:w="1701" w:type="dxa"/>
            <w:tcBorders>
              <w:tl2br w:val="nil"/>
              <w:tr2bl w:val="nil"/>
            </w:tcBorders>
            <w:noWrap w:val="0"/>
            <w:vAlign w:val="center"/>
          </w:tcPr>
          <w:p w14:paraId="5F05109F">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3D43C475">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0.5</w:t>
            </w:r>
          </w:p>
        </w:tc>
        <w:tc>
          <w:tcPr>
            <w:tcW w:w="1701" w:type="dxa"/>
            <w:tcBorders>
              <w:tl2br w:val="nil"/>
              <w:tr2bl w:val="nil"/>
            </w:tcBorders>
            <w:noWrap w:val="0"/>
            <w:vAlign w:val="center"/>
          </w:tcPr>
          <w:p w14:paraId="465251B4">
            <w:pPr>
              <w:pStyle w:val="25"/>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危废暂存间</w:t>
            </w:r>
          </w:p>
        </w:tc>
      </w:tr>
      <w:tr w14:paraId="5EDDE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570CBC3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2394" w:type="dxa"/>
            <w:tcBorders>
              <w:tl2br w:val="nil"/>
              <w:tr2bl w:val="nil"/>
            </w:tcBorders>
            <w:noWrap w:val="0"/>
            <w:vAlign w:val="center"/>
          </w:tcPr>
          <w:p w14:paraId="4EF4604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废活性炭</w:t>
            </w:r>
          </w:p>
        </w:tc>
        <w:tc>
          <w:tcPr>
            <w:tcW w:w="1701" w:type="dxa"/>
            <w:tcBorders>
              <w:tl2br w:val="nil"/>
              <w:tr2bl w:val="nil"/>
            </w:tcBorders>
            <w:noWrap w:val="0"/>
            <w:vAlign w:val="center"/>
          </w:tcPr>
          <w:p w14:paraId="0BE8016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耐腐蚀袋</w:t>
            </w:r>
          </w:p>
        </w:tc>
        <w:tc>
          <w:tcPr>
            <w:tcW w:w="1701" w:type="dxa"/>
            <w:tcBorders>
              <w:tl2br w:val="nil"/>
              <w:tr2bl w:val="nil"/>
            </w:tcBorders>
            <w:noWrap w:val="0"/>
            <w:vAlign w:val="center"/>
          </w:tcPr>
          <w:p w14:paraId="69488BD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2.184</w:t>
            </w:r>
          </w:p>
        </w:tc>
        <w:tc>
          <w:tcPr>
            <w:tcW w:w="1701" w:type="dxa"/>
            <w:tcBorders>
              <w:tl2br w:val="nil"/>
              <w:tr2bl w:val="nil"/>
            </w:tcBorders>
            <w:noWrap w:val="0"/>
            <w:vAlign w:val="center"/>
          </w:tcPr>
          <w:p w14:paraId="2982A33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危废暂存间</w:t>
            </w:r>
          </w:p>
        </w:tc>
      </w:tr>
      <w:tr w14:paraId="51CF1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241D4E64">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w:t>
            </w:r>
          </w:p>
        </w:tc>
        <w:tc>
          <w:tcPr>
            <w:tcW w:w="2394" w:type="dxa"/>
            <w:tcBorders>
              <w:tl2br w:val="nil"/>
              <w:tr2bl w:val="nil"/>
            </w:tcBorders>
            <w:noWrap w:val="0"/>
            <w:vAlign w:val="center"/>
          </w:tcPr>
          <w:p w14:paraId="146917F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废含油抹布及手套</w:t>
            </w:r>
          </w:p>
        </w:tc>
        <w:tc>
          <w:tcPr>
            <w:tcW w:w="1701" w:type="dxa"/>
            <w:tcBorders>
              <w:tl2br w:val="nil"/>
              <w:tr2bl w:val="nil"/>
            </w:tcBorders>
            <w:noWrap w:val="0"/>
            <w:vAlign w:val="center"/>
          </w:tcPr>
          <w:p w14:paraId="4F79E13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76E871C8">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0.01</w:t>
            </w:r>
          </w:p>
        </w:tc>
        <w:tc>
          <w:tcPr>
            <w:tcW w:w="1701" w:type="dxa"/>
            <w:tcBorders>
              <w:tl2br w:val="nil"/>
              <w:tr2bl w:val="nil"/>
            </w:tcBorders>
            <w:noWrap w:val="0"/>
            <w:vAlign w:val="center"/>
          </w:tcPr>
          <w:p w14:paraId="584B71FB">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危废暂存间</w:t>
            </w:r>
          </w:p>
        </w:tc>
      </w:tr>
      <w:tr w14:paraId="0DAC5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52ED92B3">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6</w:t>
            </w:r>
          </w:p>
        </w:tc>
        <w:tc>
          <w:tcPr>
            <w:tcW w:w="2394" w:type="dxa"/>
            <w:tcBorders>
              <w:tl2br w:val="nil"/>
              <w:tr2bl w:val="nil"/>
            </w:tcBorders>
            <w:noWrap w:val="0"/>
            <w:vAlign w:val="center"/>
          </w:tcPr>
          <w:p w14:paraId="2E1ED2F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废油桶</w:t>
            </w:r>
          </w:p>
        </w:tc>
        <w:tc>
          <w:tcPr>
            <w:tcW w:w="1701" w:type="dxa"/>
            <w:tcBorders>
              <w:tl2br w:val="nil"/>
              <w:tr2bl w:val="nil"/>
            </w:tcBorders>
            <w:noWrap w:val="0"/>
            <w:vAlign w:val="center"/>
          </w:tcPr>
          <w:p w14:paraId="503BFAB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1701" w:type="dxa"/>
            <w:tcBorders>
              <w:tl2br w:val="nil"/>
              <w:tr2bl w:val="nil"/>
            </w:tcBorders>
            <w:noWrap w:val="0"/>
            <w:vAlign w:val="center"/>
          </w:tcPr>
          <w:p w14:paraId="29D3A1B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w:t>
            </w:r>
          </w:p>
        </w:tc>
        <w:tc>
          <w:tcPr>
            <w:tcW w:w="1701" w:type="dxa"/>
            <w:tcBorders>
              <w:tl2br w:val="nil"/>
              <w:tr2bl w:val="nil"/>
            </w:tcBorders>
            <w:noWrap w:val="0"/>
            <w:vAlign w:val="center"/>
          </w:tcPr>
          <w:p w14:paraId="50FB7DF2">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危废暂存间</w:t>
            </w:r>
          </w:p>
        </w:tc>
      </w:tr>
      <w:tr w14:paraId="2B78E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11301926">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7</w:t>
            </w:r>
          </w:p>
        </w:tc>
        <w:tc>
          <w:tcPr>
            <w:tcW w:w="2394" w:type="dxa"/>
            <w:tcBorders>
              <w:tl2br w:val="nil"/>
              <w:tr2bl w:val="nil"/>
            </w:tcBorders>
            <w:noWrap w:val="0"/>
            <w:vAlign w:val="center"/>
          </w:tcPr>
          <w:p w14:paraId="110DFC6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矿物油</w:t>
            </w:r>
          </w:p>
        </w:tc>
        <w:tc>
          <w:tcPr>
            <w:tcW w:w="1701" w:type="dxa"/>
            <w:tcBorders>
              <w:tl2br w:val="nil"/>
              <w:tr2bl w:val="nil"/>
            </w:tcBorders>
            <w:noWrap w:val="0"/>
            <w:vAlign w:val="center"/>
          </w:tcPr>
          <w:p w14:paraId="1A0ECFA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桶装</w:t>
            </w:r>
          </w:p>
        </w:tc>
        <w:tc>
          <w:tcPr>
            <w:tcW w:w="1701" w:type="dxa"/>
            <w:tcBorders>
              <w:tl2br w:val="nil"/>
              <w:tr2bl w:val="nil"/>
            </w:tcBorders>
            <w:noWrap w:val="0"/>
            <w:vAlign w:val="center"/>
          </w:tcPr>
          <w:p w14:paraId="10537B4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489F032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原料区</w:t>
            </w:r>
          </w:p>
        </w:tc>
      </w:tr>
      <w:tr w14:paraId="67949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69DA1B5B">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8</w:t>
            </w:r>
          </w:p>
        </w:tc>
        <w:tc>
          <w:tcPr>
            <w:tcW w:w="2394" w:type="dxa"/>
            <w:tcBorders>
              <w:tl2br w:val="nil"/>
              <w:tr2bl w:val="nil"/>
            </w:tcBorders>
            <w:noWrap w:val="0"/>
            <w:vAlign w:val="center"/>
          </w:tcPr>
          <w:p w14:paraId="4ABDB090">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液压油</w:t>
            </w:r>
          </w:p>
        </w:tc>
        <w:tc>
          <w:tcPr>
            <w:tcW w:w="1701" w:type="dxa"/>
            <w:tcBorders>
              <w:tl2br w:val="nil"/>
              <w:tr2bl w:val="nil"/>
            </w:tcBorders>
            <w:noWrap w:val="0"/>
            <w:vAlign w:val="center"/>
          </w:tcPr>
          <w:p w14:paraId="7A5DD800">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桶装</w:t>
            </w:r>
          </w:p>
        </w:tc>
        <w:tc>
          <w:tcPr>
            <w:tcW w:w="1701" w:type="dxa"/>
            <w:tcBorders>
              <w:tl2br w:val="nil"/>
              <w:tr2bl w:val="nil"/>
            </w:tcBorders>
            <w:noWrap w:val="0"/>
            <w:vAlign w:val="center"/>
          </w:tcPr>
          <w:p w14:paraId="2DBED89F">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0.4</w:t>
            </w:r>
          </w:p>
        </w:tc>
        <w:tc>
          <w:tcPr>
            <w:tcW w:w="1701" w:type="dxa"/>
            <w:tcBorders>
              <w:tl2br w:val="nil"/>
              <w:tr2bl w:val="nil"/>
            </w:tcBorders>
            <w:noWrap w:val="0"/>
            <w:vAlign w:val="center"/>
          </w:tcPr>
          <w:p w14:paraId="272DEA3E">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原料区</w:t>
            </w:r>
          </w:p>
        </w:tc>
      </w:tr>
      <w:tr w14:paraId="6AAAD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7FF3B31C">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9</w:t>
            </w:r>
          </w:p>
        </w:tc>
        <w:tc>
          <w:tcPr>
            <w:tcW w:w="2394" w:type="dxa"/>
            <w:tcBorders>
              <w:tl2br w:val="nil"/>
              <w:tr2bl w:val="nil"/>
            </w:tcBorders>
            <w:noWrap w:val="0"/>
            <w:vAlign w:val="center"/>
          </w:tcPr>
          <w:p w14:paraId="6F81A74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导热油</w:t>
            </w:r>
          </w:p>
        </w:tc>
        <w:tc>
          <w:tcPr>
            <w:tcW w:w="1701" w:type="dxa"/>
            <w:tcBorders>
              <w:tl2br w:val="nil"/>
              <w:tr2bl w:val="nil"/>
            </w:tcBorders>
            <w:noWrap w:val="0"/>
            <w:vAlign w:val="center"/>
          </w:tcPr>
          <w:p w14:paraId="5E8EF91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导热油炉在线量</w:t>
            </w:r>
          </w:p>
        </w:tc>
        <w:tc>
          <w:tcPr>
            <w:tcW w:w="1701" w:type="dxa"/>
            <w:tcBorders>
              <w:tl2br w:val="nil"/>
              <w:tr2bl w:val="nil"/>
            </w:tcBorders>
            <w:noWrap w:val="0"/>
            <w:vAlign w:val="center"/>
          </w:tcPr>
          <w:p w14:paraId="25CF9F4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0.5</w:t>
            </w:r>
          </w:p>
        </w:tc>
        <w:tc>
          <w:tcPr>
            <w:tcW w:w="1701" w:type="dxa"/>
            <w:tcBorders>
              <w:tl2br w:val="nil"/>
              <w:tr2bl w:val="nil"/>
            </w:tcBorders>
            <w:noWrap w:val="0"/>
            <w:vAlign w:val="center"/>
          </w:tcPr>
          <w:p w14:paraId="55BB1B0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导热油炉在线</w:t>
            </w:r>
          </w:p>
        </w:tc>
      </w:tr>
      <w:tr w14:paraId="28D0D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l2br w:val="nil"/>
              <w:tr2bl w:val="nil"/>
            </w:tcBorders>
            <w:noWrap w:val="0"/>
            <w:vAlign w:val="center"/>
          </w:tcPr>
          <w:p w14:paraId="31BB2B6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10</w:t>
            </w:r>
          </w:p>
        </w:tc>
        <w:tc>
          <w:tcPr>
            <w:tcW w:w="2394" w:type="dxa"/>
            <w:tcBorders>
              <w:tl2br w:val="nil"/>
              <w:tr2bl w:val="nil"/>
            </w:tcBorders>
            <w:noWrap w:val="0"/>
            <w:vAlign w:val="center"/>
          </w:tcPr>
          <w:p w14:paraId="3668A440">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天然气</w:t>
            </w:r>
          </w:p>
        </w:tc>
        <w:tc>
          <w:tcPr>
            <w:tcW w:w="1701" w:type="dxa"/>
            <w:tcBorders>
              <w:tl2br w:val="nil"/>
              <w:tr2bl w:val="nil"/>
            </w:tcBorders>
            <w:noWrap w:val="0"/>
            <w:vAlign w:val="center"/>
          </w:tcPr>
          <w:p w14:paraId="4752E13F">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在线量</w:t>
            </w:r>
          </w:p>
        </w:tc>
        <w:tc>
          <w:tcPr>
            <w:tcW w:w="1701" w:type="dxa"/>
            <w:tcBorders>
              <w:tl2br w:val="nil"/>
              <w:tr2bl w:val="nil"/>
            </w:tcBorders>
            <w:noWrap w:val="0"/>
            <w:vAlign w:val="center"/>
          </w:tcPr>
          <w:p w14:paraId="3881393F">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13643EAB">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管道在线</w:t>
            </w:r>
          </w:p>
        </w:tc>
      </w:tr>
    </w:tbl>
    <w:p w14:paraId="2AD1DF27">
      <w:pPr>
        <w:pStyle w:val="21"/>
        <w:bidi w:val="0"/>
        <w:rPr>
          <w:rFonts w:hint="eastAsia"/>
          <w:color w:val="auto"/>
          <w:u w:val="none" w:color="auto"/>
          <w:lang w:val="en-US" w:eastAsia="zh-CN"/>
        </w:rPr>
      </w:pPr>
      <w:r>
        <w:rPr>
          <w:rFonts w:hint="eastAsia"/>
          <w:color w:val="auto"/>
          <w:u w:val="none" w:color="auto"/>
          <w:lang w:val="en-US" w:eastAsia="zh-CN"/>
        </w:rPr>
        <w:t>②行业及生产工艺调查</w:t>
      </w:r>
    </w:p>
    <w:p w14:paraId="641676E8">
      <w:pPr>
        <w:pStyle w:val="21"/>
        <w:bidi w:val="0"/>
        <w:rPr>
          <w:rFonts w:hint="default"/>
          <w:color w:val="auto"/>
          <w:u w:val="none" w:color="auto"/>
          <w:lang w:val="en-US" w:eastAsia="zh-CN"/>
        </w:rPr>
      </w:pPr>
      <w:r>
        <w:rPr>
          <w:rFonts w:hint="default"/>
          <w:color w:val="auto"/>
          <w:u w:val="none" w:color="auto"/>
          <w:lang w:val="en-US" w:eastAsia="zh-CN"/>
        </w:rPr>
        <w:t>根据《建设项目环境风险评价技术导则 HJ169-2018》附录C.1表，针对项目所属行业及生产工艺特点对项目生产工艺情况进行调查如下。</w:t>
      </w:r>
    </w:p>
    <w:p w14:paraId="079FD9CA">
      <w:pPr>
        <w:pStyle w:val="23"/>
        <w:bidi w:val="0"/>
        <w:rPr>
          <w:rFonts w:hint="eastAsia"/>
          <w:color w:val="auto"/>
          <w:u w:val="none" w:color="auto"/>
          <w:lang w:val="en-US" w:eastAsia="zh-CN"/>
        </w:rPr>
      </w:pPr>
      <w:r>
        <w:rPr>
          <w:rFonts w:hint="eastAsia"/>
          <w:color w:val="auto"/>
          <w:u w:val="none" w:color="auto"/>
          <w:lang w:val="en-US" w:eastAsia="zh-CN"/>
        </w:rPr>
        <w:t>表5.3-2 行业及生产工艺调查表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4710"/>
        <w:gridCol w:w="1799"/>
      </w:tblGrid>
      <w:tr w14:paraId="55543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00F2F19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行业</w:t>
            </w:r>
          </w:p>
        </w:tc>
        <w:tc>
          <w:tcPr>
            <w:tcW w:w="4710" w:type="dxa"/>
            <w:tcBorders>
              <w:tl2br w:val="nil"/>
              <w:tr2bl w:val="nil"/>
            </w:tcBorders>
            <w:noWrap w:val="0"/>
            <w:vAlign w:val="center"/>
          </w:tcPr>
          <w:p w14:paraId="011AE6CF">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评估依据</w:t>
            </w:r>
          </w:p>
        </w:tc>
        <w:tc>
          <w:tcPr>
            <w:tcW w:w="1799" w:type="dxa"/>
            <w:tcBorders>
              <w:tl2br w:val="nil"/>
              <w:tr2bl w:val="nil"/>
            </w:tcBorders>
            <w:noWrap w:val="0"/>
            <w:vAlign w:val="center"/>
          </w:tcPr>
          <w:p w14:paraId="2C12632D">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企业情况</w:t>
            </w:r>
          </w:p>
        </w:tc>
      </w:tr>
      <w:tr w14:paraId="708D4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restart"/>
            <w:tcBorders>
              <w:tl2br w:val="nil"/>
              <w:tr2bl w:val="nil"/>
            </w:tcBorders>
            <w:noWrap w:val="0"/>
            <w:vAlign w:val="center"/>
          </w:tcPr>
          <w:p w14:paraId="609F905E">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石化、化工、医药、轻工、化纤、有色冶炼等</w:t>
            </w:r>
          </w:p>
        </w:tc>
        <w:tc>
          <w:tcPr>
            <w:tcW w:w="4710" w:type="dxa"/>
            <w:tcBorders>
              <w:tl2br w:val="nil"/>
              <w:tr2bl w:val="nil"/>
            </w:tcBorders>
            <w:noWrap w:val="0"/>
            <w:vAlign w:val="center"/>
          </w:tcPr>
          <w:p w14:paraId="4D595E6A">
            <w:pPr>
              <w:pStyle w:val="25"/>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99" w:type="dxa"/>
            <w:tcBorders>
              <w:tl2br w:val="nil"/>
              <w:tr2bl w:val="nil"/>
            </w:tcBorders>
            <w:noWrap w:val="0"/>
            <w:vAlign w:val="center"/>
          </w:tcPr>
          <w:p w14:paraId="1870756B">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不涉及</w:t>
            </w:r>
          </w:p>
        </w:tc>
      </w:tr>
      <w:tr w14:paraId="56A01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continue"/>
            <w:tcBorders>
              <w:tl2br w:val="nil"/>
              <w:tr2bl w:val="nil"/>
            </w:tcBorders>
            <w:noWrap w:val="0"/>
            <w:vAlign w:val="center"/>
          </w:tcPr>
          <w:p w14:paraId="7DE21BD2">
            <w:pPr>
              <w:pStyle w:val="25"/>
              <w:bidi w:val="0"/>
              <w:rPr>
                <w:rFonts w:hint="eastAsia" w:ascii="Times New Roman" w:hAnsi="Times New Roman" w:eastAsia="宋体" w:cs="Times New Roman"/>
                <w:color w:val="auto"/>
                <w:u w:val="none" w:color="auto"/>
                <w:lang w:eastAsia="zh-CN"/>
              </w:rPr>
            </w:pPr>
          </w:p>
        </w:tc>
        <w:tc>
          <w:tcPr>
            <w:tcW w:w="4710" w:type="dxa"/>
            <w:tcBorders>
              <w:tl2br w:val="nil"/>
              <w:tr2bl w:val="nil"/>
            </w:tcBorders>
            <w:noWrap w:val="0"/>
            <w:vAlign w:val="center"/>
          </w:tcPr>
          <w:p w14:paraId="5AF98F4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无机酸制酸工艺、焦化工艺</w:t>
            </w:r>
          </w:p>
        </w:tc>
        <w:tc>
          <w:tcPr>
            <w:tcW w:w="1799" w:type="dxa"/>
            <w:tcBorders>
              <w:tl2br w:val="nil"/>
              <w:tr2bl w:val="nil"/>
            </w:tcBorders>
            <w:noWrap w:val="0"/>
            <w:vAlign w:val="center"/>
          </w:tcPr>
          <w:p w14:paraId="2A6B15F5">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不涉及</w:t>
            </w:r>
          </w:p>
        </w:tc>
      </w:tr>
      <w:tr w14:paraId="5D560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continue"/>
            <w:tcBorders>
              <w:tl2br w:val="nil"/>
              <w:tr2bl w:val="nil"/>
            </w:tcBorders>
            <w:noWrap w:val="0"/>
            <w:vAlign w:val="center"/>
          </w:tcPr>
          <w:p w14:paraId="2BF919AB">
            <w:pPr>
              <w:pStyle w:val="25"/>
              <w:bidi w:val="0"/>
              <w:rPr>
                <w:rFonts w:hint="eastAsia" w:ascii="Times New Roman" w:hAnsi="Times New Roman" w:eastAsia="宋体" w:cs="Times New Roman"/>
                <w:color w:val="auto"/>
                <w:u w:val="none" w:color="auto"/>
                <w:lang w:eastAsia="zh-CN"/>
              </w:rPr>
            </w:pPr>
          </w:p>
        </w:tc>
        <w:tc>
          <w:tcPr>
            <w:tcW w:w="4710" w:type="dxa"/>
            <w:tcBorders>
              <w:tl2br w:val="nil"/>
              <w:tr2bl w:val="nil"/>
            </w:tcBorders>
            <w:noWrap w:val="0"/>
            <w:vAlign w:val="center"/>
          </w:tcPr>
          <w:p w14:paraId="1612B09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其他高温或高压、且涉及危险物质的工艺过程</w:t>
            </w:r>
            <w:r>
              <w:rPr>
                <w:rFonts w:hint="eastAsia" w:ascii="Times New Roman" w:hAnsi="Times New Roman" w:eastAsia="宋体" w:cs="Times New Roman"/>
                <w:color w:val="auto"/>
                <w:u w:val="none" w:color="auto"/>
                <w:vertAlign w:val="superscript"/>
                <w:lang w:val="en-US" w:eastAsia="zh-CN"/>
              </w:rPr>
              <w:t>a</w:t>
            </w:r>
            <w:r>
              <w:rPr>
                <w:rFonts w:hint="eastAsia" w:ascii="Times New Roman" w:hAnsi="Times New Roman" w:eastAsia="宋体" w:cs="Times New Roman"/>
                <w:color w:val="auto"/>
                <w:u w:val="none" w:color="auto"/>
                <w:lang w:val="en-US" w:eastAsia="zh-CN"/>
              </w:rPr>
              <w:t>、危险物质储存罐区</w:t>
            </w:r>
          </w:p>
        </w:tc>
        <w:tc>
          <w:tcPr>
            <w:tcW w:w="1799" w:type="dxa"/>
            <w:tcBorders>
              <w:tl2br w:val="nil"/>
              <w:tr2bl w:val="nil"/>
            </w:tcBorders>
            <w:noWrap w:val="0"/>
            <w:vAlign w:val="center"/>
          </w:tcPr>
          <w:p w14:paraId="236DE73D">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涉及高温工艺</w:t>
            </w:r>
          </w:p>
        </w:tc>
      </w:tr>
      <w:tr w14:paraId="3334A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5EDE26E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管道、港口/码头等</w:t>
            </w:r>
          </w:p>
        </w:tc>
        <w:tc>
          <w:tcPr>
            <w:tcW w:w="4710" w:type="dxa"/>
            <w:tcBorders>
              <w:tl2br w:val="nil"/>
              <w:tr2bl w:val="nil"/>
            </w:tcBorders>
            <w:noWrap w:val="0"/>
            <w:vAlign w:val="center"/>
          </w:tcPr>
          <w:p w14:paraId="57C893A4">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涉及危险物质管道运输项目、港口/码头等</w:t>
            </w:r>
          </w:p>
        </w:tc>
        <w:tc>
          <w:tcPr>
            <w:tcW w:w="1799" w:type="dxa"/>
            <w:tcBorders>
              <w:tl2br w:val="nil"/>
              <w:tr2bl w:val="nil"/>
            </w:tcBorders>
            <w:noWrap w:val="0"/>
            <w:vAlign w:val="center"/>
          </w:tcPr>
          <w:p w14:paraId="2793565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不涉及</w:t>
            </w:r>
          </w:p>
        </w:tc>
      </w:tr>
      <w:tr w14:paraId="00B0A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333399F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石油天然气</w:t>
            </w:r>
          </w:p>
        </w:tc>
        <w:tc>
          <w:tcPr>
            <w:tcW w:w="4710" w:type="dxa"/>
            <w:tcBorders>
              <w:tl2br w:val="nil"/>
              <w:tr2bl w:val="nil"/>
            </w:tcBorders>
            <w:noWrap w:val="0"/>
            <w:vAlign w:val="center"/>
          </w:tcPr>
          <w:p w14:paraId="3AAA1DB2">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石油、天然气、页岩气开采（含净化）、气库（不含加气站的气库）、油库（不含加气站的油库）、油气管线</w:t>
            </w:r>
            <w:r>
              <w:rPr>
                <w:rFonts w:hint="eastAsia" w:ascii="Times New Roman" w:hAnsi="Times New Roman" w:eastAsia="宋体" w:cs="Times New Roman"/>
                <w:color w:val="auto"/>
                <w:u w:val="none" w:color="auto"/>
                <w:vertAlign w:val="superscript"/>
                <w:lang w:val="en-US" w:eastAsia="zh-CN"/>
              </w:rPr>
              <w:t>b</w:t>
            </w:r>
            <w:r>
              <w:rPr>
                <w:rFonts w:hint="eastAsia" w:ascii="Times New Roman" w:hAnsi="Times New Roman" w:eastAsia="宋体" w:cs="Times New Roman"/>
                <w:color w:val="auto"/>
                <w:u w:val="none" w:color="auto"/>
                <w:lang w:val="en-US" w:eastAsia="zh-CN"/>
              </w:rPr>
              <w:t>（不含城镇燃气管线）</w:t>
            </w:r>
          </w:p>
        </w:tc>
        <w:tc>
          <w:tcPr>
            <w:tcW w:w="1799" w:type="dxa"/>
            <w:tcBorders>
              <w:tl2br w:val="nil"/>
              <w:tr2bl w:val="nil"/>
            </w:tcBorders>
            <w:noWrap w:val="0"/>
            <w:vAlign w:val="center"/>
          </w:tcPr>
          <w:p w14:paraId="74E3D2BF">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不涉及</w:t>
            </w:r>
          </w:p>
        </w:tc>
      </w:tr>
      <w:tr w14:paraId="22051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114B1BE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其他</w:t>
            </w:r>
          </w:p>
        </w:tc>
        <w:tc>
          <w:tcPr>
            <w:tcW w:w="4710" w:type="dxa"/>
            <w:tcBorders>
              <w:tl2br w:val="nil"/>
              <w:tr2bl w:val="nil"/>
            </w:tcBorders>
            <w:noWrap w:val="0"/>
            <w:vAlign w:val="center"/>
          </w:tcPr>
          <w:p w14:paraId="3BB0769C">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涉及危险物质使用、贮存的项目</w:t>
            </w:r>
          </w:p>
        </w:tc>
        <w:tc>
          <w:tcPr>
            <w:tcW w:w="1799" w:type="dxa"/>
            <w:tcBorders>
              <w:tl2br w:val="nil"/>
              <w:tr2bl w:val="nil"/>
            </w:tcBorders>
            <w:noWrap w:val="0"/>
            <w:vAlign w:val="center"/>
          </w:tcPr>
          <w:p w14:paraId="75374C8C">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涉及危险废物</w:t>
            </w:r>
          </w:p>
        </w:tc>
      </w:tr>
      <w:tr w14:paraId="0F5A3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tcBorders>
              <w:tl2br w:val="nil"/>
              <w:tr2bl w:val="nil"/>
            </w:tcBorders>
            <w:noWrap w:val="0"/>
            <w:vAlign w:val="center"/>
          </w:tcPr>
          <w:p w14:paraId="7E5228C4">
            <w:pPr>
              <w:pStyle w:val="25"/>
              <w:bidi w:val="0"/>
              <w:jc w:val="both"/>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注a：高温指工艺温度≥300℃，高压指压力容器的设计压力（p）≥10.0MPa；</w:t>
            </w:r>
          </w:p>
          <w:p w14:paraId="12F482BD">
            <w:pPr>
              <w:pStyle w:val="25"/>
              <w:bidi w:val="0"/>
              <w:jc w:val="both"/>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注b：长输管道运输项目应按站场、管线分段进行评价。</w:t>
            </w:r>
          </w:p>
        </w:tc>
      </w:tr>
    </w:tbl>
    <w:p w14:paraId="3C229A2F">
      <w:pPr>
        <w:pStyle w:val="21"/>
        <w:bidi w:val="0"/>
        <w:rPr>
          <w:rFonts w:hint="eastAsia"/>
          <w:color w:val="auto"/>
          <w:u w:val="none" w:color="auto"/>
          <w:lang w:val="en-US" w:eastAsia="zh-CN"/>
        </w:rPr>
      </w:pPr>
      <w:r>
        <w:rPr>
          <w:rFonts w:hint="eastAsia"/>
          <w:color w:val="auto"/>
          <w:u w:val="none" w:color="auto"/>
          <w:lang w:val="en-US" w:eastAsia="zh-CN"/>
        </w:rPr>
        <w:t>（2）环境敏感目标调查</w:t>
      </w:r>
    </w:p>
    <w:p w14:paraId="4569B64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依据确定的项目环境风险评价等级和评价范围，对风险评价范围内的环境敏感点进行现状调查，评价范围内的环境敏感目标情况见表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p>
    <w:p w14:paraId="5432BD7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项目环境风险评价范围内敏感点调查情况统计</w:t>
      </w:r>
    </w:p>
    <w:tbl>
      <w:tblPr>
        <w:tblStyle w:val="16"/>
        <w:tblW w:w="864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66"/>
        <w:gridCol w:w="665"/>
        <w:gridCol w:w="2163"/>
        <w:gridCol w:w="987"/>
        <w:gridCol w:w="913"/>
        <w:gridCol w:w="150"/>
        <w:gridCol w:w="124"/>
        <w:gridCol w:w="176"/>
        <w:gridCol w:w="912"/>
        <w:gridCol w:w="821"/>
        <w:gridCol w:w="1263"/>
      </w:tblGrid>
      <w:tr w14:paraId="01E5F0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tcBorders>
              <w:tl2br w:val="nil"/>
              <w:tr2bl w:val="nil"/>
            </w:tcBorders>
            <w:noWrap w:val="0"/>
            <w:vAlign w:val="center"/>
          </w:tcPr>
          <w:p w14:paraId="4473B7D5">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类别</w:t>
            </w:r>
          </w:p>
        </w:tc>
        <w:tc>
          <w:tcPr>
            <w:tcW w:w="665" w:type="dxa"/>
            <w:tcBorders>
              <w:tl2br w:val="nil"/>
              <w:tr2bl w:val="nil"/>
            </w:tcBorders>
            <w:noWrap w:val="0"/>
            <w:vAlign w:val="center"/>
          </w:tcPr>
          <w:p w14:paraId="00EB46C0">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759130A5">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敏感目标名称</w:t>
            </w:r>
          </w:p>
        </w:tc>
        <w:tc>
          <w:tcPr>
            <w:tcW w:w="987" w:type="dxa"/>
            <w:tcBorders>
              <w:tl2br w:val="nil"/>
              <w:tr2bl w:val="nil"/>
            </w:tcBorders>
            <w:noWrap w:val="0"/>
            <w:vAlign w:val="center"/>
          </w:tcPr>
          <w:p w14:paraId="25C581FE">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相对厂址方位</w:t>
            </w:r>
          </w:p>
        </w:tc>
        <w:tc>
          <w:tcPr>
            <w:tcW w:w="1187" w:type="dxa"/>
            <w:gridSpan w:val="3"/>
            <w:tcBorders>
              <w:tl2br w:val="nil"/>
              <w:tr2bl w:val="nil"/>
            </w:tcBorders>
            <w:noWrap w:val="0"/>
            <w:vAlign w:val="center"/>
          </w:tcPr>
          <w:p w14:paraId="63BCEC88">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相对厂界距离/m</w:t>
            </w:r>
          </w:p>
        </w:tc>
        <w:tc>
          <w:tcPr>
            <w:tcW w:w="1088" w:type="dxa"/>
            <w:gridSpan w:val="2"/>
            <w:tcBorders>
              <w:tl2br w:val="nil"/>
              <w:tr2bl w:val="nil"/>
            </w:tcBorders>
            <w:noWrap w:val="0"/>
            <w:vAlign w:val="center"/>
          </w:tcPr>
          <w:p w14:paraId="195E9286">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保护对象属性</w:t>
            </w:r>
          </w:p>
        </w:tc>
        <w:tc>
          <w:tcPr>
            <w:tcW w:w="821" w:type="dxa"/>
            <w:tcBorders>
              <w:tl2br w:val="nil"/>
              <w:tr2bl w:val="nil"/>
            </w:tcBorders>
            <w:noWrap w:val="0"/>
            <w:vAlign w:val="center"/>
          </w:tcPr>
          <w:p w14:paraId="0C66357D">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保护功能区</w:t>
            </w:r>
          </w:p>
        </w:tc>
        <w:tc>
          <w:tcPr>
            <w:tcW w:w="1263" w:type="dxa"/>
            <w:tcBorders>
              <w:tl2br w:val="nil"/>
              <w:tr2bl w:val="nil"/>
            </w:tcBorders>
            <w:noWrap w:val="0"/>
            <w:vAlign w:val="center"/>
          </w:tcPr>
          <w:p w14:paraId="7809E962">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人口数</w:t>
            </w:r>
          </w:p>
        </w:tc>
      </w:tr>
      <w:tr w14:paraId="5B9C10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22ADB8C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环境空气</w:t>
            </w:r>
          </w:p>
        </w:tc>
        <w:tc>
          <w:tcPr>
            <w:tcW w:w="665" w:type="dxa"/>
            <w:tcBorders>
              <w:tl2br w:val="nil"/>
              <w:tr2bl w:val="nil"/>
            </w:tcBorders>
            <w:noWrap w:val="0"/>
            <w:vAlign w:val="center"/>
          </w:tcPr>
          <w:p w14:paraId="73CF517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5DBF2DD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关塘墈上</w:t>
            </w:r>
          </w:p>
        </w:tc>
        <w:tc>
          <w:tcPr>
            <w:tcW w:w="987" w:type="dxa"/>
            <w:tcBorders>
              <w:tl2br w:val="nil"/>
              <w:tr2bl w:val="nil"/>
            </w:tcBorders>
            <w:noWrap w:val="0"/>
            <w:vAlign w:val="center"/>
          </w:tcPr>
          <w:p w14:paraId="6AD896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239C95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2950-3220</w:t>
            </w:r>
          </w:p>
        </w:tc>
        <w:tc>
          <w:tcPr>
            <w:tcW w:w="1088" w:type="dxa"/>
            <w:gridSpan w:val="2"/>
            <w:tcBorders>
              <w:tl2br w:val="nil"/>
              <w:tr2bl w:val="nil"/>
            </w:tcBorders>
            <w:noWrap w:val="0"/>
            <w:vAlign w:val="center"/>
          </w:tcPr>
          <w:p w14:paraId="0181F55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restart"/>
            <w:tcBorders>
              <w:tl2br w:val="nil"/>
              <w:tr2bl w:val="nil"/>
            </w:tcBorders>
            <w:noWrap w:val="0"/>
            <w:vAlign w:val="center"/>
          </w:tcPr>
          <w:p w14:paraId="15F8B525">
            <w:pPr>
              <w:shd w:val="clear" w:color="auto" w:fill="auto"/>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大气环境二类区</w:t>
            </w:r>
          </w:p>
          <w:p w14:paraId="2B70C958">
            <w:pPr>
              <w:shd w:val="clear" w:color="auto" w:fill="auto"/>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p>
          <w:p w14:paraId="17DC5EE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C6D8F3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105</w:t>
            </w:r>
          </w:p>
        </w:tc>
      </w:tr>
      <w:tr w14:paraId="3C4312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B6DB8A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9FB6A5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w:t>
            </w:r>
          </w:p>
        </w:tc>
        <w:tc>
          <w:tcPr>
            <w:tcW w:w="2163" w:type="dxa"/>
            <w:tcBorders>
              <w:tl2br w:val="nil"/>
              <w:tr2bl w:val="nil"/>
            </w:tcBorders>
            <w:noWrap w:val="0"/>
            <w:vAlign w:val="center"/>
          </w:tcPr>
          <w:p w14:paraId="1BCEEC6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窑塘坡</w:t>
            </w:r>
          </w:p>
        </w:tc>
        <w:tc>
          <w:tcPr>
            <w:tcW w:w="987" w:type="dxa"/>
            <w:tcBorders>
              <w:tl2br w:val="nil"/>
              <w:tr2bl w:val="nil"/>
            </w:tcBorders>
            <w:noWrap w:val="0"/>
            <w:vAlign w:val="center"/>
          </w:tcPr>
          <w:p w14:paraId="72DE22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7422B0E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2710-3050</w:t>
            </w:r>
          </w:p>
        </w:tc>
        <w:tc>
          <w:tcPr>
            <w:tcW w:w="1088" w:type="dxa"/>
            <w:gridSpan w:val="2"/>
            <w:tcBorders>
              <w:tl2br w:val="nil"/>
              <w:tr2bl w:val="nil"/>
            </w:tcBorders>
            <w:noWrap w:val="0"/>
            <w:vAlign w:val="center"/>
          </w:tcPr>
          <w:p w14:paraId="10AA4BF9">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078DF2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C238CE8">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105</w:t>
            </w:r>
          </w:p>
        </w:tc>
      </w:tr>
      <w:tr w14:paraId="3702EF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023F76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D84CB9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3</w:t>
            </w:r>
          </w:p>
        </w:tc>
        <w:tc>
          <w:tcPr>
            <w:tcW w:w="2163" w:type="dxa"/>
            <w:tcBorders>
              <w:tl2br w:val="nil"/>
              <w:tr2bl w:val="nil"/>
            </w:tcBorders>
            <w:noWrap w:val="0"/>
            <w:vAlign w:val="center"/>
          </w:tcPr>
          <w:p w14:paraId="6128D70E">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梨树脚</w:t>
            </w:r>
          </w:p>
        </w:tc>
        <w:tc>
          <w:tcPr>
            <w:tcW w:w="987" w:type="dxa"/>
            <w:tcBorders>
              <w:tl2br w:val="nil"/>
              <w:tr2bl w:val="nil"/>
            </w:tcBorders>
            <w:noWrap w:val="0"/>
            <w:vAlign w:val="center"/>
          </w:tcPr>
          <w:p w14:paraId="4E30850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2CD6455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2270-2745</w:t>
            </w:r>
          </w:p>
        </w:tc>
        <w:tc>
          <w:tcPr>
            <w:tcW w:w="1088" w:type="dxa"/>
            <w:gridSpan w:val="2"/>
            <w:tcBorders>
              <w:tl2br w:val="nil"/>
              <w:tr2bl w:val="nil"/>
            </w:tcBorders>
            <w:noWrap w:val="0"/>
            <w:vAlign w:val="center"/>
          </w:tcPr>
          <w:p w14:paraId="509B271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61151F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EBAED9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175</w:t>
            </w:r>
          </w:p>
        </w:tc>
      </w:tr>
      <w:tr w14:paraId="5B49D5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AC0784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D370E7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w:t>
            </w:r>
          </w:p>
        </w:tc>
        <w:tc>
          <w:tcPr>
            <w:tcW w:w="2163" w:type="dxa"/>
            <w:tcBorders>
              <w:tl2br w:val="nil"/>
              <w:tr2bl w:val="nil"/>
            </w:tcBorders>
            <w:noWrap w:val="0"/>
            <w:vAlign w:val="center"/>
          </w:tcPr>
          <w:p w14:paraId="07041CA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刘家咀</w:t>
            </w:r>
          </w:p>
        </w:tc>
        <w:tc>
          <w:tcPr>
            <w:tcW w:w="987" w:type="dxa"/>
            <w:tcBorders>
              <w:tl2br w:val="nil"/>
              <w:tr2bl w:val="nil"/>
            </w:tcBorders>
            <w:noWrap w:val="0"/>
            <w:vAlign w:val="center"/>
          </w:tcPr>
          <w:p w14:paraId="44F2D3D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58A1588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2245-2580</w:t>
            </w:r>
          </w:p>
        </w:tc>
        <w:tc>
          <w:tcPr>
            <w:tcW w:w="1088" w:type="dxa"/>
            <w:gridSpan w:val="2"/>
            <w:tcBorders>
              <w:tl2br w:val="nil"/>
              <w:tr2bl w:val="nil"/>
            </w:tcBorders>
            <w:noWrap w:val="0"/>
            <w:vAlign w:val="center"/>
          </w:tcPr>
          <w:p w14:paraId="63A22F9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DD977E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019D8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175</w:t>
            </w:r>
          </w:p>
        </w:tc>
      </w:tr>
      <w:tr w14:paraId="58C4B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2DFA4F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605A1C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5</w:t>
            </w:r>
          </w:p>
        </w:tc>
        <w:tc>
          <w:tcPr>
            <w:tcW w:w="2163" w:type="dxa"/>
            <w:tcBorders>
              <w:tl2br w:val="nil"/>
              <w:tr2bl w:val="nil"/>
            </w:tcBorders>
            <w:noWrap w:val="0"/>
            <w:vAlign w:val="center"/>
          </w:tcPr>
          <w:p w14:paraId="5BE794F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金家屋场</w:t>
            </w:r>
          </w:p>
        </w:tc>
        <w:tc>
          <w:tcPr>
            <w:tcW w:w="987" w:type="dxa"/>
            <w:tcBorders>
              <w:tl2br w:val="nil"/>
              <w:tr2bl w:val="nil"/>
            </w:tcBorders>
            <w:noWrap w:val="0"/>
            <w:vAlign w:val="center"/>
          </w:tcPr>
          <w:p w14:paraId="4904CD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739B32E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1615-2135</w:t>
            </w:r>
          </w:p>
        </w:tc>
        <w:tc>
          <w:tcPr>
            <w:tcW w:w="1088" w:type="dxa"/>
            <w:gridSpan w:val="2"/>
            <w:tcBorders>
              <w:tl2br w:val="nil"/>
              <w:tr2bl w:val="nil"/>
            </w:tcBorders>
            <w:noWrap w:val="0"/>
            <w:vAlign w:val="center"/>
          </w:tcPr>
          <w:p w14:paraId="684A677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5C8ADB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D37118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210</w:t>
            </w:r>
          </w:p>
        </w:tc>
      </w:tr>
      <w:tr w14:paraId="20708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C37F7E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1AC6E5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w:t>
            </w:r>
          </w:p>
        </w:tc>
        <w:tc>
          <w:tcPr>
            <w:tcW w:w="2163" w:type="dxa"/>
            <w:tcBorders>
              <w:tl2br w:val="nil"/>
              <w:tr2bl w:val="nil"/>
            </w:tcBorders>
            <w:noWrap w:val="0"/>
            <w:vAlign w:val="center"/>
          </w:tcPr>
          <w:p w14:paraId="20C7B18B">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下头屋</w:t>
            </w:r>
          </w:p>
        </w:tc>
        <w:tc>
          <w:tcPr>
            <w:tcW w:w="987" w:type="dxa"/>
            <w:tcBorders>
              <w:tl2br w:val="nil"/>
              <w:tr2bl w:val="nil"/>
            </w:tcBorders>
            <w:noWrap w:val="0"/>
            <w:vAlign w:val="center"/>
          </w:tcPr>
          <w:p w14:paraId="04C26F3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744D5D1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1805-2000</w:t>
            </w:r>
          </w:p>
        </w:tc>
        <w:tc>
          <w:tcPr>
            <w:tcW w:w="1088" w:type="dxa"/>
            <w:gridSpan w:val="2"/>
            <w:tcBorders>
              <w:tl2br w:val="nil"/>
              <w:tr2bl w:val="nil"/>
            </w:tcBorders>
            <w:noWrap w:val="0"/>
            <w:vAlign w:val="center"/>
          </w:tcPr>
          <w:p w14:paraId="6D9E66B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1C35F1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1ED107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210</w:t>
            </w:r>
          </w:p>
        </w:tc>
      </w:tr>
      <w:tr w14:paraId="027732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59F4E5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A39C61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w:t>
            </w:r>
          </w:p>
        </w:tc>
        <w:tc>
          <w:tcPr>
            <w:tcW w:w="2163" w:type="dxa"/>
            <w:tcBorders>
              <w:tl2br w:val="nil"/>
              <w:tr2bl w:val="nil"/>
            </w:tcBorders>
            <w:noWrap w:val="0"/>
            <w:vAlign w:val="center"/>
          </w:tcPr>
          <w:p w14:paraId="3584535B">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木门楼</w:t>
            </w:r>
          </w:p>
        </w:tc>
        <w:tc>
          <w:tcPr>
            <w:tcW w:w="987" w:type="dxa"/>
            <w:tcBorders>
              <w:tl2br w:val="nil"/>
              <w:tr2bl w:val="nil"/>
            </w:tcBorders>
            <w:noWrap w:val="0"/>
            <w:vAlign w:val="center"/>
          </w:tcPr>
          <w:p w14:paraId="13A0F6A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6D5569A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1795-2035</w:t>
            </w:r>
          </w:p>
        </w:tc>
        <w:tc>
          <w:tcPr>
            <w:tcW w:w="1088" w:type="dxa"/>
            <w:gridSpan w:val="2"/>
            <w:tcBorders>
              <w:tl2br w:val="nil"/>
              <w:tr2bl w:val="nil"/>
            </w:tcBorders>
            <w:noWrap w:val="0"/>
            <w:vAlign w:val="center"/>
          </w:tcPr>
          <w:p w14:paraId="03903F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B39A15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2066D8D">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175</w:t>
            </w:r>
          </w:p>
        </w:tc>
      </w:tr>
      <w:tr w14:paraId="0236C4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6B0DDB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324A00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8</w:t>
            </w:r>
          </w:p>
        </w:tc>
        <w:tc>
          <w:tcPr>
            <w:tcW w:w="2163" w:type="dxa"/>
            <w:tcBorders>
              <w:tl2br w:val="nil"/>
              <w:tr2bl w:val="nil"/>
            </w:tcBorders>
            <w:noWrap w:val="0"/>
            <w:vAlign w:val="center"/>
          </w:tcPr>
          <w:p w14:paraId="05E3E8E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上园里屋</w:t>
            </w:r>
          </w:p>
        </w:tc>
        <w:tc>
          <w:tcPr>
            <w:tcW w:w="987" w:type="dxa"/>
            <w:tcBorders>
              <w:tl2br w:val="nil"/>
              <w:tr2bl w:val="nil"/>
            </w:tcBorders>
            <w:noWrap w:val="0"/>
            <w:vAlign w:val="center"/>
          </w:tcPr>
          <w:p w14:paraId="1863B17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727DD55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2375-2755</w:t>
            </w:r>
          </w:p>
        </w:tc>
        <w:tc>
          <w:tcPr>
            <w:tcW w:w="1088" w:type="dxa"/>
            <w:gridSpan w:val="2"/>
            <w:tcBorders>
              <w:tl2br w:val="nil"/>
              <w:tr2bl w:val="nil"/>
            </w:tcBorders>
            <w:noWrap w:val="0"/>
            <w:vAlign w:val="center"/>
          </w:tcPr>
          <w:p w14:paraId="671E8FDA">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EAE6F8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7A81E8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35</w:t>
            </w:r>
          </w:p>
        </w:tc>
      </w:tr>
      <w:tr w14:paraId="2FF928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A1EEE4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64E136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9</w:t>
            </w:r>
          </w:p>
        </w:tc>
        <w:tc>
          <w:tcPr>
            <w:tcW w:w="2163" w:type="dxa"/>
            <w:tcBorders>
              <w:tl2br w:val="nil"/>
              <w:tr2bl w:val="nil"/>
            </w:tcBorders>
            <w:noWrap w:val="0"/>
            <w:vAlign w:val="center"/>
          </w:tcPr>
          <w:p w14:paraId="18BFD93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公家坝</w:t>
            </w:r>
          </w:p>
        </w:tc>
        <w:tc>
          <w:tcPr>
            <w:tcW w:w="987" w:type="dxa"/>
            <w:tcBorders>
              <w:tl2br w:val="nil"/>
              <w:tr2bl w:val="nil"/>
            </w:tcBorders>
            <w:noWrap w:val="0"/>
            <w:vAlign w:val="center"/>
          </w:tcPr>
          <w:p w14:paraId="4264A4F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北</w:t>
            </w:r>
          </w:p>
        </w:tc>
        <w:tc>
          <w:tcPr>
            <w:tcW w:w="1187" w:type="dxa"/>
            <w:gridSpan w:val="3"/>
            <w:tcBorders>
              <w:tl2br w:val="nil"/>
              <w:tr2bl w:val="nil"/>
            </w:tcBorders>
            <w:noWrap w:val="0"/>
            <w:vAlign w:val="center"/>
          </w:tcPr>
          <w:p w14:paraId="5F7B93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1915-2400</w:t>
            </w:r>
          </w:p>
        </w:tc>
        <w:tc>
          <w:tcPr>
            <w:tcW w:w="1088" w:type="dxa"/>
            <w:gridSpan w:val="2"/>
            <w:tcBorders>
              <w:tl2br w:val="nil"/>
              <w:tr2bl w:val="nil"/>
            </w:tcBorders>
            <w:noWrap w:val="0"/>
            <w:vAlign w:val="center"/>
          </w:tcPr>
          <w:p w14:paraId="6495351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DC45EA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805A2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70</w:t>
            </w:r>
          </w:p>
        </w:tc>
      </w:tr>
      <w:tr w14:paraId="4094B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72FCB3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FFCAF8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c>
          <w:tcPr>
            <w:tcW w:w="2163" w:type="dxa"/>
            <w:tcBorders>
              <w:tl2br w:val="nil"/>
              <w:tr2bl w:val="nil"/>
            </w:tcBorders>
            <w:noWrap w:val="0"/>
            <w:vAlign w:val="center"/>
          </w:tcPr>
          <w:p w14:paraId="2F5B7C0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铁头磅</w:t>
            </w:r>
          </w:p>
        </w:tc>
        <w:tc>
          <w:tcPr>
            <w:tcW w:w="987" w:type="dxa"/>
            <w:tcBorders>
              <w:tl2br w:val="nil"/>
              <w:tr2bl w:val="nil"/>
            </w:tcBorders>
            <w:noWrap w:val="0"/>
            <w:vAlign w:val="center"/>
          </w:tcPr>
          <w:p w14:paraId="797F71B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东北</w:t>
            </w:r>
          </w:p>
        </w:tc>
        <w:tc>
          <w:tcPr>
            <w:tcW w:w="1187" w:type="dxa"/>
            <w:gridSpan w:val="3"/>
            <w:tcBorders>
              <w:tl2br w:val="nil"/>
              <w:tr2bl w:val="nil"/>
            </w:tcBorders>
            <w:noWrap w:val="0"/>
            <w:vAlign w:val="center"/>
          </w:tcPr>
          <w:p w14:paraId="51344B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2445-2465</w:t>
            </w:r>
          </w:p>
        </w:tc>
        <w:tc>
          <w:tcPr>
            <w:tcW w:w="1088" w:type="dxa"/>
            <w:gridSpan w:val="2"/>
            <w:tcBorders>
              <w:tl2br w:val="nil"/>
              <w:tr2bl w:val="nil"/>
            </w:tcBorders>
            <w:noWrap w:val="0"/>
            <w:vAlign w:val="center"/>
          </w:tcPr>
          <w:p w14:paraId="6493098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9BDA9E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402178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105</w:t>
            </w:r>
          </w:p>
        </w:tc>
      </w:tr>
      <w:tr w14:paraId="47DA3B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EE3ADD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2336B8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11</w:t>
            </w:r>
          </w:p>
        </w:tc>
        <w:tc>
          <w:tcPr>
            <w:tcW w:w="2163" w:type="dxa"/>
            <w:tcBorders>
              <w:tl2br w:val="nil"/>
              <w:tr2bl w:val="nil"/>
            </w:tcBorders>
            <w:noWrap w:val="0"/>
            <w:vAlign w:val="center"/>
          </w:tcPr>
          <w:p w14:paraId="2D4ECBC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莲花学校</w:t>
            </w:r>
          </w:p>
        </w:tc>
        <w:tc>
          <w:tcPr>
            <w:tcW w:w="987" w:type="dxa"/>
            <w:tcBorders>
              <w:tl2br w:val="nil"/>
              <w:tr2bl w:val="nil"/>
            </w:tcBorders>
            <w:noWrap w:val="0"/>
            <w:vAlign w:val="center"/>
          </w:tcPr>
          <w:p w14:paraId="779A83F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1AD322B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2345</w:t>
            </w:r>
          </w:p>
        </w:tc>
        <w:tc>
          <w:tcPr>
            <w:tcW w:w="1088" w:type="dxa"/>
            <w:gridSpan w:val="2"/>
            <w:tcBorders>
              <w:tl2br w:val="nil"/>
              <w:tr2bl w:val="nil"/>
            </w:tcBorders>
            <w:noWrap w:val="0"/>
            <w:vAlign w:val="center"/>
          </w:tcPr>
          <w:p w14:paraId="63B2E16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821" w:type="dxa"/>
            <w:vMerge w:val="continue"/>
            <w:tcBorders>
              <w:tl2br w:val="nil"/>
              <w:tr2bl w:val="nil"/>
            </w:tcBorders>
            <w:noWrap w:val="0"/>
            <w:vAlign w:val="center"/>
          </w:tcPr>
          <w:p w14:paraId="389148D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750114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320</w:t>
            </w:r>
          </w:p>
        </w:tc>
      </w:tr>
      <w:tr w14:paraId="46B1DB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E1DF4D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8F7AC2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c>
          <w:tcPr>
            <w:tcW w:w="2163" w:type="dxa"/>
            <w:tcBorders>
              <w:tl2br w:val="nil"/>
              <w:tr2bl w:val="nil"/>
            </w:tcBorders>
            <w:noWrap w:val="0"/>
            <w:vAlign w:val="center"/>
          </w:tcPr>
          <w:p w14:paraId="57460FD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谢家新屋</w:t>
            </w:r>
          </w:p>
        </w:tc>
        <w:tc>
          <w:tcPr>
            <w:tcW w:w="987" w:type="dxa"/>
            <w:tcBorders>
              <w:tl2br w:val="nil"/>
              <w:tr2bl w:val="nil"/>
            </w:tcBorders>
            <w:noWrap w:val="0"/>
            <w:vAlign w:val="center"/>
          </w:tcPr>
          <w:p w14:paraId="18E5822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494206F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1880-2025</w:t>
            </w:r>
          </w:p>
        </w:tc>
        <w:tc>
          <w:tcPr>
            <w:tcW w:w="1088" w:type="dxa"/>
            <w:gridSpan w:val="2"/>
            <w:tcBorders>
              <w:tl2br w:val="nil"/>
              <w:tr2bl w:val="nil"/>
            </w:tcBorders>
            <w:noWrap w:val="0"/>
            <w:vAlign w:val="center"/>
          </w:tcPr>
          <w:p w14:paraId="776D15A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F07AAF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1CE75D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35</w:t>
            </w:r>
          </w:p>
        </w:tc>
      </w:tr>
      <w:tr w14:paraId="3567D6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40F555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85F229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13</w:t>
            </w:r>
          </w:p>
        </w:tc>
        <w:tc>
          <w:tcPr>
            <w:tcW w:w="2163" w:type="dxa"/>
            <w:tcBorders>
              <w:tl2br w:val="nil"/>
              <w:tr2bl w:val="nil"/>
            </w:tcBorders>
            <w:noWrap w:val="0"/>
            <w:vAlign w:val="center"/>
          </w:tcPr>
          <w:p w14:paraId="25EB398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大屋场</w:t>
            </w:r>
          </w:p>
        </w:tc>
        <w:tc>
          <w:tcPr>
            <w:tcW w:w="987" w:type="dxa"/>
            <w:tcBorders>
              <w:tl2br w:val="nil"/>
              <w:tr2bl w:val="nil"/>
            </w:tcBorders>
            <w:noWrap w:val="0"/>
            <w:vAlign w:val="center"/>
          </w:tcPr>
          <w:p w14:paraId="777B7B2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26F27A1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2105-2300</w:t>
            </w:r>
          </w:p>
        </w:tc>
        <w:tc>
          <w:tcPr>
            <w:tcW w:w="1088" w:type="dxa"/>
            <w:gridSpan w:val="2"/>
            <w:tcBorders>
              <w:tl2br w:val="nil"/>
              <w:tr2bl w:val="nil"/>
            </w:tcBorders>
            <w:noWrap w:val="0"/>
            <w:vAlign w:val="center"/>
          </w:tcPr>
          <w:p w14:paraId="39CDF15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9F4918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4C4DD4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35</w:t>
            </w:r>
          </w:p>
        </w:tc>
      </w:tr>
      <w:tr w14:paraId="35919F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2F8735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004BF3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14</w:t>
            </w:r>
          </w:p>
        </w:tc>
        <w:tc>
          <w:tcPr>
            <w:tcW w:w="2163" w:type="dxa"/>
            <w:tcBorders>
              <w:tl2br w:val="nil"/>
              <w:tr2bl w:val="nil"/>
            </w:tcBorders>
            <w:noWrap w:val="0"/>
            <w:vAlign w:val="center"/>
          </w:tcPr>
          <w:p w14:paraId="2DC73A61">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赤塘</w:t>
            </w:r>
          </w:p>
        </w:tc>
        <w:tc>
          <w:tcPr>
            <w:tcW w:w="987" w:type="dxa"/>
            <w:tcBorders>
              <w:tl2br w:val="nil"/>
              <w:tr2bl w:val="nil"/>
            </w:tcBorders>
            <w:noWrap w:val="0"/>
            <w:vAlign w:val="center"/>
          </w:tcPr>
          <w:p w14:paraId="6356847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2918D06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1405-1925</w:t>
            </w:r>
          </w:p>
        </w:tc>
        <w:tc>
          <w:tcPr>
            <w:tcW w:w="1088" w:type="dxa"/>
            <w:gridSpan w:val="2"/>
            <w:tcBorders>
              <w:tl2br w:val="nil"/>
              <w:tr2bl w:val="nil"/>
            </w:tcBorders>
            <w:noWrap w:val="0"/>
            <w:vAlign w:val="center"/>
          </w:tcPr>
          <w:p w14:paraId="47B5D0AA">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D34065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639FB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175</w:t>
            </w:r>
          </w:p>
        </w:tc>
      </w:tr>
      <w:tr w14:paraId="7D842B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FB0F24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AB27D1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15</w:t>
            </w:r>
          </w:p>
        </w:tc>
        <w:tc>
          <w:tcPr>
            <w:tcW w:w="2163" w:type="dxa"/>
            <w:tcBorders>
              <w:tl2br w:val="nil"/>
              <w:tr2bl w:val="nil"/>
            </w:tcBorders>
            <w:noWrap w:val="0"/>
            <w:vAlign w:val="center"/>
          </w:tcPr>
          <w:p w14:paraId="3749F492">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干冲里</w:t>
            </w:r>
          </w:p>
        </w:tc>
        <w:tc>
          <w:tcPr>
            <w:tcW w:w="987" w:type="dxa"/>
            <w:tcBorders>
              <w:tl2br w:val="nil"/>
              <w:tr2bl w:val="nil"/>
            </w:tcBorders>
            <w:noWrap w:val="0"/>
            <w:vAlign w:val="center"/>
          </w:tcPr>
          <w:p w14:paraId="7AEA1F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0B0392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2175-2500</w:t>
            </w:r>
          </w:p>
        </w:tc>
        <w:tc>
          <w:tcPr>
            <w:tcW w:w="1088" w:type="dxa"/>
            <w:gridSpan w:val="2"/>
            <w:tcBorders>
              <w:tl2br w:val="nil"/>
              <w:tr2bl w:val="nil"/>
            </w:tcBorders>
            <w:noWrap w:val="0"/>
            <w:vAlign w:val="center"/>
          </w:tcPr>
          <w:p w14:paraId="16189DD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266735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DAC6B0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105</w:t>
            </w:r>
          </w:p>
        </w:tc>
      </w:tr>
      <w:tr w14:paraId="1ECAA5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90CC14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8FD8AE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16</w:t>
            </w:r>
          </w:p>
        </w:tc>
        <w:tc>
          <w:tcPr>
            <w:tcW w:w="2163" w:type="dxa"/>
            <w:tcBorders>
              <w:tl2br w:val="nil"/>
              <w:tr2bl w:val="nil"/>
            </w:tcBorders>
            <w:noWrap w:val="0"/>
            <w:vAlign w:val="center"/>
          </w:tcPr>
          <w:p w14:paraId="141C791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旧屋场</w:t>
            </w:r>
          </w:p>
        </w:tc>
        <w:tc>
          <w:tcPr>
            <w:tcW w:w="987" w:type="dxa"/>
            <w:tcBorders>
              <w:tl2br w:val="nil"/>
              <w:tr2bl w:val="nil"/>
            </w:tcBorders>
            <w:noWrap w:val="0"/>
            <w:vAlign w:val="center"/>
          </w:tcPr>
          <w:p w14:paraId="08CAE7A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0AD3D04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1650-2300</w:t>
            </w:r>
          </w:p>
        </w:tc>
        <w:tc>
          <w:tcPr>
            <w:tcW w:w="1088" w:type="dxa"/>
            <w:gridSpan w:val="2"/>
            <w:tcBorders>
              <w:tl2br w:val="nil"/>
              <w:tr2bl w:val="nil"/>
            </w:tcBorders>
            <w:noWrap w:val="0"/>
            <w:vAlign w:val="center"/>
          </w:tcPr>
          <w:p w14:paraId="05FD88B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6445CA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C14710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210</w:t>
            </w:r>
          </w:p>
        </w:tc>
      </w:tr>
      <w:tr w14:paraId="460CB4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C639CB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E7BBBA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17</w:t>
            </w:r>
          </w:p>
        </w:tc>
        <w:tc>
          <w:tcPr>
            <w:tcW w:w="2163" w:type="dxa"/>
            <w:tcBorders>
              <w:tl2br w:val="nil"/>
              <w:tr2bl w:val="nil"/>
            </w:tcBorders>
            <w:noWrap w:val="0"/>
            <w:vAlign w:val="center"/>
          </w:tcPr>
          <w:p w14:paraId="636A2878">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梅塘湾</w:t>
            </w:r>
          </w:p>
        </w:tc>
        <w:tc>
          <w:tcPr>
            <w:tcW w:w="987" w:type="dxa"/>
            <w:tcBorders>
              <w:tl2br w:val="nil"/>
              <w:tr2bl w:val="nil"/>
            </w:tcBorders>
            <w:noWrap w:val="0"/>
            <w:vAlign w:val="center"/>
          </w:tcPr>
          <w:p w14:paraId="2FDE03B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4CB52DF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2235-2575</w:t>
            </w:r>
          </w:p>
        </w:tc>
        <w:tc>
          <w:tcPr>
            <w:tcW w:w="1088" w:type="dxa"/>
            <w:gridSpan w:val="2"/>
            <w:tcBorders>
              <w:tl2br w:val="nil"/>
              <w:tr2bl w:val="nil"/>
            </w:tcBorders>
            <w:noWrap w:val="0"/>
            <w:vAlign w:val="center"/>
          </w:tcPr>
          <w:p w14:paraId="35D484C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11DCAF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22F100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175</w:t>
            </w:r>
          </w:p>
        </w:tc>
      </w:tr>
      <w:tr w14:paraId="556F7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F9935F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53CB0E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18</w:t>
            </w:r>
          </w:p>
        </w:tc>
        <w:tc>
          <w:tcPr>
            <w:tcW w:w="2163" w:type="dxa"/>
            <w:tcBorders>
              <w:tl2br w:val="nil"/>
              <w:tr2bl w:val="nil"/>
            </w:tcBorders>
            <w:noWrap w:val="0"/>
            <w:vAlign w:val="center"/>
          </w:tcPr>
          <w:p w14:paraId="28622E9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杉湾里</w:t>
            </w:r>
          </w:p>
        </w:tc>
        <w:tc>
          <w:tcPr>
            <w:tcW w:w="987" w:type="dxa"/>
            <w:tcBorders>
              <w:tl2br w:val="nil"/>
              <w:tr2bl w:val="nil"/>
            </w:tcBorders>
            <w:noWrap w:val="0"/>
            <w:vAlign w:val="center"/>
          </w:tcPr>
          <w:p w14:paraId="0AEE193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1C60CFD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2530-2950</w:t>
            </w:r>
          </w:p>
        </w:tc>
        <w:tc>
          <w:tcPr>
            <w:tcW w:w="1088" w:type="dxa"/>
            <w:gridSpan w:val="2"/>
            <w:tcBorders>
              <w:tl2br w:val="nil"/>
              <w:tr2bl w:val="nil"/>
            </w:tcBorders>
            <w:noWrap w:val="0"/>
            <w:vAlign w:val="center"/>
          </w:tcPr>
          <w:p w14:paraId="204256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B2950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0C92F6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105</w:t>
            </w:r>
          </w:p>
        </w:tc>
      </w:tr>
      <w:tr w14:paraId="1A3F70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F8EC0E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2C657F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19</w:t>
            </w:r>
          </w:p>
        </w:tc>
        <w:tc>
          <w:tcPr>
            <w:tcW w:w="2163" w:type="dxa"/>
            <w:tcBorders>
              <w:tl2br w:val="nil"/>
              <w:tr2bl w:val="nil"/>
            </w:tcBorders>
            <w:noWrap w:val="0"/>
            <w:vAlign w:val="center"/>
          </w:tcPr>
          <w:p w14:paraId="2D71887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黎家冲</w:t>
            </w:r>
          </w:p>
        </w:tc>
        <w:tc>
          <w:tcPr>
            <w:tcW w:w="987" w:type="dxa"/>
            <w:tcBorders>
              <w:tl2br w:val="nil"/>
              <w:tr2bl w:val="nil"/>
            </w:tcBorders>
            <w:noWrap w:val="0"/>
            <w:vAlign w:val="center"/>
          </w:tcPr>
          <w:p w14:paraId="2491233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4B09843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3130-3435</w:t>
            </w:r>
          </w:p>
        </w:tc>
        <w:tc>
          <w:tcPr>
            <w:tcW w:w="1088" w:type="dxa"/>
            <w:gridSpan w:val="2"/>
            <w:tcBorders>
              <w:tl2br w:val="nil"/>
              <w:tr2bl w:val="nil"/>
            </w:tcBorders>
            <w:noWrap w:val="0"/>
            <w:vAlign w:val="center"/>
          </w:tcPr>
          <w:p w14:paraId="0D96D5C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B6241D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5E949A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140</w:t>
            </w:r>
          </w:p>
        </w:tc>
      </w:tr>
      <w:tr w14:paraId="179B75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8A594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39E90B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20</w:t>
            </w:r>
          </w:p>
        </w:tc>
        <w:tc>
          <w:tcPr>
            <w:tcW w:w="2163" w:type="dxa"/>
            <w:tcBorders>
              <w:tl2br w:val="nil"/>
              <w:tr2bl w:val="nil"/>
            </w:tcBorders>
            <w:noWrap w:val="0"/>
            <w:vAlign w:val="center"/>
          </w:tcPr>
          <w:p w14:paraId="4421B64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思源塘</w:t>
            </w:r>
          </w:p>
        </w:tc>
        <w:tc>
          <w:tcPr>
            <w:tcW w:w="987" w:type="dxa"/>
            <w:tcBorders>
              <w:tl2br w:val="nil"/>
              <w:tr2bl w:val="nil"/>
            </w:tcBorders>
            <w:noWrap w:val="0"/>
            <w:vAlign w:val="center"/>
          </w:tcPr>
          <w:p w14:paraId="2D60C5B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1B7C916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2290-2840</w:t>
            </w:r>
          </w:p>
        </w:tc>
        <w:tc>
          <w:tcPr>
            <w:tcW w:w="1088" w:type="dxa"/>
            <w:gridSpan w:val="2"/>
            <w:tcBorders>
              <w:tl2br w:val="nil"/>
              <w:tr2bl w:val="nil"/>
            </w:tcBorders>
            <w:noWrap w:val="0"/>
            <w:vAlign w:val="center"/>
          </w:tcPr>
          <w:p w14:paraId="61B7F3B4">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978650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59DA51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210</w:t>
            </w:r>
          </w:p>
        </w:tc>
      </w:tr>
      <w:tr w14:paraId="4BB22B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3A8431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D392E0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21</w:t>
            </w:r>
          </w:p>
        </w:tc>
        <w:tc>
          <w:tcPr>
            <w:tcW w:w="2163" w:type="dxa"/>
            <w:tcBorders>
              <w:tl2br w:val="nil"/>
              <w:tr2bl w:val="nil"/>
            </w:tcBorders>
            <w:noWrap w:val="0"/>
            <w:vAlign w:val="center"/>
          </w:tcPr>
          <w:p w14:paraId="0744527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大冲里</w:t>
            </w:r>
          </w:p>
        </w:tc>
        <w:tc>
          <w:tcPr>
            <w:tcW w:w="987" w:type="dxa"/>
            <w:tcBorders>
              <w:tl2br w:val="nil"/>
              <w:tr2bl w:val="nil"/>
            </w:tcBorders>
            <w:noWrap w:val="0"/>
            <w:vAlign w:val="center"/>
          </w:tcPr>
          <w:p w14:paraId="598DF74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028BEE3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1915-2180</w:t>
            </w:r>
          </w:p>
        </w:tc>
        <w:tc>
          <w:tcPr>
            <w:tcW w:w="1088" w:type="dxa"/>
            <w:gridSpan w:val="2"/>
            <w:tcBorders>
              <w:tl2br w:val="nil"/>
              <w:tr2bl w:val="nil"/>
            </w:tcBorders>
            <w:noWrap w:val="0"/>
            <w:vAlign w:val="center"/>
          </w:tcPr>
          <w:p w14:paraId="0B92B03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6ED3EF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91F961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70</w:t>
            </w:r>
          </w:p>
        </w:tc>
      </w:tr>
      <w:tr w14:paraId="3985DD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D3CE0A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554A63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22</w:t>
            </w:r>
          </w:p>
        </w:tc>
        <w:tc>
          <w:tcPr>
            <w:tcW w:w="2163" w:type="dxa"/>
            <w:tcBorders>
              <w:tl2br w:val="nil"/>
              <w:tr2bl w:val="nil"/>
            </w:tcBorders>
            <w:noWrap w:val="0"/>
            <w:vAlign w:val="center"/>
          </w:tcPr>
          <w:p w14:paraId="6289762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烟竹塘</w:t>
            </w:r>
          </w:p>
        </w:tc>
        <w:tc>
          <w:tcPr>
            <w:tcW w:w="987" w:type="dxa"/>
            <w:tcBorders>
              <w:tl2br w:val="nil"/>
              <w:tr2bl w:val="nil"/>
            </w:tcBorders>
            <w:noWrap w:val="0"/>
            <w:vAlign w:val="center"/>
          </w:tcPr>
          <w:p w14:paraId="6E2ECC5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6C7FED7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2080-2320</w:t>
            </w:r>
          </w:p>
        </w:tc>
        <w:tc>
          <w:tcPr>
            <w:tcW w:w="1088" w:type="dxa"/>
            <w:gridSpan w:val="2"/>
            <w:tcBorders>
              <w:tl2br w:val="nil"/>
              <w:tr2bl w:val="nil"/>
            </w:tcBorders>
            <w:noWrap w:val="0"/>
            <w:vAlign w:val="center"/>
          </w:tcPr>
          <w:p w14:paraId="14AFF77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62A3B1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36A311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105</w:t>
            </w:r>
          </w:p>
        </w:tc>
      </w:tr>
      <w:tr w14:paraId="2FBA89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CB6678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52D63B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23</w:t>
            </w:r>
          </w:p>
        </w:tc>
        <w:tc>
          <w:tcPr>
            <w:tcW w:w="2163" w:type="dxa"/>
            <w:tcBorders>
              <w:tl2br w:val="nil"/>
              <w:tr2bl w:val="nil"/>
            </w:tcBorders>
            <w:noWrap w:val="0"/>
            <w:vAlign w:val="center"/>
          </w:tcPr>
          <w:p w14:paraId="54FAE209">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叶家塘</w:t>
            </w:r>
          </w:p>
        </w:tc>
        <w:tc>
          <w:tcPr>
            <w:tcW w:w="987" w:type="dxa"/>
            <w:tcBorders>
              <w:tl2br w:val="nil"/>
              <w:tr2bl w:val="nil"/>
            </w:tcBorders>
            <w:noWrap w:val="0"/>
            <w:vAlign w:val="center"/>
          </w:tcPr>
          <w:p w14:paraId="35B6A36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1187" w:type="dxa"/>
            <w:gridSpan w:val="3"/>
            <w:tcBorders>
              <w:tl2br w:val="nil"/>
              <w:tr2bl w:val="nil"/>
            </w:tcBorders>
            <w:noWrap w:val="0"/>
            <w:vAlign w:val="center"/>
          </w:tcPr>
          <w:p w14:paraId="3A2B8CE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1280-2145</w:t>
            </w:r>
          </w:p>
        </w:tc>
        <w:tc>
          <w:tcPr>
            <w:tcW w:w="1088" w:type="dxa"/>
            <w:gridSpan w:val="2"/>
            <w:tcBorders>
              <w:tl2br w:val="nil"/>
              <w:tr2bl w:val="nil"/>
            </w:tcBorders>
            <w:noWrap w:val="0"/>
            <w:vAlign w:val="center"/>
          </w:tcPr>
          <w:p w14:paraId="5C4234E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9BF871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99A37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245</w:t>
            </w:r>
          </w:p>
        </w:tc>
      </w:tr>
      <w:tr w14:paraId="2F574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88CFCD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AC13DA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24</w:t>
            </w:r>
          </w:p>
        </w:tc>
        <w:tc>
          <w:tcPr>
            <w:tcW w:w="2163" w:type="dxa"/>
            <w:tcBorders>
              <w:tl2br w:val="nil"/>
              <w:tr2bl w:val="nil"/>
            </w:tcBorders>
            <w:noWrap w:val="0"/>
            <w:vAlign w:val="center"/>
          </w:tcPr>
          <w:p w14:paraId="61DCAB74">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石头咀</w:t>
            </w:r>
          </w:p>
        </w:tc>
        <w:tc>
          <w:tcPr>
            <w:tcW w:w="987" w:type="dxa"/>
            <w:tcBorders>
              <w:tl2br w:val="nil"/>
              <w:tr2bl w:val="nil"/>
            </w:tcBorders>
            <w:noWrap w:val="0"/>
            <w:vAlign w:val="center"/>
          </w:tcPr>
          <w:p w14:paraId="11309F0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5096845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650-1095</w:t>
            </w:r>
          </w:p>
        </w:tc>
        <w:tc>
          <w:tcPr>
            <w:tcW w:w="1088" w:type="dxa"/>
            <w:gridSpan w:val="2"/>
            <w:tcBorders>
              <w:tl2br w:val="nil"/>
              <w:tr2bl w:val="nil"/>
            </w:tcBorders>
            <w:noWrap w:val="0"/>
            <w:vAlign w:val="center"/>
          </w:tcPr>
          <w:p w14:paraId="26959F9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0D3433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FB703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3A6711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9E49DB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6B9F82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25</w:t>
            </w:r>
          </w:p>
        </w:tc>
        <w:tc>
          <w:tcPr>
            <w:tcW w:w="2163" w:type="dxa"/>
            <w:tcBorders>
              <w:tl2br w:val="nil"/>
              <w:tr2bl w:val="nil"/>
            </w:tcBorders>
            <w:noWrap w:val="0"/>
            <w:vAlign w:val="center"/>
          </w:tcPr>
          <w:p w14:paraId="3244568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湘北学校</w:t>
            </w:r>
          </w:p>
        </w:tc>
        <w:tc>
          <w:tcPr>
            <w:tcW w:w="987" w:type="dxa"/>
            <w:tcBorders>
              <w:tl2br w:val="nil"/>
              <w:tr2bl w:val="nil"/>
            </w:tcBorders>
            <w:noWrap w:val="0"/>
            <w:vAlign w:val="center"/>
          </w:tcPr>
          <w:p w14:paraId="669282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东北</w:t>
            </w:r>
          </w:p>
        </w:tc>
        <w:tc>
          <w:tcPr>
            <w:tcW w:w="1187" w:type="dxa"/>
            <w:gridSpan w:val="3"/>
            <w:tcBorders>
              <w:tl2br w:val="nil"/>
              <w:tr2bl w:val="nil"/>
            </w:tcBorders>
            <w:noWrap w:val="0"/>
            <w:vAlign w:val="center"/>
          </w:tcPr>
          <w:p w14:paraId="5964E9B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905-1565</w:t>
            </w:r>
          </w:p>
        </w:tc>
        <w:tc>
          <w:tcPr>
            <w:tcW w:w="1088" w:type="dxa"/>
            <w:gridSpan w:val="2"/>
            <w:tcBorders>
              <w:tl2br w:val="nil"/>
              <w:tr2bl w:val="nil"/>
            </w:tcBorders>
            <w:noWrap w:val="0"/>
            <w:vAlign w:val="center"/>
          </w:tcPr>
          <w:p w14:paraId="43EC2DA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821" w:type="dxa"/>
            <w:vMerge w:val="continue"/>
            <w:tcBorders>
              <w:tl2br w:val="nil"/>
              <w:tr2bl w:val="nil"/>
            </w:tcBorders>
            <w:noWrap w:val="0"/>
            <w:vAlign w:val="center"/>
          </w:tcPr>
          <w:p w14:paraId="4457A60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D62AAD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3200</w:t>
            </w:r>
          </w:p>
        </w:tc>
      </w:tr>
      <w:tr w14:paraId="7F6EE7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DE2F43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EA6FF0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26</w:t>
            </w:r>
          </w:p>
        </w:tc>
        <w:tc>
          <w:tcPr>
            <w:tcW w:w="2163" w:type="dxa"/>
            <w:tcBorders>
              <w:tl2br w:val="nil"/>
              <w:tr2bl w:val="nil"/>
            </w:tcBorders>
            <w:noWrap w:val="0"/>
            <w:vAlign w:val="center"/>
          </w:tcPr>
          <w:p w14:paraId="755D11AA">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桑子园</w:t>
            </w:r>
          </w:p>
        </w:tc>
        <w:tc>
          <w:tcPr>
            <w:tcW w:w="987" w:type="dxa"/>
            <w:tcBorders>
              <w:tl2br w:val="nil"/>
              <w:tr2bl w:val="nil"/>
            </w:tcBorders>
            <w:noWrap w:val="0"/>
            <w:vAlign w:val="center"/>
          </w:tcPr>
          <w:p w14:paraId="1473A0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北</w:t>
            </w:r>
          </w:p>
        </w:tc>
        <w:tc>
          <w:tcPr>
            <w:tcW w:w="1187" w:type="dxa"/>
            <w:gridSpan w:val="3"/>
            <w:tcBorders>
              <w:tl2br w:val="nil"/>
              <w:tr2bl w:val="nil"/>
            </w:tcBorders>
            <w:noWrap w:val="0"/>
            <w:vAlign w:val="center"/>
          </w:tcPr>
          <w:p w14:paraId="3AE7484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865-1495</w:t>
            </w:r>
          </w:p>
        </w:tc>
        <w:tc>
          <w:tcPr>
            <w:tcW w:w="1088" w:type="dxa"/>
            <w:gridSpan w:val="2"/>
            <w:tcBorders>
              <w:tl2br w:val="nil"/>
              <w:tr2bl w:val="nil"/>
            </w:tcBorders>
            <w:noWrap w:val="0"/>
            <w:vAlign w:val="center"/>
          </w:tcPr>
          <w:p w14:paraId="709305BE">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72CB2D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6F9D19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245</w:t>
            </w:r>
          </w:p>
        </w:tc>
      </w:tr>
      <w:tr w14:paraId="41EDE0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9EF059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295D6C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27</w:t>
            </w:r>
          </w:p>
        </w:tc>
        <w:tc>
          <w:tcPr>
            <w:tcW w:w="2163" w:type="dxa"/>
            <w:tcBorders>
              <w:tl2br w:val="nil"/>
              <w:tr2bl w:val="nil"/>
            </w:tcBorders>
            <w:noWrap w:val="0"/>
            <w:vAlign w:val="center"/>
          </w:tcPr>
          <w:p w14:paraId="0B33139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张家咀</w:t>
            </w:r>
          </w:p>
        </w:tc>
        <w:tc>
          <w:tcPr>
            <w:tcW w:w="987" w:type="dxa"/>
            <w:tcBorders>
              <w:tl2br w:val="nil"/>
              <w:tr2bl w:val="nil"/>
            </w:tcBorders>
            <w:noWrap w:val="0"/>
            <w:vAlign w:val="center"/>
          </w:tcPr>
          <w:p w14:paraId="0F77C9D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1187" w:type="dxa"/>
            <w:gridSpan w:val="3"/>
            <w:tcBorders>
              <w:tl2br w:val="nil"/>
              <w:tr2bl w:val="nil"/>
            </w:tcBorders>
            <w:noWrap w:val="0"/>
            <w:vAlign w:val="center"/>
          </w:tcPr>
          <w:p w14:paraId="27C7157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1165-1425</w:t>
            </w:r>
          </w:p>
        </w:tc>
        <w:tc>
          <w:tcPr>
            <w:tcW w:w="1088" w:type="dxa"/>
            <w:gridSpan w:val="2"/>
            <w:tcBorders>
              <w:tl2br w:val="nil"/>
              <w:tr2bl w:val="nil"/>
            </w:tcBorders>
            <w:noWrap w:val="0"/>
            <w:vAlign w:val="center"/>
          </w:tcPr>
          <w:p w14:paraId="7CA1CD9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550BF5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77C34B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105</w:t>
            </w:r>
          </w:p>
        </w:tc>
      </w:tr>
      <w:tr w14:paraId="074C15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B08C11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2B646D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28</w:t>
            </w:r>
          </w:p>
        </w:tc>
        <w:tc>
          <w:tcPr>
            <w:tcW w:w="2163" w:type="dxa"/>
            <w:tcBorders>
              <w:tl2br w:val="nil"/>
              <w:tr2bl w:val="nil"/>
            </w:tcBorders>
            <w:noWrap w:val="0"/>
            <w:vAlign w:val="center"/>
          </w:tcPr>
          <w:p w14:paraId="0258599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孙家垄</w:t>
            </w:r>
          </w:p>
        </w:tc>
        <w:tc>
          <w:tcPr>
            <w:tcW w:w="987" w:type="dxa"/>
            <w:tcBorders>
              <w:tl2br w:val="nil"/>
              <w:tr2bl w:val="nil"/>
            </w:tcBorders>
            <w:noWrap w:val="0"/>
            <w:vAlign w:val="center"/>
          </w:tcPr>
          <w:p w14:paraId="28332A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1187" w:type="dxa"/>
            <w:gridSpan w:val="3"/>
            <w:tcBorders>
              <w:tl2br w:val="nil"/>
              <w:tr2bl w:val="nil"/>
            </w:tcBorders>
            <w:noWrap w:val="0"/>
            <w:vAlign w:val="center"/>
          </w:tcPr>
          <w:p w14:paraId="54E6C68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1785-2045</w:t>
            </w:r>
          </w:p>
        </w:tc>
        <w:tc>
          <w:tcPr>
            <w:tcW w:w="1088" w:type="dxa"/>
            <w:gridSpan w:val="2"/>
            <w:tcBorders>
              <w:tl2br w:val="nil"/>
              <w:tr2bl w:val="nil"/>
            </w:tcBorders>
            <w:noWrap w:val="0"/>
            <w:vAlign w:val="center"/>
          </w:tcPr>
          <w:p w14:paraId="4383BC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E57F45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69EBE6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w:t>
            </w:r>
          </w:p>
        </w:tc>
      </w:tr>
      <w:tr w14:paraId="45E180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113E35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A46B78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29</w:t>
            </w:r>
          </w:p>
        </w:tc>
        <w:tc>
          <w:tcPr>
            <w:tcW w:w="2163" w:type="dxa"/>
            <w:tcBorders>
              <w:tl2br w:val="nil"/>
              <w:tr2bl w:val="nil"/>
            </w:tcBorders>
            <w:noWrap w:val="0"/>
            <w:vAlign w:val="center"/>
          </w:tcPr>
          <w:p w14:paraId="38FCC21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苏家冲</w:t>
            </w:r>
          </w:p>
        </w:tc>
        <w:tc>
          <w:tcPr>
            <w:tcW w:w="987" w:type="dxa"/>
            <w:tcBorders>
              <w:tl2br w:val="nil"/>
              <w:tr2bl w:val="nil"/>
            </w:tcBorders>
            <w:noWrap w:val="0"/>
            <w:vAlign w:val="center"/>
          </w:tcPr>
          <w:p w14:paraId="59DFF42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1187" w:type="dxa"/>
            <w:gridSpan w:val="3"/>
            <w:tcBorders>
              <w:tl2br w:val="nil"/>
              <w:tr2bl w:val="nil"/>
            </w:tcBorders>
            <w:noWrap w:val="0"/>
            <w:vAlign w:val="center"/>
          </w:tcPr>
          <w:p w14:paraId="68FC13C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2370-2965</w:t>
            </w:r>
          </w:p>
        </w:tc>
        <w:tc>
          <w:tcPr>
            <w:tcW w:w="1088" w:type="dxa"/>
            <w:gridSpan w:val="2"/>
            <w:tcBorders>
              <w:tl2br w:val="nil"/>
              <w:tr2bl w:val="nil"/>
            </w:tcBorders>
            <w:noWrap w:val="0"/>
            <w:vAlign w:val="center"/>
          </w:tcPr>
          <w:p w14:paraId="100CBC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F5EB0F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4F4392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076E3B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80657F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B0566B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30</w:t>
            </w:r>
          </w:p>
        </w:tc>
        <w:tc>
          <w:tcPr>
            <w:tcW w:w="2163" w:type="dxa"/>
            <w:tcBorders>
              <w:tl2br w:val="nil"/>
              <w:tr2bl w:val="nil"/>
            </w:tcBorders>
            <w:noWrap w:val="0"/>
            <w:vAlign w:val="center"/>
          </w:tcPr>
          <w:p w14:paraId="1C9BF65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王家园</w:t>
            </w:r>
          </w:p>
        </w:tc>
        <w:tc>
          <w:tcPr>
            <w:tcW w:w="987" w:type="dxa"/>
            <w:tcBorders>
              <w:tl2br w:val="nil"/>
              <w:tr2bl w:val="nil"/>
            </w:tcBorders>
            <w:noWrap w:val="0"/>
            <w:vAlign w:val="center"/>
          </w:tcPr>
          <w:p w14:paraId="3740BA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西北</w:t>
            </w:r>
          </w:p>
        </w:tc>
        <w:tc>
          <w:tcPr>
            <w:tcW w:w="1187" w:type="dxa"/>
            <w:gridSpan w:val="3"/>
            <w:tcBorders>
              <w:tl2br w:val="nil"/>
              <w:tr2bl w:val="nil"/>
            </w:tcBorders>
            <w:noWrap w:val="0"/>
            <w:vAlign w:val="center"/>
          </w:tcPr>
          <w:p w14:paraId="02A41CF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2405-2655</w:t>
            </w:r>
          </w:p>
        </w:tc>
        <w:tc>
          <w:tcPr>
            <w:tcW w:w="1088" w:type="dxa"/>
            <w:gridSpan w:val="2"/>
            <w:tcBorders>
              <w:tl2br w:val="nil"/>
              <w:tr2bl w:val="nil"/>
            </w:tcBorders>
            <w:noWrap w:val="0"/>
            <w:vAlign w:val="center"/>
          </w:tcPr>
          <w:p w14:paraId="3598E6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0D7D85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06CF89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w:t>
            </w:r>
          </w:p>
        </w:tc>
      </w:tr>
      <w:tr w14:paraId="64C4CF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FAB752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6771EC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31</w:t>
            </w:r>
          </w:p>
        </w:tc>
        <w:tc>
          <w:tcPr>
            <w:tcW w:w="2163" w:type="dxa"/>
            <w:tcBorders>
              <w:tl2br w:val="nil"/>
              <w:tr2bl w:val="nil"/>
            </w:tcBorders>
            <w:noWrap w:val="0"/>
            <w:vAlign w:val="center"/>
          </w:tcPr>
          <w:p w14:paraId="1AEBC17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熊家湾</w:t>
            </w:r>
          </w:p>
        </w:tc>
        <w:tc>
          <w:tcPr>
            <w:tcW w:w="987" w:type="dxa"/>
            <w:tcBorders>
              <w:tl2br w:val="nil"/>
              <w:tr2bl w:val="nil"/>
            </w:tcBorders>
            <w:noWrap w:val="0"/>
            <w:vAlign w:val="center"/>
          </w:tcPr>
          <w:p w14:paraId="163C2DF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西</w:t>
            </w:r>
          </w:p>
        </w:tc>
        <w:tc>
          <w:tcPr>
            <w:tcW w:w="1187" w:type="dxa"/>
            <w:gridSpan w:val="3"/>
            <w:tcBorders>
              <w:tl2br w:val="nil"/>
              <w:tr2bl w:val="nil"/>
            </w:tcBorders>
            <w:noWrap w:val="0"/>
            <w:vAlign w:val="center"/>
          </w:tcPr>
          <w:p w14:paraId="5373467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2020-2365</w:t>
            </w:r>
          </w:p>
        </w:tc>
        <w:tc>
          <w:tcPr>
            <w:tcW w:w="1088" w:type="dxa"/>
            <w:gridSpan w:val="2"/>
            <w:tcBorders>
              <w:tl2br w:val="nil"/>
              <w:tr2bl w:val="nil"/>
            </w:tcBorders>
            <w:noWrap w:val="0"/>
            <w:vAlign w:val="center"/>
          </w:tcPr>
          <w:p w14:paraId="233F1D5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8768C0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E16CD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105</w:t>
            </w:r>
          </w:p>
        </w:tc>
      </w:tr>
      <w:tr w14:paraId="17BD03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2371B6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F95AE2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32</w:t>
            </w:r>
          </w:p>
        </w:tc>
        <w:tc>
          <w:tcPr>
            <w:tcW w:w="2163" w:type="dxa"/>
            <w:tcBorders>
              <w:tl2br w:val="nil"/>
              <w:tr2bl w:val="nil"/>
            </w:tcBorders>
            <w:noWrap w:val="0"/>
            <w:vAlign w:val="center"/>
          </w:tcPr>
          <w:p w14:paraId="73B6305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山脚老屋</w:t>
            </w:r>
          </w:p>
        </w:tc>
        <w:tc>
          <w:tcPr>
            <w:tcW w:w="987" w:type="dxa"/>
            <w:tcBorders>
              <w:tl2br w:val="nil"/>
              <w:tr2bl w:val="nil"/>
            </w:tcBorders>
            <w:noWrap w:val="0"/>
            <w:vAlign w:val="center"/>
          </w:tcPr>
          <w:p w14:paraId="27EC08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西北</w:t>
            </w:r>
          </w:p>
        </w:tc>
        <w:tc>
          <w:tcPr>
            <w:tcW w:w="1187" w:type="dxa"/>
            <w:gridSpan w:val="3"/>
            <w:tcBorders>
              <w:tl2br w:val="nil"/>
              <w:tr2bl w:val="nil"/>
            </w:tcBorders>
            <w:noWrap w:val="0"/>
            <w:vAlign w:val="center"/>
          </w:tcPr>
          <w:p w14:paraId="042D24D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1425-1710</w:t>
            </w:r>
          </w:p>
        </w:tc>
        <w:tc>
          <w:tcPr>
            <w:tcW w:w="1088" w:type="dxa"/>
            <w:gridSpan w:val="2"/>
            <w:tcBorders>
              <w:tl2br w:val="nil"/>
              <w:tr2bl w:val="nil"/>
            </w:tcBorders>
            <w:noWrap w:val="0"/>
            <w:vAlign w:val="center"/>
          </w:tcPr>
          <w:p w14:paraId="66A42DAA">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812190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D74850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140</w:t>
            </w:r>
          </w:p>
        </w:tc>
      </w:tr>
      <w:tr w14:paraId="5349A8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CCC161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9A9917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33</w:t>
            </w:r>
          </w:p>
        </w:tc>
        <w:tc>
          <w:tcPr>
            <w:tcW w:w="2163" w:type="dxa"/>
            <w:tcBorders>
              <w:tl2br w:val="nil"/>
              <w:tr2bl w:val="nil"/>
            </w:tcBorders>
            <w:noWrap w:val="0"/>
            <w:vAlign w:val="center"/>
          </w:tcPr>
          <w:p w14:paraId="37ACFFF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贺公塘</w:t>
            </w:r>
          </w:p>
        </w:tc>
        <w:tc>
          <w:tcPr>
            <w:tcW w:w="987" w:type="dxa"/>
            <w:tcBorders>
              <w:tl2br w:val="nil"/>
              <w:tr2bl w:val="nil"/>
            </w:tcBorders>
            <w:noWrap w:val="0"/>
            <w:vAlign w:val="center"/>
          </w:tcPr>
          <w:p w14:paraId="4A2B1B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w:t>
            </w:r>
          </w:p>
        </w:tc>
        <w:tc>
          <w:tcPr>
            <w:tcW w:w="1187" w:type="dxa"/>
            <w:gridSpan w:val="3"/>
            <w:tcBorders>
              <w:tl2br w:val="nil"/>
              <w:tr2bl w:val="nil"/>
            </w:tcBorders>
            <w:noWrap w:val="0"/>
            <w:vAlign w:val="center"/>
          </w:tcPr>
          <w:p w14:paraId="5C3650F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1210-1475</w:t>
            </w:r>
          </w:p>
        </w:tc>
        <w:tc>
          <w:tcPr>
            <w:tcW w:w="1088" w:type="dxa"/>
            <w:gridSpan w:val="2"/>
            <w:tcBorders>
              <w:tl2br w:val="nil"/>
              <w:tr2bl w:val="nil"/>
            </w:tcBorders>
            <w:noWrap w:val="0"/>
            <w:vAlign w:val="center"/>
          </w:tcPr>
          <w:p w14:paraId="23A57C5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13A990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86B993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140</w:t>
            </w:r>
          </w:p>
        </w:tc>
      </w:tr>
      <w:tr w14:paraId="769F96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F9DA76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76839B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34</w:t>
            </w:r>
          </w:p>
        </w:tc>
        <w:tc>
          <w:tcPr>
            <w:tcW w:w="2163" w:type="dxa"/>
            <w:tcBorders>
              <w:tl2br w:val="nil"/>
              <w:tr2bl w:val="nil"/>
            </w:tcBorders>
            <w:noWrap w:val="0"/>
            <w:vAlign w:val="center"/>
          </w:tcPr>
          <w:p w14:paraId="09A41B4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王塘湾</w:t>
            </w:r>
          </w:p>
        </w:tc>
        <w:tc>
          <w:tcPr>
            <w:tcW w:w="987" w:type="dxa"/>
            <w:tcBorders>
              <w:tl2br w:val="nil"/>
              <w:tr2bl w:val="nil"/>
            </w:tcBorders>
            <w:noWrap w:val="0"/>
            <w:vAlign w:val="center"/>
          </w:tcPr>
          <w:p w14:paraId="2061E4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7C97969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1315-1540</w:t>
            </w:r>
          </w:p>
        </w:tc>
        <w:tc>
          <w:tcPr>
            <w:tcW w:w="1088" w:type="dxa"/>
            <w:gridSpan w:val="2"/>
            <w:tcBorders>
              <w:tl2br w:val="nil"/>
              <w:tr2bl w:val="nil"/>
            </w:tcBorders>
            <w:noWrap w:val="0"/>
            <w:vAlign w:val="center"/>
          </w:tcPr>
          <w:p w14:paraId="74C8A49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232E3D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87E82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6ECA28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690F9A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D30186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35</w:t>
            </w:r>
          </w:p>
        </w:tc>
        <w:tc>
          <w:tcPr>
            <w:tcW w:w="2163" w:type="dxa"/>
            <w:tcBorders>
              <w:tl2br w:val="nil"/>
              <w:tr2bl w:val="nil"/>
            </w:tcBorders>
            <w:noWrap w:val="0"/>
            <w:vAlign w:val="center"/>
          </w:tcPr>
          <w:p w14:paraId="2563880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西竹庵</w:t>
            </w:r>
          </w:p>
        </w:tc>
        <w:tc>
          <w:tcPr>
            <w:tcW w:w="987" w:type="dxa"/>
            <w:tcBorders>
              <w:tl2br w:val="nil"/>
              <w:tr2bl w:val="nil"/>
            </w:tcBorders>
            <w:noWrap w:val="0"/>
            <w:vAlign w:val="center"/>
          </w:tcPr>
          <w:p w14:paraId="2E127A8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102BDB7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1560-1875</w:t>
            </w:r>
          </w:p>
        </w:tc>
        <w:tc>
          <w:tcPr>
            <w:tcW w:w="1088" w:type="dxa"/>
            <w:gridSpan w:val="2"/>
            <w:tcBorders>
              <w:tl2br w:val="nil"/>
              <w:tr2bl w:val="nil"/>
            </w:tcBorders>
            <w:noWrap w:val="0"/>
            <w:vAlign w:val="center"/>
          </w:tcPr>
          <w:p w14:paraId="479592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FE7487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472D9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0F88D2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32DCA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B26647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36</w:t>
            </w:r>
          </w:p>
        </w:tc>
        <w:tc>
          <w:tcPr>
            <w:tcW w:w="2163" w:type="dxa"/>
            <w:tcBorders>
              <w:tl2br w:val="nil"/>
              <w:tr2bl w:val="nil"/>
            </w:tcBorders>
            <w:noWrap w:val="0"/>
            <w:vAlign w:val="center"/>
          </w:tcPr>
          <w:p w14:paraId="2D5C7E6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坪上屋</w:t>
            </w:r>
          </w:p>
        </w:tc>
        <w:tc>
          <w:tcPr>
            <w:tcW w:w="987" w:type="dxa"/>
            <w:tcBorders>
              <w:tl2br w:val="nil"/>
              <w:tr2bl w:val="nil"/>
            </w:tcBorders>
            <w:noWrap w:val="0"/>
            <w:vAlign w:val="center"/>
          </w:tcPr>
          <w:p w14:paraId="261C27A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0602364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1465-2060</w:t>
            </w:r>
          </w:p>
        </w:tc>
        <w:tc>
          <w:tcPr>
            <w:tcW w:w="1088" w:type="dxa"/>
            <w:gridSpan w:val="2"/>
            <w:tcBorders>
              <w:tl2br w:val="nil"/>
              <w:tr2bl w:val="nil"/>
            </w:tcBorders>
            <w:noWrap w:val="0"/>
            <w:vAlign w:val="center"/>
          </w:tcPr>
          <w:p w14:paraId="3E4514E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799D47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1EF9F0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kern w:val="0"/>
                <w:sz w:val="21"/>
                <w:szCs w:val="21"/>
                <w:u w:val="none" w:color="auto"/>
                <w:lang w:val="en-US" w:eastAsia="zh-CN" w:bidi="ar"/>
              </w:rPr>
              <w:t>70</w:t>
            </w:r>
          </w:p>
        </w:tc>
      </w:tr>
      <w:tr w14:paraId="53601B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20E5F3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C63374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37</w:t>
            </w:r>
          </w:p>
        </w:tc>
        <w:tc>
          <w:tcPr>
            <w:tcW w:w="2163" w:type="dxa"/>
            <w:tcBorders>
              <w:tl2br w:val="nil"/>
              <w:tr2bl w:val="nil"/>
            </w:tcBorders>
            <w:noWrap w:val="0"/>
            <w:vAlign w:val="center"/>
          </w:tcPr>
          <w:p w14:paraId="73DC4F9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新屋里</w:t>
            </w:r>
          </w:p>
        </w:tc>
        <w:tc>
          <w:tcPr>
            <w:tcW w:w="987" w:type="dxa"/>
            <w:tcBorders>
              <w:tl2br w:val="nil"/>
              <w:tr2bl w:val="nil"/>
            </w:tcBorders>
            <w:noWrap w:val="0"/>
            <w:vAlign w:val="center"/>
          </w:tcPr>
          <w:p w14:paraId="180174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67A85F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2110-2455</w:t>
            </w:r>
          </w:p>
        </w:tc>
        <w:tc>
          <w:tcPr>
            <w:tcW w:w="1088" w:type="dxa"/>
            <w:gridSpan w:val="2"/>
            <w:tcBorders>
              <w:tl2br w:val="nil"/>
              <w:tr2bl w:val="nil"/>
            </w:tcBorders>
            <w:noWrap w:val="0"/>
            <w:vAlign w:val="center"/>
          </w:tcPr>
          <w:p w14:paraId="60CE4A4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D3E107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253DB0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105</w:t>
            </w:r>
          </w:p>
        </w:tc>
      </w:tr>
      <w:tr w14:paraId="29DE7F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C03E44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489C8B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38</w:t>
            </w:r>
          </w:p>
        </w:tc>
        <w:tc>
          <w:tcPr>
            <w:tcW w:w="2163" w:type="dxa"/>
            <w:tcBorders>
              <w:tl2br w:val="nil"/>
              <w:tr2bl w:val="nil"/>
            </w:tcBorders>
            <w:noWrap w:val="0"/>
            <w:vAlign w:val="center"/>
          </w:tcPr>
          <w:p w14:paraId="7CF77DA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朱家老屋</w:t>
            </w:r>
          </w:p>
        </w:tc>
        <w:tc>
          <w:tcPr>
            <w:tcW w:w="987" w:type="dxa"/>
            <w:tcBorders>
              <w:tl2br w:val="nil"/>
              <w:tr2bl w:val="nil"/>
            </w:tcBorders>
            <w:noWrap w:val="0"/>
            <w:vAlign w:val="center"/>
          </w:tcPr>
          <w:p w14:paraId="2E087BB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14F730A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1565-2310</w:t>
            </w:r>
          </w:p>
        </w:tc>
        <w:tc>
          <w:tcPr>
            <w:tcW w:w="1088" w:type="dxa"/>
            <w:gridSpan w:val="2"/>
            <w:tcBorders>
              <w:tl2br w:val="nil"/>
              <w:tr2bl w:val="nil"/>
            </w:tcBorders>
            <w:noWrap w:val="0"/>
            <w:vAlign w:val="center"/>
          </w:tcPr>
          <w:p w14:paraId="163E70F1">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352A33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2D2906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17B07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8E0433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1689C4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39</w:t>
            </w:r>
          </w:p>
        </w:tc>
        <w:tc>
          <w:tcPr>
            <w:tcW w:w="2163" w:type="dxa"/>
            <w:tcBorders>
              <w:tl2br w:val="nil"/>
              <w:tr2bl w:val="nil"/>
            </w:tcBorders>
            <w:noWrap w:val="0"/>
            <w:vAlign w:val="center"/>
          </w:tcPr>
          <w:p w14:paraId="790A942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彭家新屋</w:t>
            </w:r>
          </w:p>
        </w:tc>
        <w:tc>
          <w:tcPr>
            <w:tcW w:w="987" w:type="dxa"/>
            <w:tcBorders>
              <w:tl2br w:val="nil"/>
              <w:tr2bl w:val="nil"/>
            </w:tcBorders>
            <w:noWrap w:val="0"/>
            <w:vAlign w:val="center"/>
          </w:tcPr>
          <w:p w14:paraId="5CAD5D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5FC9E1C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2660-2885</w:t>
            </w:r>
          </w:p>
        </w:tc>
        <w:tc>
          <w:tcPr>
            <w:tcW w:w="1088" w:type="dxa"/>
            <w:gridSpan w:val="2"/>
            <w:tcBorders>
              <w:tl2br w:val="nil"/>
              <w:tr2bl w:val="nil"/>
            </w:tcBorders>
            <w:noWrap w:val="0"/>
            <w:vAlign w:val="center"/>
          </w:tcPr>
          <w:p w14:paraId="10B9C2F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53C3F5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378F0A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51EB8F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7F96B9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BC0138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40</w:t>
            </w:r>
          </w:p>
        </w:tc>
        <w:tc>
          <w:tcPr>
            <w:tcW w:w="2163" w:type="dxa"/>
            <w:tcBorders>
              <w:tl2br w:val="nil"/>
              <w:tr2bl w:val="nil"/>
            </w:tcBorders>
            <w:noWrap w:val="0"/>
            <w:vAlign w:val="center"/>
          </w:tcPr>
          <w:p w14:paraId="4206909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乙家湾</w:t>
            </w:r>
          </w:p>
        </w:tc>
        <w:tc>
          <w:tcPr>
            <w:tcW w:w="987" w:type="dxa"/>
            <w:tcBorders>
              <w:tl2br w:val="nil"/>
              <w:tr2bl w:val="nil"/>
            </w:tcBorders>
            <w:noWrap w:val="0"/>
            <w:vAlign w:val="center"/>
          </w:tcPr>
          <w:p w14:paraId="52EF836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西南</w:t>
            </w:r>
          </w:p>
        </w:tc>
        <w:tc>
          <w:tcPr>
            <w:tcW w:w="1187" w:type="dxa"/>
            <w:gridSpan w:val="3"/>
            <w:tcBorders>
              <w:tl2br w:val="nil"/>
              <w:tr2bl w:val="nil"/>
            </w:tcBorders>
            <w:noWrap w:val="0"/>
            <w:vAlign w:val="center"/>
          </w:tcPr>
          <w:p w14:paraId="069220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2455-2710</w:t>
            </w:r>
          </w:p>
        </w:tc>
        <w:tc>
          <w:tcPr>
            <w:tcW w:w="1088" w:type="dxa"/>
            <w:gridSpan w:val="2"/>
            <w:tcBorders>
              <w:tl2br w:val="nil"/>
              <w:tr2bl w:val="nil"/>
            </w:tcBorders>
            <w:noWrap w:val="0"/>
            <w:vAlign w:val="center"/>
          </w:tcPr>
          <w:p w14:paraId="6F20DC6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2D1A782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BA98FD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230</w:t>
            </w:r>
          </w:p>
        </w:tc>
      </w:tr>
      <w:tr w14:paraId="680F67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D486E7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CF5931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41</w:t>
            </w:r>
          </w:p>
        </w:tc>
        <w:tc>
          <w:tcPr>
            <w:tcW w:w="2163" w:type="dxa"/>
            <w:tcBorders>
              <w:tl2br w:val="nil"/>
              <w:tr2bl w:val="nil"/>
            </w:tcBorders>
            <w:noWrap w:val="0"/>
            <w:vAlign w:val="center"/>
          </w:tcPr>
          <w:p w14:paraId="7F30C71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黄泥塘</w:t>
            </w:r>
          </w:p>
        </w:tc>
        <w:tc>
          <w:tcPr>
            <w:tcW w:w="987" w:type="dxa"/>
            <w:tcBorders>
              <w:tl2br w:val="nil"/>
              <w:tr2bl w:val="nil"/>
            </w:tcBorders>
            <w:noWrap w:val="0"/>
            <w:vAlign w:val="center"/>
          </w:tcPr>
          <w:p w14:paraId="4F1EFF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南</w:t>
            </w:r>
          </w:p>
        </w:tc>
        <w:tc>
          <w:tcPr>
            <w:tcW w:w="1187" w:type="dxa"/>
            <w:gridSpan w:val="3"/>
            <w:tcBorders>
              <w:tl2br w:val="nil"/>
              <w:tr2bl w:val="nil"/>
            </w:tcBorders>
            <w:noWrap w:val="0"/>
            <w:vAlign w:val="center"/>
          </w:tcPr>
          <w:p w14:paraId="1A97CC2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1490-2460</w:t>
            </w:r>
          </w:p>
        </w:tc>
        <w:tc>
          <w:tcPr>
            <w:tcW w:w="1088" w:type="dxa"/>
            <w:gridSpan w:val="2"/>
            <w:tcBorders>
              <w:tl2br w:val="nil"/>
              <w:tr2bl w:val="nil"/>
            </w:tcBorders>
            <w:noWrap w:val="0"/>
            <w:vAlign w:val="center"/>
          </w:tcPr>
          <w:p w14:paraId="1A69096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3C34AE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357103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160</w:t>
            </w:r>
          </w:p>
        </w:tc>
      </w:tr>
      <w:tr w14:paraId="702A93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B8226F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CBB4F2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42</w:t>
            </w:r>
          </w:p>
        </w:tc>
        <w:tc>
          <w:tcPr>
            <w:tcW w:w="2163" w:type="dxa"/>
            <w:tcBorders>
              <w:tl2br w:val="nil"/>
              <w:tr2bl w:val="nil"/>
            </w:tcBorders>
            <w:noWrap w:val="0"/>
            <w:vAlign w:val="center"/>
          </w:tcPr>
          <w:p w14:paraId="47B5642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青山铺镇</w:t>
            </w:r>
          </w:p>
        </w:tc>
        <w:tc>
          <w:tcPr>
            <w:tcW w:w="987" w:type="dxa"/>
            <w:tcBorders>
              <w:tl2br w:val="nil"/>
              <w:tr2bl w:val="nil"/>
            </w:tcBorders>
            <w:noWrap w:val="0"/>
            <w:vAlign w:val="center"/>
          </w:tcPr>
          <w:p w14:paraId="70E3F7F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5417A85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1850-2560</w:t>
            </w:r>
          </w:p>
        </w:tc>
        <w:tc>
          <w:tcPr>
            <w:tcW w:w="1088" w:type="dxa"/>
            <w:gridSpan w:val="2"/>
            <w:tcBorders>
              <w:tl2br w:val="nil"/>
              <w:tr2bl w:val="nil"/>
            </w:tcBorders>
            <w:noWrap w:val="0"/>
            <w:vAlign w:val="center"/>
          </w:tcPr>
          <w:p w14:paraId="37B6018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F10CBF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79C956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900</w:t>
            </w:r>
          </w:p>
        </w:tc>
      </w:tr>
      <w:tr w14:paraId="63578D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F69F5A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CEBF0D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43</w:t>
            </w:r>
          </w:p>
        </w:tc>
        <w:tc>
          <w:tcPr>
            <w:tcW w:w="2163" w:type="dxa"/>
            <w:tcBorders>
              <w:tl2br w:val="nil"/>
              <w:tr2bl w:val="nil"/>
            </w:tcBorders>
            <w:noWrap w:val="0"/>
            <w:vAlign w:val="center"/>
          </w:tcPr>
          <w:p w14:paraId="474DA7F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袁家大屋</w:t>
            </w:r>
          </w:p>
        </w:tc>
        <w:tc>
          <w:tcPr>
            <w:tcW w:w="987" w:type="dxa"/>
            <w:tcBorders>
              <w:tl2br w:val="nil"/>
              <w:tr2bl w:val="nil"/>
            </w:tcBorders>
            <w:noWrap w:val="0"/>
            <w:vAlign w:val="center"/>
          </w:tcPr>
          <w:p w14:paraId="0ED7261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67E9DDA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1645-2045</w:t>
            </w:r>
          </w:p>
        </w:tc>
        <w:tc>
          <w:tcPr>
            <w:tcW w:w="1088" w:type="dxa"/>
            <w:gridSpan w:val="2"/>
            <w:tcBorders>
              <w:tl2br w:val="nil"/>
              <w:tr2bl w:val="nil"/>
            </w:tcBorders>
            <w:noWrap w:val="0"/>
            <w:vAlign w:val="center"/>
          </w:tcPr>
          <w:p w14:paraId="060785E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B8AAF9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F7AB4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160</w:t>
            </w:r>
          </w:p>
        </w:tc>
      </w:tr>
      <w:tr w14:paraId="5A8B21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4816D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DCFFC8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44</w:t>
            </w:r>
          </w:p>
        </w:tc>
        <w:tc>
          <w:tcPr>
            <w:tcW w:w="2163" w:type="dxa"/>
            <w:tcBorders>
              <w:tl2br w:val="nil"/>
              <w:tr2bl w:val="nil"/>
            </w:tcBorders>
            <w:noWrap w:val="0"/>
            <w:vAlign w:val="center"/>
          </w:tcPr>
          <w:p w14:paraId="17EA032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毛屋垄</w:t>
            </w:r>
          </w:p>
        </w:tc>
        <w:tc>
          <w:tcPr>
            <w:tcW w:w="987" w:type="dxa"/>
            <w:tcBorders>
              <w:tl2br w:val="nil"/>
              <w:tr2bl w:val="nil"/>
            </w:tcBorders>
            <w:noWrap w:val="0"/>
            <w:vAlign w:val="center"/>
          </w:tcPr>
          <w:p w14:paraId="057D35A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663D815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1105-1565</w:t>
            </w:r>
          </w:p>
        </w:tc>
        <w:tc>
          <w:tcPr>
            <w:tcW w:w="1088" w:type="dxa"/>
            <w:gridSpan w:val="2"/>
            <w:tcBorders>
              <w:tl2br w:val="nil"/>
              <w:tr2bl w:val="nil"/>
            </w:tcBorders>
            <w:noWrap w:val="0"/>
            <w:vAlign w:val="center"/>
          </w:tcPr>
          <w:p w14:paraId="3E23E0A8">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D602D9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90475A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140</w:t>
            </w:r>
          </w:p>
        </w:tc>
      </w:tr>
      <w:tr w14:paraId="45DD8F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C04C6E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575A8C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45</w:t>
            </w:r>
          </w:p>
        </w:tc>
        <w:tc>
          <w:tcPr>
            <w:tcW w:w="2163" w:type="dxa"/>
            <w:tcBorders>
              <w:tl2br w:val="nil"/>
              <w:tr2bl w:val="nil"/>
            </w:tcBorders>
            <w:noWrap w:val="0"/>
            <w:vAlign w:val="center"/>
          </w:tcPr>
          <w:p w14:paraId="7C5CBE2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皮公塘</w:t>
            </w:r>
          </w:p>
        </w:tc>
        <w:tc>
          <w:tcPr>
            <w:tcW w:w="987" w:type="dxa"/>
            <w:tcBorders>
              <w:tl2br w:val="nil"/>
              <w:tr2bl w:val="nil"/>
            </w:tcBorders>
            <w:noWrap w:val="0"/>
            <w:vAlign w:val="center"/>
          </w:tcPr>
          <w:p w14:paraId="5EA7628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2C43147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480-1000</w:t>
            </w:r>
          </w:p>
        </w:tc>
        <w:tc>
          <w:tcPr>
            <w:tcW w:w="1088" w:type="dxa"/>
            <w:gridSpan w:val="2"/>
            <w:tcBorders>
              <w:tl2br w:val="nil"/>
              <w:tr2bl w:val="nil"/>
            </w:tcBorders>
            <w:noWrap w:val="0"/>
            <w:vAlign w:val="center"/>
          </w:tcPr>
          <w:p w14:paraId="055E74B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1F5658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D16041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105</w:t>
            </w:r>
          </w:p>
        </w:tc>
      </w:tr>
      <w:tr w14:paraId="672F19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5D7D8A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CE97CA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46</w:t>
            </w:r>
          </w:p>
        </w:tc>
        <w:tc>
          <w:tcPr>
            <w:tcW w:w="2163" w:type="dxa"/>
            <w:tcBorders>
              <w:tl2br w:val="nil"/>
              <w:tr2bl w:val="nil"/>
            </w:tcBorders>
            <w:noWrap w:val="0"/>
            <w:vAlign w:val="center"/>
          </w:tcPr>
          <w:p w14:paraId="5E4B68C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李家大屋</w:t>
            </w:r>
          </w:p>
        </w:tc>
        <w:tc>
          <w:tcPr>
            <w:tcW w:w="987" w:type="dxa"/>
            <w:tcBorders>
              <w:tl2br w:val="nil"/>
              <w:tr2bl w:val="nil"/>
            </w:tcBorders>
            <w:noWrap w:val="0"/>
            <w:vAlign w:val="center"/>
          </w:tcPr>
          <w:p w14:paraId="1AC589A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w:t>
            </w:r>
          </w:p>
        </w:tc>
        <w:tc>
          <w:tcPr>
            <w:tcW w:w="1187" w:type="dxa"/>
            <w:gridSpan w:val="3"/>
            <w:tcBorders>
              <w:tl2br w:val="nil"/>
              <w:tr2bl w:val="nil"/>
            </w:tcBorders>
            <w:noWrap w:val="0"/>
            <w:vAlign w:val="center"/>
          </w:tcPr>
          <w:p w14:paraId="52D1581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155-630</w:t>
            </w:r>
          </w:p>
        </w:tc>
        <w:tc>
          <w:tcPr>
            <w:tcW w:w="1088" w:type="dxa"/>
            <w:gridSpan w:val="2"/>
            <w:tcBorders>
              <w:tl2br w:val="nil"/>
              <w:tr2bl w:val="nil"/>
            </w:tcBorders>
            <w:noWrap w:val="0"/>
            <w:vAlign w:val="center"/>
          </w:tcPr>
          <w:p w14:paraId="618BD0E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37887D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E6AA16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140</w:t>
            </w:r>
          </w:p>
        </w:tc>
      </w:tr>
      <w:tr w14:paraId="5A4DC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5A5E86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0F1103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47</w:t>
            </w:r>
          </w:p>
        </w:tc>
        <w:tc>
          <w:tcPr>
            <w:tcW w:w="2163" w:type="dxa"/>
            <w:tcBorders>
              <w:tl2br w:val="nil"/>
              <w:tr2bl w:val="nil"/>
            </w:tcBorders>
            <w:noWrap w:val="0"/>
            <w:vAlign w:val="center"/>
          </w:tcPr>
          <w:p w14:paraId="45ECC0E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上高冲</w:t>
            </w:r>
          </w:p>
        </w:tc>
        <w:tc>
          <w:tcPr>
            <w:tcW w:w="987" w:type="dxa"/>
            <w:tcBorders>
              <w:tl2br w:val="nil"/>
              <w:tr2bl w:val="nil"/>
            </w:tcBorders>
            <w:noWrap w:val="0"/>
            <w:vAlign w:val="center"/>
          </w:tcPr>
          <w:p w14:paraId="6D25F9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东北</w:t>
            </w:r>
          </w:p>
        </w:tc>
        <w:tc>
          <w:tcPr>
            <w:tcW w:w="1187" w:type="dxa"/>
            <w:gridSpan w:val="3"/>
            <w:tcBorders>
              <w:tl2br w:val="nil"/>
              <w:tr2bl w:val="nil"/>
            </w:tcBorders>
            <w:noWrap w:val="0"/>
            <w:vAlign w:val="center"/>
          </w:tcPr>
          <w:p w14:paraId="3B02C59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260-500</w:t>
            </w:r>
          </w:p>
        </w:tc>
        <w:tc>
          <w:tcPr>
            <w:tcW w:w="1088" w:type="dxa"/>
            <w:gridSpan w:val="2"/>
            <w:tcBorders>
              <w:tl2br w:val="nil"/>
              <w:tr2bl w:val="nil"/>
            </w:tcBorders>
            <w:noWrap w:val="0"/>
            <w:vAlign w:val="center"/>
          </w:tcPr>
          <w:p w14:paraId="55FF60D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BAC6C5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FA976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35</w:t>
            </w:r>
          </w:p>
        </w:tc>
      </w:tr>
      <w:tr w14:paraId="76A658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1DBCE0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5FF768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48</w:t>
            </w:r>
          </w:p>
        </w:tc>
        <w:tc>
          <w:tcPr>
            <w:tcW w:w="2163" w:type="dxa"/>
            <w:tcBorders>
              <w:tl2br w:val="nil"/>
              <w:tr2bl w:val="nil"/>
            </w:tcBorders>
            <w:noWrap w:val="0"/>
            <w:vAlign w:val="center"/>
          </w:tcPr>
          <w:p w14:paraId="786BAFD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普盛公寓</w:t>
            </w:r>
          </w:p>
        </w:tc>
        <w:tc>
          <w:tcPr>
            <w:tcW w:w="987" w:type="dxa"/>
            <w:tcBorders>
              <w:tl2br w:val="nil"/>
              <w:tr2bl w:val="nil"/>
            </w:tcBorders>
            <w:noWrap w:val="0"/>
            <w:vAlign w:val="center"/>
          </w:tcPr>
          <w:p w14:paraId="2F237D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北</w:t>
            </w:r>
          </w:p>
        </w:tc>
        <w:tc>
          <w:tcPr>
            <w:tcW w:w="1187" w:type="dxa"/>
            <w:gridSpan w:val="3"/>
            <w:tcBorders>
              <w:tl2br w:val="nil"/>
              <w:tr2bl w:val="nil"/>
            </w:tcBorders>
            <w:noWrap w:val="0"/>
            <w:vAlign w:val="center"/>
          </w:tcPr>
          <w:p w14:paraId="4609451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300</w:t>
            </w:r>
          </w:p>
        </w:tc>
        <w:tc>
          <w:tcPr>
            <w:tcW w:w="1088" w:type="dxa"/>
            <w:gridSpan w:val="2"/>
            <w:tcBorders>
              <w:tl2br w:val="nil"/>
              <w:tr2bl w:val="nil"/>
            </w:tcBorders>
            <w:noWrap w:val="0"/>
            <w:vAlign w:val="center"/>
          </w:tcPr>
          <w:p w14:paraId="1A7B2F9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0E10FD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8F1F0D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600</w:t>
            </w:r>
          </w:p>
        </w:tc>
      </w:tr>
      <w:tr w14:paraId="2DB892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9DF4A3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878E81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49</w:t>
            </w:r>
          </w:p>
        </w:tc>
        <w:tc>
          <w:tcPr>
            <w:tcW w:w="2163" w:type="dxa"/>
            <w:tcBorders>
              <w:tl2br w:val="nil"/>
              <w:tr2bl w:val="nil"/>
            </w:tcBorders>
            <w:noWrap w:val="0"/>
            <w:vAlign w:val="center"/>
          </w:tcPr>
          <w:p w14:paraId="396FA95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汨水华府</w:t>
            </w:r>
          </w:p>
        </w:tc>
        <w:tc>
          <w:tcPr>
            <w:tcW w:w="987" w:type="dxa"/>
            <w:tcBorders>
              <w:tl2br w:val="nil"/>
              <w:tr2bl w:val="nil"/>
            </w:tcBorders>
            <w:noWrap w:val="0"/>
            <w:vAlign w:val="center"/>
          </w:tcPr>
          <w:p w14:paraId="356222F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北</w:t>
            </w:r>
          </w:p>
        </w:tc>
        <w:tc>
          <w:tcPr>
            <w:tcW w:w="1187" w:type="dxa"/>
            <w:gridSpan w:val="3"/>
            <w:tcBorders>
              <w:tl2br w:val="nil"/>
              <w:tr2bl w:val="nil"/>
            </w:tcBorders>
            <w:noWrap w:val="0"/>
            <w:vAlign w:val="center"/>
          </w:tcPr>
          <w:p w14:paraId="55F2D3A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210-550</w:t>
            </w:r>
          </w:p>
        </w:tc>
        <w:tc>
          <w:tcPr>
            <w:tcW w:w="1088" w:type="dxa"/>
            <w:gridSpan w:val="2"/>
            <w:tcBorders>
              <w:tl2br w:val="nil"/>
              <w:tr2bl w:val="nil"/>
            </w:tcBorders>
            <w:noWrap w:val="0"/>
            <w:vAlign w:val="center"/>
          </w:tcPr>
          <w:p w14:paraId="0E500C2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0CC4AD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AB1953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1600</w:t>
            </w:r>
          </w:p>
        </w:tc>
      </w:tr>
      <w:tr w14:paraId="49721E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0B10DB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9228F9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50</w:t>
            </w:r>
          </w:p>
        </w:tc>
        <w:tc>
          <w:tcPr>
            <w:tcW w:w="2163" w:type="dxa"/>
            <w:tcBorders>
              <w:tl2br w:val="nil"/>
              <w:tr2bl w:val="nil"/>
            </w:tcBorders>
            <w:noWrap w:val="0"/>
            <w:vAlign w:val="center"/>
          </w:tcPr>
          <w:p w14:paraId="01E0F32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园区管委会</w:t>
            </w:r>
          </w:p>
        </w:tc>
        <w:tc>
          <w:tcPr>
            <w:tcW w:w="987" w:type="dxa"/>
            <w:tcBorders>
              <w:tl2br w:val="nil"/>
              <w:tr2bl w:val="nil"/>
            </w:tcBorders>
            <w:noWrap w:val="0"/>
            <w:vAlign w:val="center"/>
          </w:tcPr>
          <w:p w14:paraId="13D19D1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西北</w:t>
            </w:r>
          </w:p>
        </w:tc>
        <w:tc>
          <w:tcPr>
            <w:tcW w:w="1187" w:type="dxa"/>
            <w:gridSpan w:val="3"/>
            <w:tcBorders>
              <w:tl2br w:val="nil"/>
              <w:tr2bl w:val="nil"/>
            </w:tcBorders>
            <w:noWrap w:val="0"/>
            <w:vAlign w:val="center"/>
          </w:tcPr>
          <w:p w14:paraId="1E03E22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240</w:t>
            </w:r>
          </w:p>
        </w:tc>
        <w:tc>
          <w:tcPr>
            <w:tcW w:w="1088" w:type="dxa"/>
            <w:gridSpan w:val="2"/>
            <w:tcBorders>
              <w:tl2br w:val="nil"/>
              <w:tr2bl w:val="nil"/>
            </w:tcBorders>
            <w:noWrap w:val="0"/>
            <w:vAlign w:val="center"/>
          </w:tcPr>
          <w:p w14:paraId="79E5B905">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工作人员</w:t>
            </w:r>
          </w:p>
        </w:tc>
        <w:tc>
          <w:tcPr>
            <w:tcW w:w="821" w:type="dxa"/>
            <w:vMerge w:val="continue"/>
            <w:tcBorders>
              <w:tl2br w:val="nil"/>
              <w:tr2bl w:val="nil"/>
            </w:tcBorders>
            <w:noWrap w:val="0"/>
            <w:vAlign w:val="center"/>
          </w:tcPr>
          <w:p w14:paraId="711DD22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610565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120</w:t>
            </w:r>
          </w:p>
        </w:tc>
      </w:tr>
      <w:tr w14:paraId="17F5B6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B9DCB8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BB2813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51</w:t>
            </w:r>
          </w:p>
        </w:tc>
        <w:tc>
          <w:tcPr>
            <w:tcW w:w="2163" w:type="dxa"/>
            <w:tcBorders>
              <w:tl2br w:val="nil"/>
              <w:tr2bl w:val="nil"/>
            </w:tcBorders>
            <w:noWrap w:val="0"/>
            <w:vAlign w:val="center"/>
          </w:tcPr>
          <w:p w14:paraId="0B0C8E37">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大云坡</w:t>
            </w:r>
          </w:p>
        </w:tc>
        <w:tc>
          <w:tcPr>
            <w:tcW w:w="987" w:type="dxa"/>
            <w:tcBorders>
              <w:tl2br w:val="nil"/>
              <w:tr2bl w:val="nil"/>
            </w:tcBorders>
            <w:noWrap w:val="0"/>
            <w:vAlign w:val="center"/>
          </w:tcPr>
          <w:p w14:paraId="7F7C14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0291644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1060-1775</w:t>
            </w:r>
          </w:p>
        </w:tc>
        <w:tc>
          <w:tcPr>
            <w:tcW w:w="1088" w:type="dxa"/>
            <w:gridSpan w:val="2"/>
            <w:tcBorders>
              <w:tl2br w:val="nil"/>
              <w:tr2bl w:val="nil"/>
            </w:tcBorders>
            <w:noWrap w:val="0"/>
            <w:vAlign w:val="center"/>
          </w:tcPr>
          <w:p w14:paraId="37D3BAB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59B636D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E484F5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230</w:t>
            </w:r>
          </w:p>
        </w:tc>
      </w:tr>
      <w:tr w14:paraId="3A0237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60470F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5D9F21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52</w:t>
            </w:r>
          </w:p>
        </w:tc>
        <w:tc>
          <w:tcPr>
            <w:tcW w:w="2163" w:type="dxa"/>
            <w:tcBorders>
              <w:tl2br w:val="nil"/>
              <w:tr2bl w:val="nil"/>
            </w:tcBorders>
            <w:noWrap w:val="0"/>
            <w:vAlign w:val="center"/>
          </w:tcPr>
          <w:p w14:paraId="2E18B88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天华村</w:t>
            </w:r>
          </w:p>
        </w:tc>
        <w:tc>
          <w:tcPr>
            <w:tcW w:w="987" w:type="dxa"/>
            <w:tcBorders>
              <w:tl2br w:val="nil"/>
              <w:tr2bl w:val="nil"/>
            </w:tcBorders>
            <w:noWrap w:val="0"/>
            <w:vAlign w:val="center"/>
          </w:tcPr>
          <w:p w14:paraId="6FE8067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150D3CD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1925-2600</w:t>
            </w:r>
          </w:p>
        </w:tc>
        <w:tc>
          <w:tcPr>
            <w:tcW w:w="1088" w:type="dxa"/>
            <w:gridSpan w:val="2"/>
            <w:tcBorders>
              <w:tl2br w:val="nil"/>
              <w:tr2bl w:val="nil"/>
            </w:tcBorders>
            <w:noWrap w:val="0"/>
            <w:vAlign w:val="center"/>
          </w:tcPr>
          <w:p w14:paraId="2AF3C6C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B35845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7767CB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315</w:t>
            </w:r>
          </w:p>
        </w:tc>
      </w:tr>
      <w:tr w14:paraId="7987A3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03F3FF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94C30C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53</w:t>
            </w:r>
          </w:p>
        </w:tc>
        <w:tc>
          <w:tcPr>
            <w:tcW w:w="2163" w:type="dxa"/>
            <w:tcBorders>
              <w:tl2br w:val="nil"/>
              <w:tr2bl w:val="nil"/>
            </w:tcBorders>
            <w:noWrap w:val="0"/>
            <w:vAlign w:val="center"/>
          </w:tcPr>
          <w:p w14:paraId="4DCBB8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青山村</w:t>
            </w:r>
          </w:p>
        </w:tc>
        <w:tc>
          <w:tcPr>
            <w:tcW w:w="987" w:type="dxa"/>
            <w:tcBorders>
              <w:tl2br w:val="nil"/>
              <w:tr2bl w:val="nil"/>
            </w:tcBorders>
            <w:noWrap w:val="0"/>
            <w:vAlign w:val="center"/>
          </w:tcPr>
          <w:p w14:paraId="0219F61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1209571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2000-2400</w:t>
            </w:r>
          </w:p>
        </w:tc>
        <w:tc>
          <w:tcPr>
            <w:tcW w:w="1088" w:type="dxa"/>
            <w:gridSpan w:val="2"/>
            <w:tcBorders>
              <w:tl2br w:val="nil"/>
              <w:tr2bl w:val="nil"/>
            </w:tcBorders>
            <w:noWrap w:val="0"/>
            <w:vAlign w:val="center"/>
          </w:tcPr>
          <w:p w14:paraId="242C999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926817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E07BB4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210</w:t>
            </w:r>
          </w:p>
        </w:tc>
      </w:tr>
      <w:tr w14:paraId="5638B0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C30AD9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AB09B3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54</w:t>
            </w:r>
          </w:p>
        </w:tc>
        <w:tc>
          <w:tcPr>
            <w:tcW w:w="2163" w:type="dxa"/>
            <w:tcBorders>
              <w:tl2br w:val="nil"/>
              <w:tr2bl w:val="nil"/>
            </w:tcBorders>
            <w:noWrap w:val="0"/>
            <w:vAlign w:val="center"/>
          </w:tcPr>
          <w:p w14:paraId="049BF44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青山铺镇中心小学</w:t>
            </w:r>
          </w:p>
        </w:tc>
        <w:tc>
          <w:tcPr>
            <w:tcW w:w="987" w:type="dxa"/>
            <w:tcBorders>
              <w:tl2br w:val="nil"/>
              <w:tr2bl w:val="nil"/>
            </w:tcBorders>
            <w:noWrap w:val="0"/>
            <w:vAlign w:val="center"/>
          </w:tcPr>
          <w:p w14:paraId="4176E76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0A8F7CD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2295</w:t>
            </w:r>
          </w:p>
        </w:tc>
        <w:tc>
          <w:tcPr>
            <w:tcW w:w="1088" w:type="dxa"/>
            <w:gridSpan w:val="2"/>
            <w:tcBorders>
              <w:tl2br w:val="nil"/>
              <w:tr2bl w:val="nil"/>
            </w:tcBorders>
            <w:noWrap w:val="0"/>
            <w:vAlign w:val="center"/>
          </w:tcPr>
          <w:p w14:paraId="04ED84C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师生</w:t>
            </w:r>
          </w:p>
        </w:tc>
        <w:tc>
          <w:tcPr>
            <w:tcW w:w="821" w:type="dxa"/>
            <w:vMerge w:val="continue"/>
            <w:tcBorders>
              <w:tl2br w:val="nil"/>
              <w:tr2bl w:val="nil"/>
            </w:tcBorders>
            <w:noWrap w:val="0"/>
            <w:vAlign w:val="center"/>
          </w:tcPr>
          <w:p w14:paraId="0923F80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9D6134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450</w:t>
            </w:r>
          </w:p>
        </w:tc>
      </w:tr>
      <w:tr w14:paraId="48F3F2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644E47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B0EED9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55</w:t>
            </w:r>
          </w:p>
        </w:tc>
        <w:tc>
          <w:tcPr>
            <w:tcW w:w="2163" w:type="dxa"/>
            <w:tcBorders>
              <w:tl2br w:val="nil"/>
              <w:tr2bl w:val="nil"/>
            </w:tcBorders>
            <w:noWrap w:val="0"/>
            <w:vAlign w:val="center"/>
          </w:tcPr>
          <w:p w14:paraId="247FADB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寺冲里</w:t>
            </w:r>
          </w:p>
        </w:tc>
        <w:tc>
          <w:tcPr>
            <w:tcW w:w="987" w:type="dxa"/>
            <w:tcBorders>
              <w:tl2br w:val="nil"/>
              <w:tr2bl w:val="nil"/>
            </w:tcBorders>
            <w:noWrap w:val="0"/>
            <w:vAlign w:val="center"/>
          </w:tcPr>
          <w:p w14:paraId="06FE2C7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2AE2204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2530-2875</w:t>
            </w:r>
          </w:p>
        </w:tc>
        <w:tc>
          <w:tcPr>
            <w:tcW w:w="1088" w:type="dxa"/>
            <w:gridSpan w:val="2"/>
            <w:tcBorders>
              <w:tl2br w:val="nil"/>
              <w:tr2bl w:val="nil"/>
            </w:tcBorders>
            <w:noWrap w:val="0"/>
            <w:vAlign w:val="center"/>
          </w:tcPr>
          <w:p w14:paraId="10107AC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E019F3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A58C1E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70</w:t>
            </w:r>
          </w:p>
        </w:tc>
      </w:tr>
      <w:tr w14:paraId="121A7A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67B5D1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15C8CC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56</w:t>
            </w:r>
          </w:p>
        </w:tc>
        <w:tc>
          <w:tcPr>
            <w:tcW w:w="2163" w:type="dxa"/>
            <w:tcBorders>
              <w:tl2br w:val="nil"/>
              <w:tr2bl w:val="nil"/>
            </w:tcBorders>
            <w:noWrap w:val="0"/>
            <w:vAlign w:val="center"/>
          </w:tcPr>
          <w:p w14:paraId="57CF973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坳上屋</w:t>
            </w:r>
          </w:p>
        </w:tc>
        <w:tc>
          <w:tcPr>
            <w:tcW w:w="987" w:type="dxa"/>
            <w:tcBorders>
              <w:tl2br w:val="nil"/>
              <w:tr2bl w:val="nil"/>
            </w:tcBorders>
            <w:noWrap w:val="0"/>
            <w:vAlign w:val="center"/>
          </w:tcPr>
          <w:p w14:paraId="3E4C7EE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东南</w:t>
            </w:r>
          </w:p>
        </w:tc>
        <w:tc>
          <w:tcPr>
            <w:tcW w:w="1187" w:type="dxa"/>
            <w:gridSpan w:val="3"/>
            <w:tcBorders>
              <w:tl2br w:val="nil"/>
              <w:tr2bl w:val="nil"/>
            </w:tcBorders>
            <w:noWrap w:val="0"/>
            <w:vAlign w:val="center"/>
          </w:tcPr>
          <w:p w14:paraId="1FB3E7D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2700-3395</w:t>
            </w:r>
          </w:p>
        </w:tc>
        <w:tc>
          <w:tcPr>
            <w:tcW w:w="1088" w:type="dxa"/>
            <w:gridSpan w:val="2"/>
            <w:tcBorders>
              <w:tl2br w:val="nil"/>
              <w:tr2bl w:val="nil"/>
            </w:tcBorders>
            <w:noWrap w:val="0"/>
            <w:vAlign w:val="center"/>
          </w:tcPr>
          <w:p w14:paraId="707486D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8B04A9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DF89ED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140</w:t>
            </w:r>
          </w:p>
        </w:tc>
      </w:tr>
      <w:tr w14:paraId="025BDE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43D3C8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607E6A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57</w:t>
            </w:r>
          </w:p>
        </w:tc>
        <w:tc>
          <w:tcPr>
            <w:tcW w:w="2163" w:type="dxa"/>
            <w:tcBorders>
              <w:tl2br w:val="nil"/>
              <w:tr2bl w:val="nil"/>
            </w:tcBorders>
            <w:noWrap w:val="0"/>
            <w:vAlign w:val="center"/>
          </w:tcPr>
          <w:p w14:paraId="000FBF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金山社区</w:t>
            </w:r>
          </w:p>
        </w:tc>
        <w:tc>
          <w:tcPr>
            <w:tcW w:w="987" w:type="dxa"/>
            <w:tcBorders>
              <w:tl2br w:val="nil"/>
              <w:tr2bl w:val="nil"/>
            </w:tcBorders>
            <w:noWrap w:val="0"/>
            <w:vAlign w:val="center"/>
          </w:tcPr>
          <w:p w14:paraId="6BC3322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北</w:t>
            </w:r>
          </w:p>
        </w:tc>
        <w:tc>
          <w:tcPr>
            <w:tcW w:w="1187" w:type="dxa"/>
            <w:gridSpan w:val="3"/>
            <w:tcBorders>
              <w:tl2br w:val="nil"/>
              <w:tr2bl w:val="nil"/>
            </w:tcBorders>
            <w:noWrap w:val="0"/>
            <w:vAlign w:val="center"/>
          </w:tcPr>
          <w:p w14:paraId="2BEEDD3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4265-4880</w:t>
            </w:r>
          </w:p>
        </w:tc>
        <w:tc>
          <w:tcPr>
            <w:tcW w:w="1088" w:type="dxa"/>
            <w:gridSpan w:val="2"/>
            <w:tcBorders>
              <w:tl2br w:val="nil"/>
              <w:tr2bl w:val="nil"/>
            </w:tcBorders>
            <w:noWrap w:val="0"/>
            <w:vAlign w:val="center"/>
          </w:tcPr>
          <w:p w14:paraId="7533D15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812D63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580513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2000</w:t>
            </w:r>
          </w:p>
        </w:tc>
      </w:tr>
      <w:tr w14:paraId="0B329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600034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6DCD9A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58</w:t>
            </w:r>
          </w:p>
        </w:tc>
        <w:tc>
          <w:tcPr>
            <w:tcW w:w="2163" w:type="dxa"/>
            <w:tcBorders>
              <w:tl2br w:val="nil"/>
              <w:tr2bl w:val="nil"/>
            </w:tcBorders>
            <w:noWrap w:val="0"/>
            <w:vAlign w:val="center"/>
          </w:tcPr>
          <w:p w14:paraId="1B256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弼时镇</w:t>
            </w:r>
          </w:p>
        </w:tc>
        <w:tc>
          <w:tcPr>
            <w:tcW w:w="987" w:type="dxa"/>
            <w:tcBorders>
              <w:tl2br w:val="nil"/>
              <w:tr2bl w:val="nil"/>
            </w:tcBorders>
            <w:noWrap w:val="0"/>
            <w:vAlign w:val="center"/>
          </w:tcPr>
          <w:p w14:paraId="60018ED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3104729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3365-5000</w:t>
            </w:r>
          </w:p>
        </w:tc>
        <w:tc>
          <w:tcPr>
            <w:tcW w:w="1088" w:type="dxa"/>
            <w:gridSpan w:val="2"/>
            <w:tcBorders>
              <w:tl2br w:val="nil"/>
              <w:tr2bl w:val="nil"/>
            </w:tcBorders>
            <w:noWrap w:val="0"/>
            <w:vAlign w:val="center"/>
          </w:tcPr>
          <w:p w14:paraId="35D1869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568071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8A433C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2000</w:t>
            </w:r>
          </w:p>
        </w:tc>
      </w:tr>
      <w:tr w14:paraId="459C96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00B58F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9514FC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59</w:t>
            </w:r>
          </w:p>
        </w:tc>
        <w:tc>
          <w:tcPr>
            <w:tcW w:w="2163" w:type="dxa"/>
            <w:tcBorders>
              <w:tl2br w:val="nil"/>
              <w:tr2bl w:val="nil"/>
            </w:tcBorders>
            <w:noWrap w:val="0"/>
            <w:vAlign w:val="center"/>
          </w:tcPr>
          <w:p w14:paraId="546123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鲁家大屋</w:t>
            </w:r>
          </w:p>
        </w:tc>
        <w:tc>
          <w:tcPr>
            <w:tcW w:w="987" w:type="dxa"/>
            <w:tcBorders>
              <w:tl2br w:val="nil"/>
              <w:tr2bl w:val="nil"/>
            </w:tcBorders>
            <w:noWrap w:val="0"/>
            <w:vAlign w:val="center"/>
          </w:tcPr>
          <w:p w14:paraId="5EC479E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北</w:t>
            </w:r>
          </w:p>
        </w:tc>
        <w:tc>
          <w:tcPr>
            <w:tcW w:w="1187" w:type="dxa"/>
            <w:gridSpan w:val="3"/>
            <w:tcBorders>
              <w:tl2br w:val="nil"/>
              <w:tr2bl w:val="nil"/>
            </w:tcBorders>
            <w:noWrap w:val="0"/>
            <w:vAlign w:val="center"/>
          </w:tcPr>
          <w:p w14:paraId="24900E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2615-3465</w:t>
            </w:r>
          </w:p>
        </w:tc>
        <w:tc>
          <w:tcPr>
            <w:tcW w:w="1088" w:type="dxa"/>
            <w:gridSpan w:val="2"/>
            <w:tcBorders>
              <w:tl2br w:val="nil"/>
              <w:tr2bl w:val="nil"/>
            </w:tcBorders>
            <w:noWrap w:val="0"/>
            <w:vAlign w:val="center"/>
          </w:tcPr>
          <w:p w14:paraId="44AF120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F64E98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8AB286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4F5580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351" w:hRule="atLeast"/>
          <w:jc w:val="center"/>
        </w:trPr>
        <w:tc>
          <w:tcPr>
            <w:tcW w:w="466" w:type="dxa"/>
            <w:vMerge w:val="continue"/>
            <w:tcBorders>
              <w:tl2br w:val="nil"/>
              <w:tr2bl w:val="nil"/>
            </w:tcBorders>
            <w:noWrap w:val="0"/>
            <w:vAlign w:val="center"/>
          </w:tcPr>
          <w:p w14:paraId="693ADA2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A7CC08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60</w:t>
            </w:r>
          </w:p>
        </w:tc>
        <w:tc>
          <w:tcPr>
            <w:tcW w:w="2163" w:type="dxa"/>
            <w:tcBorders>
              <w:tl2br w:val="nil"/>
              <w:tr2bl w:val="nil"/>
            </w:tcBorders>
            <w:noWrap w:val="0"/>
            <w:vAlign w:val="center"/>
          </w:tcPr>
          <w:p w14:paraId="60C6EC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大塘湾</w:t>
            </w:r>
          </w:p>
        </w:tc>
        <w:tc>
          <w:tcPr>
            <w:tcW w:w="987" w:type="dxa"/>
            <w:tcBorders>
              <w:tl2br w:val="nil"/>
              <w:tr2bl w:val="nil"/>
            </w:tcBorders>
            <w:noWrap w:val="0"/>
            <w:vAlign w:val="center"/>
          </w:tcPr>
          <w:p w14:paraId="32B829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3705286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2935-3705</w:t>
            </w:r>
          </w:p>
        </w:tc>
        <w:tc>
          <w:tcPr>
            <w:tcW w:w="1088" w:type="dxa"/>
            <w:gridSpan w:val="2"/>
            <w:tcBorders>
              <w:tl2br w:val="nil"/>
              <w:tr2bl w:val="nil"/>
            </w:tcBorders>
            <w:noWrap w:val="0"/>
            <w:vAlign w:val="center"/>
          </w:tcPr>
          <w:p w14:paraId="15158AD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7016E1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E405CF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140</w:t>
            </w:r>
          </w:p>
        </w:tc>
      </w:tr>
      <w:tr w14:paraId="32623D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B0166C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6D4BE6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61</w:t>
            </w:r>
          </w:p>
        </w:tc>
        <w:tc>
          <w:tcPr>
            <w:tcW w:w="2163" w:type="dxa"/>
            <w:tcBorders>
              <w:tl2br w:val="nil"/>
              <w:tr2bl w:val="nil"/>
            </w:tcBorders>
            <w:noWrap w:val="0"/>
            <w:vAlign w:val="center"/>
          </w:tcPr>
          <w:p w14:paraId="0E1650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任弼时红军学校</w:t>
            </w:r>
          </w:p>
        </w:tc>
        <w:tc>
          <w:tcPr>
            <w:tcW w:w="987" w:type="dxa"/>
            <w:tcBorders>
              <w:tl2br w:val="nil"/>
              <w:tr2bl w:val="nil"/>
            </w:tcBorders>
            <w:noWrap w:val="0"/>
            <w:vAlign w:val="center"/>
          </w:tcPr>
          <w:p w14:paraId="28DF7A6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07918BD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3230-3455</w:t>
            </w:r>
          </w:p>
        </w:tc>
        <w:tc>
          <w:tcPr>
            <w:tcW w:w="1088" w:type="dxa"/>
            <w:gridSpan w:val="2"/>
            <w:tcBorders>
              <w:tl2br w:val="nil"/>
              <w:tr2bl w:val="nil"/>
            </w:tcBorders>
            <w:noWrap w:val="0"/>
            <w:vAlign w:val="center"/>
          </w:tcPr>
          <w:p w14:paraId="5D1BFCA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师生</w:t>
            </w:r>
          </w:p>
        </w:tc>
        <w:tc>
          <w:tcPr>
            <w:tcW w:w="821" w:type="dxa"/>
            <w:vMerge w:val="continue"/>
            <w:tcBorders>
              <w:tl2br w:val="nil"/>
              <w:tr2bl w:val="nil"/>
            </w:tcBorders>
            <w:noWrap w:val="0"/>
            <w:vAlign w:val="center"/>
          </w:tcPr>
          <w:p w14:paraId="21045EB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A79B20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200</w:t>
            </w:r>
          </w:p>
        </w:tc>
      </w:tr>
      <w:tr w14:paraId="5B5898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EBF49F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609DC6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62</w:t>
            </w:r>
          </w:p>
        </w:tc>
        <w:tc>
          <w:tcPr>
            <w:tcW w:w="2163" w:type="dxa"/>
            <w:tcBorders>
              <w:tl2br w:val="nil"/>
              <w:tr2bl w:val="nil"/>
            </w:tcBorders>
            <w:noWrap w:val="0"/>
            <w:vAlign w:val="center"/>
          </w:tcPr>
          <w:p w14:paraId="1E8D08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檀家磅</w:t>
            </w:r>
          </w:p>
        </w:tc>
        <w:tc>
          <w:tcPr>
            <w:tcW w:w="987" w:type="dxa"/>
            <w:tcBorders>
              <w:tl2br w:val="nil"/>
              <w:tr2bl w:val="nil"/>
            </w:tcBorders>
            <w:noWrap w:val="0"/>
            <w:vAlign w:val="center"/>
          </w:tcPr>
          <w:p w14:paraId="25E6662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2EF3560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4445-5000</w:t>
            </w:r>
          </w:p>
        </w:tc>
        <w:tc>
          <w:tcPr>
            <w:tcW w:w="1088" w:type="dxa"/>
            <w:gridSpan w:val="2"/>
            <w:tcBorders>
              <w:tl2br w:val="nil"/>
              <w:tr2bl w:val="nil"/>
            </w:tcBorders>
            <w:noWrap w:val="0"/>
            <w:vAlign w:val="center"/>
          </w:tcPr>
          <w:p w14:paraId="5A9784A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7E5EF5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B79A3C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13CAD4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C16D60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4D38EC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63</w:t>
            </w:r>
          </w:p>
        </w:tc>
        <w:tc>
          <w:tcPr>
            <w:tcW w:w="2163" w:type="dxa"/>
            <w:tcBorders>
              <w:tl2br w:val="nil"/>
              <w:tr2bl w:val="nil"/>
            </w:tcBorders>
            <w:noWrap w:val="0"/>
            <w:vAlign w:val="center"/>
          </w:tcPr>
          <w:p w14:paraId="74FCA4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赤江湾</w:t>
            </w:r>
          </w:p>
        </w:tc>
        <w:tc>
          <w:tcPr>
            <w:tcW w:w="987" w:type="dxa"/>
            <w:tcBorders>
              <w:tl2br w:val="nil"/>
              <w:tr2bl w:val="nil"/>
            </w:tcBorders>
            <w:noWrap w:val="0"/>
            <w:vAlign w:val="center"/>
          </w:tcPr>
          <w:p w14:paraId="4DFF8B6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29955D2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4110-4720</w:t>
            </w:r>
          </w:p>
        </w:tc>
        <w:tc>
          <w:tcPr>
            <w:tcW w:w="1088" w:type="dxa"/>
            <w:gridSpan w:val="2"/>
            <w:tcBorders>
              <w:tl2br w:val="nil"/>
              <w:tr2bl w:val="nil"/>
            </w:tcBorders>
            <w:noWrap w:val="0"/>
            <w:vAlign w:val="center"/>
          </w:tcPr>
          <w:p w14:paraId="1FCAF2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76FAAD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FD5766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w:t>
            </w:r>
          </w:p>
        </w:tc>
      </w:tr>
      <w:tr w14:paraId="45F5B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9C8AAC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3FDC29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64</w:t>
            </w:r>
          </w:p>
        </w:tc>
        <w:tc>
          <w:tcPr>
            <w:tcW w:w="2163" w:type="dxa"/>
            <w:tcBorders>
              <w:tl2br w:val="nil"/>
              <w:tr2bl w:val="nil"/>
            </w:tcBorders>
            <w:noWrap w:val="0"/>
            <w:vAlign w:val="center"/>
          </w:tcPr>
          <w:p w14:paraId="0FD96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范家湾</w:t>
            </w:r>
          </w:p>
        </w:tc>
        <w:tc>
          <w:tcPr>
            <w:tcW w:w="987" w:type="dxa"/>
            <w:tcBorders>
              <w:tl2br w:val="nil"/>
              <w:tr2bl w:val="nil"/>
            </w:tcBorders>
            <w:noWrap w:val="0"/>
            <w:vAlign w:val="center"/>
          </w:tcPr>
          <w:p w14:paraId="27AC025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0C7E695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3880-5000</w:t>
            </w:r>
          </w:p>
        </w:tc>
        <w:tc>
          <w:tcPr>
            <w:tcW w:w="1088" w:type="dxa"/>
            <w:gridSpan w:val="2"/>
            <w:tcBorders>
              <w:tl2br w:val="nil"/>
              <w:tr2bl w:val="nil"/>
            </w:tcBorders>
            <w:noWrap w:val="0"/>
            <w:vAlign w:val="center"/>
          </w:tcPr>
          <w:p w14:paraId="3CCC6C7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3D2103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EF4FA0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230</w:t>
            </w:r>
          </w:p>
        </w:tc>
      </w:tr>
      <w:tr w14:paraId="1F1B93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56CFD6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347192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65</w:t>
            </w:r>
          </w:p>
        </w:tc>
        <w:tc>
          <w:tcPr>
            <w:tcW w:w="2163" w:type="dxa"/>
            <w:tcBorders>
              <w:tl2br w:val="nil"/>
              <w:tr2bl w:val="nil"/>
            </w:tcBorders>
            <w:noWrap w:val="0"/>
            <w:vAlign w:val="center"/>
          </w:tcPr>
          <w:p w14:paraId="7411EE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沅家碰</w:t>
            </w:r>
          </w:p>
        </w:tc>
        <w:tc>
          <w:tcPr>
            <w:tcW w:w="987" w:type="dxa"/>
            <w:tcBorders>
              <w:tl2br w:val="nil"/>
              <w:tr2bl w:val="nil"/>
            </w:tcBorders>
            <w:noWrap w:val="0"/>
            <w:vAlign w:val="center"/>
          </w:tcPr>
          <w:p w14:paraId="783627A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6AA52BD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3880-4990</w:t>
            </w:r>
          </w:p>
        </w:tc>
        <w:tc>
          <w:tcPr>
            <w:tcW w:w="1088" w:type="dxa"/>
            <w:gridSpan w:val="2"/>
            <w:tcBorders>
              <w:tl2br w:val="nil"/>
              <w:tr2bl w:val="nil"/>
            </w:tcBorders>
            <w:noWrap w:val="0"/>
            <w:vAlign w:val="center"/>
          </w:tcPr>
          <w:p w14:paraId="060A3C5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8D8446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447F28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210</w:t>
            </w:r>
          </w:p>
        </w:tc>
      </w:tr>
      <w:tr w14:paraId="270661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313CC6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8C406B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67</w:t>
            </w:r>
          </w:p>
        </w:tc>
        <w:tc>
          <w:tcPr>
            <w:tcW w:w="2163" w:type="dxa"/>
            <w:tcBorders>
              <w:tl2br w:val="nil"/>
              <w:tr2bl w:val="nil"/>
            </w:tcBorders>
            <w:noWrap w:val="0"/>
            <w:vAlign w:val="center"/>
          </w:tcPr>
          <w:p w14:paraId="1E8EC9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徐家桥</w:t>
            </w:r>
          </w:p>
        </w:tc>
        <w:tc>
          <w:tcPr>
            <w:tcW w:w="987" w:type="dxa"/>
            <w:tcBorders>
              <w:tl2br w:val="nil"/>
              <w:tr2bl w:val="nil"/>
            </w:tcBorders>
            <w:noWrap w:val="0"/>
            <w:vAlign w:val="center"/>
          </w:tcPr>
          <w:p w14:paraId="15B823A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1FCE736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2455-4950</w:t>
            </w:r>
          </w:p>
        </w:tc>
        <w:tc>
          <w:tcPr>
            <w:tcW w:w="1088" w:type="dxa"/>
            <w:gridSpan w:val="2"/>
            <w:tcBorders>
              <w:tl2br w:val="nil"/>
              <w:tr2bl w:val="nil"/>
            </w:tcBorders>
            <w:noWrap w:val="0"/>
            <w:vAlign w:val="center"/>
          </w:tcPr>
          <w:p w14:paraId="712B688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A4E4E9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0B8866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240</w:t>
            </w:r>
          </w:p>
        </w:tc>
      </w:tr>
      <w:tr w14:paraId="3397B5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2CBD50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B56AF7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68</w:t>
            </w:r>
          </w:p>
        </w:tc>
        <w:tc>
          <w:tcPr>
            <w:tcW w:w="2163" w:type="dxa"/>
            <w:tcBorders>
              <w:tl2br w:val="nil"/>
              <w:tr2bl w:val="nil"/>
            </w:tcBorders>
            <w:noWrap w:val="0"/>
            <w:vAlign w:val="center"/>
          </w:tcPr>
          <w:p w14:paraId="4BCA6D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周家坡</w:t>
            </w:r>
          </w:p>
        </w:tc>
        <w:tc>
          <w:tcPr>
            <w:tcW w:w="987" w:type="dxa"/>
            <w:tcBorders>
              <w:tl2br w:val="nil"/>
              <w:tr2bl w:val="nil"/>
            </w:tcBorders>
            <w:noWrap w:val="0"/>
            <w:vAlign w:val="center"/>
          </w:tcPr>
          <w:p w14:paraId="5C0905A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772ACD3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4315-5000</w:t>
            </w:r>
          </w:p>
        </w:tc>
        <w:tc>
          <w:tcPr>
            <w:tcW w:w="1088" w:type="dxa"/>
            <w:gridSpan w:val="2"/>
            <w:tcBorders>
              <w:tl2br w:val="nil"/>
              <w:tr2bl w:val="nil"/>
            </w:tcBorders>
            <w:noWrap w:val="0"/>
            <w:vAlign w:val="center"/>
          </w:tcPr>
          <w:p w14:paraId="6F01AD7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FB14A3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82CD28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170</w:t>
            </w:r>
          </w:p>
        </w:tc>
      </w:tr>
      <w:tr w14:paraId="355EFC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8D04B1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6B1514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69</w:t>
            </w:r>
          </w:p>
        </w:tc>
        <w:tc>
          <w:tcPr>
            <w:tcW w:w="2163" w:type="dxa"/>
            <w:tcBorders>
              <w:tl2br w:val="nil"/>
              <w:tr2bl w:val="nil"/>
            </w:tcBorders>
            <w:noWrap w:val="0"/>
            <w:vAlign w:val="center"/>
          </w:tcPr>
          <w:p w14:paraId="2BF359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窑上屋</w:t>
            </w:r>
          </w:p>
        </w:tc>
        <w:tc>
          <w:tcPr>
            <w:tcW w:w="987" w:type="dxa"/>
            <w:tcBorders>
              <w:tl2br w:val="nil"/>
              <w:tr2bl w:val="nil"/>
            </w:tcBorders>
            <w:noWrap w:val="0"/>
            <w:vAlign w:val="center"/>
          </w:tcPr>
          <w:p w14:paraId="32551B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5F6EA7A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3605-4220</w:t>
            </w:r>
          </w:p>
        </w:tc>
        <w:tc>
          <w:tcPr>
            <w:tcW w:w="1088" w:type="dxa"/>
            <w:gridSpan w:val="2"/>
            <w:tcBorders>
              <w:tl2br w:val="nil"/>
              <w:tr2bl w:val="nil"/>
            </w:tcBorders>
            <w:noWrap w:val="0"/>
            <w:vAlign w:val="center"/>
          </w:tcPr>
          <w:p w14:paraId="48E3472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9084FE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F86B80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130</w:t>
            </w:r>
          </w:p>
        </w:tc>
      </w:tr>
      <w:tr w14:paraId="2F52D8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1217CA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1E902C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70</w:t>
            </w:r>
          </w:p>
        </w:tc>
        <w:tc>
          <w:tcPr>
            <w:tcW w:w="2163" w:type="dxa"/>
            <w:tcBorders>
              <w:tl2br w:val="nil"/>
              <w:tr2bl w:val="nil"/>
            </w:tcBorders>
            <w:noWrap w:val="0"/>
            <w:vAlign w:val="center"/>
          </w:tcPr>
          <w:p w14:paraId="1280B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隔塘</w:t>
            </w:r>
          </w:p>
        </w:tc>
        <w:tc>
          <w:tcPr>
            <w:tcW w:w="987" w:type="dxa"/>
            <w:tcBorders>
              <w:tl2br w:val="nil"/>
              <w:tr2bl w:val="nil"/>
            </w:tcBorders>
            <w:noWrap w:val="0"/>
            <w:vAlign w:val="center"/>
          </w:tcPr>
          <w:p w14:paraId="14D22A0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4F9DF35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3710-5000</w:t>
            </w:r>
          </w:p>
        </w:tc>
        <w:tc>
          <w:tcPr>
            <w:tcW w:w="1088" w:type="dxa"/>
            <w:gridSpan w:val="2"/>
            <w:tcBorders>
              <w:tl2br w:val="nil"/>
              <w:tr2bl w:val="nil"/>
            </w:tcBorders>
            <w:noWrap w:val="0"/>
            <w:vAlign w:val="center"/>
          </w:tcPr>
          <w:p w14:paraId="768BCE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2B5D4F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3E7A11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210</w:t>
            </w:r>
          </w:p>
        </w:tc>
      </w:tr>
      <w:tr w14:paraId="20DDFB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CD4C47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3B69C2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71</w:t>
            </w:r>
          </w:p>
        </w:tc>
        <w:tc>
          <w:tcPr>
            <w:tcW w:w="2163" w:type="dxa"/>
            <w:tcBorders>
              <w:tl2br w:val="nil"/>
              <w:tr2bl w:val="nil"/>
            </w:tcBorders>
            <w:noWrap w:val="0"/>
            <w:vAlign w:val="center"/>
          </w:tcPr>
          <w:p w14:paraId="3CCB7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苦竹坡</w:t>
            </w:r>
          </w:p>
        </w:tc>
        <w:tc>
          <w:tcPr>
            <w:tcW w:w="987" w:type="dxa"/>
            <w:tcBorders>
              <w:tl2br w:val="nil"/>
              <w:tr2bl w:val="nil"/>
            </w:tcBorders>
            <w:noWrap w:val="0"/>
            <w:vAlign w:val="center"/>
          </w:tcPr>
          <w:p w14:paraId="453A71C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03B88E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3990-4275</w:t>
            </w:r>
          </w:p>
        </w:tc>
        <w:tc>
          <w:tcPr>
            <w:tcW w:w="1088" w:type="dxa"/>
            <w:gridSpan w:val="2"/>
            <w:tcBorders>
              <w:tl2br w:val="nil"/>
              <w:tr2bl w:val="nil"/>
            </w:tcBorders>
            <w:noWrap w:val="0"/>
            <w:vAlign w:val="center"/>
          </w:tcPr>
          <w:p w14:paraId="0345318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17C09F6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1B98D0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70</w:t>
            </w:r>
          </w:p>
        </w:tc>
      </w:tr>
      <w:tr w14:paraId="510406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85883C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A64EBC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72</w:t>
            </w:r>
          </w:p>
        </w:tc>
        <w:tc>
          <w:tcPr>
            <w:tcW w:w="2163" w:type="dxa"/>
            <w:tcBorders>
              <w:tl2br w:val="nil"/>
              <w:tr2bl w:val="nil"/>
            </w:tcBorders>
            <w:noWrap w:val="0"/>
            <w:vAlign w:val="center"/>
          </w:tcPr>
          <w:p w14:paraId="23F4A8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曾家屋场</w:t>
            </w:r>
          </w:p>
        </w:tc>
        <w:tc>
          <w:tcPr>
            <w:tcW w:w="987" w:type="dxa"/>
            <w:tcBorders>
              <w:tl2br w:val="nil"/>
              <w:tr2bl w:val="nil"/>
            </w:tcBorders>
            <w:noWrap w:val="0"/>
            <w:vAlign w:val="center"/>
          </w:tcPr>
          <w:p w14:paraId="5192089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219A145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4325-5000</w:t>
            </w:r>
          </w:p>
        </w:tc>
        <w:tc>
          <w:tcPr>
            <w:tcW w:w="1088" w:type="dxa"/>
            <w:gridSpan w:val="2"/>
            <w:tcBorders>
              <w:tl2br w:val="nil"/>
              <w:tr2bl w:val="nil"/>
            </w:tcBorders>
            <w:noWrap w:val="0"/>
            <w:vAlign w:val="center"/>
          </w:tcPr>
          <w:p w14:paraId="0494F77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D9C3C0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9F4BE0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140</w:t>
            </w:r>
          </w:p>
        </w:tc>
      </w:tr>
      <w:tr w14:paraId="3AE417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E820E6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6E0643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73</w:t>
            </w:r>
          </w:p>
        </w:tc>
        <w:tc>
          <w:tcPr>
            <w:tcW w:w="2163" w:type="dxa"/>
            <w:tcBorders>
              <w:tl2br w:val="nil"/>
              <w:tr2bl w:val="nil"/>
            </w:tcBorders>
            <w:noWrap w:val="0"/>
            <w:vAlign w:val="center"/>
          </w:tcPr>
          <w:p w14:paraId="4396B7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鹰婆山</w:t>
            </w:r>
          </w:p>
        </w:tc>
        <w:tc>
          <w:tcPr>
            <w:tcW w:w="987" w:type="dxa"/>
            <w:tcBorders>
              <w:tl2br w:val="nil"/>
              <w:tr2bl w:val="nil"/>
            </w:tcBorders>
            <w:noWrap w:val="0"/>
            <w:vAlign w:val="center"/>
          </w:tcPr>
          <w:p w14:paraId="197CB2C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w:t>
            </w:r>
          </w:p>
        </w:tc>
        <w:tc>
          <w:tcPr>
            <w:tcW w:w="1187" w:type="dxa"/>
            <w:gridSpan w:val="3"/>
            <w:tcBorders>
              <w:tl2br w:val="nil"/>
              <w:tr2bl w:val="nil"/>
            </w:tcBorders>
            <w:noWrap w:val="0"/>
            <w:vAlign w:val="center"/>
          </w:tcPr>
          <w:p w14:paraId="138CB8F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2600-3550</w:t>
            </w:r>
          </w:p>
        </w:tc>
        <w:tc>
          <w:tcPr>
            <w:tcW w:w="1088" w:type="dxa"/>
            <w:gridSpan w:val="2"/>
            <w:tcBorders>
              <w:tl2br w:val="nil"/>
              <w:tr2bl w:val="nil"/>
            </w:tcBorders>
            <w:noWrap w:val="0"/>
            <w:vAlign w:val="center"/>
          </w:tcPr>
          <w:p w14:paraId="085E920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C3B31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9DF868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210</w:t>
            </w:r>
          </w:p>
        </w:tc>
      </w:tr>
      <w:tr w14:paraId="5B376B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D0C4A3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10816F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74</w:t>
            </w:r>
          </w:p>
        </w:tc>
        <w:tc>
          <w:tcPr>
            <w:tcW w:w="2163" w:type="dxa"/>
            <w:tcBorders>
              <w:tl2br w:val="nil"/>
              <w:tr2bl w:val="nil"/>
            </w:tcBorders>
            <w:noWrap w:val="0"/>
            <w:vAlign w:val="center"/>
          </w:tcPr>
          <w:p w14:paraId="326FE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乌泥冲</w:t>
            </w:r>
          </w:p>
        </w:tc>
        <w:tc>
          <w:tcPr>
            <w:tcW w:w="987" w:type="dxa"/>
            <w:tcBorders>
              <w:tl2br w:val="nil"/>
              <w:tr2bl w:val="nil"/>
            </w:tcBorders>
            <w:noWrap w:val="0"/>
            <w:vAlign w:val="center"/>
          </w:tcPr>
          <w:p w14:paraId="012F460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w:t>
            </w:r>
          </w:p>
        </w:tc>
        <w:tc>
          <w:tcPr>
            <w:tcW w:w="1187" w:type="dxa"/>
            <w:gridSpan w:val="3"/>
            <w:tcBorders>
              <w:tl2br w:val="nil"/>
              <w:tr2bl w:val="nil"/>
            </w:tcBorders>
            <w:noWrap w:val="0"/>
            <w:vAlign w:val="center"/>
          </w:tcPr>
          <w:p w14:paraId="756D53B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4220-5000</w:t>
            </w:r>
          </w:p>
        </w:tc>
        <w:tc>
          <w:tcPr>
            <w:tcW w:w="1088" w:type="dxa"/>
            <w:gridSpan w:val="2"/>
            <w:tcBorders>
              <w:tl2br w:val="nil"/>
              <w:tr2bl w:val="nil"/>
            </w:tcBorders>
            <w:noWrap w:val="0"/>
            <w:vAlign w:val="center"/>
          </w:tcPr>
          <w:p w14:paraId="1244552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5A0726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03E1B4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74C1E2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A57271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94B2E8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75</w:t>
            </w:r>
          </w:p>
        </w:tc>
        <w:tc>
          <w:tcPr>
            <w:tcW w:w="2163" w:type="dxa"/>
            <w:tcBorders>
              <w:tl2br w:val="nil"/>
              <w:tr2bl w:val="nil"/>
            </w:tcBorders>
            <w:noWrap w:val="0"/>
            <w:vAlign w:val="center"/>
          </w:tcPr>
          <w:p w14:paraId="0E8A4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高兴小学</w:t>
            </w:r>
          </w:p>
        </w:tc>
        <w:tc>
          <w:tcPr>
            <w:tcW w:w="987" w:type="dxa"/>
            <w:tcBorders>
              <w:tl2br w:val="nil"/>
              <w:tr2bl w:val="nil"/>
            </w:tcBorders>
            <w:noWrap w:val="0"/>
            <w:vAlign w:val="center"/>
          </w:tcPr>
          <w:p w14:paraId="62126E3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w:t>
            </w:r>
          </w:p>
        </w:tc>
        <w:tc>
          <w:tcPr>
            <w:tcW w:w="1187" w:type="dxa"/>
            <w:gridSpan w:val="3"/>
            <w:tcBorders>
              <w:tl2br w:val="nil"/>
              <w:tr2bl w:val="nil"/>
            </w:tcBorders>
            <w:noWrap w:val="0"/>
            <w:vAlign w:val="center"/>
          </w:tcPr>
          <w:p w14:paraId="2E731B5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4815</w:t>
            </w:r>
          </w:p>
        </w:tc>
        <w:tc>
          <w:tcPr>
            <w:tcW w:w="1088" w:type="dxa"/>
            <w:gridSpan w:val="2"/>
            <w:tcBorders>
              <w:tl2br w:val="nil"/>
              <w:tr2bl w:val="nil"/>
            </w:tcBorders>
            <w:noWrap w:val="0"/>
            <w:vAlign w:val="center"/>
          </w:tcPr>
          <w:p w14:paraId="1BA5476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师生</w:t>
            </w:r>
          </w:p>
        </w:tc>
        <w:tc>
          <w:tcPr>
            <w:tcW w:w="821" w:type="dxa"/>
            <w:vMerge w:val="continue"/>
            <w:tcBorders>
              <w:tl2br w:val="nil"/>
              <w:tr2bl w:val="nil"/>
            </w:tcBorders>
            <w:noWrap w:val="0"/>
            <w:vAlign w:val="center"/>
          </w:tcPr>
          <w:p w14:paraId="5AA97E0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A15324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w:t>
            </w:r>
          </w:p>
        </w:tc>
      </w:tr>
      <w:tr w14:paraId="44DAF3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9CDD6D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342C36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76</w:t>
            </w:r>
          </w:p>
        </w:tc>
        <w:tc>
          <w:tcPr>
            <w:tcW w:w="2163" w:type="dxa"/>
            <w:tcBorders>
              <w:tl2br w:val="nil"/>
              <w:tr2bl w:val="nil"/>
            </w:tcBorders>
            <w:noWrap w:val="0"/>
            <w:vAlign w:val="center"/>
          </w:tcPr>
          <w:p w14:paraId="366E23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窑磅上</w:t>
            </w:r>
          </w:p>
        </w:tc>
        <w:tc>
          <w:tcPr>
            <w:tcW w:w="987" w:type="dxa"/>
            <w:tcBorders>
              <w:tl2br w:val="nil"/>
              <w:tr2bl w:val="nil"/>
            </w:tcBorders>
            <w:noWrap w:val="0"/>
            <w:vAlign w:val="center"/>
          </w:tcPr>
          <w:p w14:paraId="47430EE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7E59BAB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3725-5000</w:t>
            </w:r>
          </w:p>
        </w:tc>
        <w:tc>
          <w:tcPr>
            <w:tcW w:w="1088" w:type="dxa"/>
            <w:gridSpan w:val="2"/>
            <w:tcBorders>
              <w:tl2br w:val="nil"/>
              <w:tr2bl w:val="nil"/>
            </w:tcBorders>
            <w:noWrap w:val="0"/>
            <w:vAlign w:val="center"/>
          </w:tcPr>
          <w:p w14:paraId="24A8C6F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13D145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3447BB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230</w:t>
            </w:r>
          </w:p>
        </w:tc>
      </w:tr>
      <w:tr w14:paraId="4C478F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F3A22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2B9FA3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77</w:t>
            </w:r>
          </w:p>
        </w:tc>
        <w:tc>
          <w:tcPr>
            <w:tcW w:w="2163" w:type="dxa"/>
            <w:tcBorders>
              <w:tl2br w:val="nil"/>
              <w:tr2bl w:val="nil"/>
            </w:tcBorders>
            <w:noWrap w:val="0"/>
            <w:vAlign w:val="center"/>
          </w:tcPr>
          <w:p w14:paraId="19072A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板塘脚</w:t>
            </w:r>
          </w:p>
        </w:tc>
        <w:tc>
          <w:tcPr>
            <w:tcW w:w="987" w:type="dxa"/>
            <w:tcBorders>
              <w:tl2br w:val="nil"/>
              <w:tr2bl w:val="nil"/>
            </w:tcBorders>
            <w:noWrap w:val="0"/>
            <w:vAlign w:val="center"/>
          </w:tcPr>
          <w:p w14:paraId="05045F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5BC0E36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3980-5000</w:t>
            </w:r>
          </w:p>
        </w:tc>
        <w:tc>
          <w:tcPr>
            <w:tcW w:w="1088" w:type="dxa"/>
            <w:gridSpan w:val="2"/>
            <w:tcBorders>
              <w:tl2br w:val="nil"/>
              <w:tr2bl w:val="nil"/>
            </w:tcBorders>
            <w:noWrap w:val="0"/>
            <w:vAlign w:val="center"/>
          </w:tcPr>
          <w:p w14:paraId="5E264D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2E792F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AFC0FD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150</w:t>
            </w:r>
          </w:p>
        </w:tc>
      </w:tr>
      <w:tr w14:paraId="32DD93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51335C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CF6976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78</w:t>
            </w:r>
          </w:p>
        </w:tc>
        <w:tc>
          <w:tcPr>
            <w:tcW w:w="2163" w:type="dxa"/>
            <w:tcBorders>
              <w:tl2br w:val="nil"/>
              <w:tr2bl w:val="nil"/>
            </w:tcBorders>
            <w:noWrap w:val="0"/>
            <w:vAlign w:val="center"/>
          </w:tcPr>
          <w:p w14:paraId="663CAB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斋公坑</w:t>
            </w:r>
          </w:p>
        </w:tc>
        <w:tc>
          <w:tcPr>
            <w:tcW w:w="987" w:type="dxa"/>
            <w:tcBorders>
              <w:tl2br w:val="nil"/>
              <w:tr2bl w:val="nil"/>
            </w:tcBorders>
            <w:noWrap w:val="0"/>
            <w:vAlign w:val="center"/>
          </w:tcPr>
          <w:p w14:paraId="5FD420F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7316427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3235-4025</w:t>
            </w:r>
          </w:p>
        </w:tc>
        <w:tc>
          <w:tcPr>
            <w:tcW w:w="1088" w:type="dxa"/>
            <w:gridSpan w:val="2"/>
            <w:tcBorders>
              <w:tl2br w:val="nil"/>
              <w:tr2bl w:val="nil"/>
            </w:tcBorders>
            <w:noWrap w:val="0"/>
            <w:vAlign w:val="center"/>
          </w:tcPr>
          <w:p w14:paraId="62AA4B8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83A3B1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A1223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w:t>
            </w:r>
          </w:p>
        </w:tc>
      </w:tr>
      <w:tr w14:paraId="3C6D24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C48467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9B13B3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79</w:t>
            </w:r>
          </w:p>
        </w:tc>
        <w:tc>
          <w:tcPr>
            <w:tcW w:w="2163" w:type="dxa"/>
            <w:tcBorders>
              <w:tl2br w:val="nil"/>
              <w:tr2bl w:val="nil"/>
            </w:tcBorders>
            <w:noWrap w:val="0"/>
            <w:vAlign w:val="center"/>
          </w:tcPr>
          <w:p w14:paraId="4BEA25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培基塅</w:t>
            </w:r>
          </w:p>
        </w:tc>
        <w:tc>
          <w:tcPr>
            <w:tcW w:w="987" w:type="dxa"/>
            <w:tcBorders>
              <w:tl2br w:val="nil"/>
              <w:tr2bl w:val="nil"/>
            </w:tcBorders>
            <w:noWrap w:val="0"/>
            <w:vAlign w:val="center"/>
          </w:tcPr>
          <w:p w14:paraId="7AC4528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4944341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3710-4660</w:t>
            </w:r>
          </w:p>
        </w:tc>
        <w:tc>
          <w:tcPr>
            <w:tcW w:w="1088" w:type="dxa"/>
            <w:gridSpan w:val="2"/>
            <w:tcBorders>
              <w:tl2br w:val="nil"/>
              <w:tr2bl w:val="nil"/>
            </w:tcBorders>
            <w:noWrap w:val="0"/>
            <w:vAlign w:val="center"/>
          </w:tcPr>
          <w:p w14:paraId="0201353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48A555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48BA94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0BFBCC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229950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26BE17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80</w:t>
            </w:r>
          </w:p>
        </w:tc>
        <w:tc>
          <w:tcPr>
            <w:tcW w:w="2163" w:type="dxa"/>
            <w:tcBorders>
              <w:tl2br w:val="nil"/>
              <w:tr2bl w:val="nil"/>
            </w:tcBorders>
            <w:noWrap w:val="0"/>
            <w:vAlign w:val="center"/>
          </w:tcPr>
          <w:p w14:paraId="4739F6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沈家老屋</w:t>
            </w:r>
          </w:p>
        </w:tc>
        <w:tc>
          <w:tcPr>
            <w:tcW w:w="987" w:type="dxa"/>
            <w:tcBorders>
              <w:tl2br w:val="nil"/>
              <w:tr2bl w:val="nil"/>
            </w:tcBorders>
            <w:noWrap w:val="0"/>
            <w:vAlign w:val="center"/>
          </w:tcPr>
          <w:p w14:paraId="62F151A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4ED2C65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4050-5000</w:t>
            </w:r>
          </w:p>
        </w:tc>
        <w:tc>
          <w:tcPr>
            <w:tcW w:w="1088" w:type="dxa"/>
            <w:gridSpan w:val="2"/>
            <w:tcBorders>
              <w:tl2br w:val="nil"/>
              <w:tr2bl w:val="nil"/>
            </w:tcBorders>
            <w:noWrap w:val="0"/>
            <w:vAlign w:val="center"/>
          </w:tcPr>
          <w:p w14:paraId="7B1EBA8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3817C1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EC4ED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w:t>
            </w:r>
          </w:p>
        </w:tc>
      </w:tr>
      <w:tr w14:paraId="225831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AD3F93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515FD8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81</w:t>
            </w:r>
          </w:p>
        </w:tc>
        <w:tc>
          <w:tcPr>
            <w:tcW w:w="2163" w:type="dxa"/>
            <w:tcBorders>
              <w:tl2br w:val="nil"/>
              <w:tr2bl w:val="nil"/>
            </w:tcBorders>
            <w:noWrap w:val="0"/>
            <w:vAlign w:val="center"/>
          </w:tcPr>
          <w:p w14:paraId="01EACE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古塘湾</w:t>
            </w:r>
          </w:p>
        </w:tc>
        <w:tc>
          <w:tcPr>
            <w:tcW w:w="987" w:type="dxa"/>
            <w:tcBorders>
              <w:tl2br w:val="nil"/>
              <w:tr2bl w:val="nil"/>
            </w:tcBorders>
            <w:noWrap w:val="0"/>
            <w:vAlign w:val="center"/>
          </w:tcPr>
          <w:p w14:paraId="77EE0FD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457620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2985-4090</w:t>
            </w:r>
          </w:p>
        </w:tc>
        <w:tc>
          <w:tcPr>
            <w:tcW w:w="1088" w:type="dxa"/>
            <w:gridSpan w:val="2"/>
            <w:tcBorders>
              <w:tl2br w:val="nil"/>
              <w:tr2bl w:val="nil"/>
            </w:tcBorders>
            <w:noWrap w:val="0"/>
            <w:vAlign w:val="center"/>
          </w:tcPr>
          <w:p w14:paraId="5674A37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966CD2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A7B370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160</w:t>
            </w:r>
          </w:p>
        </w:tc>
      </w:tr>
      <w:tr w14:paraId="26480A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592017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C7CC19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82</w:t>
            </w:r>
          </w:p>
        </w:tc>
        <w:tc>
          <w:tcPr>
            <w:tcW w:w="2163" w:type="dxa"/>
            <w:tcBorders>
              <w:tl2br w:val="nil"/>
              <w:tr2bl w:val="nil"/>
            </w:tcBorders>
            <w:noWrap w:val="0"/>
            <w:vAlign w:val="center"/>
          </w:tcPr>
          <w:p w14:paraId="0E1073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五龙湾村</w:t>
            </w:r>
          </w:p>
        </w:tc>
        <w:tc>
          <w:tcPr>
            <w:tcW w:w="987" w:type="dxa"/>
            <w:tcBorders>
              <w:tl2br w:val="nil"/>
              <w:tr2bl w:val="nil"/>
            </w:tcBorders>
            <w:noWrap w:val="0"/>
            <w:vAlign w:val="center"/>
          </w:tcPr>
          <w:p w14:paraId="1A054DC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3D67E2D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4130-5000</w:t>
            </w:r>
          </w:p>
        </w:tc>
        <w:tc>
          <w:tcPr>
            <w:tcW w:w="1088" w:type="dxa"/>
            <w:gridSpan w:val="2"/>
            <w:tcBorders>
              <w:tl2br w:val="nil"/>
              <w:tr2bl w:val="nil"/>
            </w:tcBorders>
            <w:noWrap w:val="0"/>
            <w:vAlign w:val="center"/>
          </w:tcPr>
          <w:p w14:paraId="4BA7BDC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5FDD96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192D6F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250</w:t>
            </w:r>
          </w:p>
        </w:tc>
      </w:tr>
      <w:tr w14:paraId="1C83EC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6F2C15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789FB7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83</w:t>
            </w:r>
          </w:p>
        </w:tc>
        <w:tc>
          <w:tcPr>
            <w:tcW w:w="2163" w:type="dxa"/>
            <w:tcBorders>
              <w:tl2br w:val="nil"/>
              <w:tr2bl w:val="nil"/>
            </w:tcBorders>
            <w:noWrap w:val="0"/>
            <w:vAlign w:val="center"/>
          </w:tcPr>
          <w:p w14:paraId="0967DA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荷叶塘</w:t>
            </w:r>
          </w:p>
        </w:tc>
        <w:tc>
          <w:tcPr>
            <w:tcW w:w="987" w:type="dxa"/>
            <w:tcBorders>
              <w:tl2br w:val="nil"/>
              <w:tr2bl w:val="nil"/>
            </w:tcBorders>
            <w:noWrap w:val="0"/>
            <w:vAlign w:val="center"/>
          </w:tcPr>
          <w:p w14:paraId="34747B9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5BBDF19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2670-3800</w:t>
            </w:r>
          </w:p>
        </w:tc>
        <w:tc>
          <w:tcPr>
            <w:tcW w:w="1088" w:type="dxa"/>
            <w:gridSpan w:val="2"/>
            <w:tcBorders>
              <w:tl2br w:val="nil"/>
              <w:tr2bl w:val="nil"/>
            </w:tcBorders>
            <w:noWrap w:val="0"/>
            <w:vAlign w:val="center"/>
          </w:tcPr>
          <w:p w14:paraId="3358B42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CBCA51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EB541D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w:t>
            </w:r>
          </w:p>
        </w:tc>
      </w:tr>
      <w:tr w14:paraId="4C5ECE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D9B9AE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9B3629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84</w:t>
            </w:r>
          </w:p>
        </w:tc>
        <w:tc>
          <w:tcPr>
            <w:tcW w:w="2163" w:type="dxa"/>
            <w:tcBorders>
              <w:tl2br w:val="nil"/>
              <w:tr2bl w:val="nil"/>
            </w:tcBorders>
            <w:noWrap w:val="0"/>
            <w:vAlign w:val="center"/>
          </w:tcPr>
          <w:p w14:paraId="0C55EF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田家垄</w:t>
            </w:r>
          </w:p>
        </w:tc>
        <w:tc>
          <w:tcPr>
            <w:tcW w:w="987" w:type="dxa"/>
            <w:tcBorders>
              <w:tl2br w:val="nil"/>
              <w:tr2bl w:val="nil"/>
            </w:tcBorders>
            <w:noWrap w:val="0"/>
            <w:vAlign w:val="center"/>
          </w:tcPr>
          <w:p w14:paraId="3EC2F9A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南</w:t>
            </w:r>
          </w:p>
        </w:tc>
        <w:tc>
          <w:tcPr>
            <w:tcW w:w="1187" w:type="dxa"/>
            <w:gridSpan w:val="3"/>
            <w:tcBorders>
              <w:tl2br w:val="nil"/>
              <w:tr2bl w:val="nil"/>
            </w:tcBorders>
            <w:noWrap w:val="0"/>
            <w:vAlign w:val="center"/>
          </w:tcPr>
          <w:p w14:paraId="3B55DEE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2655-3525</w:t>
            </w:r>
          </w:p>
        </w:tc>
        <w:tc>
          <w:tcPr>
            <w:tcW w:w="1088" w:type="dxa"/>
            <w:gridSpan w:val="2"/>
            <w:tcBorders>
              <w:tl2br w:val="nil"/>
              <w:tr2bl w:val="nil"/>
            </w:tcBorders>
            <w:noWrap w:val="0"/>
            <w:vAlign w:val="center"/>
          </w:tcPr>
          <w:p w14:paraId="3326D3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D5FA50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62939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60FE97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44F029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F9C290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85</w:t>
            </w:r>
          </w:p>
        </w:tc>
        <w:tc>
          <w:tcPr>
            <w:tcW w:w="2163" w:type="dxa"/>
            <w:tcBorders>
              <w:tl2br w:val="nil"/>
              <w:tr2bl w:val="nil"/>
            </w:tcBorders>
            <w:noWrap w:val="0"/>
            <w:vAlign w:val="center"/>
          </w:tcPr>
          <w:p w14:paraId="460AED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石家坝</w:t>
            </w:r>
          </w:p>
        </w:tc>
        <w:tc>
          <w:tcPr>
            <w:tcW w:w="987" w:type="dxa"/>
            <w:tcBorders>
              <w:tl2br w:val="nil"/>
              <w:tr2bl w:val="nil"/>
            </w:tcBorders>
            <w:noWrap w:val="0"/>
            <w:vAlign w:val="center"/>
          </w:tcPr>
          <w:p w14:paraId="005F204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南</w:t>
            </w:r>
          </w:p>
        </w:tc>
        <w:tc>
          <w:tcPr>
            <w:tcW w:w="1187" w:type="dxa"/>
            <w:gridSpan w:val="3"/>
            <w:tcBorders>
              <w:tl2br w:val="nil"/>
              <w:tr2bl w:val="nil"/>
            </w:tcBorders>
            <w:noWrap w:val="0"/>
            <w:vAlign w:val="center"/>
          </w:tcPr>
          <w:p w14:paraId="36ED8DF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3700-5000</w:t>
            </w:r>
          </w:p>
        </w:tc>
        <w:tc>
          <w:tcPr>
            <w:tcW w:w="1088" w:type="dxa"/>
            <w:gridSpan w:val="2"/>
            <w:tcBorders>
              <w:tl2br w:val="nil"/>
              <w:tr2bl w:val="nil"/>
            </w:tcBorders>
            <w:noWrap w:val="0"/>
            <w:vAlign w:val="center"/>
          </w:tcPr>
          <w:p w14:paraId="1ABF6E3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04FAA9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EA30F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600</w:t>
            </w:r>
          </w:p>
        </w:tc>
      </w:tr>
      <w:tr w14:paraId="34310D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55E09B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36050B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86</w:t>
            </w:r>
          </w:p>
        </w:tc>
        <w:tc>
          <w:tcPr>
            <w:tcW w:w="2163" w:type="dxa"/>
            <w:tcBorders>
              <w:tl2br w:val="nil"/>
              <w:tr2bl w:val="nil"/>
            </w:tcBorders>
            <w:noWrap w:val="0"/>
            <w:vAlign w:val="center"/>
          </w:tcPr>
          <w:p w14:paraId="46616A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唐田中学</w:t>
            </w:r>
          </w:p>
        </w:tc>
        <w:tc>
          <w:tcPr>
            <w:tcW w:w="987" w:type="dxa"/>
            <w:tcBorders>
              <w:tl2br w:val="nil"/>
              <w:tr2bl w:val="nil"/>
            </w:tcBorders>
            <w:noWrap w:val="0"/>
            <w:vAlign w:val="center"/>
          </w:tcPr>
          <w:p w14:paraId="41C3799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6CCE9BC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4880</w:t>
            </w:r>
          </w:p>
        </w:tc>
        <w:tc>
          <w:tcPr>
            <w:tcW w:w="1088" w:type="dxa"/>
            <w:gridSpan w:val="2"/>
            <w:tcBorders>
              <w:tl2br w:val="nil"/>
              <w:tr2bl w:val="nil"/>
            </w:tcBorders>
            <w:noWrap w:val="0"/>
            <w:vAlign w:val="center"/>
          </w:tcPr>
          <w:p w14:paraId="5AFA553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师生</w:t>
            </w:r>
          </w:p>
        </w:tc>
        <w:tc>
          <w:tcPr>
            <w:tcW w:w="821" w:type="dxa"/>
            <w:vMerge w:val="continue"/>
            <w:tcBorders>
              <w:tl2br w:val="nil"/>
              <w:tr2bl w:val="nil"/>
            </w:tcBorders>
            <w:noWrap w:val="0"/>
            <w:vAlign w:val="center"/>
          </w:tcPr>
          <w:p w14:paraId="35F0689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16FCEF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450</w:t>
            </w:r>
          </w:p>
        </w:tc>
      </w:tr>
      <w:tr w14:paraId="1CFBE2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374B13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463547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87</w:t>
            </w:r>
          </w:p>
        </w:tc>
        <w:tc>
          <w:tcPr>
            <w:tcW w:w="2163" w:type="dxa"/>
            <w:tcBorders>
              <w:tl2br w:val="nil"/>
              <w:tr2bl w:val="nil"/>
            </w:tcBorders>
            <w:noWrap w:val="0"/>
            <w:vAlign w:val="center"/>
          </w:tcPr>
          <w:p w14:paraId="259D93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塅里屋</w:t>
            </w:r>
          </w:p>
        </w:tc>
        <w:tc>
          <w:tcPr>
            <w:tcW w:w="987" w:type="dxa"/>
            <w:tcBorders>
              <w:tl2br w:val="nil"/>
              <w:tr2bl w:val="nil"/>
            </w:tcBorders>
            <w:noWrap w:val="0"/>
            <w:vAlign w:val="center"/>
          </w:tcPr>
          <w:p w14:paraId="2D7FC51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1007079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3380-5000</w:t>
            </w:r>
          </w:p>
        </w:tc>
        <w:tc>
          <w:tcPr>
            <w:tcW w:w="1088" w:type="dxa"/>
            <w:gridSpan w:val="2"/>
            <w:tcBorders>
              <w:tl2br w:val="nil"/>
              <w:tr2bl w:val="nil"/>
            </w:tcBorders>
            <w:noWrap w:val="0"/>
            <w:vAlign w:val="center"/>
          </w:tcPr>
          <w:p w14:paraId="6B526D0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655F90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D5B7DD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4F11AA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63F917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9D3696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88</w:t>
            </w:r>
          </w:p>
        </w:tc>
        <w:tc>
          <w:tcPr>
            <w:tcW w:w="2163" w:type="dxa"/>
            <w:tcBorders>
              <w:tl2br w:val="nil"/>
              <w:tr2bl w:val="nil"/>
            </w:tcBorders>
            <w:noWrap w:val="0"/>
            <w:vAlign w:val="center"/>
          </w:tcPr>
          <w:p w14:paraId="314372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湘益墙</w:t>
            </w:r>
          </w:p>
        </w:tc>
        <w:tc>
          <w:tcPr>
            <w:tcW w:w="987" w:type="dxa"/>
            <w:tcBorders>
              <w:tl2br w:val="nil"/>
              <w:tr2bl w:val="nil"/>
            </w:tcBorders>
            <w:noWrap w:val="0"/>
            <w:vAlign w:val="center"/>
          </w:tcPr>
          <w:p w14:paraId="5B84B5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6CFA18D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2700-3665</w:t>
            </w:r>
          </w:p>
        </w:tc>
        <w:tc>
          <w:tcPr>
            <w:tcW w:w="1088" w:type="dxa"/>
            <w:gridSpan w:val="2"/>
            <w:tcBorders>
              <w:tl2br w:val="nil"/>
              <w:tr2bl w:val="nil"/>
            </w:tcBorders>
            <w:noWrap w:val="0"/>
            <w:vAlign w:val="center"/>
          </w:tcPr>
          <w:p w14:paraId="608C5D9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823151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CDA956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110</w:t>
            </w:r>
          </w:p>
        </w:tc>
      </w:tr>
      <w:tr w14:paraId="0F11B2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37B174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E277F7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89</w:t>
            </w:r>
          </w:p>
        </w:tc>
        <w:tc>
          <w:tcPr>
            <w:tcW w:w="2163" w:type="dxa"/>
            <w:tcBorders>
              <w:tl2br w:val="nil"/>
              <w:tr2bl w:val="nil"/>
            </w:tcBorders>
            <w:noWrap w:val="0"/>
            <w:vAlign w:val="center"/>
          </w:tcPr>
          <w:p w14:paraId="08F9AA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秧冲坳</w:t>
            </w:r>
          </w:p>
        </w:tc>
        <w:tc>
          <w:tcPr>
            <w:tcW w:w="987" w:type="dxa"/>
            <w:tcBorders>
              <w:tl2br w:val="nil"/>
              <w:tr2bl w:val="nil"/>
            </w:tcBorders>
            <w:noWrap w:val="0"/>
            <w:vAlign w:val="center"/>
          </w:tcPr>
          <w:p w14:paraId="7CC37F6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3FE07A8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4130-5000</w:t>
            </w:r>
          </w:p>
        </w:tc>
        <w:tc>
          <w:tcPr>
            <w:tcW w:w="1088" w:type="dxa"/>
            <w:gridSpan w:val="2"/>
            <w:tcBorders>
              <w:tl2br w:val="nil"/>
              <w:tr2bl w:val="nil"/>
            </w:tcBorders>
            <w:noWrap w:val="0"/>
            <w:vAlign w:val="center"/>
          </w:tcPr>
          <w:p w14:paraId="1288B4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0D48D1E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F93C91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210</w:t>
            </w:r>
          </w:p>
        </w:tc>
      </w:tr>
      <w:tr w14:paraId="57464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C0AE5F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6B06F3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90</w:t>
            </w:r>
          </w:p>
        </w:tc>
        <w:tc>
          <w:tcPr>
            <w:tcW w:w="2163" w:type="dxa"/>
            <w:tcBorders>
              <w:tl2br w:val="nil"/>
              <w:tr2bl w:val="nil"/>
            </w:tcBorders>
            <w:noWrap w:val="0"/>
            <w:vAlign w:val="center"/>
          </w:tcPr>
          <w:p w14:paraId="1E66B4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大塘坡</w:t>
            </w:r>
          </w:p>
        </w:tc>
        <w:tc>
          <w:tcPr>
            <w:tcW w:w="987" w:type="dxa"/>
            <w:tcBorders>
              <w:tl2br w:val="nil"/>
              <w:tr2bl w:val="nil"/>
            </w:tcBorders>
            <w:noWrap w:val="0"/>
            <w:vAlign w:val="center"/>
          </w:tcPr>
          <w:p w14:paraId="717930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6313EB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3170-5000</w:t>
            </w:r>
          </w:p>
        </w:tc>
        <w:tc>
          <w:tcPr>
            <w:tcW w:w="1088" w:type="dxa"/>
            <w:gridSpan w:val="2"/>
            <w:tcBorders>
              <w:tl2br w:val="nil"/>
              <w:tr2bl w:val="nil"/>
            </w:tcBorders>
            <w:noWrap w:val="0"/>
            <w:vAlign w:val="center"/>
          </w:tcPr>
          <w:p w14:paraId="635FDD6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9582EC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44C927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300</w:t>
            </w:r>
          </w:p>
        </w:tc>
      </w:tr>
      <w:tr w14:paraId="77F4CA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5DFB30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D46682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91</w:t>
            </w:r>
          </w:p>
        </w:tc>
        <w:tc>
          <w:tcPr>
            <w:tcW w:w="2163" w:type="dxa"/>
            <w:tcBorders>
              <w:tl2br w:val="nil"/>
              <w:tr2bl w:val="nil"/>
            </w:tcBorders>
            <w:noWrap w:val="0"/>
            <w:vAlign w:val="center"/>
          </w:tcPr>
          <w:p w14:paraId="670EA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康家屋场</w:t>
            </w:r>
          </w:p>
        </w:tc>
        <w:tc>
          <w:tcPr>
            <w:tcW w:w="987" w:type="dxa"/>
            <w:tcBorders>
              <w:tl2br w:val="nil"/>
              <w:tr2bl w:val="nil"/>
            </w:tcBorders>
            <w:noWrap w:val="0"/>
            <w:vAlign w:val="center"/>
          </w:tcPr>
          <w:p w14:paraId="4866531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6AC8C8F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4380-5000</w:t>
            </w:r>
          </w:p>
        </w:tc>
        <w:tc>
          <w:tcPr>
            <w:tcW w:w="1088" w:type="dxa"/>
            <w:gridSpan w:val="2"/>
            <w:tcBorders>
              <w:tl2br w:val="nil"/>
              <w:tr2bl w:val="nil"/>
            </w:tcBorders>
            <w:noWrap w:val="0"/>
            <w:vAlign w:val="center"/>
          </w:tcPr>
          <w:p w14:paraId="7726284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8B9515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F54F5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150</w:t>
            </w:r>
          </w:p>
        </w:tc>
      </w:tr>
      <w:tr w14:paraId="5DFE1A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813983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065475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92</w:t>
            </w:r>
          </w:p>
        </w:tc>
        <w:tc>
          <w:tcPr>
            <w:tcW w:w="2163" w:type="dxa"/>
            <w:tcBorders>
              <w:tl2br w:val="nil"/>
              <w:tr2bl w:val="nil"/>
            </w:tcBorders>
            <w:noWrap w:val="0"/>
            <w:vAlign w:val="center"/>
          </w:tcPr>
          <w:p w14:paraId="36F138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王甫塘</w:t>
            </w:r>
          </w:p>
        </w:tc>
        <w:tc>
          <w:tcPr>
            <w:tcW w:w="987" w:type="dxa"/>
            <w:tcBorders>
              <w:tl2br w:val="nil"/>
              <w:tr2bl w:val="nil"/>
            </w:tcBorders>
            <w:noWrap w:val="0"/>
            <w:vAlign w:val="center"/>
          </w:tcPr>
          <w:p w14:paraId="74F1C86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6C0ADFF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3590-5000</w:t>
            </w:r>
          </w:p>
        </w:tc>
        <w:tc>
          <w:tcPr>
            <w:tcW w:w="1088" w:type="dxa"/>
            <w:gridSpan w:val="2"/>
            <w:tcBorders>
              <w:tl2br w:val="nil"/>
              <w:tr2bl w:val="nil"/>
            </w:tcBorders>
            <w:noWrap w:val="0"/>
            <w:vAlign w:val="center"/>
          </w:tcPr>
          <w:p w14:paraId="19B3E28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0F026A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53DD22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220</w:t>
            </w:r>
          </w:p>
        </w:tc>
      </w:tr>
      <w:tr w14:paraId="6D7319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165CD9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69A37E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93</w:t>
            </w:r>
          </w:p>
        </w:tc>
        <w:tc>
          <w:tcPr>
            <w:tcW w:w="2163" w:type="dxa"/>
            <w:tcBorders>
              <w:tl2br w:val="nil"/>
              <w:tr2bl w:val="nil"/>
            </w:tcBorders>
            <w:noWrap w:val="0"/>
            <w:vAlign w:val="center"/>
          </w:tcPr>
          <w:p w14:paraId="5FD769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谢家冲</w:t>
            </w:r>
          </w:p>
        </w:tc>
        <w:tc>
          <w:tcPr>
            <w:tcW w:w="987" w:type="dxa"/>
            <w:tcBorders>
              <w:tl2br w:val="nil"/>
              <w:tr2bl w:val="nil"/>
            </w:tcBorders>
            <w:noWrap w:val="0"/>
            <w:vAlign w:val="center"/>
          </w:tcPr>
          <w:p w14:paraId="7C75962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480E9DA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3910-5000</w:t>
            </w:r>
          </w:p>
        </w:tc>
        <w:tc>
          <w:tcPr>
            <w:tcW w:w="1088" w:type="dxa"/>
            <w:gridSpan w:val="2"/>
            <w:tcBorders>
              <w:tl2br w:val="nil"/>
              <w:tr2bl w:val="nil"/>
            </w:tcBorders>
            <w:noWrap w:val="0"/>
            <w:vAlign w:val="center"/>
          </w:tcPr>
          <w:p w14:paraId="23DCD2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4330FD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2C4233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300</w:t>
            </w:r>
          </w:p>
        </w:tc>
      </w:tr>
      <w:tr w14:paraId="0212C8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7D74BA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207394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94</w:t>
            </w:r>
          </w:p>
        </w:tc>
        <w:tc>
          <w:tcPr>
            <w:tcW w:w="2163" w:type="dxa"/>
            <w:tcBorders>
              <w:tl2br w:val="nil"/>
              <w:tr2bl w:val="nil"/>
            </w:tcBorders>
            <w:noWrap w:val="0"/>
            <w:vAlign w:val="center"/>
          </w:tcPr>
          <w:p w14:paraId="35680C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新屋里</w:t>
            </w:r>
          </w:p>
        </w:tc>
        <w:tc>
          <w:tcPr>
            <w:tcW w:w="987" w:type="dxa"/>
            <w:tcBorders>
              <w:tl2br w:val="nil"/>
              <w:tr2bl w:val="nil"/>
            </w:tcBorders>
            <w:noWrap w:val="0"/>
            <w:vAlign w:val="center"/>
          </w:tcPr>
          <w:p w14:paraId="3E86F4A8">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w:t>
            </w:r>
          </w:p>
        </w:tc>
        <w:tc>
          <w:tcPr>
            <w:tcW w:w="1187" w:type="dxa"/>
            <w:gridSpan w:val="3"/>
            <w:tcBorders>
              <w:tl2br w:val="nil"/>
              <w:tr2bl w:val="nil"/>
            </w:tcBorders>
            <w:noWrap w:val="0"/>
            <w:vAlign w:val="center"/>
          </w:tcPr>
          <w:p w14:paraId="27135E1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2500-3640</w:t>
            </w:r>
          </w:p>
        </w:tc>
        <w:tc>
          <w:tcPr>
            <w:tcW w:w="1088" w:type="dxa"/>
            <w:gridSpan w:val="2"/>
            <w:tcBorders>
              <w:tl2br w:val="nil"/>
              <w:tr2bl w:val="nil"/>
            </w:tcBorders>
            <w:noWrap w:val="0"/>
            <w:vAlign w:val="center"/>
          </w:tcPr>
          <w:p w14:paraId="6117FC5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EC466D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5B2A42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150</w:t>
            </w:r>
          </w:p>
        </w:tc>
      </w:tr>
      <w:tr w14:paraId="2652A5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7B5EBE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EF300C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95</w:t>
            </w:r>
          </w:p>
        </w:tc>
        <w:tc>
          <w:tcPr>
            <w:tcW w:w="2163" w:type="dxa"/>
            <w:tcBorders>
              <w:tl2br w:val="nil"/>
              <w:tr2bl w:val="nil"/>
            </w:tcBorders>
            <w:noWrap w:val="0"/>
            <w:vAlign w:val="center"/>
          </w:tcPr>
          <w:p w14:paraId="31CA5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枫树园</w:t>
            </w:r>
          </w:p>
        </w:tc>
        <w:tc>
          <w:tcPr>
            <w:tcW w:w="987" w:type="dxa"/>
            <w:tcBorders>
              <w:tl2br w:val="nil"/>
              <w:tr2bl w:val="nil"/>
            </w:tcBorders>
            <w:noWrap w:val="0"/>
            <w:vAlign w:val="center"/>
          </w:tcPr>
          <w:p w14:paraId="61D578C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601F321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2630-3540</w:t>
            </w:r>
          </w:p>
        </w:tc>
        <w:tc>
          <w:tcPr>
            <w:tcW w:w="1088" w:type="dxa"/>
            <w:gridSpan w:val="2"/>
            <w:tcBorders>
              <w:tl2br w:val="nil"/>
              <w:tr2bl w:val="nil"/>
            </w:tcBorders>
            <w:noWrap w:val="0"/>
            <w:vAlign w:val="center"/>
          </w:tcPr>
          <w:p w14:paraId="3513B1A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22EBB7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DACFA6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180</w:t>
            </w:r>
          </w:p>
        </w:tc>
      </w:tr>
      <w:tr w14:paraId="2023E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F1C9D7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A874CB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96</w:t>
            </w:r>
          </w:p>
        </w:tc>
        <w:tc>
          <w:tcPr>
            <w:tcW w:w="2163" w:type="dxa"/>
            <w:tcBorders>
              <w:tl2br w:val="nil"/>
              <w:tr2bl w:val="nil"/>
            </w:tcBorders>
            <w:noWrap w:val="0"/>
            <w:vAlign w:val="center"/>
          </w:tcPr>
          <w:p w14:paraId="519985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羊石岭</w:t>
            </w:r>
          </w:p>
        </w:tc>
        <w:tc>
          <w:tcPr>
            <w:tcW w:w="987" w:type="dxa"/>
            <w:tcBorders>
              <w:tl2br w:val="nil"/>
              <w:tr2bl w:val="nil"/>
            </w:tcBorders>
            <w:noWrap w:val="0"/>
            <w:vAlign w:val="center"/>
          </w:tcPr>
          <w:p w14:paraId="1A23B9D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74AE31D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3145-5000</w:t>
            </w:r>
          </w:p>
        </w:tc>
        <w:tc>
          <w:tcPr>
            <w:tcW w:w="1088" w:type="dxa"/>
            <w:gridSpan w:val="2"/>
            <w:tcBorders>
              <w:tl2br w:val="nil"/>
              <w:tr2bl w:val="nil"/>
            </w:tcBorders>
            <w:noWrap w:val="0"/>
            <w:vAlign w:val="center"/>
          </w:tcPr>
          <w:p w14:paraId="2816A29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715F48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FF254E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80</w:t>
            </w:r>
          </w:p>
        </w:tc>
      </w:tr>
      <w:tr w14:paraId="163E4A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5341E3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DFE12F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97</w:t>
            </w:r>
          </w:p>
        </w:tc>
        <w:tc>
          <w:tcPr>
            <w:tcW w:w="2163" w:type="dxa"/>
            <w:tcBorders>
              <w:tl2br w:val="nil"/>
              <w:tr2bl w:val="nil"/>
            </w:tcBorders>
            <w:noWrap w:val="0"/>
            <w:vAlign w:val="center"/>
          </w:tcPr>
          <w:p w14:paraId="6D73CE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上蔡家洞</w:t>
            </w:r>
          </w:p>
        </w:tc>
        <w:tc>
          <w:tcPr>
            <w:tcW w:w="987" w:type="dxa"/>
            <w:tcBorders>
              <w:tl2br w:val="nil"/>
              <w:tr2bl w:val="nil"/>
            </w:tcBorders>
            <w:noWrap w:val="0"/>
            <w:vAlign w:val="center"/>
          </w:tcPr>
          <w:p w14:paraId="3B5A52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270BD0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2610-3705</w:t>
            </w:r>
          </w:p>
        </w:tc>
        <w:tc>
          <w:tcPr>
            <w:tcW w:w="1088" w:type="dxa"/>
            <w:gridSpan w:val="2"/>
            <w:tcBorders>
              <w:tl2br w:val="nil"/>
              <w:tr2bl w:val="nil"/>
            </w:tcBorders>
            <w:noWrap w:val="0"/>
            <w:vAlign w:val="center"/>
          </w:tcPr>
          <w:p w14:paraId="6DC4E18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22F1E5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03901B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70</w:t>
            </w:r>
          </w:p>
        </w:tc>
      </w:tr>
      <w:tr w14:paraId="23FBB4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211A38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79556B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98</w:t>
            </w:r>
          </w:p>
        </w:tc>
        <w:tc>
          <w:tcPr>
            <w:tcW w:w="2163" w:type="dxa"/>
            <w:tcBorders>
              <w:tl2br w:val="nil"/>
              <w:tr2bl w:val="nil"/>
            </w:tcBorders>
            <w:noWrap w:val="0"/>
            <w:vAlign w:val="center"/>
          </w:tcPr>
          <w:p w14:paraId="642857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吴家岭</w:t>
            </w:r>
          </w:p>
        </w:tc>
        <w:tc>
          <w:tcPr>
            <w:tcW w:w="987" w:type="dxa"/>
            <w:tcBorders>
              <w:tl2br w:val="nil"/>
              <w:tr2bl w:val="nil"/>
            </w:tcBorders>
            <w:noWrap w:val="0"/>
            <w:vAlign w:val="center"/>
          </w:tcPr>
          <w:p w14:paraId="3E4490D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282FF4D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3920-5000</w:t>
            </w:r>
          </w:p>
        </w:tc>
        <w:tc>
          <w:tcPr>
            <w:tcW w:w="1088" w:type="dxa"/>
            <w:gridSpan w:val="2"/>
            <w:tcBorders>
              <w:tl2br w:val="nil"/>
              <w:tr2bl w:val="nil"/>
            </w:tcBorders>
            <w:noWrap w:val="0"/>
            <w:vAlign w:val="center"/>
          </w:tcPr>
          <w:p w14:paraId="080F83B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787EDF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7DEBAA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110</w:t>
            </w:r>
          </w:p>
        </w:tc>
      </w:tr>
      <w:tr w14:paraId="67212D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296209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4EBD47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99</w:t>
            </w:r>
          </w:p>
        </w:tc>
        <w:tc>
          <w:tcPr>
            <w:tcW w:w="2163" w:type="dxa"/>
            <w:tcBorders>
              <w:tl2br w:val="nil"/>
              <w:tr2bl w:val="nil"/>
            </w:tcBorders>
            <w:noWrap w:val="0"/>
            <w:vAlign w:val="center"/>
          </w:tcPr>
          <w:p w14:paraId="7DE555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洛家湾</w:t>
            </w:r>
          </w:p>
        </w:tc>
        <w:tc>
          <w:tcPr>
            <w:tcW w:w="987" w:type="dxa"/>
            <w:tcBorders>
              <w:tl2br w:val="nil"/>
              <w:tr2bl w:val="nil"/>
            </w:tcBorders>
            <w:noWrap w:val="0"/>
            <w:vAlign w:val="center"/>
          </w:tcPr>
          <w:p w14:paraId="0CFFF02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3E1579D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2510-3360</w:t>
            </w:r>
          </w:p>
        </w:tc>
        <w:tc>
          <w:tcPr>
            <w:tcW w:w="1088" w:type="dxa"/>
            <w:gridSpan w:val="2"/>
            <w:tcBorders>
              <w:tl2br w:val="nil"/>
              <w:tr2bl w:val="nil"/>
            </w:tcBorders>
            <w:noWrap w:val="0"/>
            <w:vAlign w:val="center"/>
          </w:tcPr>
          <w:p w14:paraId="41CDA85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B95668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CB53E8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75</w:t>
            </w:r>
          </w:p>
        </w:tc>
      </w:tr>
      <w:tr w14:paraId="24D491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257D77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0CF094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100</w:t>
            </w:r>
          </w:p>
        </w:tc>
        <w:tc>
          <w:tcPr>
            <w:tcW w:w="2163" w:type="dxa"/>
            <w:tcBorders>
              <w:tl2br w:val="nil"/>
              <w:tr2bl w:val="nil"/>
            </w:tcBorders>
            <w:noWrap w:val="0"/>
            <w:vAlign w:val="center"/>
          </w:tcPr>
          <w:p w14:paraId="2940B9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窑厂里</w:t>
            </w:r>
          </w:p>
        </w:tc>
        <w:tc>
          <w:tcPr>
            <w:tcW w:w="987" w:type="dxa"/>
            <w:tcBorders>
              <w:tl2br w:val="nil"/>
              <w:tr2bl w:val="nil"/>
            </w:tcBorders>
            <w:noWrap w:val="0"/>
            <w:vAlign w:val="center"/>
          </w:tcPr>
          <w:p w14:paraId="23DCD55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东北</w:t>
            </w:r>
          </w:p>
        </w:tc>
        <w:tc>
          <w:tcPr>
            <w:tcW w:w="1187" w:type="dxa"/>
            <w:gridSpan w:val="3"/>
            <w:tcBorders>
              <w:tl2br w:val="nil"/>
              <w:tr2bl w:val="nil"/>
            </w:tcBorders>
            <w:noWrap w:val="0"/>
            <w:vAlign w:val="center"/>
          </w:tcPr>
          <w:p w14:paraId="53FFFC8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3530-5000</w:t>
            </w:r>
          </w:p>
        </w:tc>
        <w:tc>
          <w:tcPr>
            <w:tcW w:w="1088" w:type="dxa"/>
            <w:gridSpan w:val="2"/>
            <w:tcBorders>
              <w:tl2br w:val="nil"/>
              <w:tr2bl w:val="nil"/>
            </w:tcBorders>
            <w:noWrap w:val="0"/>
            <w:vAlign w:val="center"/>
          </w:tcPr>
          <w:p w14:paraId="7774C663">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125B849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44DCCD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w:t>
            </w:r>
          </w:p>
        </w:tc>
      </w:tr>
      <w:tr w14:paraId="28092F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53609A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090" w:type="dxa"/>
            <w:gridSpan w:val="8"/>
            <w:tcBorders>
              <w:tl2br w:val="nil"/>
              <w:tr2bl w:val="nil"/>
            </w:tcBorders>
            <w:noWrap w:val="0"/>
            <w:vAlign w:val="center"/>
          </w:tcPr>
          <w:p w14:paraId="575E1B8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厂址周边</w:t>
            </w:r>
            <w:r>
              <w:rPr>
                <w:rFonts w:hint="eastAsia" w:ascii="Times New Roman" w:hAnsi="Times New Roman" w:eastAsia="宋体" w:cs="Times New Roman"/>
                <w:i w:val="0"/>
                <w:iCs w:val="0"/>
                <w:color w:val="auto"/>
                <w:kern w:val="0"/>
                <w:sz w:val="21"/>
                <w:szCs w:val="21"/>
                <w:highlight w:val="none"/>
                <w:u w:val="none" w:color="auto"/>
                <w:lang w:val="en-US" w:eastAsia="zh-CN" w:bidi="ar"/>
              </w:rPr>
              <w:t>5</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km范围内人口数小计</w:t>
            </w:r>
          </w:p>
        </w:tc>
        <w:tc>
          <w:tcPr>
            <w:tcW w:w="821" w:type="dxa"/>
            <w:vMerge w:val="continue"/>
            <w:tcBorders>
              <w:tl2br w:val="nil"/>
              <w:tr2bl w:val="nil"/>
            </w:tcBorders>
            <w:noWrap w:val="0"/>
            <w:vAlign w:val="center"/>
          </w:tcPr>
          <w:p w14:paraId="4BC60A3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1E3BA1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lang w:val="en-US"/>
              </w:rPr>
            </w:pPr>
            <w:r>
              <w:rPr>
                <w:rFonts w:hint="default" w:ascii="Times New Roman" w:hAnsi="Times New Roman" w:eastAsia="宋体" w:cs="Times New Roman"/>
                <w:i w:val="0"/>
                <w:iCs w:val="0"/>
                <w:color w:val="auto"/>
                <w:kern w:val="0"/>
                <w:sz w:val="21"/>
                <w:szCs w:val="21"/>
                <w:highlight w:val="none"/>
                <w:u w:val="none" w:color="auto"/>
                <w:lang w:val="en-US" w:eastAsia="zh-CN" w:bidi="ar"/>
              </w:rPr>
              <w:t>约</w:t>
            </w:r>
            <w:r>
              <w:rPr>
                <w:rFonts w:hint="eastAsia" w:ascii="Times New Roman" w:hAnsi="Times New Roman" w:eastAsia="宋体" w:cs="Times New Roman"/>
                <w:i w:val="0"/>
                <w:iCs w:val="0"/>
                <w:color w:val="auto"/>
                <w:kern w:val="0"/>
                <w:sz w:val="21"/>
                <w:szCs w:val="21"/>
                <w:highlight w:val="none"/>
                <w:u w:val="none" w:color="auto"/>
                <w:lang w:val="en-US" w:eastAsia="zh-CN" w:bidi="ar"/>
              </w:rPr>
              <w:t>24935人</w:t>
            </w:r>
          </w:p>
        </w:tc>
      </w:tr>
      <w:tr w14:paraId="04375A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2AA3273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地表水</w:t>
            </w:r>
          </w:p>
        </w:tc>
        <w:tc>
          <w:tcPr>
            <w:tcW w:w="8174" w:type="dxa"/>
            <w:gridSpan w:val="10"/>
            <w:tcBorders>
              <w:tl2br w:val="nil"/>
              <w:tr2bl w:val="nil"/>
            </w:tcBorders>
            <w:noWrap w:val="0"/>
            <w:vAlign w:val="center"/>
          </w:tcPr>
          <w:p w14:paraId="5B57A3F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地表水受纳水体</w:t>
            </w:r>
          </w:p>
        </w:tc>
      </w:tr>
      <w:tr w14:paraId="7314C7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46E10E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C964FE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77B04F4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受纳水体名称</w:t>
            </w:r>
          </w:p>
        </w:tc>
        <w:tc>
          <w:tcPr>
            <w:tcW w:w="2350" w:type="dxa"/>
            <w:gridSpan w:val="5"/>
            <w:tcBorders>
              <w:tl2br w:val="nil"/>
              <w:tr2bl w:val="nil"/>
            </w:tcBorders>
            <w:noWrap w:val="0"/>
            <w:vAlign w:val="center"/>
          </w:tcPr>
          <w:p w14:paraId="1C8BF6B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排放点水域环境功能</w:t>
            </w:r>
          </w:p>
        </w:tc>
        <w:tc>
          <w:tcPr>
            <w:tcW w:w="2996" w:type="dxa"/>
            <w:gridSpan w:val="3"/>
            <w:tcBorders>
              <w:tl2br w:val="nil"/>
              <w:tr2bl w:val="nil"/>
            </w:tcBorders>
            <w:noWrap w:val="0"/>
            <w:vAlign w:val="center"/>
          </w:tcPr>
          <w:p w14:paraId="5FF60CD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 h内流经范围/km</w:t>
            </w:r>
          </w:p>
        </w:tc>
      </w:tr>
      <w:tr w14:paraId="7E3EC6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75973C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7786E2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0E1DDB6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highlight w:val="none"/>
                <w:u w:val="none" w:color="auto"/>
                <w:lang w:val="en-US" w:eastAsia="zh-CN" w:bidi="ar-SA"/>
              </w:rPr>
              <w:t>白沙河</w:t>
            </w:r>
          </w:p>
        </w:tc>
        <w:tc>
          <w:tcPr>
            <w:tcW w:w="2350" w:type="dxa"/>
            <w:gridSpan w:val="5"/>
            <w:tcBorders>
              <w:tl2br w:val="nil"/>
              <w:tr2bl w:val="nil"/>
            </w:tcBorders>
            <w:noWrap w:val="0"/>
            <w:vAlign w:val="center"/>
          </w:tcPr>
          <w:p w14:paraId="215B93D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农</w:t>
            </w:r>
            <w:r>
              <w:rPr>
                <w:rFonts w:hint="default" w:ascii="Times New Roman" w:hAnsi="Times New Roman" w:eastAsia="宋体" w:cs="Times New Roman"/>
                <w:i w:val="0"/>
                <w:iCs w:val="0"/>
                <w:color w:val="auto"/>
                <w:kern w:val="0"/>
                <w:sz w:val="21"/>
                <w:szCs w:val="21"/>
                <w:highlight w:val="none"/>
                <w:u w:val="none" w:color="auto"/>
                <w:lang w:val="en-US" w:eastAsia="zh-CN" w:bidi="ar"/>
              </w:rPr>
              <w:t>业用水区，III类</w:t>
            </w:r>
          </w:p>
        </w:tc>
        <w:tc>
          <w:tcPr>
            <w:tcW w:w="2996" w:type="dxa"/>
            <w:gridSpan w:val="3"/>
            <w:tcBorders>
              <w:tl2br w:val="nil"/>
              <w:tr2bl w:val="nil"/>
            </w:tcBorders>
            <w:noWrap w:val="0"/>
            <w:vAlign w:val="center"/>
          </w:tcPr>
          <w:p w14:paraId="3A021BB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3.5</w:t>
            </w:r>
            <w:r>
              <w:rPr>
                <w:rFonts w:hint="default" w:ascii="Times New Roman" w:hAnsi="Times New Roman" w:eastAsia="宋体" w:cs="Times New Roman"/>
                <w:i w:val="0"/>
                <w:iCs w:val="0"/>
                <w:color w:val="auto"/>
                <w:kern w:val="0"/>
                <w:sz w:val="21"/>
                <w:szCs w:val="21"/>
                <w:highlight w:val="none"/>
                <w:u w:val="none" w:color="auto"/>
                <w:lang w:val="en-US" w:eastAsia="zh-CN" w:bidi="ar"/>
              </w:rPr>
              <w:t>km</w:t>
            </w:r>
          </w:p>
        </w:tc>
      </w:tr>
      <w:tr w14:paraId="3E990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DDA5AB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0B44EE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w:t>
            </w:r>
          </w:p>
        </w:tc>
        <w:tc>
          <w:tcPr>
            <w:tcW w:w="2163" w:type="dxa"/>
            <w:tcBorders>
              <w:tl2br w:val="nil"/>
              <w:tr2bl w:val="nil"/>
            </w:tcBorders>
            <w:noWrap w:val="0"/>
            <w:vAlign w:val="center"/>
          </w:tcPr>
          <w:p w14:paraId="0DA0A13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大里塘水库</w:t>
            </w:r>
          </w:p>
        </w:tc>
        <w:tc>
          <w:tcPr>
            <w:tcW w:w="2350" w:type="dxa"/>
            <w:gridSpan w:val="5"/>
            <w:tcBorders>
              <w:tl2br w:val="nil"/>
              <w:tr2bl w:val="nil"/>
            </w:tcBorders>
            <w:noWrap w:val="0"/>
            <w:vAlign w:val="center"/>
          </w:tcPr>
          <w:p w14:paraId="7D7F14F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color w:val="000000"/>
                <w:kern w:val="2"/>
                <w:sz w:val="21"/>
                <w:szCs w:val="24"/>
                <w:highlight w:val="none"/>
                <w:u w:val="none" w:color="auto"/>
                <w:lang w:val="en-US" w:eastAsia="zh-CN" w:bidi="ar-SA"/>
              </w:rPr>
              <w:t>水源调蓄水库，</w:t>
            </w:r>
            <w:r>
              <w:rPr>
                <w:rFonts w:ascii="Times New Roman" w:hAnsi="Times New Roman" w:eastAsia="宋体" w:cs="Times New Roman"/>
                <w:color w:val="000000"/>
                <w:kern w:val="2"/>
                <w:sz w:val="21"/>
                <w:szCs w:val="24"/>
                <w:highlight w:val="none"/>
                <w:u w:val="none" w:color="auto"/>
                <w:lang w:val="en-US" w:eastAsia="zh-CN" w:bidi="ar-SA"/>
              </w:rPr>
              <w:fldChar w:fldCharType="begin"/>
            </w:r>
            <w:r>
              <w:rPr>
                <w:rFonts w:ascii="Times New Roman" w:hAnsi="Times New Roman" w:eastAsia="宋体" w:cs="Times New Roman"/>
                <w:color w:val="000000"/>
                <w:kern w:val="2"/>
                <w:sz w:val="21"/>
                <w:szCs w:val="24"/>
                <w:highlight w:val="none"/>
                <w:u w:val="none" w:color="auto"/>
                <w:lang w:val="en-US" w:eastAsia="zh-CN" w:bidi="ar-SA"/>
              </w:rPr>
              <w:instrText xml:space="preserve"> = 2 \* ROMAN \* MERGEFORMAT </w:instrText>
            </w:r>
            <w:r>
              <w:rPr>
                <w:rFonts w:ascii="Times New Roman" w:hAnsi="Times New Roman" w:eastAsia="宋体" w:cs="Times New Roman"/>
                <w:color w:val="000000"/>
                <w:kern w:val="2"/>
                <w:sz w:val="21"/>
                <w:szCs w:val="24"/>
                <w:highlight w:val="none"/>
                <w:u w:val="none" w:color="auto"/>
                <w:lang w:val="en-US" w:eastAsia="zh-CN" w:bidi="ar-SA"/>
              </w:rPr>
              <w:fldChar w:fldCharType="separate"/>
            </w:r>
            <w:r>
              <w:t>II</w:t>
            </w:r>
            <w:r>
              <w:rPr>
                <w:rFonts w:ascii="Times New Roman" w:hAnsi="Times New Roman" w:eastAsia="宋体" w:cs="Times New Roman"/>
                <w:color w:val="000000"/>
                <w:kern w:val="2"/>
                <w:sz w:val="21"/>
                <w:szCs w:val="24"/>
                <w:highlight w:val="none"/>
                <w:u w:val="none" w:color="auto"/>
                <w:lang w:val="en-US" w:eastAsia="zh-CN" w:bidi="ar-SA"/>
              </w:rPr>
              <w:fldChar w:fldCharType="end"/>
            </w:r>
            <w:r>
              <w:rPr>
                <w:rFonts w:ascii="Times New Roman" w:hAnsi="Times New Roman" w:eastAsia="宋体" w:cs="Times New Roman"/>
                <w:color w:val="000000"/>
                <w:kern w:val="2"/>
                <w:sz w:val="21"/>
                <w:szCs w:val="24"/>
                <w:highlight w:val="none"/>
                <w:u w:val="none" w:color="auto"/>
                <w:lang w:val="en-US" w:eastAsia="zh-CN" w:bidi="ar-SA"/>
              </w:rPr>
              <w:t>类</w:t>
            </w:r>
          </w:p>
        </w:tc>
        <w:tc>
          <w:tcPr>
            <w:tcW w:w="2996" w:type="dxa"/>
            <w:gridSpan w:val="3"/>
            <w:tcBorders>
              <w:tl2br w:val="nil"/>
              <w:tr2bl w:val="nil"/>
            </w:tcBorders>
            <w:noWrap w:val="0"/>
            <w:vAlign w:val="center"/>
          </w:tcPr>
          <w:p w14:paraId="329FADB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w:t>
            </w:r>
          </w:p>
        </w:tc>
      </w:tr>
      <w:tr w14:paraId="18600F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733699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8174" w:type="dxa"/>
            <w:gridSpan w:val="10"/>
            <w:tcBorders>
              <w:tl2br w:val="nil"/>
              <w:tr2bl w:val="nil"/>
            </w:tcBorders>
            <w:noWrap w:val="0"/>
            <w:vAlign w:val="center"/>
          </w:tcPr>
          <w:p w14:paraId="56DA8CF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内陆水体排放点下游 10 km（近岸海域一个潮周期最大水平距离两倍）范围内敏感目标</w:t>
            </w:r>
          </w:p>
        </w:tc>
      </w:tr>
      <w:tr w14:paraId="384DD9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C45299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521F20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70EF28E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敏感目标名称</w:t>
            </w:r>
          </w:p>
        </w:tc>
        <w:tc>
          <w:tcPr>
            <w:tcW w:w="1900" w:type="dxa"/>
            <w:gridSpan w:val="2"/>
            <w:tcBorders>
              <w:tl2br w:val="nil"/>
              <w:tr2bl w:val="nil"/>
            </w:tcBorders>
            <w:noWrap w:val="0"/>
            <w:vAlign w:val="center"/>
          </w:tcPr>
          <w:p w14:paraId="74A26BD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环境敏感特征</w:t>
            </w:r>
          </w:p>
        </w:tc>
        <w:tc>
          <w:tcPr>
            <w:tcW w:w="1362" w:type="dxa"/>
            <w:gridSpan w:val="4"/>
            <w:tcBorders>
              <w:tl2br w:val="nil"/>
              <w:tr2bl w:val="nil"/>
            </w:tcBorders>
            <w:noWrap w:val="0"/>
            <w:vAlign w:val="center"/>
          </w:tcPr>
          <w:p w14:paraId="4F8F48D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水质目标</w:t>
            </w:r>
          </w:p>
        </w:tc>
        <w:tc>
          <w:tcPr>
            <w:tcW w:w="2084" w:type="dxa"/>
            <w:gridSpan w:val="2"/>
            <w:tcBorders>
              <w:tl2br w:val="nil"/>
              <w:tr2bl w:val="nil"/>
            </w:tcBorders>
            <w:noWrap w:val="0"/>
            <w:vAlign w:val="center"/>
          </w:tcPr>
          <w:p w14:paraId="4F9D48F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与排放点距离/m</w:t>
            </w:r>
          </w:p>
        </w:tc>
      </w:tr>
      <w:tr w14:paraId="6DE13B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77D4410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地下水</w:t>
            </w:r>
          </w:p>
        </w:tc>
        <w:tc>
          <w:tcPr>
            <w:tcW w:w="8174" w:type="dxa"/>
            <w:gridSpan w:val="10"/>
            <w:tcBorders>
              <w:tl2br w:val="nil"/>
              <w:tr2bl w:val="nil"/>
            </w:tcBorders>
            <w:noWrap w:val="0"/>
            <w:vAlign w:val="center"/>
          </w:tcPr>
          <w:p w14:paraId="31B85EE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地下水</w:t>
            </w:r>
          </w:p>
        </w:tc>
      </w:tr>
      <w:tr w14:paraId="3737B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3052ED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339635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6A78B04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环境敏感区名称</w:t>
            </w:r>
          </w:p>
        </w:tc>
        <w:tc>
          <w:tcPr>
            <w:tcW w:w="987" w:type="dxa"/>
            <w:tcBorders>
              <w:tl2br w:val="nil"/>
              <w:tr2bl w:val="nil"/>
            </w:tcBorders>
            <w:noWrap w:val="0"/>
            <w:vAlign w:val="center"/>
          </w:tcPr>
          <w:p w14:paraId="70DA253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环境敏感特征</w:t>
            </w:r>
          </w:p>
        </w:tc>
        <w:tc>
          <w:tcPr>
            <w:tcW w:w="1063" w:type="dxa"/>
            <w:gridSpan w:val="2"/>
            <w:tcBorders>
              <w:tl2br w:val="nil"/>
              <w:tr2bl w:val="nil"/>
            </w:tcBorders>
            <w:noWrap w:val="0"/>
            <w:vAlign w:val="center"/>
          </w:tcPr>
          <w:p w14:paraId="0C538DD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水质目标</w:t>
            </w:r>
          </w:p>
        </w:tc>
        <w:tc>
          <w:tcPr>
            <w:tcW w:w="1212" w:type="dxa"/>
            <w:gridSpan w:val="3"/>
            <w:tcBorders>
              <w:tl2br w:val="nil"/>
              <w:tr2bl w:val="nil"/>
            </w:tcBorders>
            <w:noWrap w:val="0"/>
            <w:vAlign w:val="center"/>
          </w:tcPr>
          <w:p w14:paraId="7AA0FFC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包气带防污性能</w:t>
            </w:r>
          </w:p>
        </w:tc>
        <w:tc>
          <w:tcPr>
            <w:tcW w:w="2084" w:type="dxa"/>
            <w:gridSpan w:val="2"/>
            <w:tcBorders>
              <w:tl2br w:val="nil"/>
              <w:tr2bl w:val="nil"/>
            </w:tcBorders>
            <w:noWrap w:val="0"/>
            <w:vAlign w:val="center"/>
          </w:tcPr>
          <w:p w14:paraId="60ADE40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与下游厂界距离/m</w:t>
            </w:r>
          </w:p>
        </w:tc>
      </w:tr>
      <w:tr w14:paraId="71A505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2AAC78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2B2532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2DBBD4B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无</w:t>
            </w:r>
          </w:p>
        </w:tc>
        <w:tc>
          <w:tcPr>
            <w:tcW w:w="987" w:type="dxa"/>
            <w:tcBorders>
              <w:tl2br w:val="nil"/>
              <w:tr2bl w:val="nil"/>
            </w:tcBorders>
            <w:noWrap w:val="0"/>
            <w:vAlign w:val="center"/>
          </w:tcPr>
          <w:p w14:paraId="6D29E03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不敏感</w:t>
            </w:r>
          </w:p>
        </w:tc>
        <w:tc>
          <w:tcPr>
            <w:tcW w:w="1063" w:type="dxa"/>
            <w:gridSpan w:val="2"/>
            <w:tcBorders>
              <w:tl2br w:val="nil"/>
              <w:tr2bl w:val="nil"/>
            </w:tcBorders>
            <w:noWrap w:val="0"/>
            <w:vAlign w:val="center"/>
          </w:tcPr>
          <w:p w14:paraId="569552D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III类</w:t>
            </w:r>
          </w:p>
        </w:tc>
        <w:tc>
          <w:tcPr>
            <w:tcW w:w="1212" w:type="dxa"/>
            <w:gridSpan w:val="3"/>
            <w:tcBorders>
              <w:tl2br w:val="nil"/>
              <w:tr2bl w:val="nil"/>
            </w:tcBorders>
            <w:noWrap w:val="0"/>
            <w:vAlign w:val="center"/>
          </w:tcPr>
          <w:p w14:paraId="6B74059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D2</w:t>
            </w:r>
          </w:p>
        </w:tc>
        <w:tc>
          <w:tcPr>
            <w:tcW w:w="2084" w:type="dxa"/>
            <w:gridSpan w:val="2"/>
            <w:tcBorders>
              <w:tl2br w:val="nil"/>
              <w:tr2bl w:val="nil"/>
            </w:tcBorders>
            <w:noWrap w:val="0"/>
            <w:vAlign w:val="center"/>
          </w:tcPr>
          <w:p w14:paraId="3E7A78C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bl>
    <w:p w14:paraId="71045365">
      <w:pPr>
        <w:pStyle w:val="8"/>
        <w:bidi w:val="0"/>
        <w:rPr>
          <w:rFonts w:hint="eastAsia"/>
          <w:color w:val="auto"/>
          <w:u w:val="none" w:color="auto"/>
          <w:lang w:val="en-US" w:eastAsia="zh-CN"/>
        </w:rPr>
      </w:pPr>
      <w:bookmarkStart w:id="1172" w:name="_Toc8582"/>
      <w:r>
        <w:rPr>
          <w:rFonts w:hint="eastAsia"/>
          <w:color w:val="auto"/>
          <w:u w:val="none" w:color="auto"/>
          <w:lang w:val="en-US" w:eastAsia="zh-CN"/>
        </w:rPr>
        <w:t>5.3.2环境风险潜势初判</w:t>
      </w:r>
      <w:bookmarkEnd w:id="1172"/>
    </w:p>
    <w:p w14:paraId="58C5D5CE">
      <w:pPr>
        <w:pStyle w:val="21"/>
        <w:bidi w:val="0"/>
        <w:rPr>
          <w:rFonts w:hint="eastAsia"/>
          <w:color w:val="auto"/>
          <w:u w:val="none" w:color="auto"/>
          <w:lang w:val="en-US" w:eastAsia="zh-CN"/>
        </w:rPr>
      </w:pPr>
      <w:r>
        <w:rPr>
          <w:rFonts w:hint="eastAsia"/>
          <w:color w:val="auto"/>
          <w:u w:val="none" w:color="auto"/>
          <w:lang w:val="en-US" w:eastAsia="zh-CN"/>
        </w:rPr>
        <w:t>（1）环境风险潜势划分</w:t>
      </w:r>
    </w:p>
    <w:p w14:paraId="62028F23">
      <w:pPr>
        <w:pStyle w:val="21"/>
        <w:bidi w:val="0"/>
        <w:rPr>
          <w:rFonts w:hint="default"/>
          <w:color w:val="auto"/>
          <w:u w:val="none" w:color="auto"/>
        </w:rPr>
      </w:pPr>
      <w:r>
        <w:rPr>
          <w:rFonts w:hint="default"/>
          <w:color w:val="auto"/>
          <w:u w:val="none" w:color="auto"/>
        </w:rPr>
        <w:t>根据《建设项目环境风险评价技术导则》（HJ169-2018），建设项目环境风险潜势划分为</w:t>
      </w:r>
      <w:r>
        <w:rPr>
          <w:rFonts w:hint="default"/>
          <w:color w:val="auto"/>
          <w:u w:val="none" w:color="auto"/>
        </w:rPr>
        <w:fldChar w:fldCharType="begin"/>
      </w:r>
      <w:r>
        <w:rPr>
          <w:rFonts w:hint="default"/>
          <w:color w:val="auto"/>
          <w:u w:val="none" w:color="auto"/>
        </w:rPr>
        <w:instrText xml:space="preserve"> = 1 \* ROMAN </w:instrText>
      </w:r>
      <w:r>
        <w:rPr>
          <w:rFonts w:hint="default"/>
          <w:color w:val="auto"/>
          <w:u w:val="none" w:color="auto"/>
        </w:rPr>
        <w:fldChar w:fldCharType="separate"/>
      </w:r>
      <w:r>
        <w:rPr>
          <w:rFonts w:hint="default"/>
          <w:color w:val="auto"/>
          <w:u w:val="none" w:color="auto"/>
        </w:rPr>
        <w:t>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2 \* ROMAN </w:instrText>
      </w:r>
      <w:r>
        <w:rPr>
          <w:rFonts w:hint="default"/>
          <w:color w:val="auto"/>
          <w:u w:val="none" w:color="auto"/>
        </w:rPr>
        <w:fldChar w:fldCharType="separate"/>
      </w:r>
      <w:r>
        <w:rPr>
          <w:rFonts w:hint="default"/>
          <w:color w:val="auto"/>
          <w:u w:val="none" w:color="auto"/>
        </w:rPr>
        <w:t>II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3 \* ROMAN </w:instrText>
      </w:r>
      <w:r>
        <w:rPr>
          <w:rFonts w:hint="default"/>
          <w:color w:val="auto"/>
          <w:u w:val="none" w:color="auto"/>
        </w:rPr>
        <w:fldChar w:fldCharType="separate"/>
      </w:r>
      <w:r>
        <w:rPr>
          <w:rFonts w:hint="default"/>
          <w:color w:val="auto"/>
          <w:u w:val="none" w:color="auto"/>
        </w:rPr>
        <w:t>III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4 \* ROMAN </w:instrText>
      </w:r>
      <w:r>
        <w:rPr>
          <w:rFonts w:hint="default"/>
          <w:color w:val="auto"/>
          <w:u w:val="none" w:color="auto"/>
        </w:rPr>
        <w:fldChar w:fldCharType="separate"/>
      </w:r>
      <w:r>
        <w:rPr>
          <w:rFonts w:hint="default"/>
          <w:color w:val="auto"/>
          <w:u w:val="none" w:color="auto"/>
        </w:rPr>
        <w:t>IV</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4 \* ROMAN </w:instrText>
      </w:r>
      <w:r>
        <w:rPr>
          <w:rFonts w:hint="default"/>
          <w:color w:val="auto"/>
          <w:u w:val="none" w:color="auto"/>
        </w:rPr>
        <w:fldChar w:fldCharType="separate"/>
      </w:r>
      <w:r>
        <w:rPr>
          <w:rFonts w:hint="default"/>
          <w:color w:val="auto"/>
          <w:u w:val="none" w:color="auto"/>
        </w:rPr>
        <w:t>IV</w:t>
      </w:r>
      <w:r>
        <w:rPr>
          <w:rFonts w:hint="default"/>
          <w:color w:val="auto"/>
          <w:u w:val="none" w:color="auto"/>
        </w:rPr>
        <w:fldChar w:fldCharType="end"/>
      </w:r>
      <w:r>
        <w:rPr>
          <w:rFonts w:hint="default"/>
          <w:color w:val="auto"/>
          <w:u w:val="none" w:color="auto"/>
        </w:rPr>
        <w:t>+级。根据建设项目涉及的物质和工艺系统的危险性及其所在地的环境敏感程度，结合事故情形下环境影响途径，对建设项目潜在环境危害程度进行概化分析，按照表</w:t>
      </w:r>
      <w:r>
        <w:rPr>
          <w:rFonts w:hint="eastAsia"/>
          <w:color w:val="auto"/>
          <w:u w:val="none" w:color="auto"/>
          <w:lang w:val="en-US" w:eastAsia="zh-CN"/>
        </w:rPr>
        <w:t>5</w:t>
      </w:r>
      <w:r>
        <w:rPr>
          <w:rFonts w:hint="default"/>
          <w:color w:val="auto"/>
          <w:u w:val="none" w:color="auto"/>
          <w:lang w:val="en-US" w:eastAsia="zh-CN"/>
        </w:rPr>
        <w:t>.3-</w:t>
      </w:r>
      <w:r>
        <w:rPr>
          <w:rFonts w:hint="eastAsia"/>
          <w:color w:val="auto"/>
          <w:u w:val="none" w:color="auto"/>
          <w:lang w:val="en-US" w:eastAsia="zh-CN"/>
        </w:rPr>
        <w:t>4</w:t>
      </w:r>
      <w:r>
        <w:rPr>
          <w:rFonts w:hint="default"/>
          <w:color w:val="auto"/>
          <w:u w:val="none" w:color="auto"/>
        </w:rPr>
        <w:t>确定环境风险潜势。</w:t>
      </w:r>
    </w:p>
    <w:p w14:paraId="564DC1B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.3-</w:t>
      </w:r>
      <w:r>
        <w:rPr>
          <w:rFonts w:hint="eastAsia"/>
          <w:color w:val="auto"/>
          <w:u w:val="none" w:color="auto"/>
          <w:lang w:val="en-US" w:eastAsia="zh-CN"/>
        </w:rPr>
        <w:t xml:space="preserve">4 </w:t>
      </w:r>
      <w:r>
        <w:rPr>
          <w:rFonts w:hint="default"/>
          <w:color w:val="auto"/>
          <w:u w:val="none" w:color="auto"/>
        </w:rPr>
        <w:t>建设项目环境风险潜势划分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14:paraId="498B0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vMerge w:val="restart"/>
            <w:tcBorders>
              <w:tl2br w:val="nil"/>
              <w:tr2bl w:val="nil"/>
            </w:tcBorders>
            <w:noWrap w:val="0"/>
            <w:vAlign w:val="center"/>
          </w:tcPr>
          <w:p w14:paraId="11D85AC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环境敏感程度（E）</w:t>
            </w:r>
          </w:p>
        </w:tc>
        <w:tc>
          <w:tcPr>
            <w:tcW w:w="6804" w:type="dxa"/>
            <w:gridSpan w:val="4"/>
            <w:tcBorders>
              <w:tl2br w:val="nil"/>
              <w:tr2bl w:val="nil"/>
            </w:tcBorders>
            <w:noWrap w:val="0"/>
            <w:vAlign w:val="center"/>
          </w:tcPr>
          <w:p w14:paraId="19F93E4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危险物质及工艺系统危险性（P）</w:t>
            </w:r>
          </w:p>
        </w:tc>
      </w:tr>
      <w:tr w14:paraId="178DA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vMerge w:val="continue"/>
            <w:tcBorders>
              <w:tl2br w:val="nil"/>
              <w:tr2bl w:val="nil"/>
            </w:tcBorders>
            <w:noWrap w:val="0"/>
            <w:vAlign w:val="center"/>
          </w:tcPr>
          <w:p w14:paraId="0132E552">
            <w:pPr>
              <w:pStyle w:val="25"/>
              <w:bidi w:val="0"/>
              <w:rPr>
                <w:rFonts w:hint="default" w:ascii="Times New Roman" w:hAnsi="Times New Roman" w:cs="Times New Roman"/>
                <w:color w:val="auto"/>
                <w:u w:val="none" w:color="auto"/>
              </w:rPr>
            </w:pPr>
          </w:p>
        </w:tc>
        <w:tc>
          <w:tcPr>
            <w:tcW w:w="1701" w:type="dxa"/>
            <w:tcBorders>
              <w:tl2br w:val="nil"/>
              <w:tr2bl w:val="nil"/>
            </w:tcBorders>
            <w:noWrap w:val="0"/>
            <w:vAlign w:val="center"/>
          </w:tcPr>
          <w:p w14:paraId="495F73D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极高危害（P1）</w:t>
            </w:r>
          </w:p>
        </w:tc>
        <w:tc>
          <w:tcPr>
            <w:tcW w:w="1701" w:type="dxa"/>
            <w:tcBorders>
              <w:tl2br w:val="nil"/>
              <w:tr2bl w:val="nil"/>
            </w:tcBorders>
            <w:noWrap w:val="0"/>
            <w:vAlign w:val="center"/>
          </w:tcPr>
          <w:p w14:paraId="63C3B45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高度危害（P2）</w:t>
            </w:r>
          </w:p>
        </w:tc>
        <w:tc>
          <w:tcPr>
            <w:tcW w:w="1701" w:type="dxa"/>
            <w:tcBorders>
              <w:tl2br w:val="nil"/>
              <w:tr2bl w:val="nil"/>
            </w:tcBorders>
            <w:noWrap w:val="0"/>
            <w:vAlign w:val="center"/>
          </w:tcPr>
          <w:p w14:paraId="4B966CF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中度危害（P3）</w:t>
            </w:r>
          </w:p>
        </w:tc>
        <w:tc>
          <w:tcPr>
            <w:tcW w:w="1701" w:type="dxa"/>
            <w:tcBorders>
              <w:tl2br w:val="nil"/>
              <w:tr2bl w:val="nil"/>
            </w:tcBorders>
            <w:noWrap w:val="0"/>
            <w:vAlign w:val="center"/>
          </w:tcPr>
          <w:p w14:paraId="59ECAB9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轻度危害（P4）</w:t>
            </w:r>
          </w:p>
        </w:tc>
      </w:tr>
      <w:tr w14:paraId="23C84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4C8E7B5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098D0C6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p>
        </w:tc>
        <w:tc>
          <w:tcPr>
            <w:tcW w:w="1701" w:type="dxa"/>
            <w:tcBorders>
              <w:tl2br w:val="nil"/>
              <w:tr2bl w:val="nil"/>
            </w:tcBorders>
            <w:noWrap w:val="0"/>
            <w:vAlign w:val="center"/>
          </w:tcPr>
          <w:p w14:paraId="727F6B6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359CCAC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205D68E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r>
      <w:tr w14:paraId="35A7D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782117E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6CCEDCC0">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32824E4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0D5929A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597A8447">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r>
      <w:tr w14:paraId="674DD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026B97C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211AC82C">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7491E01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0B530F0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5037A52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p>
        </w:tc>
      </w:tr>
      <w:tr w14:paraId="5BC03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l2br w:val="nil"/>
              <w:tr2bl w:val="nil"/>
            </w:tcBorders>
            <w:noWrap w:val="0"/>
            <w:vAlign w:val="center"/>
          </w:tcPr>
          <w:p w14:paraId="46CFDDF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注：</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r>
              <w:rPr>
                <w:rFonts w:hint="default" w:ascii="Times New Roman" w:hAnsi="Times New Roman" w:cs="Times New Roman"/>
                <w:color w:val="auto"/>
                <w:u w:val="none" w:color="auto"/>
              </w:rPr>
              <w:t>为极高环境风险</w:t>
            </w:r>
          </w:p>
        </w:tc>
      </w:tr>
    </w:tbl>
    <w:p w14:paraId="545561BE">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根据上表可知，风险潜势由危险物质及工艺系统危险性（P）与环境敏感程度（E）共同确定，而P的分级由危险物质数量与临界量的比值（Q）和所属行业及生产工艺特点（M）共同确定。</w:t>
      </w:r>
    </w:p>
    <w:p w14:paraId="6BCFAF2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14:paraId="24025735">
      <w:pPr>
        <w:widowControl/>
        <w:spacing w:line="360" w:lineRule="auto"/>
        <w:ind w:firstLine="480" w:firstLineChars="200"/>
        <w:jc w:val="center"/>
        <w:rPr>
          <w:rFonts w:hint="default" w:ascii="Times New Roman" w:hAnsi="Times New Roman" w:cs="Times New Roman"/>
          <w:color w:val="auto"/>
          <w:kern w:val="0"/>
          <w:sz w:val="24"/>
          <w:u w:val="none" w:color="auto"/>
        </w:rPr>
      </w:pPr>
      <m:oMathPara>
        <m:oMath>
          <m:r>
            <m:rPr>
              <m:sty m:val="p"/>
            </m:rPr>
            <w:rPr>
              <w:rFonts w:hint="default" w:ascii="Cambria Math" w:hAnsi="Cambria Math"/>
              <w:color w:val="auto"/>
              <w:kern w:val="0"/>
              <w:sz w:val="24"/>
            </w:rPr>
            <m:t>Q=</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1</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1</m:t>
                  </m:r>
                  <m:ctrlPr>
                    <w:rPr>
                      <w:rFonts w:hint="default" w:ascii="Cambria Math" w:hAnsi="Cambria Math"/>
                      <w:i/>
                      <w:color w:val="auto"/>
                      <w:sz w:val="24"/>
                    </w:rPr>
                  </m:ctrlPr>
                </m:sub>
              </m:sSub>
              <m:ctrlPr>
                <w:rPr>
                  <w:rFonts w:hint="default" w:ascii="Cambria Math" w:hAnsi="Cambria Math"/>
                  <w:color w:val="auto"/>
                  <w:sz w:val="24"/>
                </w:rPr>
              </m:ctrlPr>
            </m:den>
          </m:f>
          <m:r>
            <m:rPr/>
            <w:rPr>
              <w:rFonts w:hint="default" w:ascii="Cambria Math" w:hAnsi="Cambria Math"/>
              <w:color w:val="auto"/>
              <w:kern w:val="0"/>
              <w:sz w:val="24"/>
            </w:rPr>
            <m:t>+</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2</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2</m:t>
                  </m:r>
                  <m:ctrlPr>
                    <w:rPr>
                      <w:rFonts w:hint="default" w:ascii="Cambria Math" w:hAnsi="Cambria Math"/>
                      <w:i/>
                      <w:color w:val="auto"/>
                      <w:sz w:val="24"/>
                    </w:rPr>
                  </m:ctrlPr>
                </m:sub>
              </m:sSub>
              <m:ctrlPr>
                <w:rPr>
                  <w:rFonts w:hint="default" w:ascii="Cambria Math" w:hAnsi="Cambria Math"/>
                  <w:color w:val="auto"/>
                  <w:sz w:val="24"/>
                </w:rPr>
              </m:ctrlPr>
            </m:den>
          </m:f>
          <m:r>
            <m:rPr/>
            <w:rPr>
              <w:rFonts w:hint="default" w:ascii="Cambria Math" w:hAnsi="Cambria Math"/>
              <w:color w:val="auto"/>
              <w:kern w:val="0"/>
              <w:sz w:val="24"/>
            </w:rPr>
            <m:t>+⋯</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n</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n</m:t>
                  </m:r>
                  <m:ctrlPr>
                    <w:rPr>
                      <w:rFonts w:hint="default" w:ascii="Cambria Math" w:hAnsi="Cambria Math"/>
                      <w:i/>
                      <w:color w:val="auto"/>
                      <w:sz w:val="24"/>
                    </w:rPr>
                  </m:ctrlPr>
                </m:sub>
              </m:sSub>
              <m:ctrlPr>
                <w:rPr>
                  <w:rFonts w:hint="default" w:ascii="Cambria Math" w:hAnsi="Cambria Math"/>
                  <w:color w:val="auto"/>
                  <w:sz w:val="24"/>
                </w:rPr>
              </m:ctrlPr>
            </m:den>
          </m:f>
        </m:oMath>
      </m:oMathPara>
    </w:p>
    <w:p w14:paraId="44DA0B2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式中：q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——每种危险物质的最大存在量，t；</w:t>
      </w:r>
    </w:p>
    <w:p w14:paraId="72F661A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——每种危险物质的临界量，t。</w:t>
      </w:r>
    </w:p>
    <w:p w14:paraId="0E49596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当Q＜1时，该项目风险潜势为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4A3D9AE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当Q≥1时，将Q值划分为：（1）1≤Q＜10；（2）10≤Q＜100；（3）Q≥100。</w:t>
      </w:r>
    </w:p>
    <w:p w14:paraId="1F4F9F98">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.3-</w:t>
      </w:r>
      <w:r>
        <w:rPr>
          <w:rFonts w:hint="eastAsia"/>
          <w:color w:val="auto"/>
          <w:u w:val="none" w:color="auto"/>
          <w:lang w:val="en-US" w:eastAsia="zh-CN"/>
        </w:rPr>
        <w:t>5</w:t>
      </w:r>
      <w:r>
        <w:rPr>
          <w:rFonts w:hint="default"/>
          <w:color w:val="auto"/>
          <w:u w:val="none" w:color="auto"/>
          <w:lang w:val="en-US" w:eastAsia="zh-CN"/>
        </w:rPr>
        <w:t xml:space="preserve">  </w:t>
      </w:r>
      <w:r>
        <w:rPr>
          <w:rFonts w:hint="default"/>
          <w:color w:val="auto"/>
          <w:u w:val="none" w:color="auto"/>
        </w:rPr>
        <w:t>涉及的风险物质及Q值计算一览表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23"/>
        <w:gridCol w:w="1241"/>
        <w:gridCol w:w="1065"/>
        <w:gridCol w:w="1320"/>
        <w:gridCol w:w="1333"/>
        <w:gridCol w:w="1071"/>
        <w:gridCol w:w="1019"/>
        <w:gridCol w:w="932"/>
      </w:tblGrid>
      <w:tr w14:paraId="43E26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B75C5CB">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241" w:type="dxa"/>
            <w:noWrap w:val="0"/>
            <w:vAlign w:val="center"/>
          </w:tcPr>
          <w:p w14:paraId="5118CDC0">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名称</w:t>
            </w:r>
          </w:p>
        </w:tc>
        <w:tc>
          <w:tcPr>
            <w:tcW w:w="1065" w:type="dxa"/>
            <w:noWrap w:val="0"/>
            <w:vAlign w:val="center"/>
          </w:tcPr>
          <w:p w14:paraId="1C75C783">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理化性质</w:t>
            </w:r>
          </w:p>
        </w:tc>
        <w:tc>
          <w:tcPr>
            <w:tcW w:w="1320" w:type="dxa"/>
            <w:noWrap w:val="0"/>
            <w:vAlign w:val="center"/>
          </w:tcPr>
          <w:p w14:paraId="58344950">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危害特性</w:t>
            </w:r>
          </w:p>
        </w:tc>
        <w:tc>
          <w:tcPr>
            <w:tcW w:w="1333" w:type="dxa"/>
            <w:noWrap w:val="0"/>
            <w:vAlign w:val="center"/>
          </w:tcPr>
          <w:p w14:paraId="13062139">
            <w:pPr>
              <w:pStyle w:val="2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val="en-US" w:eastAsia="zh-CN"/>
              </w:rPr>
              <w:t>贮存方式</w:t>
            </w:r>
          </w:p>
        </w:tc>
        <w:tc>
          <w:tcPr>
            <w:tcW w:w="1071" w:type="dxa"/>
            <w:noWrap w:val="0"/>
            <w:vAlign w:val="center"/>
          </w:tcPr>
          <w:p w14:paraId="180F327C">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最大贮存量qi</w:t>
            </w:r>
          </w:p>
        </w:tc>
        <w:tc>
          <w:tcPr>
            <w:tcW w:w="1019" w:type="dxa"/>
            <w:noWrap w:val="0"/>
            <w:vAlign w:val="center"/>
          </w:tcPr>
          <w:p w14:paraId="4E5A8519">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导则</w:t>
            </w:r>
            <w:r>
              <w:rPr>
                <w:rFonts w:hint="default" w:ascii="Times New Roman" w:hAnsi="Times New Roman" w:cs="Times New Roman"/>
                <w:color w:val="auto"/>
                <w:u w:val="none" w:color="auto"/>
                <w:lang w:val="en-US" w:eastAsia="zh-CN"/>
              </w:rPr>
              <w:t>》中规定的临界量Qi</w:t>
            </w:r>
          </w:p>
        </w:tc>
        <w:tc>
          <w:tcPr>
            <w:tcW w:w="932" w:type="dxa"/>
            <w:noWrap w:val="0"/>
            <w:vAlign w:val="center"/>
          </w:tcPr>
          <w:p w14:paraId="655AC65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qi/Qi</w:t>
            </w:r>
          </w:p>
        </w:tc>
      </w:tr>
      <w:tr w14:paraId="57CCF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D072F5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241" w:type="dxa"/>
            <w:noWrap w:val="0"/>
            <w:vAlign w:val="center"/>
          </w:tcPr>
          <w:p w14:paraId="43964BE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矿物油</w:t>
            </w:r>
          </w:p>
        </w:tc>
        <w:tc>
          <w:tcPr>
            <w:tcW w:w="1065" w:type="dxa"/>
            <w:noWrap w:val="0"/>
            <w:vAlign w:val="center"/>
          </w:tcPr>
          <w:p w14:paraId="44AB577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液态</w:t>
            </w:r>
          </w:p>
        </w:tc>
        <w:tc>
          <w:tcPr>
            <w:tcW w:w="1320" w:type="dxa"/>
            <w:noWrap w:val="0"/>
            <w:vAlign w:val="center"/>
          </w:tcPr>
          <w:p w14:paraId="42F1647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w:t>
            </w:r>
          </w:p>
        </w:tc>
        <w:tc>
          <w:tcPr>
            <w:tcW w:w="1333" w:type="dxa"/>
            <w:noWrap w:val="0"/>
            <w:vAlign w:val="center"/>
          </w:tcPr>
          <w:p w14:paraId="6F8BC423">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原料区</w:t>
            </w:r>
          </w:p>
        </w:tc>
        <w:tc>
          <w:tcPr>
            <w:tcW w:w="1071" w:type="dxa"/>
            <w:noWrap w:val="0"/>
            <w:vAlign w:val="center"/>
          </w:tcPr>
          <w:p w14:paraId="289C3CF3">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0.1t</w:t>
            </w:r>
          </w:p>
        </w:tc>
        <w:tc>
          <w:tcPr>
            <w:tcW w:w="1019" w:type="dxa"/>
            <w:noWrap w:val="0"/>
            <w:vAlign w:val="center"/>
          </w:tcPr>
          <w:p w14:paraId="19D4EC42">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2500t</w:t>
            </w:r>
          </w:p>
        </w:tc>
        <w:tc>
          <w:tcPr>
            <w:tcW w:w="932" w:type="dxa"/>
            <w:noWrap w:val="0"/>
            <w:vAlign w:val="center"/>
          </w:tcPr>
          <w:p w14:paraId="7D3B7188">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0.00004</w:t>
            </w:r>
          </w:p>
        </w:tc>
      </w:tr>
      <w:tr w14:paraId="7343E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05894AA">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2</w:t>
            </w:r>
          </w:p>
        </w:tc>
        <w:tc>
          <w:tcPr>
            <w:tcW w:w="1241" w:type="dxa"/>
            <w:noWrap w:val="0"/>
            <w:vAlign w:val="center"/>
          </w:tcPr>
          <w:p w14:paraId="38617026">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液压油</w:t>
            </w:r>
          </w:p>
        </w:tc>
        <w:tc>
          <w:tcPr>
            <w:tcW w:w="1065" w:type="dxa"/>
            <w:noWrap w:val="0"/>
            <w:vAlign w:val="center"/>
          </w:tcPr>
          <w:p w14:paraId="71E07CE7">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175A496C">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易燃</w:t>
            </w:r>
          </w:p>
        </w:tc>
        <w:tc>
          <w:tcPr>
            <w:tcW w:w="1333" w:type="dxa"/>
            <w:noWrap w:val="0"/>
            <w:vAlign w:val="center"/>
          </w:tcPr>
          <w:p w14:paraId="48D49EFD">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原料区</w:t>
            </w:r>
          </w:p>
        </w:tc>
        <w:tc>
          <w:tcPr>
            <w:tcW w:w="1071" w:type="dxa"/>
            <w:noWrap w:val="0"/>
            <w:vAlign w:val="center"/>
          </w:tcPr>
          <w:p w14:paraId="00A934F8">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0.4t</w:t>
            </w:r>
          </w:p>
        </w:tc>
        <w:tc>
          <w:tcPr>
            <w:tcW w:w="1019" w:type="dxa"/>
            <w:noWrap w:val="0"/>
            <w:vAlign w:val="center"/>
          </w:tcPr>
          <w:p w14:paraId="58F94EB2">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2500t</w:t>
            </w:r>
          </w:p>
        </w:tc>
        <w:tc>
          <w:tcPr>
            <w:tcW w:w="932" w:type="dxa"/>
            <w:noWrap w:val="0"/>
            <w:vAlign w:val="center"/>
          </w:tcPr>
          <w:p w14:paraId="4E6FFCD9">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0.00016</w:t>
            </w:r>
          </w:p>
        </w:tc>
      </w:tr>
      <w:tr w14:paraId="5F9CC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39BF5C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3</w:t>
            </w:r>
          </w:p>
        </w:tc>
        <w:tc>
          <w:tcPr>
            <w:tcW w:w="1241" w:type="dxa"/>
            <w:noWrap w:val="0"/>
            <w:vAlign w:val="center"/>
          </w:tcPr>
          <w:p w14:paraId="0EB53391">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导热油</w:t>
            </w:r>
          </w:p>
        </w:tc>
        <w:tc>
          <w:tcPr>
            <w:tcW w:w="1065" w:type="dxa"/>
            <w:noWrap w:val="0"/>
            <w:vAlign w:val="center"/>
          </w:tcPr>
          <w:p w14:paraId="06A79633">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18CA2216">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易燃</w:t>
            </w:r>
          </w:p>
        </w:tc>
        <w:tc>
          <w:tcPr>
            <w:tcW w:w="1333" w:type="dxa"/>
            <w:noWrap w:val="0"/>
            <w:vAlign w:val="center"/>
          </w:tcPr>
          <w:p w14:paraId="1559083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导热油炉在线</w:t>
            </w:r>
          </w:p>
        </w:tc>
        <w:tc>
          <w:tcPr>
            <w:tcW w:w="1071" w:type="dxa"/>
            <w:noWrap w:val="0"/>
            <w:vAlign w:val="center"/>
          </w:tcPr>
          <w:p w14:paraId="6B242820">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0.5t</w:t>
            </w:r>
          </w:p>
        </w:tc>
        <w:tc>
          <w:tcPr>
            <w:tcW w:w="1019" w:type="dxa"/>
            <w:noWrap w:val="0"/>
            <w:vAlign w:val="center"/>
          </w:tcPr>
          <w:p w14:paraId="5D009FB2">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2500t</w:t>
            </w:r>
          </w:p>
        </w:tc>
        <w:tc>
          <w:tcPr>
            <w:tcW w:w="932" w:type="dxa"/>
            <w:noWrap w:val="0"/>
            <w:vAlign w:val="center"/>
          </w:tcPr>
          <w:p w14:paraId="2F3EEF4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0.0002</w:t>
            </w:r>
          </w:p>
        </w:tc>
      </w:tr>
      <w:tr w14:paraId="662A4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099340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4</w:t>
            </w:r>
          </w:p>
        </w:tc>
        <w:tc>
          <w:tcPr>
            <w:tcW w:w="1241" w:type="dxa"/>
            <w:noWrap w:val="0"/>
            <w:vAlign w:val="center"/>
          </w:tcPr>
          <w:p w14:paraId="234EB9AA">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废矿物油</w:t>
            </w:r>
          </w:p>
        </w:tc>
        <w:tc>
          <w:tcPr>
            <w:tcW w:w="1065" w:type="dxa"/>
            <w:noWrap w:val="0"/>
            <w:vAlign w:val="center"/>
          </w:tcPr>
          <w:p w14:paraId="1F85692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液态</w:t>
            </w:r>
          </w:p>
        </w:tc>
        <w:tc>
          <w:tcPr>
            <w:tcW w:w="1320" w:type="dxa"/>
            <w:noWrap w:val="0"/>
            <w:vAlign w:val="center"/>
          </w:tcPr>
          <w:p w14:paraId="06D70764">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090C02A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48AA07E1">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0.1t</w:t>
            </w:r>
          </w:p>
        </w:tc>
        <w:tc>
          <w:tcPr>
            <w:tcW w:w="1019" w:type="dxa"/>
            <w:noWrap w:val="0"/>
            <w:vAlign w:val="center"/>
          </w:tcPr>
          <w:p w14:paraId="0F5B5770">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611A5F6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0.002</w:t>
            </w:r>
          </w:p>
        </w:tc>
      </w:tr>
      <w:tr w14:paraId="0852C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2EF8E372">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w:t>
            </w:r>
          </w:p>
        </w:tc>
        <w:tc>
          <w:tcPr>
            <w:tcW w:w="1241" w:type="dxa"/>
            <w:noWrap w:val="0"/>
            <w:vAlign w:val="center"/>
          </w:tcPr>
          <w:p w14:paraId="7D161D8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废液压油</w:t>
            </w:r>
          </w:p>
        </w:tc>
        <w:tc>
          <w:tcPr>
            <w:tcW w:w="1065" w:type="dxa"/>
            <w:noWrap w:val="0"/>
            <w:vAlign w:val="center"/>
          </w:tcPr>
          <w:p w14:paraId="00B8B10F">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0A681C25">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1391BD7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1FBC306E">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0.4t</w:t>
            </w:r>
          </w:p>
        </w:tc>
        <w:tc>
          <w:tcPr>
            <w:tcW w:w="1019" w:type="dxa"/>
            <w:noWrap w:val="0"/>
            <w:vAlign w:val="center"/>
          </w:tcPr>
          <w:p w14:paraId="3C00F4FE">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50t</w:t>
            </w:r>
          </w:p>
        </w:tc>
        <w:tc>
          <w:tcPr>
            <w:tcW w:w="932" w:type="dxa"/>
            <w:noWrap w:val="0"/>
            <w:vAlign w:val="center"/>
          </w:tcPr>
          <w:p w14:paraId="22610C9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0.008</w:t>
            </w:r>
          </w:p>
        </w:tc>
      </w:tr>
      <w:tr w14:paraId="1F91A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30B1A1F9">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6</w:t>
            </w:r>
          </w:p>
        </w:tc>
        <w:tc>
          <w:tcPr>
            <w:tcW w:w="1241" w:type="dxa"/>
            <w:noWrap w:val="0"/>
            <w:vAlign w:val="center"/>
          </w:tcPr>
          <w:p w14:paraId="661BE89C">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废导热油</w:t>
            </w:r>
          </w:p>
        </w:tc>
        <w:tc>
          <w:tcPr>
            <w:tcW w:w="1065" w:type="dxa"/>
            <w:noWrap w:val="0"/>
            <w:vAlign w:val="center"/>
          </w:tcPr>
          <w:p w14:paraId="640DFFF9">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液态</w:t>
            </w:r>
          </w:p>
        </w:tc>
        <w:tc>
          <w:tcPr>
            <w:tcW w:w="1320" w:type="dxa"/>
            <w:noWrap w:val="0"/>
            <w:vAlign w:val="center"/>
          </w:tcPr>
          <w:p w14:paraId="3A2A661A">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0336F13D">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7D03B886">
            <w:pPr>
              <w:pStyle w:val="25"/>
              <w:tabs>
                <w:tab w:val="left" w:pos="287"/>
                <w:tab w:val="center" w:pos="565"/>
              </w:tabs>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0.5t</w:t>
            </w:r>
          </w:p>
        </w:tc>
        <w:tc>
          <w:tcPr>
            <w:tcW w:w="1019" w:type="dxa"/>
            <w:noWrap w:val="0"/>
            <w:vAlign w:val="center"/>
          </w:tcPr>
          <w:p w14:paraId="103BCB6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50t</w:t>
            </w:r>
          </w:p>
        </w:tc>
        <w:tc>
          <w:tcPr>
            <w:tcW w:w="932" w:type="dxa"/>
            <w:noWrap w:val="0"/>
            <w:vAlign w:val="center"/>
          </w:tcPr>
          <w:p w14:paraId="60F560F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0.01</w:t>
            </w:r>
          </w:p>
        </w:tc>
      </w:tr>
      <w:tr w14:paraId="3DFA9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E39CA13">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7</w:t>
            </w:r>
          </w:p>
        </w:tc>
        <w:tc>
          <w:tcPr>
            <w:tcW w:w="1241" w:type="dxa"/>
            <w:noWrap w:val="0"/>
            <w:vAlign w:val="center"/>
          </w:tcPr>
          <w:p w14:paraId="79A1DB01">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废活性炭</w:t>
            </w:r>
          </w:p>
        </w:tc>
        <w:tc>
          <w:tcPr>
            <w:tcW w:w="1065" w:type="dxa"/>
            <w:noWrap w:val="0"/>
            <w:vAlign w:val="center"/>
          </w:tcPr>
          <w:p w14:paraId="129F6AE7">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24583F5E">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34D4D802">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69680A03">
            <w:pPr>
              <w:pStyle w:val="25"/>
              <w:tabs>
                <w:tab w:val="left" w:pos="287"/>
                <w:tab w:val="center" w:pos="565"/>
              </w:tabs>
              <w:jc w:val="left"/>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ab/>
            </w:r>
            <w:r>
              <w:rPr>
                <w:rFonts w:hint="eastAsia" w:ascii="Times New Roman" w:hAnsi="Times New Roman" w:eastAsia="宋体" w:cs="Times New Roman"/>
                <w:color w:val="auto"/>
                <w:kern w:val="2"/>
                <w:sz w:val="21"/>
                <w:szCs w:val="21"/>
                <w:highlight w:val="none"/>
                <w:u w:val="none" w:color="auto"/>
                <w:lang w:val="en-US" w:eastAsia="zh-CN" w:bidi="ar-SA"/>
              </w:rPr>
              <w:t>2.184t</w:t>
            </w:r>
          </w:p>
        </w:tc>
        <w:tc>
          <w:tcPr>
            <w:tcW w:w="1019" w:type="dxa"/>
            <w:noWrap w:val="0"/>
            <w:vAlign w:val="center"/>
          </w:tcPr>
          <w:p w14:paraId="30421C80">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76537B22">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0.04368</w:t>
            </w:r>
          </w:p>
        </w:tc>
      </w:tr>
      <w:tr w14:paraId="289DE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0352C738">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8</w:t>
            </w:r>
          </w:p>
        </w:tc>
        <w:tc>
          <w:tcPr>
            <w:tcW w:w="1241" w:type="dxa"/>
            <w:noWrap w:val="0"/>
            <w:vAlign w:val="center"/>
          </w:tcPr>
          <w:p w14:paraId="784A3D17">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废油桶</w:t>
            </w:r>
          </w:p>
        </w:tc>
        <w:tc>
          <w:tcPr>
            <w:tcW w:w="1065" w:type="dxa"/>
            <w:noWrap w:val="0"/>
            <w:vAlign w:val="center"/>
          </w:tcPr>
          <w:p w14:paraId="712AACC1">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12C0B861">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4BB0D378">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78D255A4">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7AF6621C">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50t</w:t>
            </w:r>
          </w:p>
        </w:tc>
        <w:tc>
          <w:tcPr>
            <w:tcW w:w="932" w:type="dxa"/>
            <w:noWrap w:val="0"/>
            <w:vAlign w:val="center"/>
          </w:tcPr>
          <w:p w14:paraId="3099C5DC">
            <w:pPr>
              <w:pStyle w:val="25"/>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0.002</w:t>
            </w:r>
          </w:p>
        </w:tc>
      </w:tr>
      <w:tr w14:paraId="2FD02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23686C76">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9</w:t>
            </w:r>
          </w:p>
        </w:tc>
        <w:tc>
          <w:tcPr>
            <w:tcW w:w="1241" w:type="dxa"/>
            <w:noWrap w:val="0"/>
            <w:vAlign w:val="center"/>
          </w:tcPr>
          <w:p w14:paraId="3EF002DA">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废含油抹布及手套</w:t>
            </w:r>
          </w:p>
        </w:tc>
        <w:tc>
          <w:tcPr>
            <w:tcW w:w="1065" w:type="dxa"/>
            <w:noWrap w:val="0"/>
            <w:vAlign w:val="center"/>
          </w:tcPr>
          <w:p w14:paraId="0F0C34CA">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固体</w:t>
            </w:r>
          </w:p>
        </w:tc>
        <w:tc>
          <w:tcPr>
            <w:tcW w:w="1320" w:type="dxa"/>
            <w:noWrap w:val="0"/>
            <w:vAlign w:val="center"/>
          </w:tcPr>
          <w:p w14:paraId="44DC9384">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279F0342">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607EA997">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0.01t</w:t>
            </w:r>
          </w:p>
        </w:tc>
        <w:tc>
          <w:tcPr>
            <w:tcW w:w="1019" w:type="dxa"/>
            <w:noWrap w:val="0"/>
            <w:vAlign w:val="center"/>
          </w:tcPr>
          <w:p w14:paraId="4DEF3C98">
            <w:pPr>
              <w:pStyle w:val="25"/>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58AA4858">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0.0002</w:t>
            </w:r>
          </w:p>
        </w:tc>
      </w:tr>
      <w:tr w14:paraId="57F6B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35F3369A">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10</w:t>
            </w:r>
          </w:p>
        </w:tc>
        <w:tc>
          <w:tcPr>
            <w:tcW w:w="1241" w:type="dxa"/>
            <w:noWrap w:val="0"/>
            <w:vAlign w:val="center"/>
          </w:tcPr>
          <w:p w14:paraId="4877DF56">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天然气</w:t>
            </w:r>
          </w:p>
        </w:tc>
        <w:tc>
          <w:tcPr>
            <w:tcW w:w="1065" w:type="dxa"/>
            <w:noWrap w:val="0"/>
            <w:vAlign w:val="center"/>
          </w:tcPr>
          <w:p w14:paraId="4A3897E8">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气态</w:t>
            </w:r>
          </w:p>
        </w:tc>
        <w:tc>
          <w:tcPr>
            <w:tcW w:w="1320" w:type="dxa"/>
            <w:noWrap w:val="0"/>
            <w:vAlign w:val="center"/>
          </w:tcPr>
          <w:p w14:paraId="30BBA560">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易燃</w:t>
            </w:r>
          </w:p>
        </w:tc>
        <w:tc>
          <w:tcPr>
            <w:tcW w:w="1333" w:type="dxa"/>
            <w:noWrap w:val="0"/>
            <w:vAlign w:val="center"/>
          </w:tcPr>
          <w:p w14:paraId="08337CC0">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管道在线</w:t>
            </w:r>
          </w:p>
        </w:tc>
        <w:tc>
          <w:tcPr>
            <w:tcW w:w="1071" w:type="dxa"/>
            <w:noWrap w:val="0"/>
            <w:vAlign w:val="center"/>
          </w:tcPr>
          <w:p w14:paraId="1D8B61F5">
            <w:pPr>
              <w:pStyle w:val="25"/>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27185E36">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0A523D23">
            <w:pPr>
              <w:pStyle w:val="25"/>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5D8C1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572" w:type="dxa"/>
            <w:gridSpan w:val="7"/>
            <w:noWrap w:val="0"/>
            <w:vAlign w:val="center"/>
          </w:tcPr>
          <w:p w14:paraId="317E0D1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合计</w:t>
            </w:r>
          </w:p>
        </w:tc>
        <w:tc>
          <w:tcPr>
            <w:tcW w:w="932" w:type="dxa"/>
            <w:noWrap w:val="0"/>
            <w:vAlign w:val="center"/>
          </w:tcPr>
          <w:p w14:paraId="62122AC5">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0.07628</w:t>
            </w:r>
          </w:p>
        </w:tc>
      </w:tr>
      <w:tr w14:paraId="412B9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504" w:type="dxa"/>
            <w:gridSpan w:val="8"/>
            <w:noWrap w:val="0"/>
            <w:vAlign w:val="center"/>
          </w:tcPr>
          <w:p w14:paraId="3CB4BED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注：临界量Q</w:t>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rPr>
              <w:t>参照《建设项目环境风险评价技术导则》（HJ169-2018）附录B里所列的临界值，均以纯物质来计。</w:t>
            </w:r>
          </w:p>
        </w:tc>
      </w:tr>
    </w:tbl>
    <w:p w14:paraId="4886E001">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所以本项目危险物质的数量与临界量比值Q=</w:t>
      </w:r>
      <w:r>
        <w:rPr>
          <w:rFonts w:hint="eastAsia" w:cs="Times New Roman"/>
          <w:color w:val="auto"/>
          <w:u w:val="none" w:color="auto"/>
          <w:lang w:val="en-US" w:eastAsia="zh-CN"/>
        </w:rPr>
        <w:t>0.07628</w:t>
      </w:r>
      <w:r>
        <w:rPr>
          <w:rFonts w:hint="default" w:ascii="Times New Roman" w:hAnsi="Times New Roman" w:cs="Times New Roman"/>
          <w:color w:val="auto"/>
          <w:u w:val="none" w:color="auto"/>
        </w:rPr>
        <w:t>＜1，风险潜势为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不再进行P、E值判定</w:t>
      </w:r>
      <w:r>
        <w:rPr>
          <w:rFonts w:hint="default" w:ascii="Times New Roman" w:hAnsi="Times New Roman" w:cs="Times New Roman"/>
          <w:color w:val="auto"/>
          <w:u w:val="none" w:color="auto"/>
        </w:rPr>
        <w:t>。</w:t>
      </w:r>
    </w:p>
    <w:p w14:paraId="7A001EA7">
      <w:pPr>
        <w:pStyle w:val="21"/>
        <w:bidi w:val="0"/>
        <w:rPr>
          <w:rFonts w:hint="default"/>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w:t>
      </w:r>
      <w:r>
        <w:rPr>
          <w:rFonts w:hint="eastAsia"/>
          <w:color w:val="auto"/>
          <w:u w:val="none" w:color="auto"/>
          <w:lang w:val="en-US" w:eastAsia="zh-CN"/>
        </w:rPr>
        <w:t>评价等级</w:t>
      </w:r>
    </w:p>
    <w:p w14:paraId="1DFB7284">
      <w:pPr>
        <w:spacing w:line="360" w:lineRule="auto"/>
        <w:ind w:firstLine="480" w:firstLineChars="200"/>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24"/>
          <w:u w:val="none" w:color="auto"/>
        </w:rPr>
        <w:t>环境风险评价工作等级划分为一级、二级、三级。根据建设项目设计的物质及工艺系统危险性和所在地的环境敏感性确定环境风险潜势，按照下表确定工作等级。风险潜势为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4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IV</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及以上，进行一级评价；风险潜势为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3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III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，进行二级评价；风险潜势为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2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，进行三级评价；风险潜势为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1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，可开展简单分析。</w:t>
      </w:r>
    </w:p>
    <w:p w14:paraId="7EE8CEF4">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 xml:space="preserve">6 </w:t>
      </w:r>
      <w:r>
        <w:rPr>
          <w:rFonts w:hint="default"/>
          <w:color w:val="auto"/>
          <w:u w:val="none" w:color="auto"/>
        </w:rPr>
        <w:t>评价工作等级划分</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6"/>
        <w:gridCol w:w="1827"/>
        <w:gridCol w:w="839"/>
        <w:gridCol w:w="838"/>
        <w:gridCol w:w="2084"/>
      </w:tblGrid>
      <w:tr w14:paraId="19AED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3" w:type="dxa"/>
            <w:tcBorders>
              <w:tl2br w:val="nil"/>
              <w:tr2bl w:val="nil"/>
            </w:tcBorders>
            <w:noWrap w:val="0"/>
            <w:vAlign w:val="center"/>
          </w:tcPr>
          <w:p w14:paraId="1DA4D18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环境风险潜势</w:t>
            </w:r>
          </w:p>
        </w:tc>
        <w:tc>
          <w:tcPr>
            <w:tcW w:w="1950" w:type="dxa"/>
            <w:tcBorders>
              <w:tl2br w:val="nil"/>
              <w:tr2bl w:val="nil"/>
            </w:tcBorders>
            <w:noWrap w:val="0"/>
            <w:vAlign w:val="center"/>
          </w:tcPr>
          <w:p w14:paraId="00E1E53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p>
        </w:tc>
        <w:tc>
          <w:tcPr>
            <w:tcW w:w="886" w:type="dxa"/>
            <w:tcBorders>
              <w:tl2br w:val="nil"/>
              <w:tr2bl w:val="nil"/>
            </w:tcBorders>
            <w:noWrap w:val="0"/>
            <w:vAlign w:val="center"/>
          </w:tcPr>
          <w:p w14:paraId="26DDBFF4">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885" w:type="dxa"/>
            <w:tcBorders>
              <w:tl2br w:val="nil"/>
              <w:tr2bl w:val="nil"/>
            </w:tcBorders>
            <w:noWrap w:val="0"/>
            <w:vAlign w:val="center"/>
          </w:tcPr>
          <w:p w14:paraId="09CBCEDD">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c>
          <w:tcPr>
            <w:tcW w:w="2227" w:type="dxa"/>
            <w:tcBorders>
              <w:tl2br w:val="nil"/>
              <w:tr2bl w:val="nil"/>
            </w:tcBorders>
            <w:noWrap w:val="0"/>
            <w:vAlign w:val="center"/>
          </w:tcPr>
          <w:p w14:paraId="63EBC181">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p>
        </w:tc>
      </w:tr>
      <w:tr w14:paraId="64B84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3" w:type="dxa"/>
            <w:tcBorders>
              <w:tl2br w:val="nil"/>
              <w:tr2bl w:val="nil"/>
            </w:tcBorders>
            <w:noWrap w:val="0"/>
            <w:vAlign w:val="center"/>
          </w:tcPr>
          <w:p w14:paraId="06A66A1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评价工作等级</w:t>
            </w:r>
          </w:p>
        </w:tc>
        <w:tc>
          <w:tcPr>
            <w:tcW w:w="1950" w:type="dxa"/>
            <w:tcBorders>
              <w:tl2br w:val="nil"/>
              <w:tr2bl w:val="nil"/>
            </w:tcBorders>
            <w:noWrap w:val="0"/>
            <w:vAlign w:val="center"/>
          </w:tcPr>
          <w:p w14:paraId="5FA1AD8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w:t>
            </w:r>
          </w:p>
        </w:tc>
        <w:tc>
          <w:tcPr>
            <w:tcW w:w="886" w:type="dxa"/>
            <w:tcBorders>
              <w:tl2br w:val="nil"/>
              <w:tr2bl w:val="nil"/>
            </w:tcBorders>
            <w:noWrap w:val="0"/>
            <w:vAlign w:val="center"/>
          </w:tcPr>
          <w:p w14:paraId="3E3C366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w:t>
            </w:r>
          </w:p>
        </w:tc>
        <w:tc>
          <w:tcPr>
            <w:tcW w:w="885" w:type="dxa"/>
            <w:tcBorders>
              <w:tl2br w:val="nil"/>
              <w:tr2bl w:val="nil"/>
            </w:tcBorders>
            <w:noWrap w:val="0"/>
            <w:vAlign w:val="center"/>
          </w:tcPr>
          <w:p w14:paraId="592ECFA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三</w:t>
            </w:r>
          </w:p>
        </w:tc>
        <w:tc>
          <w:tcPr>
            <w:tcW w:w="2227" w:type="dxa"/>
            <w:tcBorders>
              <w:tl2br w:val="nil"/>
              <w:tr2bl w:val="nil"/>
            </w:tcBorders>
            <w:noWrap w:val="0"/>
            <w:vAlign w:val="center"/>
          </w:tcPr>
          <w:p w14:paraId="267DE06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简单分析</w:t>
            </w:r>
          </w:p>
        </w:tc>
      </w:tr>
    </w:tbl>
    <w:p w14:paraId="1A95A381">
      <w:pPr>
        <w:widowControl/>
        <w:spacing w:line="360" w:lineRule="auto"/>
        <w:ind w:firstLine="48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综上所述，本项目评价工作等级为简单分析。</w:t>
      </w:r>
    </w:p>
    <w:bookmarkEnd w:id="1162"/>
    <w:bookmarkEnd w:id="1163"/>
    <w:bookmarkEnd w:id="1164"/>
    <w:bookmarkEnd w:id="1165"/>
    <w:bookmarkEnd w:id="1166"/>
    <w:bookmarkEnd w:id="1171"/>
    <w:p w14:paraId="7033303D">
      <w:pPr>
        <w:pStyle w:val="8"/>
        <w:rPr>
          <w:rFonts w:hint="default" w:ascii="Times New Roman" w:hAnsi="Times New Roman" w:cs="Times New Roman"/>
          <w:color w:val="auto"/>
          <w:u w:val="none" w:color="auto"/>
          <w:lang w:val="en-US" w:eastAsia="zh-CN"/>
        </w:rPr>
      </w:pPr>
      <w:bookmarkStart w:id="1173" w:name="_Toc13375"/>
      <w:bookmarkStart w:id="1174" w:name="_Toc3969"/>
      <w:bookmarkStart w:id="1175" w:name="_Toc32428"/>
      <w:bookmarkStart w:id="1176" w:name="_Toc18182"/>
      <w:bookmarkStart w:id="1177" w:name="_Toc10513"/>
      <w:bookmarkStart w:id="1178" w:name="_Toc18530"/>
      <w:bookmarkStart w:id="1179" w:name="_Toc18948"/>
      <w:bookmarkStart w:id="1180" w:name="_Toc12842"/>
      <w:bookmarkStart w:id="1181" w:name="_Toc21922"/>
      <w:bookmarkStart w:id="1182" w:name="_Toc9165"/>
      <w:bookmarkStart w:id="1183" w:name="_Toc30630"/>
      <w:bookmarkStart w:id="1184" w:name="_Toc871_WPSOffice_Level3"/>
      <w:bookmarkStart w:id="1185" w:name="_Toc4226"/>
      <w:bookmarkStart w:id="1186" w:name="_Toc30468_WPSOffice_Level3"/>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.3.3</w:t>
      </w:r>
      <w:r>
        <w:rPr>
          <w:rFonts w:hint="eastAsia" w:ascii="Times New Roman" w:hAnsi="Times New Roman" w:cs="Times New Roman"/>
          <w:color w:val="auto"/>
          <w:u w:val="none" w:color="auto"/>
          <w:lang w:val="en-US" w:eastAsia="zh-CN"/>
        </w:rPr>
        <w:t>环境</w:t>
      </w:r>
      <w:r>
        <w:rPr>
          <w:rFonts w:hint="default" w:ascii="Times New Roman" w:hAnsi="Times New Roman" w:cs="Times New Roman"/>
          <w:color w:val="auto"/>
          <w:u w:val="none" w:color="auto"/>
          <w:lang w:val="en-US" w:eastAsia="zh-CN"/>
        </w:rPr>
        <w:t>风险识别</w:t>
      </w:r>
      <w:bookmarkEnd w:id="1173"/>
      <w:bookmarkEnd w:id="1174"/>
      <w:bookmarkEnd w:id="1175"/>
      <w:bookmarkEnd w:id="1176"/>
      <w:bookmarkEnd w:id="1177"/>
    </w:p>
    <w:bookmarkEnd w:id="1178"/>
    <w:bookmarkEnd w:id="1179"/>
    <w:bookmarkEnd w:id="1180"/>
    <w:bookmarkEnd w:id="1181"/>
    <w:bookmarkEnd w:id="1182"/>
    <w:bookmarkEnd w:id="1183"/>
    <w:bookmarkEnd w:id="1184"/>
    <w:bookmarkEnd w:id="1185"/>
    <w:bookmarkEnd w:id="1186"/>
    <w:p w14:paraId="1F3E5228">
      <w:pPr>
        <w:pStyle w:val="21"/>
        <w:rPr>
          <w:rFonts w:hint="eastAsia" w:ascii="仿宋" w:hAnsi="仿宋"/>
          <w:color w:val="auto"/>
          <w:highlight w:val="none"/>
          <w:u w:val="none" w:color="auto"/>
          <w:lang w:val="en-US" w:eastAsia="zh-CN"/>
        </w:rPr>
      </w:pPr>
      <w:bookmarkStart w:id="1187" w:name="_Toc5325"/>
      <w:bookmarkStart w:id="1188" w:name="_Toc9920_WPSOffice_Level2"/>
      <w:bookmarkStart w:id="1189" w:name="_Toc20456"/>
      <w:bookmarkStart w:id="1190" w:name="_Toc52186381"/>
      <w:bookmarkStart w:id="1191" w:name="_Toc18916"/>
      <w:bookmarkStart w:id="1192" w:name="_Toc372124960"/>
      <w:bookmarkStart w:id="1193" w:name="_Toc307210673"/>
      <w:bookmarkStart w:id="1194" w:name="_Toc97707387"/>
      <w:bookmarkStart w:id="1195" w:name="_Toc17608_WPSOffice_Level2"/>
      <w:bookmarkStart w:id="1196" w:name="_Toc170311258"/>
      <w:bookmarkStart w:id="1197" w:name="_Toc11212"/>
      <w:bookmarkStart w:id="1198" w:name="_Toc170376437"/>
      <w:bookmarkStart w:id="1199" w:name="_Toc26988"/>
      <w:bookmarkStart w:id="1200" w:name="_Toc142666679"/>
      <w:bookmarkStart w:id="1201" w:name="_Toc169409057"/>
      <w:bookmarkStart w:id="1202" w:name="_Toc97707828"/>
      <w:bookmarkStart w:id="1203" w:name="_Toc97708065"/>
      <w:bookmarkStart w:id="1204" w:name="_Toc26319_WPSOffice_Level2"/>
      <w:bookmarkStart w:id="1205" w:name="_Toc29353_WPSOffice_Level2"/>
      <w:r>
        <w:rPr>
          <w:rFonts w:hint="eastAsia" w:ascii="仿宋" w:hAnsi="仿宋"/>
          <w:color w:val="auto"/>
          <w:highlight w:val="none"/>
          <w:u w:val="none" w:color="auto"/>
          <w:lang w:val="en-US" w:eastAsia="zh-CN"/>
        </w:rPr>
        <w:t>（1）风险识别范围和类型</w:t>
      </w:r>
    </w:p>
    <w:p w14:paraId="3D13A349">
      <w:pPr>
        <w:pStyle w:val="21"/>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1）风险识别范围</w:t>
      </w:r>
    </w:p>
    <w:p w14:paraId="2AD5BCDD">
      <w:pPr>
        <w:pStyle w:val="21"/>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风险识别范围包括生产设施风险识别和生产过程所涉及的物质风险识别。</w:t>
      </w:r>
    </w:p>
    <w:p w14:paraId="600685D2">
      <w:pPr>
        <w:pStyle w:val="21"/>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①生产设施风险识别范围：主要生产装置、贮运系统、公用工程系统、工程环保设施及辅助生产设施等；</w:t>
      </w:r>
    </w:p>
    <w:p w14:paraId="46D1099C">
      <w:pPr>
        <w:pStyle w:val="21"/>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②物质风险识别范围：主要原材料及辅助材料、中间产物、最终产品以及生产过程排放的“三废”污染物等。</w:t>
      </w:r>
    </w:p>
    <w:p w14:paraId="43585163">
      <w:pPr>
        <w:pStyle w:val="21"/>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2）风险事故类型</w:t>
      </w:r>
    </w:p>
    <w:p w14:paraId="56C866EC">
      <w:pPr>
        <w:pStyle w:val="21"/>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在《建设项目环境风险评价技术导则》（HJ 169-2018）中，环境风险类型包括危险物质泄漏，以及火灾、爆炸等引发的伴生/次生污染物排放。</w:t>
      </w:r>
    </w:p>
    <w:p w14:paraId="5E747001">
      <w:pPr>
        <w:pStyle w:val="21"/>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本项目可能发生的风险事故主要为：危险物质泄漏，废气事故排放及火灾造成对环境的次生危害。</w:t>
      </w:r>
    </w:p>
    <w:p w14:paraId="3B99FC2A">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（2）风险识别内容</w:t>
      </w:r>
    </w:p>
    <w:p w14:paraId="45986D49">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1）物质危险源识别</w:t>
      </w:r>
    </w:p>
    <w:p w14:paraId="2DF3FEA2">
      <w:pPr>
        <w:pStyle w:val="21"/>
        <w:rPr>
          <w:rFonts w:hint="eastAsia" w:cs="Times New Roman"/>
          <w:color w:val="auto"/>
          <w:highlight w:val="none"/>
          <w:u w:val="none" w:color="auto"/>
          <w:lang w:val="en-US" w:eastAsia="zh-CN"/>
        </w:rPr>
      </w:pPr>
      <w:r>
        <w:rPr>
          <w:rFonts w:hint="default" w:cs="Times New Roman"/>
          <w:color w:val="auto"/>
          <w:highlight w:val="none"/>
          <w:u w:val="none" w:color="auto"/>
          <w:lang w:val="en-US" w:eastAsia="zh-CN"/>
        </w:rPr>
        <w:t>根据《建设项目环境风险评价技术导则》（HJ169-2018）附录B，项目涉及的环境风险物质主要有</w:t>
      </w:r>
      <w:r>
        <w:rPr>
          <w:rFonts w:hint="eastAsia"/>
          <w:color w:val="auto"/>
          <w:u w:val="none" w:color="auto"/>
          <w:lang w:val="en-US" w:eastAsia="zh-CN"/>
        </w:rPr>
        <w:t>矿物油、废矿物油、废活性炭等油类物质和危险废物，</w:t>
      </w:r>
      <w:r>
        <w:rPr>
          <w:rFonts w:hint="default" w:cs="Times New Roman"/>
          <w:color w:val="auto"/>
          <w:highlight w:val="none"/>
          <w:u w:val="none" w:color="auto"/>
          <w:lang w:val="en-US" w:eastAsia="zh-CN"/>
        </w:rPr>
        <w:t>项目主要环境风险物质储存信息见表</w:t>
      </w:r>
      <w:r>
        <w:rPr>
          <w:rFonts w:hint="eastAsia" w:cs="Times New Roman"/>
          <w:color w:val="auto"/>
          <w:highlight w:val="none"/>
          <w:u w:val="none" w:color="auto"/>
          <w:lang w:val="en-US" w:eastAsia="zh-CN"/>
        </w:rPr>
        <w:t>5</w:t>
      </w:r>
      <w:r>
        <w:rPr>
          <w:rFonts w:hint="default" w:cs="Times New Roman"/>
          <w:color w:val="auto"/>
          <w:highlight w:val="none"/>
          <w:u w:val="none" w:color="auto"/>
          <w:lang w:val="en-US" w:eastAsia="zh-CN"/>
        </w:rPr>
        <w:t>.3-1</w:t>
      </w:r>
      <w:r>
        <w:rPr>
          <w:rFonts w:hint="eastAsia" w:cs="Times New Roman"/>
          <w:color w:val="auto"/>
          <w:highlight w:val="none"/>
          <w:u w:val="none" w:color="auto"/>
          <w:lang w:val="en-US" w:eastAsia="zh-CN"/>
        </w:rPr>
        <w:t>。</w:t>
      </w:r>
    </w:p>
    <w:p w14:paraId="6ABE990B">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2）生产系统危险性识别</w:t>
      </w:r>
    </w:p>
    <w:p w14:paraId="04A6DC89">
      <w:pPr>
        <w:pStyle w:val="21"/>
        <w:rPr>
          <w:rFonts w:hint="default" w:cs="Times New Roman"/>
          <w:color w:val="auto"/>
          <w:highlight w:val="none"/>
          <w:u w:val="none" w:color="auto"/>
          <w:lang w:val="en-US" w:eastAsia="zh-CN"/>
        </w:rPr>
      </w:pPr>
      <w:r>
        <w:rPr>
          <w:rFonts w:hint="default" w:cs="Times New Roman"/>
          <w:color w:val="auto"/>
          <w:highlight w:val="none"/>
          <w:u w:val="none" w:color="auto"/>
          <w:lang w:val="en-US" w:eastAsia="zh-CN"/>
        </w:rPr>
        <w:t>生产设施识别范围包括：主体工程、储运工程、公辅工程、环保工程及辅助生产设施等。本项目而言，主要包括以下几方面的内容：储存设施危险性识别、环保设施的危险性识别。</w:t>
      </w:r>
    </w:p>
    <w:p w14:paraId="64C80878">
      <w:pPr>
        <w:pStyle w:val="21"/>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①</w:t>
      </w:r>
      <w:r>
        <w:rPr>
          <w:rFonts w:hint="default" w:cs="Times New Roman"/>
          <w:color w:val="auto"/>
          <w:highlight w:val="none"/>
          <w:u w:val="none" w:color="auto"/>
          <w:lang w:val="en-US" w:eastAsia="zh-CN"/>
        </w:rPr>
        <w:t>储存设施危险识别</w:t>
      </w:r>
    </w:p>
    <w:p w14:paraId="69DFD321">
      <w:pPr>
        <w:pStyle w:val="21"/>
        <w:rPr>
          <w:rFonts w:hint="default" w:cs="Times New Roman"/>
          <w:color w:val="auto"/>
          <w:highlight w:val="none"/>
          <w:u w:val="none" w:color="auto"/>
          <w:lang w:val="en-US" w:eastAsia="zh-CN"/>
        </w:rPr>
      </w:pPr>
      <w:r>
        <w:rPr>
          <w:rFonts w:hint="default" w:cs="Times New Roman"/>
          <w:color w:val="auto"/>
          <w:highlight w:val="none"/>
          <w:u w:val="none" w:color="auto"/>
          <w:lang w:val="en-US" w:eastAsia="zh-CN"/>
        </w:rPr>
        <w:t>本项目在生产中使用的原辅材料均储存在原料区，固体物质采用袋装储存，液态物质采用桶装储存</w:t>
      </w:r>
      <w:r>
        <w:rPr>
          <w:rFonts w:hint="eastAsia" w:cs="Times New Roman"/>
          <w:color w:val="auto"/>
          <w:highlight w:val="none"/>
          <w:u w:val="none" w:color="auto"/>
          <w:lang w:val="en-US" w:eastAsia="zh-CN"/>
        </w:rPr>
        <w:t>，危险废物储存在危废暂存间</w:t>
      </w:r>
      <w:r>
        <w:rPr>
          <w:rFonts w:hint="default" w:cs="Times New Roman"/>
          <w:color w:val="auto"/>
          <w:highlight w:val="none"/>
          <w:u w:val="none" w:color="auto"/>
          <w:lang w:val="en-US" w:eastAsia="zh-CN"/>
        </w:rPr>
        <w:t>。本项目液压油、</w:t>
      </w:r>
      <w:r>
        <w:rPr>
          <w:rFonts w:hint="eastAsia" w:cs="Times New Roman"/>
          <w:color w:val="auto"/>
          <w:highlight w:val="none"/>
          <w:u w:val="none" w:color="auto"/>
          <w:lang w:val="en-US" w:eastAsia="zh-CN"/>
        </w:rPr>
        <w:t>矿物油</w:t>
      </w:r>
      <w:r>
        <w:rPr>
          <w:rFonts w:hint="default" w:cs="Times New Roman"/>
          <w:color w:val="auto"/>
          <w:highlight w:val="none"/>
          <w:u w:val="none" w:color="auto"/>
          <w:lang w:val="en-US" w:eastAsia="zh-CN"/>
        </w:rPr>
        <w:t>等物料会引起危险化学品的泄漏，易燃易爆物质泄漏还可能会引起火灾爆炸事故，具有极大的危害。同时，当储存场所通风不良时，容易造成毒物浓度超标，对人体和环境造成危害。可燃物质挥发还会与空气混合形成爆炸性气体环境，容易引起火灾爆炸事故。</w:t>
      </w:r>
    </w:p>
    <w:p w14:paraId="297AEAFF">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②环保设施危险识别</w:t>
      </w:r>
    </w:p>
    <w:p w14:paraId="6FB49DE5">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项目废气主要为颗粒物、SO</w:t>
      </w:r>
      <w:r>
        <w:rPr>
          <w:rFonts w:hint="eastAsia" w:cs="Times New Roman"/>
          <w:color w:val="auto"/>
          <w:highlight w:val="none"/>
          <w:u w:val="none" w:color="auto"/>
          <w:vertAlign w:val="subscript"/>
          <w:lang w:val="en-US" w:eastAsia="zh-CN"/>
        </w:rPr>
        <w:t>2</w:t>
      </w:r>
      <w:r>
        <w:rPr>
          <w:rFonts w:hint="eastAsia" w:cs="Times New Roman"/>
          <w:color w:val="auto"/>
          <w:highlight w:val="none"/>
          <w:u w:val="none" w:color="auto"/>
          <w:lang w:val="en-US" w:eastAsia="zh-CN"/>
        </w:rPr>
        <w:t>、NOx、非甲烷总烃、甲醛、酚类等，若废气处理设施故障废气不达标即排放，将对周边环境造成不良影响。可直接暂停生产作业，待处理设备修理好后再进行生产。危险废物泄漏可能对周边地表水、土壤、地下水产生不良影响。</w:t>
      </w:r>
    </w:p>
    <w:p w14:paraId="603C8449">
      <w:pPr>
        <w:pStyle w:val="21"/>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综上所述，项目生产系统风险识别见下表。</w:t>
      </w:r>
    </w:p>
    <w:p w14:paraId="00A052CE">
      <w:pPr>
        <w:pStyle w:val="23"/>
        <w:bidi w:val="0"/>
        <w:rPr>
          <w:rFonts w:hint="eastAsia"/>
          <w:color w:val="auto"/>
          <w:u w:val="none" w:color="auto"/>
          <w:lang w:val="en-US" w:eastAsia="zh-CN"/>
        </w:rPr>
      </w:pPr>
      <w:r>
        <w:rPr>
          <w:rFonts w:hint="eastAsia"/>
          <w:color w:val="auto"/>
          <w:u w:val="none" w:color="auto"/>
          <w:lang w:val="en-US" w:eastAsia="zh-CN"/>
        </w:rPr>
        <w:t>表5.3-7 项目生产系统风险识别</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90"/>
        <w:gridCol w:w="1290"/>
        <w:gridCol w:w="5504"/>
      </w:tblGrid>
      <w:tr w14:paraId="2B93B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7B990991">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序号</w:t>
            </w:r>
          </w:p>
        </w:tc>
        <w:tc>
          <w:tcPr>
            <w:tcW w:w="990" w:type="dxa"/>
            <w:tcBorders>
              <w:tl2br w:val="nil"/>
              <w:tr2bl w:val="nil"/>
            </w:tcBorders>
            <w:noWrap w:val="0"/>
            <w:vAlign w:val="center"/>
          </w:tcPr>
          <w:p w14:paraId="4CE39408">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风险源</w:t>
            </w:r>
          </w:p>
        </w:tc>
        <w:tc>
          <w:tcPr>
            <w:tcW w:w="1290" w:type="dxa"/>
            <w:tcBorders>
              <w:tl2br w:val="nil"/>
              <w:tr2bl w:val="nil"/>
            </w:tcBorders>
            <w:noWrap w:val="0"/>
            <w:vAlign w:val="center"/>
          </w:tcPr>
          <w:p w14:paraId="5359146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潜在风险</w:t>
            </w:r>
          </w:p>
        </w:tc>
        <w:tc>
          <w:tcPr>
            <w:tcW w:w="5504" w:type="dxa"/>
            <w:tcBorders>
              <w:tl2br w:val="nil"/>
              <w:tr2bl w:val="nil"/>
            </w:tcBorders>
            <w:noWrap w:val="0"/>
            <w:vAlign w:val="center"/>
          </w:tcPr>
          <w:p w14:paraId="52A7B71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风险描述</w:t>
            </w:r>
          </w:p>
        </w:tc>
      </w:tr>
      <w:tr w14:paraId="2B22D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2B2C876B">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990" w:type="dxa"/>
            <w:tcBorders>
              <w:tl2br w:val="nil"/>
              <w:tr2bl w:val="nil"/>
            </w:tcBorders>
            <w:noWrap w:val="0"/>
            <w:vAlign w:val="center"/>
          </w:tcPr>
          <w:p w14:paraId="039910C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储运设施</w:t>
            </w:r>
          </w:p>
        </w:tc>
        <w:tc>
          <w:tcPr>
            <w:tcW w:w="1290" w:type="dxa"/>
            <w:tcBorders>
              <w:tl2br w:val="nil"/>
              <w:tr2bl w:val="nil"/>
            </w:tcBorders>
            <w:noWrap w:val="0"/>
            <w:vAlign w:val="center"/>
          </w:tcPr>
          <w:p w14:paraId="1C4B9CD4">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贮存</w:t>
            </w:r>
          </w:p>
        </w:tc>
        <w:tc>
          <w:tcPr>
            <w:tcW w:w="5504" w:type="dxa"/>
            <w:tcBorders>
              <w:tl2br w:val="nil"/>
              <w:tr2bl w:val="nil"/>
            </w:tcBorders>
            <w:noWrap w:val="0"/>
            <w:vAlign w:val="center"/>
          </w:tcPr>
          <w:p w14:paraId="1D355A1D">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危险废物或者油类物质发生泄漏可能污染周边水环境</w:t>
            </w:r>
          </w:p>
        </w:tc>
      </w:tr>
      <w:tr w14:paraId="33A44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0048209F">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990" w:type="dxa"/>
            <w:tcBorders>
              <w:tl2br w:val="nil"/>
              <w:tr2bl w:val="nil"/>
            </w:tcBorders>
            <w:noWrap w:val="0"/>
            <w:vAlign w:val="center"/>
          </w:tcPr>
          <w:p w14:paraId="5906FED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环保设施</w:t>
            </w:r>
          </w:p>
        </w:tc>
        <w:tc>
          <w:tcPr>
            <w:tcW w:w="1290" w:type="dxa"/>
            <w:tcBorders>
              <w:tl2br w:val="nil"/>
              <w:tr2bl w:val="nil"/>
            </w:tcBorders>
            <w:noWrap w:val="0"/>
            <w:vAlign w:val="center"/>
          </w:tcPr>
          <w:p w14:paraId="34825859">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废气处理设施出现故障</w:t>
            </w:r>
          </w:p>
        </w:tc>
        <w:tc>
          <w:tcPr>
            <w:tcW w:w="5504" w:type="dxa"/>
            <w:tcBorders>
              <w:tl2br w:val="nil"/>
              <w:tr2bl w:val="nil"/>
            </w:tcBorders>
            <w:noWrap w:val="0"/>
            <w:vAlign w:val="center"/>
          </w:tcPr>
          <w:p w14:paraId="3D8AA529">
            <w:pPr>
              <w:pStyle w:val="25"/>
              <w:bidi w:val="0"/>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混料废气、破碎磨粉废气、挤出覆膜废气处理设施若出现故障，会使生产车间的废气出现事故排放，从而对周围空气环境造成影响</w:t>
            </w:r>
          </w:p>
        </w:tc>
      </w:tr>
      <w:tr w14:paraId="6BBDC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648CA605">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w:t>
            </w:r>
          </w:p>
        </w:tc>
        <w:tc>
          <w:tcPr>
            <w:tcW w:w="990" w:type="dxa"/>
            <w:vMerge w:val="restart"/>
            <w:tcBorders>
              <w:tl2br w:val="nil"/>
              <w:tr2bl w:val="nil"/>
            </w:tcBorders>
            <w:noWrap w:val="0"/>
            <w:vAlign w:val="center"/>
          </w:tcPr>
          <w:p w14:paraId="52B653FB">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其他</w:t>
            </w:r>
          </w:p>
        </w:tc>
        <w:tc>
          <w:tcPr>
            <w:tcW w:w="1290" w:type="dxa"/>
            <w:tcBorders>
              <w:tl2br w:val="nil"/>
              <w:tr2bl w:val="nil"/>
            </w:tcBorders>
            <w:noWrap w:val="0"/>
            <w:vAlign w:val="center"/>
          </w:tcPr>
          <w:p w14:paraId="2ADB1D4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公用工程</w:t>
            </w:r>
          </w:p>
        </w:tc>
        <w:tc>
          <w:tcPr>
            <w:tcW w:w="5504" w:type="dxa"/>
            <w:tcBorders>
              <w:tl2br w:val="nil"/>
              <w:tr2bl w:val="nil"/>
            </w:tcBorders>
            <w:noWrap w:val="0"/>
            <w:vAlign w:val="center"/>
          </w:tcPr>
          <w:p w14:paraId="0230F83D">
            <w:pPr>
              <w:pStyle w:val="25"/>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电器设备的主要危险是触电事故和超负荷引起的火灾，或者因电气设备损坏或失灵，突然停电，致使各类设备停止工作，由此可能引发废气处理措施失效造成废气污染物未经处理直接排放</w:t>
            </w:r>
          </w:p>
        </w:tc>
      </w:tr>
      <w:tr w14:paraId="3DEB6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0608EDBB">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990" w:type="dxa"/>
            <w:vMerge w:val="continue"/>
            <w:tcBorders>
              <w:tl2br w:val="nil"/>
              <w:tr2bl w:val="nil"/>
            </w:tcBorders>
            <w:noWrap w:val="0"/>
            <w:vAlign w:val="center"/>
          </w:tcPr>
          <w:p w14:paraId="14FFCABB">
            <w:pPr>
              <w:pStyle w:val="25"/>
              <w:bidi w:val="0"/>
              <w:rPr>
                <w:rFonts w:hint="eastAsia" w:ascii="Times New Roman" w:hAnsi="Times New Roman" w:cs="Times New Roman"/>
                <w:color w:val="auto"/>
                <w:u w:val="none" w:color="auto"/>
                <w:lang w:val="en-US" w:eastAsia="zh-CN"/>
              </w:rPr>
            </w:pPr>
          </w:p>
        </w:tc>
        <w:tc>
          <w:tcPr>
            <w:tcW w:w="1290" w:type="dxa"/>
            <w:tcBorders>
              <w:tl2br w:val="nil"/>
              <w:tr2bl w:val="nil"/>
            </w:tcBorders>
            <w:noWrap w:val="0"/>
            <w:vAlign w:val="center"/>
          </w:tcPr>
          <w:p w14:paraId="510EAFFD">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其他</w:t>
            </w:r>
          </w:p>
        </w:tc>
        <w:tc>
          <w:tcPr>
            <w:tcW w:w="5504" w:type="dxa"/>
            <w:tcBorders>
              <w:tl2br w:val="nil"/>
              <w:tr2bl w:val="nil"/>
            </w:tcBorders>
            <w:noWrap w:val="0"/>
            <w:vAlign w:val="center"/>
          </w:tcPr>
          <w:p w14:paraId="3CA3F797">
            <w:pPr>
              <w:pStyle w:val="25"/>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因工程结构设计不合理、设备制造和检验不合格、作业人员误操作或玩忽职守、维修过程违反规定等，以及认为破坏都有可能造成事故</w:t>
            </w:r>
          </w:p>
        </w:tc>
      </w:tr>
    </w:tbl>
    <w:p w14:paraId="6125E32C">
      <w:pPr>
        <w:pStyle w:val="21"/>
        <w:bidi w:val="0"/>
        <w:rPr>
          <w:rFonts w:hint="eastAsia"/>
          <w:color w:val="auto"/>
          <w:u w:val="none" w:color="auto"/>
          <w:lang w:val="en-US" w:eastAsia="zh-CN"/>
        </w:rPr>
      </w:pPr>
      <w:r>
        <w:rPr>
          <w:rFonts w:hint="eastAsia"/>
          <w:color w:val="auto"/>
          <w:u w:val="none" w:color="auto"/>
          <w:lang w:val="en-US" w:eastAsia="zh-CN"/>
        </w:rPr>
        <w:t>（3）风险识别结果</w:t>
      </w:r>
    </w:p>
    <w:p w14:paraId="36E547BE">
      <w:pPr>
        <w:pStyle w:val="21"/>
        <w:bidi w:val="0"/>
        <w:rPr>
          <w:rFonts w:hint="eastAsia"/>
          <w:color w:val="auto"/>
          <w:u w:val="none" w:color="auto"/>
          <w:lang w:val="en-US" w:eastAsia="zh-CN"/>
        </w:rPr>
      </w:pPr>
      <w:r>
        <w:rPr>
          <w:rFonts w:hint="eastAsia"/>
          <w:color w:val="auto"/>
          <w:u w:val="none" w:color="auto"/>
          <w:lang w:val="en-US" w:eastAsia="zh-CN"/>
        </w:rPr>
        <w:t>综上所述，对项目储运设施、环保设施等环境风险源风险识别汇总如下。</w:t>
      </w:r>
    </w:p>
    <w:p w14:paraId="44430F4D">
      <w:pPr>
        <w:pStyle w:val="23"/>
        <w:bidi w:val="0"/>
        <w:rPr>
          <w:rFonts w:hint="eastAsia"/>
          <w:color w:val="auto"/>
          <w:u w:val="none" w:color="auto"/>
          <w:lang w:val="en-US" w:eastAsia="zh-CN"/>
        </w:rPr>
      </w:pPr>
      <w:r>
        <w:rPr>
          <w:rFonts w:hint="eastAsia"/>
          <w:color w:val="auto"/>
          <w:u w:val="none" w:color="auto"/>
          <w:lang w:val="en-US" w:eastAsia="zh-CN"/>
        </w:rPr>
        <w:t>表5.3-8 项目环境风险识别结果一览表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07"/>
        <w:gridCol w:w="1035"/>
        <w:gridCol w:w="1590"/>
        <w:gridCol w:w="1500"/>
        <w:gridCol w:w="1376"/>
        <w:gridCol w:w="1376"/>
      </w:tblGrid>
      <w:tr w14:paraId="2A113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4402A2B4">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序号</w:t>
            </w:r>
          </w:p>
        </w:tc>
        <w:tc>
          <w:tcPr>
            <w:tcW w:w="907" w:type="dxa"/>
            <w:tcBorders>
              <w:tl2br w:val="nil"/>
              <w:tr2bl w:val="nil"/>
            </w:tcBorders>
            <w:noWrap w:val="0"/>
            <w:vAlign w:val="center"/>
          </w:tcPr>
          <w:p w14:paraId="49B4B0A1">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危险单元</w:t>
            </w:r>
          </w:p>
        </w:tc>
        <w:tc>
          <w:tcPr>
            <w:tcW w:w="1035" w:type="dxa"/>
            <w:tcBorders>
              <w:tl2br w:val="nil"/>
              <w:tr2bl w:val="nil"/>
            </w:tcBorders>
            <w:noWrap w:val="0"/>
            <w:vAlign w:val="center"/>
          </w:tcPr>
          <w:p w14:paraId="77E49047">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风险源</w:t>
            </w:r>
          </w:p>
        </w:tc>
        <w:tc>
          <w:tcPr>
            <w:tcW w:w="1590" w:type="dxa"/>
            <w:tcBorders>
              <w:tl2br w:val="nil"/>
              <w:tr2bl w:val="nil"/>
            </w:tcBorders>
            <w:noWrap w:val="0"/>
            <w:vAlign w:val="center"/>
          </w:tcPr>
          <w:p w14:paraId="42D64566">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主要危险物质</w:t>
            </w:r>
          </w:p>
        </w:tc>
        <w:tc>
          <w:tcPr>
            <w:tcW w:w="1500" w:type="dxa"/>
            <w:tcBorders>
              <w:tl2br w:val="nil"/>
              <w:tr2bl w:val="nil"/>
            </w:tcBorders>
            <w:noWrap w:val="0"/>
            <w:vAlign w:val="center"/>
          </w:tcPr>
          <w:p w14:paraId="1FB4D055">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环境风险类型</w:t>
            </w:r>
          </w:p>
        </w:tc>
        <w:tc>
          <w:tcPr>
            <w:tcW w:w="1376" w:type="dxa"/>
            <w:tcBorders>
              <w:tl2br w:val="nil"/>
              <w:tr2bl w:val="nil"/>
            </w:tcBorders>
            <w:noWrap w:val="0"/>
            <w:vAlign w:val="center"/>
          </w:tcPr>
          <w:p w14:paraId="78AEE912">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环境影响途径</w:t>
            </w:r>
          </w:p>
        </w:tc>
        <w:tc>
          <w:tcPr>
            <w:tcW w:w="1376" w:type="dxa"/>
            <w:tcBorders>
              <w:tl2br w:val="nil"/>
              <w:tr2bl w:val="nil"/>
            </w:tcBorders>
            <w:noWrap w:val="0"/>
            <w:vAlign w:val="center"/>
          </w:tcPr>
          <w:p w14:paraId="33D15E0F">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可能受影响的环境敏感目标</w:t>
            </w:r>
          </w:p>
        </w:tc>
      </w:tr>
      <w:tr w14:paraId="21139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302E64C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w:t>
            </w:r>
          </w:p>
        </w:tc>
        <w:tc>
          <w:tcPr>
            <w:tcW w:w="907" w:type="dxa"/>
            <w:tcBorders>
              <w:tl2br w:val="nil"/>
              <w:tr2bl w:val="nil"/>
            </w:tcBorders>
            <w:noWrap w:val="0"/>
            <w:vAlign w:val="center"/>
          </w:tcPr>
          <w:p w14:paraId="2246908B">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危废暂存间</w:t>
            </w:r>
          </w:p>
        </w:tc>
        <w:tc>
          <w:tcPr>
            <w:tcW w:w="1035" w:type="dxa"/>
            <w:tcBorders>
              <w:tl2br w:val="nil"/>
              <w:tr2bl w:val="nil"/>
            </w:tcBorders>
            <w:noWrap w:val="0"/>
            <w:vAlign w:val="center"/>
          </w:tcPr>
          <w:p w14:paraId="2597F9A9">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危险废物</w:t>
            </w:r>
          </w:p>
        </w:tc>
        <w:tc>
          <w:tcPr>
            <w:tcW w:w="1590" w:type="dxa"/>
            <w:tcBorders>
              <w:tl2br w:val="nil"/>
              <w:tr2bl w:val="nil"/>
            </w:tcBorders>
            <w:noWrap w:val="0"/>
            <w:vAlign w:val="center"/>
          </w:tcPr>
          <w:p w14:paraId="3F662B7C">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废矿物油、废活性炭、废液压油、废导热油、废油桶、废含油抹布及手套</w:t>
            </w:r>
          </w:p>
        </w:tc>
        <w:tc>
          <w:tcPr>
            <w:tcW w:w="1500" w:type="dxa"/>
            <w:tcBorders>
              <w:tl2br w:val="nil"/>
              <w:tr2bl w:val="nil"/>
            </w:tcBorders>
            <w:noWrap w:val="0"/>
            <w:vAlign w:val="center"/>
          </w:tcPr>
          <w:p w14:paraId="614E8274">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危险物质泄漏</w:t>
            </w:r>
          </w:p>
        </w:tc>
        <w:tc>
          <w:tcPr>
            <w:tcW w:w="1376" w:type="dxa"/>
            <w:tcBorders>
              <w:tl2br w:val="nil"/>
              <w:tr2bl w:val="nil"/>
            </w:tcBorders>
            <w:noWrap w:val="0"/>
            <w:vAlign w:val="center"/>
          </w:tcPr>
          <w:p w14:paraId="19002A60">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大气、地表水、地下水、土壤</w:t>
            </w:r>
          </w:p>
        </w:tc>
        <w:tc>
          <w:tcPr>
            <w:tcW w:w="1376" w:type="dxa"/>
            <w:tcBorders>
              <w:tl2br w:val="nil"/>
              <w:tr2bl w:val="nil"/>
            </w:tcBorders>
            <w:noWrap w:val="0"/>
            <w:vAlign w:val="center"/>
          </w:tcPr>
          <w:p w14:paraId="471C0D2F">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周边居民、环境空气、水体、地下水及企业所在区域浅层土壤</w:t>
            </w:r>
          </w:p>
        </w:tc>
      </w:tr>
      <w:tr w14:paraId="216FE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67116017">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907" w:type="dxa"/>
            <w:tcBorders>
              <w:tl2br w:val="nil"/>
              <w:tr2bl w:val="nil"/>
            </w:tcBorders>
            <w:noWrap w:val="0"/>
            <w:vAlign w:val="center"/>
          </w:tcPr>
          <w:p w14:paraId="7C7494B5">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原料区、导热油炉区域、压机区域</w:t>
            </w:r>
          </w:p>
        </w:tc>
        <w:tc>
          <w:tcPr>
            <w:tcW w:w="1035" w:type="dxa"/>
            <w:tcBorders>
              <w:tl2br w:val="nil"/>
              <w:tr2bl w:val="nil"/>
            </w:tcBorders>
            <w:noWrap w:val="0"/>
            <w:vAlign w:val="center"/>
          </w:tcPr>
          <w:p w14:paraId="3697552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矿物油、液压油等原料</w:t>
            </w:r>
          </w:p>
        </w:tc>
        <w:tc>
          <w:tcPr>
            <w:tcW w:w="1590" w:type="dxa"/>
            <w:tcBorders>
              <w:tl2br w:val="nil"/>
              <w:tr2bl w:val="nil"/>
            </w:tcBorders>
            <w:noWrap w:val="0"/>
            <w:vAlign w:val="center"/>
          </w:tcPr>
          <w:p w14:paraId="1E804107">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矿物油、液压油、导热油、酚醛树脂</w:t>
            </w:r>
          </w:p>
        </w:tc>
        <w:tc>
          <w:tcPr>
            <w:tcW w:w="1500" w:type="dxa"/>
            <w:tcBorders>
              <w:tl2br w:val="nil"/>
              <w:tr2bl w:val="nil"/>
            </w:tcBorders>
            <w:noWrap w:val="0"/>
            <w:vAlign w:val="center"/>
          </w:tcPr>
          <w:p w14:paraId="53495050">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原料泄漏</w:t>
            </w:r>
          </w:p>
        </w:tc>
        <w:tc>
          <w:tcPr>
            <w:tcW w:w="1376" w:type="dxa"/>
            <w:tcBorders>
              <w:tl2br w:val="nil"/>
              <w:tr2bl w:val="nil"/>
            </w:tcBorders>
            <w:noWrap w:val="0"/>
            <w:vAlign w:val="center"/>
          </w:tcPr>
          <w:p w14:paraId="326AD9C3">
            <w:pPr>
              <w:pStyle w:val="25"/>
              <w:bidi w:val="0"/>
              <w:rPr>
                <w:rFonts w:hint="eastAsia" w:ascii="Times New Roman" w:hAnsi="Times New Roman"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大气、地表水、地下水、土壤</w:t>
            </w:r>
          </w:p>
        </w:tc>
        <w:tc>
          <w:tcPr>
            <w:tcW w:w="1376" w:type="dxa"/>
            <w:tcBorders>
              <w:tl2br w:val="nil"/>
              <w:tr2bl w:val="nil"/>
            </w:tcBorders>
            <w:noWrap w:val="0"/>
            <w:vAlign w:val="center"/>
          </w:tcPr>
          <w:p w14:paraId="2866EBF9">
            <w:pPr>
              <w:pStyle w:val="25"/>
              <w:bidi w:val="0"/>
              <w:rPr>
                <w:rFonts w:hint="eastAsia" w:ascii="Times New Roman" w:hAnsi="Times New Roman"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附近居民、环境空气、水体、地下水及企业所在区域浅层土壤</w:t>
            </w:r>
          </w:p>
        </w:tc>
      </w:tr>
      <w:tr w14:paraId="54401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14173A7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w:t>
            </w:r>
          </w:p>
        </w:tc>
        <w:tc>
          <w:tcPr>
            <w:tcW w:w="907" w:type="dxa"/>
            <w:tcBorders>
              <w:tl2br w:val="nil"/>
              <w:tr2bl w:val="nil"/>
            </w:tcBorders>
            <w:noWrap w:val="0"/>
            <w:vAlign w:val="center"/>
          </w:tcPr>
          <w:p w14:paraId="6E4B5D3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废气处理设施</w:t>
            </w:r>
          </w:p>
        </w:tc>
        <w:tc>
          <w:tcPr>
            <w:tcW w:w="1035" w:type="dxa"/>
            <w:tcBorders>
              <w:tl2br w:val="nil"/>
              <w:tr2bl w:val="nil"/>
            </w:tcBorders>
            <w:noWrap w:val="0"/>
            <w:vAlign w:val="center"/>
          </w:tcPr>
          <w:p w14:paraId="4B0E931D">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废气处理设施</w:t>
            </w:r>
          </w:p>
        </w:tc>
        <w:tc>
          <w:tcPr>
            <w:tcW w:w="1590" w:type="dxa"/>
            <w:tcBorders>
              <w:tl2br w:val="nil"/>
              <w:tr2bl w:val="nil"/>
            </w:tcBorders>
            <w:noWrap w:val="0"/>
            <w:vAlign w:val="center"/>
          </w:tcPr>
          <w:p w14:paraId="2FC8914D">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颗粒物、二氧化硫、氮氧化物、非甲烷总烃、甲醛、酚类</w:t>
            </w:r>
          </w:p>
        </w:tc>
        <w:tc>
          <w:tcPr>
            <w:tcW w:w="1500" w:type="dxa"/>
            <w:tcBorders>
              <w:tl2br w:val="nil"/>
              <w:tr2bl w:val="nil"/>
            </w:tcBorders>
            <w:noWrap w:val="0"/>
            <w:vAlign w:val="center"/>
          </w:tcPr>
          <w:p w14:paraId="68E56CB5">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事故排放</w:t>
            </w:r>
          </w:p>
        </w:tc>
        <w:tc>
          <w:tcPr>
            <w:tcW w:w="1376" w:type="dxa"/>
            <w:tcBorders>
              <w:tl2br w:val="nil"/>
              <w:tr2bl w:val="nil"/>
            </w:tcBorders>
            <w:noWrap w:val="0"/>
            <w:vAlign w:val="center"/>
          </w:tcPr>
          <w:p w14:paraId="34474318">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环境空气</w:t>
            </w:r>
          </w:p>
        </w:tc>
        <w:tc>
          <w:tcPr>
            <w:tcW w:w="1376" w:type="dxa"/>
            <w:tcBorders>
              <w:tl2br w:val="nil"/>
              <w:tr2bl w:val="nil"/>
            </w:tcBorders>
            <w:noWrap w:val="0"/>
            <w:vAlign w:val="center"/>
          </w:tcPr>
          <w:p w14:paraId="4EAAD540">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周边居民、环境空气</w:t>
            </w:r>
          </w:p>
        </w:tc>
      </w:tr>
      <w:tr w14:paraId="167BD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3594AAF6">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907" w:type="dxa"/>
            <w:tcBorders>
              <w:tl2br w:val="nil"/>
              <w:tr2bl w:val="nil"/>
            </w:tcBorders>
            <w:noWrap w:val="0"/>
            <w:vAlign w:val="center"/>
          </w:tcPr>
          <w:p w14:paraId="30BE65F3">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生产车间</w:t>
            </w:r>
          </w:p>
        </w:tc>
        <w:tc>
          <w:tcPr>
            <w:tcW w:w="1035" w:type="dxa"/>
            <w:tcBorders>
              <w:tl2br w:val="nil"/>
              <w:tr2bl w:val="nil"/>
            </w:tcBorders>
            <w:noWrap w:val="0"/>
            <w:vAlign w:val="center"/>
          </w:tcPr>
          <w:p w14:paraId="38EF3A98">
            <w:pPr>
              <w:pStyle w:val="25"/>
              <w:bidi w:val="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生产设施</w:t>
            </w:r>
          </w:p>
        </w:tc>
        <w:tc>
          <w:tcPr>
            <w:tcW w:w="1590" w:type="dxa"/>
            <w:tcBorders>
              <w:tl2br w:val="nil"/>
              <w:tr2bl w:val="nil"/>
            </w:tcBorders>
            <w:noWrap w:val="0"/>
            <w:vAlign w:val="center"/>
          </w:tcPr>
          <w:p w14:paraId="6F3463E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易燃物质</w:t>
            </w:r>
          </w:p>
        </w:tc>
        <w:tc>
          <w:tcPr>
            <w:tcW w:w="1500" w:type="dxa"/>
            <w:tcBorders>
              <w:tl2br w:val="nil"/>
              <w:tr2bl w:val="nil"/>
            </w:tcBorders>
            <w:noWrap w:val="0"/>
            <w:vAlign w:val="center"/>
          </w:tcPr>
          <w:p w14:paraId="5F6C851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易燃物质火灾爆炸引发的次生/伴生污染</w:t>
            </w:r>
          </w:p>
        </w:tc>
        <w:tc>
          <w:tcPr>
            <w:tcW w:w="1376" w:type="dxa"/>
            <w:tcBorders>
              <w:tl2br w:val="nil"/>
              <w:tr2bl w:val="nil"/>
            </w:tcBorders>
            <w:noWrap w:val="0"/>
            <w:vAlign w:val="center"/>
          </w:tcPr>
          <w:p w14:paraId="40038A0E">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环境空气、地下水、地表水</w:t>
            </w:r>
          </w:p>
        </w:tc>
        <w:tc>
          <w:tcPr>
            <w:tcW w:w="1376" w:type="dxa"/>
            <w:tcBorders>
              <w:tl2br w:val="nil"/>
              <w:tr2bl w:val="nil"/>
            </w:tcBorders>
            <w:noWrap w:val="0"/>
            <w:vAlign w:val="center"/>
          </w:tcPr>
          <w:p w14:paraId="2C0BAD31">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周边居民、附近水体、地下水</w:t>
            </w:r>
          </w:p>
        </w:tc>
      </w:tr>
    </w:tbl>
    <w:p w14:paraId="081DA1F4">
      <w:pPr>
        <w:pStyle w:val="8"/>
        <w:rPr>
          <w:rFonts w:hint="eastAsia" w:ascii="Times New Roman" w:hAnsi="Times New Roman" w:cs="Times New Roman"/>
          <w:color w:val="auto"/>
          <w:u w:val="none" w:color="auto"/>
          <w:lang w:val="en-US" w:eastAsia="zh-CN"/>
        </w:rPr>
      </w:pPr>
      <w:bookmarkStart w:id="1206" w:name="_Toc8174"/>
      <w:bookmarkStart w:id="1207" w:name="_Toc21287"/>
      <w:bookmarkStart w:id="1208" w:name="_Toc22089"/>
      <w:r>
        <w:rPr>
          <w:rFonts w:hint="eastAsia" w:ascii="Times New Roman" w:hAnsi="Times New Roman" w:cs="Times New Roman"/>
          <w:color w:val="auto"/>
          <w:u w:val="none" w:color="auto"/>
          <w:lang w:val="en-US" w:eastAsia="zh-CN"/>
        </w:rPr>
        <w:t>5.3.4风险事件影响分析</w:t>
      </w:r>
      <w:bookmarkEnd w:id="1206"/>
      <w:bookmarkEnd w:id="1207"/>
      <w:bookmarkEnd w:id="1208"/>
    </w:p>
    <w:p w14:paraId="091F07C6">
      <w:pPr>
        <w:pStyle w:val="21"/>
        <w:rPr>
          <w:rFonts w:hint="eastAsia"/>
          <w:b/>
          <w:bCs/>
          <w:color w:val="auto"/>
          <w:u w:val="none" w:color="auto"/>
          <w:lang w:val="en-US" w:eastAsia="zh-CN"/>
        </w:rPr>
      </w:pPr>
      <w:r>
        <w:rPr>
          <w:rFonts w:hint="eastAsia"/>
          <w:b/>
          <w:bCs/>
          <w:color w:val="auto"/>
          <w:u w:val="none" w:color="auto"/>
          <w:lang w:val="en-US" w:eastAsia="zh-CN"/>
        </w:rPr>
        <w:t>1、废气事故排放的环境风险</w:t>
      </w:r>
    </w:p>
    <w:p w14:paraId="2EA6F703">
      <w:pPr>
        <w:pStyle w:val="21"/>
        <w:rPr>
          <w:rFonts w:hint="eastAsia"/>
          <w:color w:val="auto"/>
          <w:u w:val="none" w:color="auto"/>
          <w:lang w:val="en-US" w:eastAsia="zh-CN"/>
        </w:rPr>
      </w:pPr>
      <w:r>
        <w:rPr>
          <w:rFonts w:hint="eastAsia"/>
          <w:color w:val="auto"/>
          <w:u w:val="none" w:color="auto"/>
          <w:lang w:val="en-US" w:eastAsia="zh-CN"/>
        </w:rPr>
        <w:t>本项目生产过程中所产生的废气包括颗粒物、SO</w:t>
      </w:r>
      <w:r>
        <w:rPr>
          <w:rFonts w:hint="eastAsia"/>
          <w:color w:val="auto"/>
          <w:u w:val="none" w:color="auto"/>
          <w:vertAlign w:val="subscript"/>
          <w:lang w:val="en-US" w:eastAsia="zh-CN"/>
        </w:rPr>
        <w:t>2</w:t>
      </w:r>
      <w:r>
        <w:rPr>
          <w:rFonts w:hint="eastAsia"/>
          <w:color w:val="auto"/>
          <w:u w:val="none" w:color="auto"/>
          <w:lang w:val="en-US" w:eastAsia="zh-CN"/>
        </w:rPr>
        <w:t>、NOx、非甲烷总烃、酚类、甲醛等，若废气处理设施出现故障或设备检修时，未经处理的工艺废气直接排入大气，将会污染周围大气环境。建设单位应建立健全规章制度，废气处理设施责任到人，定期进行维护和检修；车间工作人员进行相应培训，培训合格后方才上岗，工作人员熟练掌握一定的应急处置能力；环保设备采用自动化控制，一旦废气处理设施发生故障，会自动停产处理。因此废气处理设施故障对环境影响可控。</w:t>
      </w:r>
    </w:p>
    <w:p w14:paraId="3F112625">
      <w:pPr>
        <w:pStyle w:val="21"/>
        <w:rPr>
          <w:rFonts w:hint="eastAsia"/>
          <w:b/>
          <w:bCs/>
          <w:color w:val="auto"/>
          <w:u w:val="none" w:color="auto"/>
          <w:lang w:val="en-US" w:eastAsia="zh-CN"/>
        </w:rPr>
      </w:pPr>
      <w:r>
        <w:rPr>
          <w:rFonts w:hint="eastAsia"/>
          <w:b/>
          <w:bCs/>
          <w:color w:val="auto"/>
          <w:u w:val="none" w:color="auto"/>
          <w:lang w:val="en-US" w:eastAsia="zh-CN"/>
        </w:rPr>
        <w:t>2、液态风险物质泄漏事故影响分析</w:t>
      </w:r>
    </w:p>
    <w:p w14:paraId="5F3D8AD3">
      <w:pPr>
        <w:pStyle w:val="21"/>
        <w:rPr>
          <w:rFonts w:hint="eastAsia"/>
          <w:color w:val="auto"/>
          <w:u w:val="none" w:color="auto"/>
          <w:lang w:val="en-US" w:eastAsia="zh-CN"/>
        </w:rPr>
      </w:pPr>
      <w:r>
        <w:rPr>
          <w:rFonts w:hint="eastAsia"/>
          <w:color w:val="auto"/>
          <w:u w:val="none" w:color="auto"/>
          <w:lang w:val="en-US" w:eastAsia="zh-CN"/>
        </w:rPr>
        <w:t>危险废物中含部分液体物质，主要为废矿物油、废液压油，危险废物暂存间按要求进行硬化防渗处理，设有导流设施，能及时将跑冒滴漏物料导流至内部事故收集池。危险废物建立健全的管理制度，并安排专人进行管理，对物资出入库均进行登记；配有适当的消防应急设备。由于项目使用矿物油等用量较少，跑冒滴漏物料能够被截流在车间内部，及时处理。因此正常情况下，液态风险物质泄漏可以得到有效处置，对外环境影响较小。</w:t>
      </w:r>
    </w:p>
    <w:p w14:paraId="35685CE6">
      <w:pPr>
        <w:pStyle w:val="21"/>
        <w:rPr>
          <w:rFonts w:hint="default"/>
          <w:b/>
          <w:bCs/>
          <w:color w:val="auto"/>
          <w:u w:val="none" w:color="auto"/>
          <w:lang w:val="en-US" w:eastAsia="zh-CN"/>
        </w:rPr>
      </w:pPr>
      <w:r>
        <w:rPr>
          <w:rFonts w:hint="eastAsia"/>
          <w:b/>
          <w:bCs/>
          <w:color w:val="auto"/>
          <w:u w:val="none" w:color="auto"/>
          <w:lang w:val="en-US" w:eastAsia="zh-CN"/>
        </w:rPr>
        <w:t>3、火灾、爆炸风险事故影响分析</w:t>
      </w:r>
    </w:p>
    <w:p w14:paraId="6541707B">
      <w:pPr>
        <w:pStyle w:val="21"/>
        <w:rPr>
          <w:rFonts w:hint="eastAsia"/>
          <w:color w:val="auto"/>
          <w:u w:val="none" w:color="auto"/>
          <w:lang w:val="en-US" w:eastAsia="zh-CN"/>
        </w:rPr>
      </w:pPr>
      <w:r>
        <w:rPr>
          <w:rFonts w:hint="eastAsia"/>
          <w:color w:val="auto"/>
          <w:u w:val="none" w:color="auto"/>
          <w:lang w:val="en-US" w:eastAsia="zh-CN"/>
        </w:rPr>
        <w:t>项目生产厂房使用的天然气属易燃物质，液压油、矿物油等使用过程中若发生泄漏事故遇高温明火，有火灾或爆炸事故的风险。</w:t>
      </w:r>
    </w:p>
    <w:p w14:paraId="52E07585">
      <w:pPr>
        <w:pStyle w:val="21"/>
        <w:rPr>
          <w:rFonts w:hint="eastAsia"/>
          <w:color w:val="auto"/>
          <w:u w:val="none" w:color="auto"/>
          <w:lang w:val="en-US" w:eastAsia="zh-CN"/>
        </w:rPr>
      </w:pPr>
      <w:r>
        <w:rPr>
          <w:rFonts w:hint="eastAsia"/>
          <w:color w:val="auto"/>
          <w:u w:val="none" w:color="auto"/>
          <w:lang w:val="en-US" w:eastAsia="zh-CN"/>
        </w:rPr>
        <w:t>一旦发生火灾，将会产生大量的财产损失，甚至危及人员生命。火灾时将产生大量烟雾，其主要成分为除一般有机物完全燃烧产生的二氧化碳、水蒸汽外，还将有大量不完全燃烧生成的一氧化碳、小分子有机物、烟尘，特别是一氧化碳形成的毒性烟雾，对环境和人体健康危害很大。一般情况下，火场附近一氧化碳的浓度较高（浓度可达0.02%），而距火场30m处，一氧化碳的浓度逐渐降低（0.001%）。因此，近距离靠近火场会有造成一氧化碳中毒的危险。资料显示，在火灾造成的人员死亡中，3/4的人死于有害气体，而有害气体中一氧化碳是主要的有毒物质。烟尘是燃烧的主要产物，烟尘对空气污染的影响主要取决于颗粒的大小，颗粒越小危害越大。烟尘对人体的影响主要体现在吸入效应上。烟尘微粒可吸附有害气体，引起人的呼吸疾病。在火场之外的空间内，由于新鲜空气与烟雾之间的对流，烟的浓度被稀释，对人体的伤害较小。含硫物质燃烧后典型产物为二氧化硫，二氧化硫是酸雨形成的源头之一，对人体呼吸道有强刺激作用，可致肺水肿造成直接死亡。</w:t>
      </w:r>
    </w:p>
    <w:p w14:paraId="7C56EFF3">
      <w:pPr>
        <w:pStyle w:val="21"/>
        <w:rPr>
          <w:rFonts w:hint="default"/>
          <w:color w:val="auto"/>
          <w:u w:val="none" w:color="auto"/>
          <w:lang w:val="en-US" w:eastAsia="zh-CN"/>
        </w:rPr>
      </w:pPr>
      <w:r>
        <w:rPr>
          <w:rFonts w:hint="default"/>
          <w:color w:val="auto"/>
          <w:u w:val="none" w:color="auto"/>
          <w:lang w:val="en-US" w:eastAsia="zh-CN"/>
        </w:rPr>
        <w:t>为了扑灭火灾还将产生消防废水，消防废水水质复杂，水量变化大，特别是可能直接夹带原料，因此如果没有进入事故池直接排放，对下游自然环境可能造成严重影响，具体影响包括：污染地表水，造成水体多因子超标失去灌溉等功能；污染地下水导致无法作为饮用水或生活用水；污染土壤，导致土壤中有毒物质浓度超标或 pH 显著变化</w:t>
      </w:r>
      <w:r>
        <w:rPr>
          <w:rFonts w:hint="eastAsia"/>
          <w:color w:val="auto"/>
          <w:u w:val="none" w:color="auto"/>
          <w:lang w:val="en-US" w:eastAsia="zh-CN"/>
        </w:rPr>
        <w:t>。</w:t>
      </w:r>
    </w:p>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14:paraId="52586059">
      <w:pPr>
        <w:pStyle w:val="8"/>
        <w:rPr>
          <w:rFonts w:hint="default" w:ascii="Times New Roman" w:hAnsi="Times New Roman" w:cs="Times New Roman"/>
          <w:color w:val="auto"/>
          <w:u w:val="none" w:color="auto"/>
          <w:lang w:val="en-US" w:eastAsia="zh-CN"/>
        </w:rPr>
      </w:pPr>
      <w:bookmarkStart w:id="1209" w:name="_Toc11761"/>
      <w:bookmarkStart w:id="1210" w:name="_Toc15008"/>
      <w:bookmarkStart w:id="1211" w:name="_Toc23418"/>
      <w:bookmarkStart w:id="1212" w:name="_Toc26343"/>
      <w:bookmarkStart w:id="1213" w:name="_Toc15924"/>
      <w:bookmarkStart w:id="1214" w:name="_Toc31062"/>
      <w:bookmarkStart w:id="1215" w:name="_Toc28914"/>
      <w:bookmarkStart w:id="1216" w:name="_Toc12900"/>
      <w:bookmarkStart w:id="1217" w:name="_Toc29076"/>
      <w:bookmarkStart w:id="1218" w:name="_Toc32714"/>
      <w:bookmarkStart w:id="1219" w:name="_Toc170311285"/>
      <w:bookmarkStart w:id="1220" w:name="_Toc130791054"/>
      <w:bookmarkStart w:id="1221" w:name="_Toc170204836"/>
      <w:bookmarkStart w:id="1222" w:name="_Toc169409084"/>
      <w:bookmarkStart w:id="1223" w:name="_Toc169409751"/>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事故风险防范措施</w:t>
      </w:r>
      <w:bookmarkEnd w:id="1209"/>
      <w:bookmarkEnd w:id="1210"/>
      <w:bookmarkEnd w:id="1211"/>
      <w:bookmarkEnd w:id="1212"/>
      <w:bookmarkEnd w:id="1213"/>
      <w:bookmarkEnd w:id="1214"/>
      <w:bookmarkEnd w:id="1215"/>
      <w:bookmarkEnd w:id="1216"/>
      <w:bookmarkEnd w:id="1217"/>
      <w:bookmarkEnd w:id="1218"/>
    </w:p>
    <w:p w14:paraId="36FE3A8D">
      <w:pPr>
        <w:pStyle w:val="21"/>
        <w:bidi w:val="0"/>
        <w:rPr>
          <w:rFonts w:hint="default"/>
          <w:b/>
          <w:bCs/>
          <w:color w:val="auto"/>
          <w:u w:val="none" w:color="auto"/>
          <w:lang w:val="en-US" w:eastAsia="zh-CN"/>
        </w:rPr>
      </w:pPr>
      <w:r>
        <w:rPr>
          <w:rFonts w:hint="eastAsia"/>
          <w:b/>
          <w:bCs/>
          <w:color w:val="auto"/>
          <w:u w:val="none" w:color="auto"/>
          <w:lang w:val="en-US" w:eastAsia="zh-CN"/>
        </w:rPr>
        <w:t>1、</w:t>
      </w:r>
      <w:r>
        <w:rPr>
          <w:rFonts w:hint="default"/>
          <w:b/>
          <w:bCs/>
          <w:color w:val="auto"/>
          <w:u w:val="none" w:color="auto"/>
          <w:lang w:val="en-US" w:eastAsia="zh-CN"/>
        </w:rPr>
        <w:t>风险物质贮存和运输风险防范措施</w:t>
      </w:r>
    </w:p>
    <w:p w14:paraId="00F4DB78">
      <w:pPr>
        <w:pStyle w:val="21"/>
        <w:bidi w:val="0"/>
        <w:rPr>
          <w:color w:val="auto"/>
          <w:u w:val="none" w:color="auto"/>
        </w:rPr>
      </w:pPr>
      <w:r>
        <w:rPr>
          <w:color w:val="auto"/>
          <w:u w:val="none" w:color="auto"/>
        </w:rPr>
        <w:t>项目</w:t>
      </w:r>
      <w:r>
        <w:rPr>
          <w:rFonts w:hint="eastAsia"/>
          <w:color w:val="auto"/>
          <w:u w:val="none" w:color="auto"/>
          <w:lang w:eastAsia="zh-CN"/>
        </w:rPr>
        <w:t>生产线</w:t>
      </w:r>
      <w:r>
        <w:rPr>
          <w:color w:val="auto"/>
          <w:u w:val="none" w:color="auto"/>
        </w:rPr>
        <w:t>涉及的原材料</w:t>
      </w:r>
      <w:r>
        <w:rPr>
          <w:rFonts w:hint="eastAsia"/>
          <w:color w:val="auto"/>
          <w:u w:val="none" w:color="auto"/>
          <w:lang w:val="en-US" w:eastAsia="zh-CN"/>
        </w:rPr>
        <w:t>矿物油、液压油、酚醛树脂</w:t>
      </w:r>
      <w:r>
        <w:rPr>
          <w:color w:val="auto"/>
          <w:u w:val="none" w:color="auto"/>
        </w:rPr>
        <w:t>，是可燃物质。</w:t>
      </w:r>
      <w:r>
        <w:rPr>
          <w:rFonts w:hint="eastAsia"/>
          <w:color w:val="auto"/>
          <w:u w:val="none" w:color="auto"/>
          <w:lang w:eastAsia="zh-CN"/>
        </w:rPr>
        <w:t>其</w:t>
      </w:r>
      <w:r>
        <w:rPr>
          <w:color w:val="auto"/>
          <w:u w:val="none" w:color="auto"/>
        </w:rPr>
        <w:t>燃烧时的分解产物主要为CO、CO</w:t>
      </w:r>
      <w:r>
        <w:rPr>
          <w:color w:val="auto"/>
          <w:u w:val="none" w:color="auto"/>
          <w:vertAlign w:val="subscript"/>
        </w:rPr>
        <w:t>2</w:t>
      </w:r>
      <w:r>
        <w:rPr>
          <w:color w:val="auto"/>
          <w:u w:val="none" w:color="auto"/>
        </w:rPr>
        <w:t>、H</w:t>
      </w:r>
      <w:r>
        <w:rPr>
          <w:color w:val="auto"/>
          <w:u w:val="none" w:color="auto"/>
          <w:vertAlign w:val="subscript"/>
        </w:rPr>
        <w:t>2</w:t>
      </w:r>
      <w:r>
        <w:rPr>
          <w:color w:val="auto"/>
          <w:u w:val="none" w:color="auto"/>
        </w:rPr>
        <w:t>O等，不完全燃烧时还有可能产生烟尘、塑料高温分解单体等有机物。CO有窒息作用，渗入肺部，导致血液中毒；烟尘会对人员呼吸系统产生重大危害，有机单体也会进入呼吸系统对人员身体健康产生不利影响，因此，一旦发生火灾，需采取相应的防范治理措施，避免释放的烟雾和气体对厂区内工作人员及周边居住区村民的身体造成影响。</w:t>
      </w:r>
    </w:p>
    <w:p w14:paraId="5FA40837">
      <w:pPr>
        <w:pStyle w:val="21"/>
        <w:bidi w:val="0"/>
        <w:rPr>
          <w:rFonts w:hint="eastAsia"/>
          <w:color w:val="auto"/>
          <w:u w:val="none" w:color="auto"/>
          <w:lang w:eastAsia="zh-CN"/>
        </w:rPr>
      </w:pPr>
      <w:r>
        <w:rPr>
          <w:rFonts w:hint="eastAsia"/>
          <w:color w:val="auto"/>
          <w:u w:val="none" w:color="auto"/>
          <w:lang w:eastAsia="zh-CN"/>
        </w:rPr>
        <w:t>建设单位针对风险物质的储存和使用，应做好以下措施：</w:t>
      </w:r>
    </w:p>
    <w:p w14:paraId="7A6FE181">
      <w:pPr>
        <w:pStyle w:val="21"/>
        <w:bidi w:val="0"/>
        <w:rPr>
          <w:rFonts w:hint="eastAsia"/>
          <w:color w:val="auto"/>
          <w:u w:val="none" w:color="auto"/>
          <w:lang w:eastAsia="zh-CN"/>
        </w:rPr>
      </w:pPr>
      <w:r>
        <w:rPr>
          <w:rFonts w:hint="eastAsia"/>
          <w:color w:val="auto"/>
          <w:u w:val="none" w:color="auto"/>
          <w:lang w:eastAsia="zh-CN"/>
        </w:rPr>
        <w:t>①定期对原辅材料使用过程中的相关人员，如联络员、仓管员、直接使用人员进行过程监查，定期对上述人员进行相关知识教育和岗位职责培训。</w:t>
      </w:r>
    </w:p>
    <w:p w14:paraId="2FF1D000">
      <w:pPr>
        <w:pStyle w:val="21"/>
        <w:bidi w:val="0"/>
        <w:rPr>
          <w:rFonts w:hint="eastAsia"/>
          <w:color w:val="auto"/>
          <w:u w:val="none" w:color="auto"/>
          <w:lang w:eastAsia="zh-CN"/>
        </w:rPr>
      </w:pPr>
      <w:r>
        <w:rPr>
          <w:rFonts w:hint="eastAsia"/>
          <w:color w:val="auto"/>
          <w:u w:val="none" w:color="auto"/>
          <w:lang w:eastAsia="zh-CN"/>
        </w:rPr>
        <w:t>②生产车间按照消防栓设计规范，车间设置灭火器。</w:t>
      </w:r>
    </w:p>
    <w:p w14:paraId="66A758CC">
      <w:pPr>
        <w:pStyle w:val="21"/>
        <w:bidi w:val="0"/>
        <w:rPr>
          <w:rFonts w:hint="eastAsia"/>
          <w:color w:val="auto"/>
          <w:u w:val="none" w:color="auto"/>
          <w:lang w:eastAsia="zh-CN"/>
        </w:rPr>
      </w:pPr>
      <w:r>
        <w:rPr>
          <w:rFonts w:hint="eastAsia"/>
          <w:color w:val="auto"/>
          <w:u w:val="none" w:color="auto"/>
          <w:lang w:val="en-US" w:eastAsia="zh-CN"/>
        </w:rPr>
        <w:t>③</w:t>
      </w:r>
      <w:r>
        <w:rPr>
          <w:rFonts w:hint="eastAsia"/>
          <w:color w:val="auto"/>
          <w:u w:val="none" w:color="auto"/>
          <w:lang w:eastAsia="zh-CN"/>
        </w:rPr>
        <w:t>加强管理，严禁火种进入生产车间。</w:t>
      </w:r>
    </w:p>
    <w:p w14:paraId="19EC7384">
      <w:pPr>
        <w:pStyle w:val="21"/>
        <w:bidi w:val="0"/>
        <w:rPr>
          <w:rFonts w:hint="eastAsia"/>
          <w:color w:val="auto"/>
          <w:u w:val="none" w:color="auto"/>
          <w:lang w:eastAsia="zh-CN"/>
        </w:rPr>
      </w:pPr>
      <w:r>
        <w:rPr>
          <w:rFonts w:hint="eastAsia"/>
          <w:color w:val="auto"/>
          <w:u w:val="none" w:color="auto"/>
          <w:lang w:val="en-US" w:eastAsia="zh-CN"/>
        </w:rPr>
        <w:t>④</w:t>
      </w:r>
      <w:r>
        <w:rPr>
          <w:rFonts w:hint="eastAsia"/>
          <w:color w:val="auto"/>
          <w:u w:val="none" w:color="auto"/>
          <w:lang w:eastAsia="zh-CN"/>
        </w:rPr>
        <w:t>危废暂存间的液态危险废物（</w:t>
      </w:r>
      <w:r>
        <w:rPr>
          <w:rFonts w:hint="eastAsia"/>
          <w:color w:val="auto"/>
          <w:u w:val="none" w:color="auto"/>
          <w:lang w:val="en-US" w:eastAsia="zh-CN"/>
        </w:rPr>
        <w:t>如</w:t>
      </w:r>
      <w:r>
        <w:rPr>
          <w:rFonts w:hint="eastAsia"/>
          <w:color w:val="auto"/>
          <w:u w:val="none" w:color="auto"/>
          <w:lang w:eastAsia="zh-CN"/>
        </w:rPr>
        <w:t>废</w:t>
      </w:r>
      <w:r>
        <w:rPr>
          <w:rFonts w:hint="eastAsia"/>
          <w:color w:val="auto"/>
          <w:u w:val="none" w:color="auto"/>
          <w:lang w:val="en-US" w:eastAsia="zh-CN"/>
        </w:rPr>
        <w:t>矿物油</w:t>
      </w:r>
      <w:r>
        <w:rPr>
          <w:rFonts w:hint="eastAsia"/>
          <w:color w:val="auto"/>
          <w:u w:val="none" w:color="auto"/>
          <w:lang w:eastAsia="zh-CN"/>
        </w:rPr>
        <w:t>）存放区，应设置防渗漏托盘。</w:t>
      </w:r>
    </w:p>
    <w:p w14:paraId="7A943F39">
      <w:pPr>
        <w:pStyle w:val="21"/>
        <w:bidi w:val="0"/>
        <w:rPr>
          <w:rFonts w:hint="default"/>
          <w:b/>
          <w:bCs/>
          <w:color w:val="auto"/>
          <w:u w:val="none" w:color="auto"/>
          <w:lang w:val="en-US" w:eastAsia="zh-CN"/>
        </w:rPr>
      </w:pPr>
      <w:r>
        <w:rPr>
          <w:rFonts w:hint="eastAsia"/>
          <w:b/>
          <w:bCs/>
          <w:color w:val="auto"/>
          <w:u w:val="none" w:color="auto"/>
          <w:lang w:val="en-US" w:eastAsia="zh-CN"/>
        </w:rPr>
        <w:t>2、</w:t>
      </w:r>
      <w:r>
        <w:rPr>
          <w:rFonts w:hint="default"/>
          <w:b/>
          <w:bCs/>
          <w:color w:val="auto"/>
          <w:u w:val="none" w:color="auto"/>
          <w:lang w:val="en-US" w:eastAsia="zh-CN"/>
        </w:rPr>
        <w:t>操作过程中安全防范措施</w:t>
      </w:r>
    </w:p>
    <w:p w14:paraId="4D9E6902">
      <w:pPr>
        <w:pStyle w:val="21"/>
        <w:bidi w:val="0"/>
        <w:rPr>
          <w:rFonts w:hint="default"/>
          <w:color w:val="auto"/>
          <w:u w:val="none" w:color="auto"/>
          <w:lang w:val="en-GB" w:eastAsia="zh-CN"/>
        </w:rPr>
      </w:pPr>
      <w:r>
        <w:rPr>
          <w:rFonts w:hint="default"/>
          <w:color w:val="auto"/>
          <w:u w:val="none" w:color="auto"/>
          <w:lang w:val="en-GB" w:eastAsia="zh-CN"/>
        </w:rPr>
        <w:t>生产过程中若发生事故，不但会引起环境的破坏，而且还会给企业造成巨大的</w:t>
      </w:r>
      <w:r>
        <w:rPr>
          <w:rFonts w:hint="eastAsia"/>
          <w:color w:val="auto"/>
          <w:u w:val="none" w:color="auto"/>
          <w:lang w:val="en-US" w:eastAsia="zh-CN"/>
        </w:rPr>
        <w:t>经济</w:t>
      </w:r>
      <w:r>
        <w:rPr>
          <w:rFonts w:hint="default"/>
          <w:color w:val="auto"/>
          <w:u w:val="none" w:color="auto"/>
          <w:lang w:val="en-GB" w:eastAsia="zh-CN"/>
        </w:rPr>
        <w:t>损失。根据调查统计，事故的发生因素主要包括：设计缺陷、设备质量差、管理失误以及违章操作等。因此，公司采用了以下防范措施：</w:t>
      </w:r>
    </w:p>
    <w:p w14:paraId="6A575E0E">
      <w:pPr>
        <w:pStyle w:val="21"/>
        <w:bidi w:val="0"/>
        <w:rPr>
          <w:rFonts w:hint="default"/>
          <w:color w:val="auto"/>
          <w:u w:val="none" w:color="auto"/>
          <w:lang w:val="en-GB" w:eastAsia="zh-CN"/>
        </w:rPr>
      </w:pPr>
      <w:r>
        <w:rPr>
          <w:rFonts w:hint="default"/>
          <w:color w:val="auto"/>
          <w:u w:val="none" w:color="auto"/>
          <w:lang w:val="en-GB" w:eastAsia="zh-CN"/>
        </w:rPr>
        <w:t>（1）严格把好工程设计、施工根据厂区各生产单元的特性，对车间分别考虑防火、防爆、防雷及排风的要求。</w:t>
      </w:r>
    </w:p>
    <w:p w14:paraId="497AB60E">
      <w:pPr>
        <w:pStyle w:val="21"/>
        <w:bidi w:val="0"/>
        <w:rPr>
          <w:rFonts w:hint="default"/>
          <w:color w:val="auto"/>
          <w:u w:val="none" w:color="auto"/>
          <w:lang w:val="en-GB" w:eastAsia="zh-CN"/>
        </w:rPr>
      </w:pPr>
      <w:r>
        <w:rPr>
          <w:rFonts w:hint="default"/>
          <w:color w:val="auto"/>
          <w:u w:val="none" w:color="auto"/>
          <w:lang w:val="en-GB" w:eastAsia="zh-CN"/>
        </w:rPr>
        <w:t>设计中严格执行国家有关的标准规范和劳动安全卫生的法规、制度；选用高质量的管道、管件等设备，降低因设备质量引起的污染物泄漏事故发生；各生产车间必须配别消防灭火设施和留有消防通道；</w:t>
      </w:r>
    </w:p>
    <w:p w14:paraId="79D66865">
      <w:pPr>
        <w:pStyle w:val="21"/>
        <w:bidi w:val="0"/>
        <w:rPr>
          <w:rFonts w:hint="default"/>
          <w:color w:val="auto"/>
          <w:u w:val="none" w:color="auto"/>
          <w:lang w:val="en-GB" w:eastAsia="zh-CN"/>
        </w:rPr>
      </w:pPr>
      <w:r>
        <w:rPr>
          <w:rFonts w:hint="default"/>
          <w:color w:val="auto"/>
          <w:u w:val="none" w:color="auto"/>
          <w:lang w:val="en-GB" w:eastAsia="zh-CN"/>
        </w:rPr>
        <w:t>（2）完善规章制度建立健全的车间规章制度，加强员工教育，提高员工对突发性事故的警觉和认识；强化风险意识，加强安全管理，减少风险事故的发生。</w:t>
      </w:r>
    </w:p>
    <w:p w14:paraId="229FBF16">
      <w:pPr>
        <w:pStyle w:val="21"/>
        <w:bidi w:val="0"/>
        <w:rPr>
          <w:rFonts w:hint="default"/>
          <w:color w:val="auto"/>
          <w:u w:val="none" w:color="auto"/>
        </w:rPr>
      </w:pPr>
      <w:r>
        <w:rPr>
          <w:rFonts w:hint="default"/>
          <w:color w:val="auto"/>
          <w:u w:val="none" w:color="auto"/>
          <w:lang w:val="en-GB" w:eastAsia="zh-CN"/>
        </w:rPr>
        <w:t>（3）加强技术培训，提高职工安全意识加强对员工的培训，提高员工技能，使所有操作人员熟悉自己的岗位，树立严谨的操作作风；定期进行安全环保宣传教育及事故演练，提高员工的应急事故处置能力，在任何紧急情况下都能及时、独立、正确地实施相关应急措施。</w:t>
      </w:r>
    </w:p>
    <w:p w14:paraId="2B65DF89">
      <w:pPr>
        <w:pStyle w:val="21"/>
        <w:bidi w:val="0"/>
        <w:rPr>
          <w:rFonts w:hint="default" w:ascii="Times New Roman" w:hAnsi="Times New Roman" w:eastAsia="宋体" w:cs="Times New Roman"/>
          <w:b/>
          <w:bCs/>
          <w:color w:val="auto"/>
          <w:sz w:val="24"/>
          <w:szCs w:val="24"/>
          <w:u w:val="none" w:color="auto"/>
          <w:lang w:val="en-US" w:eastAsia="zh-CN"/>
        </w:rPr>
      </w:pPr>
      <w:r>
        <w:rPr>
          <w:rFonts w:hint="eastAsia"/>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工程设计安全防范措施</w:t>
      </w:r>
    </w:p>
    <w:p w14:paraId="5BAE46A3">
      <w:pPr>
        <w:pStyle w:val="21"/>
        <w:bidi w:val="0"/>
        <w:rPr>
          <w:rFonts w:hint="default"/>
          <w:color w:val="auto"/>
          <w:u w:val="none" w:color="auto"/>
          <w:lang w:val="en-US" w:eastAsia="zh-CN"/>
        </w:rPr>
      </w:pPr>
      <w:r>
        <w:rPr>
          <w:rFonts w:hint="default"/>
          <w:color w:val="auto"/>
          <w:u w:val="none" w:color="auto"/>
          <w:lang w:val="en-US" w:eastAsia="zh-CN"/>
        </w:rPr>
        <w:t>工程设计是控制风险事故发生的一个重要因素，只有严格把好工程设计关、施工关，严格执行工程设计国家相应标准规范，从源头上消除事故隐患。</w:t>
      </w:r>
    </w:p>
    <w:p w14:paraId="61CB5004">
      <w:pPr>
        <w:pStyle w:val="21"/>
        <w:bidi w:val="0"/>
        <w:rPr>
          <w:rFonts w:hint="default"/>
          <w:color w:val="auto"/>
          <w:u w:val="none" w:color="auto"/>
          <w:lang w:val="en-US" w:eastAsia="zh-CN"/>
        </w:rPr>
      </w:pPr>
      <w:r>
        <w:rPr>
          <w:rFonts w:hint="default"/>
          <w:color w:val="auto"/>
          <w:u w:val="none" w:color="auto"/>
          <w:lang w:val="en-US" w:eastAsia="zh-CN"/>
        </w:rPr>
        <w:t>（1）工程设计严格执行国家、行业等有关部门的设计规范和标准；</w:t>
      </w:r>
    </w:p>
    <w:p w14:paraId="228670C6">
      <w:pPr>
        <w:pStyle w:val="21"/>
        <w:bidi w:val="0"/>
        <w:rPr>
          <w:rFonts w:hint="default"/>
          <w:color w:val="auto"/>
          <w:u w:val="none" w:color="auto"/>
          <w:lang w:val="en-US" w:eastAsia="zh-CN"/>
        </w:rPr>
      </w:pPr>
      <w:r>
        <w:rPr>
          <w:rFonts w:hint="default"/>
          <w:color w:val="auto"/>
          <w:u w:val="none" w:color="auto"/>
          <w:lang w:val="en-US" w:eastAsia="zh-CN"/>
        </w:rPr>
        <w:t>（2）采用技术先进工艺和安全可靠的设备，尽量采用自动化控制系统，降低工人劳动强度和工作环境；</w:t>
      </w:r>
    </w:p>
    <w:p w14:paraId="5D32225F">
      <w:pPr>
        <w:pStyle w:val="21"/>
        <w:bidi w:val="0"/>
        <w:rPr>
          <w:rFonts w:hint="default"/>
          <w:color w:val="auto"/>
          <w:u w:val="none" w:color="auto"/>
          <w:lang w:val="en-US" w:eastAsia="zh-CN"/>
        </w:rPr>
      </w:pPr>
      <w:r>
        <w:rPr>
          <w:rFonts w:hint="default"/>
          <w:color w:val="auto"/>
          <w:u w:val="none" w:color="auto"/>
          <w:lang w:val="en-US" w:eastAsia="zh-CN"/>
        </w:rPr>
        <w:t>（3）车间内设备布置严格执行国家有关防火防爆的规定，各生产单元之间要留有足够的安全距离，并按规定设计消防通道；</w:t>
      </w:r>
    </w:p>
    <w:p w14:paraId="40CA2B59">
      <w:pPr>
        <w:pStyle w:val="21"/>
        <w:bidi w:val="0"/>
        <w:rPr>
          <w:rFonts w:hint="default"/>
          <w:color w:val="auto"/>
          <w:u w:val="none" w:color="auto"/>
          <w:lang w:val="en-US" w:eastAsia="zh-CN"/>
        </w:rPr>
      </w:pPr>
      <w:r>
        <w:rPr>
          <w:rFonts w:hint="default"/>
          <w:color w:val="auto"/>
          <w:u w:val="none" w:color="auto"/>
          <w:lang w:val="en-US" w:eastAsia="zh-CN"/>
        </w:rPr>
        <w:t>（</w:t>
      </w:r>
      <w:r>
        <w:rPr>
          <w:rFonts w:hint="eastAsia"/>
          <w:color w:val="auto"/>
          <w:u w:val="none" w:color="auto"/>
          <w:lang w:val="en-US" w:eastAsia="zh-CN"/>
        </w:rPr>
        <w:t>4</w:t>
      </w:r>
      <w:r>
        <w:rPr>
          <w:rFonts w:hint="default"/>
          <w:color w:val="auto"/>
          <w:u w:val="none" w:color="auto"/>
          <w:lang w:val="en-US" w:eastAsia="zh-CN"/>
        </w:rPr>
        <w:t>）厂房采取妥善的防雷措施，防止雷击造成事故的发生；</w:t>
      </w:r>
    </w:p>
    <w:p w14:paraId="4A9C4167">
      <w:pPr>
        <w:pStyle w:val="21"/>
        <w:bidi w:val="0"/>
        <w:rPr>
          <w:rFonts w:hint="default"/>
          <w:color w:val="auto"/>
          <w:u w:val="none" w:color="auto"/>
          <w:lang w:val="en-US" w:eastAsia="zh-CN"/>
        </w:rPr>
      </w:pPr>
      <w:r>
        <w:rPr>
          <w:rFonts w:hint="default"/>
          <w:color w:val="auto"/>
          <w:u w:val="none" w:color="auto"/>
          <w:lang w:val="en-US" w:eastAsia="zh-CN"/>
        </w:rPr>
        <w:t>（</w:t>
      </w:r>
      <w:r>
        <w:rPr>
          <w:rFonts w:hint="eastAsia"/>
          <w:color w:val="auto"/>
          <w:u w:val="none" w:color="auto"/>
          <w:lang w:val="en-US" w:eastAsia="zh-CN"/>
        </w:rPr>
        <w:t>5</w:t>
      </w:r>
      <w:r>
        <w:rPr>
          <w:rFonts w:hint="default"/>
          <w:color w:val="auto"/>
          <w:u w:val="none" w:color="auto"/>
          <w:lang w:val="en-US" w:eastAsia="zh-CN"/>
        </w:rPr>
        <w:t>）车间内合理配置消防器材，主要车间消火栓箱内及罐区设立手动报警和起泵按钮，并将起泵信号线路引至消防控制室；设置感温感烟火灾报警器，报警信号与消防控制室链接。</w:t>
      </w:r>
    </w:p>
    <w:p w14:paraId="15A79B96">
      <w:pPr>
        <w:pStyle w:val="21"/>
        <w:bidi w:val="0"/>
        <w:rPr>
          <w:rFonts w:hint="eastAsia"/>
          <w:color w:val="auto"/>
          <w:u w:val="none" w:color="auto"/>
          <w:lang w:val="en-US" w:eastAsia="zh-CN"/>
        </w:rPr>
      </w:pPr>
      <w:r>
        <w:rPr>
          <w:rFonts w:hint="eastAsia"/>
          <w:b/>
          <w:bCs/>
          <w:color w:val="auto"/>
          <w:u w:val="none" w:color="auto"/>
          <w:lang w:val="en-US" w:eastAsia="zh-CN"/>
        </w:rPr>
        <w:t>4、环保设施风险防范措施</w:t>
      </w:r>
    </w:p>
    <w:p w14:paraId="40F9FD5B">
      <w:pPr>
        <w:pStyle w:val="21"/>
        <w:bidi w:val="0"/>
        <w:rPr>
          <w:rFonts w:hint="default"/>
          <w:color w:val="auto"/>
          <w:u w:val="none" w:color="auto"/>
          <w:lang w:val="en-US" w:eastAsia="zh-CN"/>
        </w:rPr>
      </w:pPr>
      <w:r>
        <w:rPr>
          <w:rFonts w:hint="default"/>
          <w:color w:val="auto"/>
          <w:u w:val="none" w:color="auto"/>
          <w:lang w:val="en-US" w:eastAsia="zh-CN"/>
        </w:rPr>
        <w:t>（1）企业环保设施主要是废气治理设施，应由专人负责相应环保设施正常运行。</w:t>
      </w:r>
    </w:p>
    <w:p w14:paraId="548DB031">
      <w:pPr>
        <w:pStyle w:val="21"/>
        <w:bidi w:val="0"/>
        <w:rPr>
          <w:rFonts w:hint="default"/>
          <w:color w:val="auto"/>
          <w:u w:val="none" w:color="auto"/>
          <w:lang w:val="en-US" w:eastAsia="zh-CN"/>
        </w:rPr>
      </w:pPr>
      <w:r>
        <w:rPr>
          <w:rFonts w:hint="default"/>
          <w:color w:val="auto"/>
          <w:u w:val="none" w:color="auto"/>
          <w:lang w:val="en-US" w:eastAsia="zh-CN"/>
        </w:rPr>
        <w:t>（2）建立废气处理设施运行管理制度和操作责任制度，照章办事，严格管理，杜绝各种责任事故发生。</w:t>
      </w:r>
    </w:p>
    <w:p w14:paraId="25C6F1E1">
      <w:pPr>
        <w:pStyle w:val="21"/>
        <w:bidi w:val="0"/>
        <w:rPr>
          <w:rFonts w:hint="default"/>
          <w:color w:val="auto"/>
          <w:u w:val="none" w:color="auto"/>
          <w:lang w:val="en-US" w:eastAsia="zh-CN"/>
        </w:rPr>
      </w:pPr>
      <w:r>
        <w:rPr>
          <w:rFonts w:hint="default"/>
          <w:color w:val="auto"/>
          <w:u w:val="none" w:color="auto"/>
          <w:lang w:val="en-US" w:eastAsia="zh-CN"/>
        </w:rPr>
        <w:t>（3）建立安全操作规程，在平时严格按规程办事，定期对环保设施管理人员的理论知识和操作技能进行培训和检查。</w:t>
      </w:r>
    </w:p>
    <w:p w14:paraId="27D534DF">
      <w:pPr>
        <w:pStyle w:val="21"/>
        <w:bidi w:val="0"/>
        <w:rPr>
          <w:rFonts w:hint="default"/>
          <w:color w:val="auto"/>
          <w:u w:val="none" w:color="auto"/>
          <w:lang w:val="en-US" w:eastAsia="zh-CN"/>
        </w:rPr>
      </w:pPr>
      <w:r>
        <w:rPr>
          <w:rFonts w:hint="default"/>
          <w:color w:val="auto"/>
          <w:u w:val="none" w:color="auto"/>
          <w:lang w:val="en-US" w:eastAsia="zh-CN"/>
        </w:rPr>
        <w:t>（4）废气等环保措施必须确保日常运行，如发现人为原因不开启废气等环保治理设施，责任人应受行政和经济处罚，并承担事故排放责任。若环保治理措施因故不能运行，则生产必须停止。</w:t>
      </w:r>
    </w:p>
    <w:p w14:paraId="7021E6A2">
      <w:pPr>
        <w:pStyle w:val="21"/>
        <w:bidi w:val="0"/>
        <w:rPr>
          <w:rFonts w:hint="default"/>
          <w:color w:val="auto"/>
          <w:u w:val="none" w:color="auto"/>
          <w:lang w:val="en-US" w:eastAsia="zh-CN"/>
        </w:rPr>
      </w:pPr>
      <w:r>
        <w:rPr>
          <w:rFonts w:hint="default"/>
          <w:color w:val="auto"/>
          <w:u w:val="none" w:color="auto"/>
          <w:lang w:val="en-US" w:eastAsia="zh-CN"/>
        </w:rPr>
        <w:t>（5）为确保处理效率，在车间设备检修期间，环保处理系统也应同时进行检修，日常应有专人负责进行维护。</w:t>
      </w:r>
    </w:p>
    <w:p w14:paraId="3CE21596">
      <w:pPr>
        <w:pStyle w:val="21"/>
        <w:bidi w:val="0"/>
        <w:rPr>
          <w:rFonts w:hint="default"/>
          <w:color w:val="auto"/>
          <w:u w:val="none" w:color="auto"/>
          <w:lang w:val="en-US" w:eastAsia="zh-CN"/>
        </w:rPr>
      </w:pPr>
      <w:r>
        <w:rPr>
          <w:rFonts w:hint="default"/>
          <w:color w:val="auto"/>
          <w:u w:val="none" w:color="auto"/>
          <w:lang w:val="en-US" w:eastAsia="zh-CN"/>
        </w:rPr>
        <w:t>（6）制定严格的废水排放制度，确保清污分流</w:t>
      </w:r>
      <w:r>
        <w:rPr>
          <w:rFonts w:hint="eastAsia"/>
          <w:color w:val="auto"/>
          <w:u w:val="none" w:color="auto"/>
          <w:lang w:val="en-US" w:eastAsia="zh-CN"/>
        </w:rPr>
        <w:t>，雨污分流</w:t>
      </w:r>
      <w:r>
        <w:rPr>
          <w:rFonts w:hint="default"/>
          <w:color w:val="auto"/>
          <w:u w:val="none" w:color="auto"/>
          <w:lang w:val="en-US" w:eastAsia="zh-CN"/>
        </w:rPr>
        <w:t>。</w:t>
      </w:r>
    </w:p>
    <w:p w14:paraId="290C0EBE">
      <w:pPr>
        <w:pStyle w:val="21"/>
        <w:bidi w:val="0"/>
        <w:rPr>
          <w:rFonts w:hint="eastAsia"/>
          <w:b/>
          <w:bCs/>
          <w:color w:val="auto"/>
          <w:u w:val="none" w:color="auto"/>
          <w:lang w:val="en-US" w:eastAsia="zh-CN"/>
        </w:rPr>
      </w:pPr>
      <w:r>
        <w:rPr>
          <w:rFonts w:hint="eastAsia"/>
          <w:b/>
          <w:bCs/>
          <w:color w:val="auto"/>
          <w:u w:val="none" w:color="auto"/>
          <w:lang w:val="en-US" w:eastAsia="zh-CN"/>
        </w:rPr>
        <w:t>5、火灾事故应急措施</w:t>
      </w:r>
    </w:p>
    <w:p w14:paraId="09F6C63B">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1）根据《建筑设计防火规范》设置固定式消防系统和小型移动性的灭火系统，各仓库及生产车间内部及周围均设置移动性的消防设施，当火灾发现及时处于萌芽状态时，可以采用移动式灭火剂进行灭火。为及早发现火灾并在火灾初期阶段及时扑灭，建议企业设置温度监测及自动喷洒系统。</w:t>
      </w:r>
    </w:p>
    <w:p w14:paraId="0F4CFEC7">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2）发生火灾时，火灾灾情轻，完全可以控制的，当事人应马上进行扑救。一旦火灾有蔓延的苗头，不能控制时，要及时切断电源，按动工艺装置区内的手动报警按钮，将信号送达控制室，再由工作人员拨打火警电话（119）通知消防人员灭火。</w:t>
      </w:r>
    </w:p>
    <w:p w14:paraId="3E0D2268">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（3）若正常上班时间发生火灾事故，应及时报告当班主管或公司中层以上领导，并通知当班的义务消防员到达火灾现场；在节假日值班期间，则直接报告企业值班人员，并积极参加火灾扑救工作。</w:t>
      </w:r>
    </w:p>
    <w:p w14:paraId="61119A73">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4）火灾出现后，接报的领导或行政值班人员要立即赶到现场指挥救灾工作，核查火灾报警是否真正落实，并组织好保安力量做好火灾现场的保护及治安秩序的维持等工作。在公安消防队到之前，组织当班的义务消防员队伍第一时间到达火灾现场，进行力所能及的扑救工作；在公安消防队到达现场后，协助公安消防队展开全面扑救以及火灾原因的调查工作。</w:t>
      </w:r>
    </w:p>
    <w:p w14:paraId="496B1A9C">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5）火灾出现后，事故现场人员的疏散：人员自行撤离到上风口处，由警戒疏散组负责清点本厂工作人员和现场救助人员人数，并应组织相关人员有秩序地疏散，疏散顺序从最危险地段人员先开始，相互兼顾照应，并根据事故的影响估计指明集合地点。人员在安全地点集合后，值班人员清点人数后，向指挥部报告人员情况。发现缺员，应报告所缺员工的姓名和事故前所处位置等。</w:t>
      </w:r>
    </w:p>
    <w:p w14:paraId="5C5489B8">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6）火灾出现后，非事故现场人员紧急疏散：事故报警后，本厂应急指挥部发出撤离命令，接命令后，警戒疏散组成员组织疏散，人员接通知后，自行撤离到安全区域。疏散顺序从最危险地段人员先开始，相互兼顾照应，并根据事故的影响估计指明集合地点。人员在安全地点集合后，负责人清点人数后，向当班主管报告人员情况。发现缺员，应报告所缺人员的姓名和事故前所处位置等。</w:t>
      </w:r>
    </w:p>
    <w:p w14:paraId="26DE51DD">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7）火灾出现后，周边单位、居民紧急疏散：当火灾事故危及项目周边单位，由应急总指挥部下命令，通讯联络组向政府以及周边单位、居住区发送事故报警信息。事态严重紧急时，通讯联络组直接联系政府发布消息，提出要求组织撤离疏散或者请救援助。在发布消息时，必须发布事态的缓急程度，提出撤离的具体方法和方式。撤离方式有步行和车辆运输两种。撤离方法中应明确应采取的预防措施、注意事项、撤离方向和撤离距离。</w:t>
      </w:r>
    </w:p>
    <w:p w14:paraId="0A03A81D">
      <w:pPr>
        <w:pStyle w:val="21"/>
        <w:bidi w:val="0"/>
        <w:rPr>
          <w:rFonts w:hint="default"/>
          <w:b w:val="0"/>
          <w:bCs w:val="0"/>
          <w:color w:val="auto"/>
          <w:u w:val="none" w:color="auto"/>
          <w:lang w:val="en-US" w:eastAsia="zh-CN"/>
        </w:rPr>
      </w:pPr>
      <w:r>
        <w:rPr>
          <w:rFonts w:hint="default"/>
          <w:b w:val="0"/>
          <w:bCs w:val="0"/>
          <w:color w:val="auto"/>
          <w:u w:val="none" w:color="auto"/>
          <w:lang w:val="en-US" w:eastAsia="zh-CN"/>
        </w:rPr>
        <w:t>（8）火灾扑灭后，由专家根据调查取证情况，依据相关制度，拟定追究事故责任部门和责任人员责任的意见，报领导小组审批，对于触犯刑律的，移交司法机关追究刑事责任。</w:t>
      </w:r>
    </w:p>
    <w:p w14:paraId="1E0CC17E">
      <w:pPr>
        <w:pStyle w:val="8"/>
        <w:rPr>
          <w:rFonts w:hint="default" w:ascii="Times New Roman" w:hAnsi="Times New Roman" w:cs="Times New Roman"/>
          <w:color w:val="auto"/>
          <w:u w:val="none" w:color="auto"/>
          <w:lang w:val="en-US" w:eastAsia="zh-CN"/>
        </w:rPr>
      </w:pPr>
      <w:bookmarkStart w:id="1224" w:name="_Toc6942"/>
      <w:bookmarkStart w:id="1225" w:name="_Toc674"/>
      <w:bookmarkStart w:id="1226" w:name="_Toc11999"/>
      <w:bookmarkStart w:id="1227" w:name="_Toc6949"/>
      <w:bookmarkStart w:id="1228" w:name="_Toc28864"/>
      <w:bookmarkStart w:id="1229" w:name="_Toc10144"/>
      <w:bookmarkStart w:id="1230" w:name="_Toc20930"/>
      <w:bookmarkStart w:id="1231" w:name="_Toc30061"/>
      <w:bookmarkStart w:id="1232" w:name="_Toc14779"/>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应急预案</w:t>
      </w:r>
      <w:bookmarkEnd w:id="1224"/>
      <w:bookmarkEnd w:id="1225"/>
      <w:bookmarkEnd w:id="1226"/>
      <w:bookmarkEnd w:id="1227"/>
      <w:bookmarkEnd w:id="1228"/>
      <w:bookmarkEnd w:id="1229"/>
      <w:bookmarkEnd w:id="1230"/>
      <w:bookmarkEnd w:id="1231"/>
      <w:bookmarkEnd w:id="1232"/>
    </w:p>
    <w:p w14:paraId="69DDF9A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1、事故应急救援措施</w:t>
      </w:r>
    </w:p>
    <w:p w14:paraId="29C867E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应急预案应当着眼于最大限度降低因火灾或其他意外的突发或非突发事件导致的危险废物泄漏到土壤或水体中而产生的对人体健康和环境的危害。对于项目主要风险（主要是火灾事故）应采取以下应急措施：</w:t>
      </w:r>
    </w:p>
    <w:p w14:paraId="6396A3A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旦发生火情，全体工作人员立即进入灭火状态，应急处理人员戴自给式的呼吸器，穿消防防护服。同时，及时通知消防部门，派专人上路迎接消防车辆到来。防火责任人立即敢赴现场、坚决采取果断措施，防止火患扩大。当消防车赶到现场时，要积极做好配合、提供现场情况资料，以最快速度扑灭大火。迅速转移员工到安全地带，设立警戒线，非消防人员不得进入；在安全的情况下，转移火源附近的易燃易爆物品；关闭雨水排入口，防止消防废水排入城市排水系统。</w:t>
      </w:r>
    </w:p>
    <w:p w14:paraId="11E7C7F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2、应急响应方案</w:t>
      </w:r>
    </w:p>
    <w:p w14:paraId="0AF9C54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于项目主要风险（火灾爆炸事故），制定应急响应方案，建立应急反应体系，当事件一旦发生时可迅速加以控制，使危害和损失降低到尽可能低的程度。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w:t>
      </w:r>
    </w:p>
    <w:p w14:paraId="353FB61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建设单位应根据本项目实际情况，结合《湖南省突发环境事件应急预案管理办法（修订版）》（湘环发〔2024〕49号）</w:t>
      </w:r>
      <w:r>
        <w:rPr>
          <w:rFonts w:hint="eastAsia" w:ascii="Times New Roman" w:hAnsi="Times New Roman" w:cs="Times New Roman"/>
          <w:color w:val="auto"/>
          <w:u w:val="none" w:color="auto"/>
          <w:lang w:val="en-US" w:eastAsia="zh-CN"/>
        </w:rPr>
        <w:t>的相关要求确定是否编制项目突发环境事件</w:t>
      </w:r>
      <w:r>
        <w:rPr>
          <w:rFonts w:hint="default" w:ascii="Times New Roman" w:hAnsi="Times New Roman" w:cs="Times New Roman"/>
          <w:color w:val="auto"/>
          <w:u w:val="none" w:color="auto"/>
        </w:rPr>
        <w:t>应急预案，以使相关事故发生时，能够及时采取切实可行的措施进行有效处理，防止事故的扩大，将事故损失降低到最小程度。事故发生时应尽快与当地消防部门取得联系，尽可能多地借助于政府力量，将灾害影响降低至最小；项目应定期组织消防训练，使之可正确使用消防器材，在发生事故时，能够在专业消防队到来之前采取一些必要的缓解措施；发生事故时，保卫部门应立即组织人员维持好事故现场周围的秩序，各部门要负责本部门周围的秩序，严禁无关人员进入事故现场，保证消防人员扑救工作顺利进行。</w:t>
      </w:r>
    </w:p>
    <w:bookmarkEnd w:id="1219"/>
    <w:bookmarkEnd w:id="1220"/>
    <w:bookmarkEnd w:id="1221"/>
    <w:bookmarkEnd w:id="1222"/>
    <w:bookmarkEnd w:id="1223"/>
    <w:p w14:paraId="45D5492F">
      <w:pPr>
        <w:pStyle w:val="8"/>
        <w:rPr>
          <w:rFonts w:hint="default" w:ascii="Times New Roman" w:hAnsi="Times New Roman" w:cs="Times New Roman"/>
          <w:color w:val="auto"/>
          <w:u w:val="none" w:color="auto"/>
          <w:lang w:val="en-US" w:eastAsia="zh-CN"/>
        </w:rPr>
      </w:pPr>
      <w:bookmarkStart w:id="1233" w:name="_Toc11781_WPSOffice_Level2"/>
      <w:bookmarkStart w:id="1234" w:name="_Toc10620"/>
      <w:bookmarkStart w:id="1235" w:name="_Toc927"/>
      <w:bookmarkStart w:id="1236" w:name="_Toc10231"/>
      <w:bookmarkStart w:id="1237" w:name="_Toc29276"/>
      <w:bookmarkStart w:id="1238" w:name="_Toc4094"/>
      <w:bookmarkStart w:id="1239" w:name="_Toc24068"/>
      <w:bookmarkStart w:id="1240" w:name="_Toc26591"/>
      <w:bookmarkStart w:id="1241" w:name="_Toc15598"/>
      <w:bookmarkStart w:id="1242" w:name="_Toc6074"/>
      <w:bookmarkStart w:id="1243" w:name="_Toc28459_WPSOffice_Level2"/>
      <w:bookmarkStart w:id="1244" w:name="_Toc4095_WPSOffice_Level2"/>
      <w:bookmarkStart w:id="1245" w:name="_Toc16268_WPSOffice_Level2"/>
      <w:bookmarkStart w:id="1246" w:name="_Toc19135"/>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环境风险评价结论</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269F4F71">
      <w:pPr>
        <w:pStyle w:val="21"/>
        <w:ind w:left="0" w:leftChars="0" w:firstLine="480" w:firstLineChars="200"/>
        <w:outlineLvl w:val="9"/>
        <w:rPr>
          <w:rFonts w:hint="default" w:ascii="Times New Roman" w:hAnsi="Times New Roman" w:cs="Times New Roman"/>
          <w:color w:val="auto"/>
          <w:u w:val="none" w:color="auto"/>
          <w:lang w:bidi="ar"/>
        </w:rPr>
      </w:pPr>
      <w:r>
        <w:rPr>
          <w:rFonts w:hint="default" w:ascii="Times New Roman" w:hAnsi="Times New Roman" w:cs="Times New Roman"/>
          <w:color w:val="auto"/>
          <w:u w:val="none" w:color="auto"/>
          <w:lang w:bidi="ar"/>
        </w:rPr>
        <w:t>通过对本项目风险识别，认为项目涉及的</w:t>
      </w:r>
      <w:r>
        <w:rPr>
          <w:rFonts w:hint="eastAsia" w:ascii="Times New Roman" w:hAnsi="Times New Roman" w:cs="Times New Roman"/>
          <w:color w:val="auto"/>
          <w:u w:val="none" w:color="auto"/>
          <w:lang w:val="en-US" w:eastAsia="zh-CN" w:bidi="ar"/>
        </w:rPr>
        <w:t>矿物油</w:t>
      </w:r>
      <w:r>
        <w:rPr>
          <w:rFonts w:hint="default" w:ascii="Times New Roman" w:hAnsi="Times New Roman" w:cs="Times New Roman"/>
          <w:color w:val="auto"/>
          <w:u w:val="none" w:color="auto"/>
          <w:lang w:bidi="ar"/>
        </w:rPr>
        <w:t>、</w:t>
      </w:r>
      <w:r>
        <w:rPr>
          <w:rFonts w:hint="eastAsia" w:cs="Times New Roman"/>
          <w:color w:val="auto"/>
          <w:u w:val="none" w:color="auto"/>
          <w:lang w:val="en-US" w:eastAsia="zh-CN" w:bidi="ar"/>
        </w:rPr>
        <w:t>粉尘</w:t>
      </w:r>
      <w:r>
        <w:rPr>
          <w:rFonts w:hint="default" w:ascii="Times New Roman" w:hAnsi="Times New Roman" w:cs="Times New Roman"/>
          <w:color w:val="auto"/>
          <w:u w:val="none" w:color="auto"/>
          <w:lang w:bidi="ar"/>
        </w:rPr>
        <w:t>以及产品等化学物质在使用和贮运过程中均存在的风险影响，经对项目贮运系统和生产系统进行分析，根据类比调查，火灾事故属低概率的风险事故，综合计算得出本项目环境风险</w:t>
      </w:r>
      <w:r>
        <w:rPr>
          <w:rFonts w:hint="eastAsia" w:ascii="Times New Roman" w:hAnsi="Times New Roman" w:cs="Times New Roman"/>
          <w:color w:val="auto"/>
          <w:u w:val="none" w:color="auto"/>
          <w:lang w:val="en-US" w:eastAsia="zh-CN" w:bidi="ar"/>
        </w:rPr>
        <w:t>可控</w:t>
      </w:r>
      <w:r>
        <w:rPr>
          <w:rFonts w:hint="default" w:ascii="Times New Roman" w:hAnsi="Times New Roman" w:cs="Times New Roman"/>
          <w:color w:val="auto"/>
          <w:u w:val="none" w:color="auto"/>
          <w:lang w:bidi="ar"/>
        </w:rPr>
        <w:t>。因此，</w:t>
      </w:r>
      <w:r>
        <w:rPr>
          <w:rFonts w:hint="default" w:ascii="Times New Roman" w:hAnsi="Times New Roman" w:eastAsia="宋体" w:cs="Times New Roman"/>
          <w:color w:val="auto"/>
          <w:sz w:val="24"/>
          <w:szCs w:val="24"/>
          <w:highlight w:val="none"/>
          <w:u w:val="none" w:color="auto"/>
        </w:rPr>
        <w:t>在严格落实各项</w:t>
      </w:r>
      <w:r>
        <w:rPr>
          <w:rFonts w:hint="default" w:ascii="Times New Roman" w:hAnsi="Times New Roman" w:eastAsia="宋体" w:cs="Times New Roman"/>
          <w:color w:val="auto"/>
          <w:sz w:val="24"/>
          <w:szCs w:val="24"/>
          <w:highlight w:val="none"/>
          <w:u w:val="none" w:color="auto"/>
          <w:lang w:val="en-US" w:eastAsia="zh-CN"/>
        </w:rPr>
        <w:t>环境风险</w:t>
      </w:r>
      <w:r>
        <w:rPr>
          <w:rFonts w:hint="default" w:ascii="Times New Roman" w:hAnsi="Times New Roman" w:eastAsia="宋体" w:cs="Times New Roman"/>
          <w:color w:val="auto"/>
          <w:sz w:val="24"/>
          <w:szCs w:val="24"/>
          <w:highlight w:val="none"/>
          <w:u w:val="none" w:color="auto"/>
        </w:rPr>
        <w:t>事故防范和应急措施，加强管理</w:t>
      </w:r>
      <w:r>
        <w:rPr>
          <w:rFonts w:hint="default" w:ascii="Times New Roman" w:hAnsi="Times New Roman" w:eastAsia="宋体" w:cs="Times New Roman"/>
          <w:color w:val="auto"/>
          <w:sz w:val="24"/>
          <w:szCs w:val="24"/>
          <w:highlight w:val="none"/>
          <w:u w:val="none" w:color="auto"/>
          <w:lang w:val="en-US" w:eastAsia="zh-CN"/>
        </w:rPr>
        <w:t>的情况下</w:t>
      </w:r>
      <w:r>
        <w:rPr>
          <w:rFonts w:hint="default" w:ascii="Times New Roman" w:hAnsi="Times New Roman" w:eastAsia="宋体" w:cs="Times New Roman"/>
          <w:color w:val="auto"/>
          <w:sz w:val="24"/>
          <w:szCs w:val="24"/>
          <w:highlight w:val="none"/>
          <w:u w:val="none" w:color="auto"/>
        </w:rPr>
        <w:t>，可最大限度地减少可能发生的环境风险。一旦发生事故，可将影响范围控制在较小程度之内，减轻对环境的影响。本项目建设营运的</w:t>
      </w:r>
      <w:r>
        <w:rPr>
          <w:rFonts w:hint="default" w:ascii="Times New Roman" w:hAnsi="Times New Roman" w:eastAsia="宋体" w:cs="Times New Roman"/>
          <w:color w:val="auto"/>
          <w:sz w:val="24"/>
          <w:szCs w:val="24"/>
          <w:highlight w:val="none"/>
          <w:u w:val="none" w:color="auto"/>
          <w:lang w:eastAsia="zh-CN"/>
        </w:rPr>
        <w:t>环境</w:t>
      </w:r>
      <w:r>
        <w:rPr>
          <w:rFonts w:hint="default" w:ascii="Times New Roman" w:hAnsi="Times New Roman" w:eastAsia="宋体" w:cs="Times New Roman"/>
          <w:color w:val="auto"/>
          <w:sz w:val="24"/>
          <w:szCs w:val="24"/>
          <w:highlight w:val="none"/>
          <w:u w:val="none" w:color="auto"/>
        </w:rPr>
        <w:t>风险</w:t>
      </w:r>
      <w:r>
        <w:rPr>
          <w:rFonts w:hint="default" w:ascii="Times New Roman" w:hAnsi="Times New Roman" w:eastAsia="宋体" w:cs="Times New Roman"/>
          <w:color w:val="auto"/>
          <w:sz w:val="24"/>
          <w:szCs w:val="24"/>
          <w:highlight w:val="none"/>
          <w:u w:val="none" w:color="auto"/>
          <w:lang w:eastAsia="zh-CN"/>
        </w:rPr>
        <w:t>总体可控</w:t>
      </w:r>
      <w:r>
        <w:rPr>
          <w:rFonts w:hint="default" w:ascii="Times New Roman" w:hAnsi="Times New Roman" w:cs="Times New Roman"/>
          <w:color w:val="auto"/>
          <w:u w:val="none" w:color="auto"/>
          <w:lang w:bidi="ar"/>
        </w:rPr>
        <w:t>。</w:t>
      </w:r>
    </w:p>
    <w:p w14:paraId="18633C3D">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9</w:t>
      </w:r>
      <w:r>
        <w:rPr>
          <w:rFonts w:hint="default"/>
          <w:color w:val="auto"/>
          <w:u w:val="none" w:color="auto"/>
        </w:rPr>
        <w:t xml:space="preserve">  项目环境风险简单分析内容表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665"/>
        <w:gridCol w:w="1764"/>
        <w:gridCol w:w="1170"/>
        <w:gridCol w:w="1392"/>
        <w:gridCol w:w="991"/>
      </w:tblGrid>
      <w:tr w14:paraId="1A55F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6461A61A">
            <w:pPr>
              <w:pStyle w:val="25"/>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公司</w:t>
            </w:r>
            <w:r>
              <w:rPr>
                <w:rFonts w:hint="default" w:ascii="Times New Roman" w:hAnsi="Times New Roman" w:cs="Times New Roman"/>
                <w:color w:val="auto"/>
                <w:u w:val="none" w:color="auto"/>
              </w:rPr>
              <w:t>名称</w:t>
            </w:r>
          </w:p>
        </w:tc>
        <w:tc>
          <w:tcPr>
            <w:tcW w:w="6982" w:type="dxa"/>
            <w:gridSpan w:val="5"/>
            <w:noWrap w:val="0"/>
            <w:vAlign w:val="center"/>
          </w:tcPr>
          <w:p w14:paraId="4768429F">
            <w:pPr>
              <w:pStyle w:val="25"/>
              <w:bidi w:val="0"/>
              <w:rPr>
                <w:rFonts w:hint="default" w:ascii="Times New Roman" w:hAnsi="Times New Roman" w:cs="Times New Roman"/>
                <w:color w:val="auto"/>
                <w:u w:val="none" w:color="auto"/>
                <w:lang w:val="en-US" w:eastAsia="zh-CN"/>
              </w:rPr>
            </w:pPr>
            <w:r>
              <w:rPr>
                <w:rFonts w:hint="eastAsia"/>
                <w:color w:val="auto"/>
                <w:lang w:eastAsia="zh-CN"/>
              </w:rPr>
              <w:t>湖南宏翰新能源科技有限公司</w:t>
            </w:r>
          </w:p>
        </w:tc>
      </w:tr>
      <w:tr w14:paraId="5EBA5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5AFAD2F2">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建设地点</w:t>
            </w:r>
          </w:p>
        </w:tc>
        <w:tc>
          <w:tcPr>
            <w:tcW w:w="1665" w:type="dxa"/>
            <w:noWrap w:val="0"/>
            <w:vAlign w:val="center"/>
          </w:tcPr>
          <w:p w14:paraId="362900AC">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湖南</w:t>
            </w:r>
            <w:r>
              <w:rPr>
                <w:rFonts w:hint="default" w:ascii="Times New Roman" w:hAnsi="Times New Roman" w:cs="Times New Roman"/>
                <w:color w:val="auto"/>
                <w:u w:val="none" w:color="auto"/>
              </w:rPr>
              <w:t>）省</w:t>
            </w:r>
          </w:p>
        </w:tc>
        <w:tc>
          <w:tcPr>
            <w:tcW w:w="1764" w:type="dxa"/>
            <w:noWrap w:val="0"/>
            <w:vAlign w:val="center"/>
          </w:tcPr>
          <w:p w14:paraId="50A7983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岳阳</w:t>
            </w:r>
            <w:r>
              <w:rPr>
                <w:rFonts w:hint="default" w:ascii="Times New Roman" w:hAnsi="Times New Roman" w:cs="Times New Roman"/>
                <w:color w:val="auto"/>
                <w:u w:val="none" w:color="auto"/>
              </w:rPr>
              <w:t>）市</w:t>
            </w:r>
          </w:p>
        </w:tc>
        <w:tc>
          <w:tcPr>
            <w:tcW w:w="1170" w:type="dxa"/>
            <w:noWrap w:val="0"/>
            <w:vAlign w:val="center"/>
          </w:tcPr>
          <w:p w14:paraId="76F9233C">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）区</w:t>
            </w:r>
          </w:p>
        </w:tc>
        <w:tc>
          <w:tcPr>
            <w:tcW w:w="1392" w:type="dxa"/>
            <w:noWrap w:val="0"/>
            <w:vAlign w:val="center"/>
          </w:tcPr>
          <w:p w14:paraId="2702B9EE">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汨罗市</w:t>
            </w:r>
            <w:r>
              <w:rPr>
                <w:rFonts w:hint="default" w:ascii="Times New Roman" w:hAnsi="Times New Roman" w:cs="Times New Roman"/>
                <w:color w:val="auto"/>
                <w:u w:val="none" w:color="auto"/>
              </w:rPr>
              <w:t>）县</w:t>
            </w:r>
          </w:p>
        </w:tc>
        <w:tc>
          <w:tcPr>
            <w:tcW w:w="991" w:type="dxa"/>
            <w:noWrap w:val="0"/>
            <w:vAlign w:val="center"/>
          </w:tcPr>
          <w:p w14:paraId="4D07FE6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（/）区</w:t>
            </w:r>
          </w:p>
        </w:tc>
      </w:tr>
      <w:tr w14:paraId="75295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6B0ABF5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地理坐标</w:t>
            </w:r>
          </w:p>
        </w:tc>
        <w:tc>
          <w:tcPr>
            <w:tcW w:w="1665" w:type="dxa"/>
            <w:noWrap w:val="0"/>
            <w:vAlign w:val="center"/>
          </w:tcPr>
          <w:p w14:paraId="3957F01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经度</w:t>
            </w:r>
          </w:p>
        </w:tc>
        <w:tc>
          <w:tcPr>
            <w:tcW w:w="1764" w:type="dxa"/>
            <w:noWrap w:val="0"/>
            <w:vAlign w:val="center"/>
          </w:tcPr>
          <w:p w14:paraId="095D443D">
            <w:pPr>
              <w:pStyle w:val="25"/>
              <w:bidi w:val="0"/>
              <w:rPr>
                <w:rFonts w:hint="default" w:ascii="Times New Roman" w:hAnsi="Times New Roman" w:cs="Times New Roman"/>
                <w:color w:val="auto"/>
                <w:u w:val="none" w:color="auto"/>
              </w:rPr>
            </w:pPr>
            <w:r>
              <w:rPr>
                <w:rFonts w:hint="eastAsia"/>
                <w:color w:val="auto"/>
                <w:sz w:val="21"/>
                <w:szCs w:val="21"/>
                <w:u w:val="none" w:color="auto"/>
              </w:rPr>
              <w:t>113.150629</w:t>
            </w:r>
          </w:p>
        </w:tc>
        <w:tc>
          <w:tcPr>
            <w:tcW w:w="1170" w:type="dxa"/>
            <w:noWrap w:val="0"/>
            <w:vAlign w:val="center"/>
          </w:tcPr>
          <w:p w14:paraId="7EE40DF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纬度</w:t>
            </w:r>
          </w:p>
        </w:tc>
        <w:tc>
          <w:tcPr>
            <w:tcW w:w="2383" w:type="dxa"/>
            <w:gridSpan w:val="2"/>
            <w:noWrap w:val="0"/>
            <w:vAlign w:val="center"/>
          </w:tcPr>
          <w:p w14:paraId="5F8F5635">
            <w:pPr>
              <w:pStyle w:val="25"/>
              <w:bidi w:val="0"/>
              <w:rPr>
                <w:rFonts w:hint="default" w:ascii="Times New Roman" w:hAnsi="Times New Roman" w:cs="Times New Roman"/>
                <w:color w:val="auto"/>
                <w:u w:val="none" w:color="auto"/>
              </w:rPr>
            </w:pPr>
            <w:r>
              <w:rPr>
                <w:rFonts w:hint="eastAsia"/>
                <w:color w:val="auto"/>
                <w:sz w:val="21"/>
                <w:szCs w:val="21"/>
                <w:u w:val="none" w:color="auto"/>
              </w:rPr>
              <w:t>28.484262</w:t>
            </w:r>
          </w:p>
        </w:tc>
      </w:tr>
      <w:tr w14:paraId="66EB5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5F51BEE7">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主要危险物质分布</w:t>
            </w:r>
          </w:p>
        </w:tc>
        <w:tc>
          <w:tcPr>
            <w:tcW w:w="6982" w:type="dxa"/>
            <w:gridSpan w:val="5"/>
            <w:noWrap w:val="0"/>
            <w:vAlign w:val="center"/>
          </w:tcPr>
          <w:p w14:paraId="43D82F10">
            <w:pPr>
              <w:pStyle w:val="32"/>
              <w:bidi w:val="0"/>
              <w:rPr>
                <w:rFonts w:hint="eastAsia"/>
                <w:color w:val="auto"/>
                <w:u w:val="none" w:color="auto"/>
                <w:lang w:val="en-US" w:eastAsia="zh-CN"/>
              </w:rPr>
            </w:pPr>
            <w:r>
              <w:rPr>
                <w:rFonts w:hint="eastAsia"/>
                <w:color w:val="auto"/>
                <w:u w:val="none" w:color="auto"/>
                <w:lang w:val="en-US" w:eastAsia="zh-CN"/>
              </w:rPr>
              <w:t>废活性炭、废矿物油、废液压油、废导热油、废油桶、废含油抹布及手套：危废暂存间；</w:t>
            </w:r>
          </w:p>
          <w:p w14:paraId="53DF8021">
            <w:pPr>
              <w:pStyle w:val="32"/>
              <w:bidi w:val="0"/>
              <w:rPr>
                <w:rFonts w:hint="default"/>
                <w:color w:val="auto"/>
                <w:u w:val="none" w:color="auto"/>
                <w:lang w:val="en-US" w:eastAsia="zh-CN"/>
              </w:rPr>
            </w:pPr>
            <w:r>
              <w:rPr>
                <w:rFonts w:hint="eastAsia"/>
                <w:color w:val="auto"/>
                <w:u w:val="none" w:color="auto"/>
                <w:lang w:val="en-US" w:eastAsia="zh-CN"/>
              </w:rPr>
              <w:t>矿物油、液压油：原料区、压机区域</w:t>
            </w:r>
          </w:p>
          <w:p w14:paraId="09CC59A6">
            <w:pPr>
              <w:pStyle w:val="32"/>
              <w:bidi w:val="0"/>
              <w:rPr>
                <w:rFonts w:hint="default"/>
                <w:color w:val="auto"/>
                <w:u w:val="none" w:color="auto"/>
                <w:lang w:val="en-US" w:eastAsia="zh-CN"/>
              </w:rPr>
            </w:pPr>
            <w:r>
              <w:rPr>
                <w:rFonts w:hint="eastAsia"/>
                <w:color w:val="auto"/>
                <w:u w:val="none" w:color="auto"/>
                <w:lang w:val="en-US" w:eastAsia="zh-CN"/>
              </w:rPr>
              <w:t>导热油：导热油炉区域</w:t>
            </w:r>
          </w:p>
          <w:p w14:paraId="2D332E12">
            <w:pPr>
              <w:pStyle w:val="32"/>
              <w:bidi w:val="0"/>
              <w:rPr>
                <w:rFonts w:hint="default" w:eastAsia="宋体"/>
                <w:color w:val="auto"/>
                <w:u w:val="none" w:color="auto"/>
                <w:lang w:val="en-US" w:eastAsia="zh-CN"/>
              </w:rPr>
            </w:pPr>
            <w:r>
              <w:rPr>
                <w:rFonts w:hint="eastAsia"/>
                <w:color w:val="auto"/>
                <w:u w:val="none" w:color="auto"/>
                <w:lang w:val="en-US" w:eastAsia="zh-CN"/>
              </w:rPr>
              <w:t>天然气：管道</w:t>
            </w:r>
          </w:p>
        </w:tc>
      </w:tr>
      <w:tr w14:paraId="417E7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33F5DBAD">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环境影响途径及危害后果（大气、地表水、地下水等）</w:t>
            </w:r>
          </w:p>
        </w:tc>
        <w:tc>
          <w:tcPr>
            <w:tcW w:w="6982" w:type="dxa"/>
            <w:gridSpan w:val="5"/>
            <w:noWrap w:val="0"/>
            <w:vAlign w:val="center"/>
          </w:tcPr>
          <w:p w14:paraId="245F9C12">
            <w:pPr>
              <w:pStyle w:val="25"/>
              <w:numPr>
                <w:ilvl w:val="0"/>
                <w:numId w:val="7"/>
              </w:numPr>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火灾事故</w:t>
            </w:r>
            <w:r>
              <w:rPr>
                <w:rFonts w:hint="default" w:ascii="Times New Roman" w:hAnsi="Times New Roman" w:cs="Times New Roman"/>
                <w:color w:val="auto"/>
                <w:u w:val="none" w:color="auto"/>
              </w:rPr>
              <w:t>会污染周边大气环境。</w:t>
            </w:r>
          </w:p>
          <w:p w14:paraId="04E9FC5E">
            <w:pPr>
              <w:pStyle w:val="25"/>
              <w:bidi w:val="0"/>
              <w:rPr>
                <w:rFonts w:hint="default"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液态风险物质</w:t>
            </w:r>
            <w:r>
              <w:rPr>
                <w:rFonts w:hint="eastAsia"/>
                <w:b w:val="0"/>
                <w:bCs w:val="0"/>
                <w:color w:val="auto"/>
                <w:u w:val="none" w:color="auto"/>
                <w:lang w:val="en-US" w:eastAsia="zh-CN"/>
              </w:rPr>
              <w:t>泄漏事故。</w:t>
            </w:r>
          </w:p>
          <w:p w14:paraId="1F146558">
            <w:pPr>
              <w:pStyle w:val="25"/>
              <w:bidi w:val="0"/>
              <w:rPr>
                <w:rFonts w:hint="default" w:eastAsia="宋体"/>
                <w:color w:val="auto"/>
                <w:u w:val="none" w:color="auto"/>
                <w:lang w:val="en-US" w:eastAsia="zh-CN"/>
              </w:rPr>
            </w:pP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eastAsia="zh-CN"/>
              </w:rPr>
              <w:t>）废气事故排放污染周边大气环境。</w:t>
            </w:r>
          </w:p>
        </w:tc>
      </w:tr>
      <w:tr w14:paraId="3DC1E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61F8649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风险防范措施要求</w:t>
            </w:r>
          </w:p>
        </w:tc>
        <w:tc>
          <w:tcPr>
            <w:tcW w:w="6982" w:type="dxa"/>
            <w:gridSpan w:val="5"/>
            <w:noWrap w:val="0"/>
            <w:vAlign w:val="center"/>
          </w:tcPr>
          <w:p w14:paraId="0F5C83C4">
            <w:pPr>
              <w:pStyle w:val="25"/>
              <w:bidi w:val="0"/>
              <w:rPr>
                <w:rFonts w:hint="default"/>
                <w:color w:val="auto"/>
                <w:u w:val="none" w:color="auto"/>
                <w:lang w:val="en-US" w:eastAsia="zh-CN"/>
              </w:rPr>
            </w:pPr>
            <w:r>
              <w:rPr>
                <w:rFonts w:hint="eastAsia"/>
                <w:color w:val="auto"/>
                <w:u w:val="none" w:color="auto"/>
                <w:lang w:val="en-US" w:eastAsia="zh-CN"/>
              </w:rPr>
              <w:t>①</w:t>
            </w:r>
            <w:r>
              <w:rPr>
                <w:rFonts w:hint="default"/>
                <w:color w:val="auto"/>
                <w:u w:val="none" w:color="auto"/>
              </w:rPr>
              <w:t>定期对原辅材料使用过程中的相关人员，如联络员、仓管员、直接使用人员进行过程监查，定期对上述人员进行相关知识教育和岗位职责培训。</w:t>
            </w:r>
          </w:p>
          <w:p w14:paraId="6EFAFBDD">
            <w:pPr>
              <w:pStyle w:val="25"/>
              <w:bidi w:val="0"/>
              <w:rPr>
                <w:rFonts w:hint="default"/>
                <w:color w:val="auto"/>
                <w:u w:val="none" w:color="auto"/>
                <w:lang w:val="en-US" w:eastAsia="zh-CN"/>
              </w:rPr>
            </w:pPr>
            <w:r>
              <w:rPr>
                <w:rFonts w:hint="eastAsia"/>
                <w:color w:val="auto"/>
                <w:u w:val="none" w:color="auto"/>
                <w:lang w:val="en-US" w:eastAsia="zh-CN"/>
              </w:rPr>
              <w:t>②</w:t>
            </w:r>
            <w:r>
              <w:rPr>
                <w:rFonts w:hint="default"/>
                <w:color w:val="auto"/>
                <w:u w:val="none" w:color="auto"/>
              </w:rPr>
              <w:t>对</w:t>
            </w:r>
            <w:r>
              <w:rPr>
                <w:rFonts w:hint="eastAsia"/>
                <w:color w:val="auto"/>
                <w:u w:val="none" w:color="auto"/>
                <w:lang w:eastAsia="zh-CN"/>
              </w:rPr>
              <w:t>生产线的</w:t>
            </w:r>
            <w:r>
              <w:rPr>
                <w:rFonts w:hint="default"/>
                <w:color w:val="auto"/>
                <w:u w:val="none" w:color="auto"/>
              </w:rPr>
              <w:t>废气净化系统应定期检修、保养；废气处理设施应设相应的备用风机，一旦发生事故，立即停产，及时抢修</w:t>
            </w:r>
            <w:r>
              <w:rPr>
                <w:rFonts w:hint="eastAsia"/>
                <w:color w:val="auto"/>
                <w:u w:val="none" w:color="auto"/>
                <w:lang w:val="en-US" w:eastAsia="zh-CN"/>
              </w:rPr>
              <w:t>。</w:t>
            </w:r>
          </w:p>
          <w:p w14:paraId="0B89D088">
            <w:pPr>
              <w:pStyle w:val="25"/>
              <w:bidi w:val="0"/>
              <w:rPr>
                <w:rFonts w:hint="eastAsia"/>
                <w:color w:val="auto"/>
                <w:u w:val="none" w:color="auto"/>
                <w:lang w:val="en-US" w:eastAsia="zh-CN"/>
              </w:rPr>
            </w:pPr>
            <w:r>
              <w:rPr>
                <w:rFonts w:hint="eastAsia"/>
                <w:color w:val="auto"/>
                <w:u w:val="none" w:color="auto"/>
                <w:lang w:val="en-US" w:eastAsia="zh-CN"/>
              </w:rPr>
              <w:t>③</w:t>
            </w:r>
            <w:r>
              <w:rPr>
                <w:rFonts w:hint="default"/>
                <w:color w:val="auto"/>
                <w:u w:val="none" w:color="auto"/>
                <w:lang w:val="en-US" w:eastAsia="zh-CN"/>
              </w:rPr>
              <w:t>生产车间</w:t>
            </w:r>
            <w:r>
              <w:rPr>
                <w:rFonts w:hint="eastAsia"/>
                <w:color w:val="auto"/>
                <w:u w:val="none" w:color="auto"/>
                <w:lang w:val="en-US" w:eastAsia="zh-CN"/>
              </w:rPr>
              <w:t>应密闭、保持洁净</w:t>
            </w:r>
            <w:r>
              <w:rPr>
                <w:rFonts w:hint="default"/>
                <w:color w:val="auto"/>
                <w:u w:val="none" w:color="auto"/>
                <w:lang w:val="en-US" w:eastAsia="zh-CN"/>
              </w:rPr>
              <w:t>，同时生产车间和原辅料及产品仓库禁止</w:t>
            </w:r>
            <w:r>
              <w:rPr>
                <w:rFonts w:hint="eastAsia"/>
                <w:color w:val="auto"/>
                <w:u w:val="none" w:color="auto"/>
                <w:lang w:val="en-US" w:eastAsia="zh-CN"/>
              </w:rPr>
              <w:t>烟火。</w:t>
            </w:r>
          </w:p>
          <w:p w14:paraId="711C9AAD">
            <w:pPr>
              <w:pStyle w:val="25"/>
              <w:bidi w:val="0"/>
              <w:rPr>
                <w:rFonts w:hint="eastAsia"/>
                <w:color w:val="auto"/>
                <w:u w:val="none" w:color="auto"/>
                <w:lang w:val="en-US" w:eastAsia="zh-CN"/>
              </w:rPr>
            </w:pPr>
            <w:r>
              <w:rPr>
                <w:rFonts w:hint="eastAsia"/>
                <w:color w:val="auto"/>
                <w:u w:val="none" w:color="auto"/>
                <w:lang w:val="en-US" w:eastAsia="zh-CN"/>
              </w:rPr>
              <w:t>④制定严格的废水排放制度，确保清污分流，雨污分流。</w:t>
            </w:r>
          </w:p>
          <w:p w14:paraId="47CF4119">
            <w:pPr>
              <w:pStyle w:val="25"/>
              <w:bidi w:val="0"/>
              <w:rPr>
                <w:rFonts w:hint="default" w:ascii="Times New Roman" w:hAnsi="Times New Roman" w:cs="Times New Roman"/>
                <w:color w:val="auto"/>
                <w:u w:val="none" w:color="auto"/>
              </w:rPr>
            </w:pPr>
            <w:r>
              <w:rPr>
                <w:rFonts w:hint="eastAsia"/>
                <w:color w:val="auto"/>
                <w:u w:val="none" w:color="auto"/>
                <w:lang w:val="en-US" w:eastAsia="zh-CN"/>
              </w:rPr>
              <w:t>⑤危废暂存间应严格按照《危险废物贮存污染控制标准》（GB18597- 2023）相关要求建设，各类危废应分开收集、分区堆放，其最长贮存期应不超过1年，危险废物转移过程中严格执行转移联单制度，并做好台账，防止危险废物在转移过程中发生遗失事故。</w:t>
            </w:r>
          </w:p>
        </w:tc>
      </w:tr>
      <w:tr w14:paraId="580CC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dxa"/>
            <w:noWrap w:val="0"/>
            <w:vAlign w:val="center"/>
          </w:tcPr>
          <w:p w14:paraId="4D9BB35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填表说明（列出项目相关信息及评价说明）</w:t>
            </w:r>
          </w:p>
        </w:tc>
        <w:tc>
          <w:tcPr>
            <w:tcW w:w="6982" w:type="dxa"/>
            <w:gridSpan w:val="5"/>
            <w:noWrap w:val="0"/>
            <w:vAlign w:val="center"/>
          </w:tcPr>
          <w:p w14:paraId="0B94740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本项目环境风险潜势为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，通过采取相应的风险防范措施，项目的环境风险可控。一旦发生事故，建设单位应立即执行事故应急预案，采取合理的事故应急处理措施，将事故影响降到最低限度。</w:t>
            </w:r>
          </w:p>
        </w:tc>
      </w:tr>
    </w:tbl>
    <w:p w14:paraId="3E5755D3">
      <w:pPr>
        <w:pStyle w:val="21"/>
        <w:ind w:left="0" w:leftChars="0" w:firstLine="480" w:firstLineChars="200"/>
        <w:outlineLvl w:val="9"/>
        <w:rPr>
          <w:rFonts w:hint="default" w:ascii="Times New Roman" w:hAnsi="Times New Roman" w:cs="Times New Roman"/>
          <w:color w:val="auto"/>
          <w:u w:val="none" w:color="auto"/>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6CB4994">
      <w:pPr>
        <w:pStyle w:val="6"/>
        <w:bidi w:val="0"/>
        <w:rPr>
          <w:rFonts w:hint="default"/>
          <w:color w:val="auto"/>
          <w:u w:val="none" w:color="auto"/>
        </w:rPr>
      </w:pPr>
      <w:bookmarkStart w:id="1247" w:name="_Toc12782_WPSOffice_Level1"/>
      <w:bookmarkStart w:id="1248" w:name="_Toc14146_WPSOffice_Level1"/>
      <w:bookmarkStart w:id="1249" w:name="_Toc18634_WPSOffice_Level1"/>
      <w:bookmarkStart w:id="1250" w:name="_Toc17862_WPSOffice_Level1"/>
      <w:bookmarkStart w:id="1251" w:name="_Toc486321347"/>
      <w:bookmarkStart w:id="1252" w:name="_Toc23932"/>
      <w:bookmarkStart w:id="1253" w:name="_Toc23699"/>
      <w:bookmarkStart w:id="1254" w:name="_Toc6363"/>
      <w:bookmarkStart w:id="1255" w:name="_Toc29852"/>
      <w:bookmarkStart w:id="1256" w:name="_Toc16845"/>
      <w:bookmarkStart w:id="1257" w:name="_Toc2096"/>
      <w:r>
        <w:rPr>
          <w:rFonts w:hint="eastAsia"/>
          <w:color w:val="auto"/>
          <w:u w:val="none" w:color="auto"/>
          <w:lang w:val="en-US" w:eastAsia="zh-CN"/>
        </w:rPr>
        <w:t>6</w:t>
      </w:r>
      <w:r>
        <w:rPr>
          <w:rFonts w:hint="default"/>
          <w:color w:val="auto"/>
          <w:u w:val="none" w:color="auto"/>
        </w:rPr>
        <w:t>、环境保护措施及其可行性论证</w:t>
      </w:r>
      <w:bookmarkEnd w:id="1247"/>
      <w:bookmarkEnd w:id="1248"/>
      <w:bookmarkEnd w:id="1249"/>
      <w:bookmarkEnd w:id="1250"/>
      <w:bookmarkEnd w:id="1251"/>
      <w:bookmarkEnd w:id="1252"/>
      <w:bookmarkEnd w:id="1253"/>
      <w:bookmarkEnd w:id="1254"/>
      <w:bookmarkEnd w:id="1255"/>
    </w:p>
    <w:p w14:paraId="70D85E7D">
      <w:pPr>
        <w:pStyle w:val="7"/>
        <w:bidi w:val="0"/>
        <w:rPr>
          <w:rFonts w:hint="default"/>
          <w:color w:val="auto"/>
          <w:u w:val="none" w:color="auto"/>
        </w:rPr>
      </w:pPr>
      <w:bookmarkStart w:id="1258" w:name="_Toc5611"/>
      <w:bookmarkStart w:id="1259" w:name="_Toc12427_WPSOffice_Level2"/>
      <w:bookmarkStart w:id="1260" w:name="_Toc32432_WPSOffice_Level2"/>
      <w:bookmarkStart w:id="1261" w:name="_Toc7717_WPSOffice_Level2"/>
      <w:bookmarkStart w:id="1262" w:name="_Toc31334"/>
      <w:bookmarkStart w:id="1263" w:name="_Toc24309"/>
      <w:bookmarkStart w:id="1264" w:name="_Toc4219_WPSOffice_Level2"/>
      <w:bookmarkStart w:id="1265" w:name="_Toc21497"/>
      <w:r>
        <w:rPr>
          <w:rFonts w:hint="eastAsia"/>
          <w:color w:val="auto"/>
          <w:u w:val="none" w:color="auto"/>
          <w:lang w:val="en-US" w:eastAsia="zh-CN"/>
        </w:rPr>
        <w:t>6</w:t>
      </w:r>
      <w:r>
        <w:rPr>
          <w:rFonts w:hint="default"/>
          <w:color w:val="auto"/>
          <w:u w:val="none" w:color="auto"/>
          <w:lang w:val="en-US" w:eastAsia="zh-CN"/>
        </w:rPr>
        <w:t>.1</w:t>
      </w:r>
      <w:r>
        <w:rPr>
          <w:rFonts w:hint="default"/>
          <w:color w:val="auto"/>
          <w:u w:val="none" w:color="auto"/>
        </w:rPr>
        <w:t>施工期污染防治措施</w:t>
      </w:r>
      <w:bookmarkEnd w:id="1258"/>
      <w:bookmarkEnd w:id="1259"/>
      <w:bookmarkEnd w:id="1260"/>
      <w:bookmarkEnd w:id="1261"/>
      <w:bookmarkEnd w:id="1262"/>
      <w:bookmarkEnd w:id="1263"/>
      <w:bookmarkEnd w:id="1264"/>
      <w:bookmarkEnd w:id="1265"/>
    </w:p>
    <w:p w14:paraId="1B9B6FDE">
      <w:pPr>
        <w:pStyle w:val="8"/>
        <w:rPr>
          <w:rFonts w:hint="default" w:ascii="Times New Roman" w:hAnsi="Times New Roman" w:eastAsia="宋体" w:cs="Times New Roman"/>
          <w:color w:val="auto"/>
          <w:u w:val="none"/>
        </w:rPr>
      </w:pPr>
      <w:bookmarkStart w:id="1266" w:name="_Toc28049"/>
      <w:bookmarkStart w:id="1267" w:name="_Toc2506"/>
      <w:bookmarkStart w:id="1268" w:name="_Toc173"/>
      <w:bookmarkStart w:id="1269" w:name="_Toc1014"/>
      <w:bookmarkStart w:id="1270" w:name="_Toc27860"/>
      <w:bookmarkStart w:id="1271" w:name="_Toc12403_WPSOffice_Level2"/>
      <w:bookmarkStart w:id="1272" w:name="_Toc10973_WPSOffice_Level2"/>
      <w:bookmarkStart w:id="1273" w:name="_Toc5965_WPSOffice_Level2"/>
      <w:bookmarkStart w:id="1274" w:name="_Toc7185_WPSOffice_Level2"/>
      <w:r>
        <w:rPr>
          <w:rFonts w:hint="eastAsia"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.1.1废气防治措施</w:t>
      </w:r>
      <w:bookmarkEnd w:id="1266"/>
      <w:bookmarkEnd w:id="1267"/>
      <w:bookmarkEnd w:id="1268"/>
      <w:bookmarkEnd w:id="1269"/>
    </w:p>
    <w:p w14:paraId="391D8710">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（1）项目全部使用商品混凝土，防止搅拌过程中的粉尘产生。</w:t>
      </w:r>
    </w:p>
    <w:p w14:paraId="688317C4">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（2）项目四周周边设置不低于2.1米的遮挡围护设施，施工道路以及出入口5米内硬化。</w:t>
      </w:r>
    </w:p>
    <w:p w14:paraId="337ECB51">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（3）出入口内侧必须安装专用运输车辆轮胎清洗设备及相应的排水和泥浆沉淀设施。</w:t>
      </w:r>
    </w:p>
    <w:p w14:paraId="189DF46D">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（4）设置密目网，防止和减少建筑施工过程中物料、渣土外逸，粉尘飞扬及废弃物、杂物飘散。土堆、料堆要有遮盖或喷洒覆盖剂。</w:t>
      </w:r>
    </w:p>
    <w:p w14:paraId="32E0E335">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（5）主要交通道路经常洒水抑尘，减少运输过程中扬尘的产生。</w:t>
      </w:r>
    </w:p>
    <w:p w14:paraId="2C93C793">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（6）要尽可能减少运输车辆进出的出入口数量，及时清运施工弃土，不能及时清运的，必须采取覆盖措施。</w:t>
      </w:r>
    </w:p>
    <w:p w14:paraId="0E2B0396">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（7）严禁运输车辆在装运过程中沿途抛、洒、滴、漏。运输建筑散体物料、垃圾和工程渣土的施工运输车辆驶出施工现场时，装载的垃圾渣土高度不得超过车辆槽帮上沿。零星建筑废土逐步推行袋装转运。</w:t>
      </w:r>
    </w:p>
    <w:p w14:paraId="609EF18B">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（8）建筑工地扫尾阶段，房内清扫出的垃圾必须装袋清运；外架拆除必须先用水喷洒后拆除，避免粉尘飞扬。</w:t>
      </w:r>
    </w:p>
    <w:p w14:paraId="70B9395F">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采用上述处理措施后，项目施工扬尘能得到有效控制。</w:t>
      </w:r>
    </w:p>
    <w:p w14:paraId="273795BA">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此外，施工期的废气还有施工机械尾气，其为移动源分散排放，对周围环境空气影响较小。因此，</w:t>
      </w:r>
      <w:r>
        <w:rPr>
          <w:rFonts w:hint="eastAsia" w:cs="Times New Roman"/>
          <w:color w:val="auto"/>
          <w:u w:val="none"/>
          <w:lang w:val="en-US" w:eastAsia="zh-CN"/>
        </w:rPr>
        <w:t>施工期</w:t>
      </w:r>
      <w:r>
        <w:rPr>
          <w:rFonts w:hint="default" w:ascii="Times New Roman" w:hAnsi="Times New Roman" w:eastAsia="宋体" w:cs="Times New Roman"/>
          <w:color w:val="auto"/>
          <w:u w:val="none"/>
        </w:rPr>
        <w:t>大气污染防治措施可行。</w:t>
      </w:r>
      <w:bookmarkStart w:id="1275" w:name="_Toc359485689"/>
    </w:p>
    <w:p w14:paraId="59E1702C">
      <w:pPr>
        <w:pStyle w:val="8"/>
        <w:rPr>
          <w:rFonts w:hint="default" w:ascii="Times New Roman" w:hAnsi="Times New Roman" w:eastAsia="宋体" w:cs="Times New Roman"/>
          <w:color w:val="auto"/>
          <w:u w:val="none"/>
        </w:rPr>
      </w:pPr>
      <w:bookmarkStart w:id="1276" w:name="_Toc13217"/>
      <w:bookmarkStart w:id="1277" w:name="_Toc29409"/>
      <w:bookmarkStart w:id="1278" w:name="_Toc9936"/>
      <w:bookmarkStart w:id="1279" w:name="_Toc6902"/>
      <w:r>
        <w:rPr>
          <w:rFonts w:hint="eastAsia"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.1.2废水防治措施</w:t>
      </w:r>
      <w:bookmarkEnd w:id="1275"/>
      <w:bookmarkEnd w:id="1276"/>
      <w:bookmarkEnd w:id="1277"/>
      <w:bookmarkEnd w:id="1278"/>
      <w:bookmarkEnd w:id="1279"/>
    </w:p>
    <w:p w14:paraId="2C250239">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在施工场地四周设置临时排水沟、临时沉沙池，将施工泥浆水和地表径流收集采用混凝沉淀法进行处理</w:t>
      </w:r>
      <w:r>
        <w:rPr>
          <w:rFonts w:hint="eastAsia" w:cs="Times New Roman"/>
          <w:color w:val="auto"/>
          <w:u w:val="none"/>
          <w:lang w:eastAsia="zh-CN"/>
        </w:rPr>
        <w:t>，</w:t>
      </w:r>
      <w:r>
        <w:rPr>
          <w:rFonts w:hint="default" w:ascii="Times New Roman" w:hAnsi="Times New Roman" w:eastAsia="宋体" w:cs="Times New Roman"/>
          <w:color w:val="auto"/>
          <w:u w:val="none"/>
        </w:rPr>
        <w:t>上清液回用于场地洒水抑尘，沉渣定期清运填埋。</w:t>
      </w:r>
    </w:p>
    <w:p w14:paraId="7B5EC47B">
      <w:pPr>
        <w:pStyle w:val="21"/>
        <w:rPr>
          <w:rFonts w:hint="default" w:ascii="Times New Roman" w:hAnsi="Times New Roman" w:eastAsia="宋体" w:cs="Times New Roman"/>
          <w:color w:val="auto"/>
          <w:u w:val="none"/>
        </w:rPr>
      </w:pPr>
      <w:bookmarkStart w:id="1280" w:name="_Toc359485690"/>
      <w:r>
        <w:rPr>
          <w:rFonts w:hint="default" w:ascii="Times New Roman" w:hAnsi="Times New Roman" w:eastAsia="宋体" w:cs="Times New Roman"/>
          <w:color w:val="auto"/>
          <w:u w:val="none"/>
        </w:rPr>
        <w:t>施工期生活污水</w:t>
      </w:r>
      <w:r>
        <w:rPr>
          <w:rFonts w:hint="eastAsia" w:cs="Times New Roman"/>
          <w:color w:val="auto"/>
          <w:u w:val="none"/>
          <w:lang w:val="en-US" w:eastAsia="zh-CN"/>
        </w:rPr>
        <w:t>经现有化粪池处理后进入</w:t>
      </w:r>
      <w:r>
        <w:rPr>
          <w:rFonts w:hint="eastAsia"/>
          <w:color w:val="auto"/>
          <w:u w:val="none" w:color="auto"/>
          <w:lang w:val="en-US" w:eastAsia="zh-CN"/>
        </w:rPr>
        <w:t>长沙经开区汨罗产业园污水处理厂</w:t>
      </w:r>
      <w:r>
        <w:rPr>
          <w:rFonts w:hint="eastAsia" w:ascii="Times New Roman" w:hAnsi="Times New Roman" w:eastAsia="宋体" w:cs="Times New Roman"/>
          <w:color w:val="auto"/>
          <w:u w:val="none" w:color="auto"/>
          <w:lang w:val="en-US" w:eastAsia="zh-CN"/>
        </w:rPr>
        <w:t>处理</w:t>
      </w:r>
      <w:r>
        <w:rPr>
          <w:rFonts w:hint="default" w:ascii="Times New Roman" w:hAnsi="Times New Roman" w:eastAsia="宋体" w:cs="Times New Roman"/>
          <w:color w:val="auto"/>
          <w:u w:val="none"/>
        </w:rPr>
        <w:t>。</w:t>
      </w:r>
    </w:p>
    <w:p w14:paraId="24007595">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采取上述措施，经济合理，技术可行，处理效果明显，有效减少了施工期污水对环境的影响，因此措施可行。</w:t>
      </w:r>
    </w:p>
    <w:p w14:paraId="60DEE776">
      <w:pPr>
        <w:pStyle w:val="8"/>
        <w:rPr>
          <w:rFonts w:hint="default" w:ascii="Times New Roman" w:hAnsi="Times New Roman" w:eastAsia="宋体" w:cs="Times New Roman"/>
          <w:color w:val="auto"/>
          <w:u w:val="none"/>
        </w:rPr>
      </w:pPr>
      <w:bookmarkStart w:id="1281" w:name="_Toc17668"/>
      <w:bookmarkStart w:id="1282" w:name="_Toc5989"/>
      <w:bookmarkStart w:id="1283" w:name="_Toc30090"/>
      <w:bookmarkStart w:id="1284" w:name="_Toc28028"/>
      <w:r>
        <w:rPr>
          <w:rFonts w:hint="eastAsia"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.1.3固体废物防治措施</w:t>
      </w:r>
      <w:bookmarkEnd w:id="1280"/>
      <w:bookmarkEnd w:id="1281"/>
      <w:bookmarkEnd w:id="1282"/>
      <w:bookmarkEnd w:id="1283"/>
      <w:bookmarkEnd w:id="1284"/>
    </w:p>
    <w:p w14:paraId="7AA812A3">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施工期间固体废物主要来自项目建筑新建过程产生的建筑垃圾、施工人员的生活垃圾等。针对不同固体废物在施工现场应采取定点临时堆放，分类收集，分别处理的防治措施。</w:t>
      </w:r>
    </w:p>
    <w:p w14:paraId="21151360">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工程建设过程中产生的建筑材料的边角废料等，通过回收、平整场地利用和填筑道路等措施，避免固废进入环境，从根本上减少固体废物的处理量和固废运输对环境的影响。</w:t>
      </w:r>
      <w:r>
        <w:rPr>
          <w:rFonts w:hint="eastAsia" w:cs="Times New Roman"/>
          <w:color w:val="auto"/>
          <w:u w:val="none"/>
          <w:lang w:val="en-US" w:eastAsia="zh-CN"/>
        </w:rPr>
        <w:t>无法回收利用的</w:t>
      </w:r>
      <w:r>
        <w:rPr>
          <w:rFonts w:hint="default" w:ascii="Times New Roman" w:hAnsi="Times New Roman" w:eastAsia="宋体" w:cs="Times New Roman"/>
          <w:color w:val="auto"/>
          <w:u w:val="none" w:color="auto"/>
        </w:rPr>
        <w:t>建筑垃圾要定点堆放，在堆放到一定量后，由专业建筑垃圾回收公司清运统一处理，严禁擅自堆放和倾倒到附近的水</w:t>
      </w:r>
      <w:r>
        <w:rPr>
          <w:rFonts w:hint="default" w:ascii="Times New Roman" w:hAnsi="Times New Roman" w:eastAsia="宋体" w:cs="Times New Roman"/>
          <w:color w:val="auto"/>
          <w:u w:val="none" w:color="auto"/>
          <w:lang w:eastAsia="zh-CN"/>
        </w:rPr>
        <w:t>体</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rPr>
        <w:t>施工人员的生活垃圾及时收集到指定的垃圾箱（桶）内，由当地环卫部门统一及时清运处理。</w:t>
      </w:r>
    </w:p>
    <w:p w14:paraId="6481EE0A">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车辆运输散体物和废弃物时，必须密封、覆盖，不得沿途撒漏；运载土方的车辆必须在规定的时间内，按指定路段行驶，禁止在处置场地以外倾倒工程渣土，禁止在处置场地将工程渣土与其他城市生活垃圾混合倾倒。</w:t>
      </w:r>
    </w:p>
    <w:p w14:paraId="3CC67BE0">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施工结束后，及时清理施工现场，废弃的建筑材料送到指定地点处置。</w:t>
      </w:r>
    </w:p>
    <w:p w14:paraId="6ADA3019">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采取上述措施后，施工固体废物均可得到有效处理处置，措施可行。</w:t>
      </w:r>
      <w:bookmarkStart w:id="1285" w:name="_Toc359485691"/>
    </w:p>
    <w:p w14:paraId="5537AF0E">
      <w:pPr>
        <w:pStyle w:val="8"/>
        <w:rPr>
          <w:rFonts w:hint="default" w:ascii="Times New Roman" w:hAnsi="Times New Roman" w:eastAsia="宋体" w:cs="Times New Roman"/>
          <w:color w:val="auto"/>
          <w:u w:val="none"/>
        </w:rPr>
      </w:pPr>
      <w:bookmarkStart w:id="1286" w:name="_Toc10652"/>
      <w:bookmarkStart w:id="1287" w:name="_Toc6261"/>
      <w:bookmarkStart w:id="1288" w:name="_Toc32472"/>
      <w:bookmarkStart w:id="1289" w:name="_Toc18951"/>
      <w:r>
        <w:rPr>
          <w:rFonts w:hint="eastAsia"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.1.4噪声污染防治措施</w:t>
      </w:r>
      <w:bookmarkEnd w:id="1285"/>
      <w:bookmarkEnd w:id="1286"/>
      <w:bookmarkEnd w:id="1287"/>
      <w:bookmarkEnd w:id="1288"/>
      <w:bookmarkEnd w:id="1289"/>
    </w:p>
    <w:p w14:paraId="391E89AF">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施工机械的噪声需要采取一定的防治措施：</w:t>
      </w:r>
    </w:p>
    <w:p w14:paraId="78814299">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（1）合理选择施工机械，应选用低噪、高效的施工设备，施工过程中对施工设备进行维修保养，避免由于设备性能减退使噪声增大。</w:t>
      </w:r>
    </w:p>
    <w:p w14:paraId="48085D5D">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（2）合理选择施工方法，并加强管理，施工过程中应做到文明</w:t>
      </w:r>
      <w:r>
        <w:rPr>
          <w:rFonts w:hint="eastAsia" w:cs="Times New Roman"/>
          <w:color w:val="auto"/>
          <w:u w:val="none"/>
          <w:lang w:val="en-US" w:eastAsia="zh-CN"/>
        </w:rPr>
        <w:t>施工</w:t>
      </w:r>
      <w:r>
        <w:rPr>
          <w:rFonts w:hint="default" w:ascii="Times New Roman" w:hAnsi="Times New Roman" w:eastAsia="宋体" w:cs="Times New Roman"/>
          <w:color w:val="auto"/>
          <w:u w:val="none"/>
        </w:rPr>
        <w:t>。</w:t>
      </w:r>
    </w:p>
    <w:p w14:paraId="45D8F2FC">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合理选择施工时间，施工过程中应严格控制各施工机械的施工时间，主要噪声源尽量安排在昼间非正常休息时间内进行的要求，中午12：00~14:00及夜间22：00～翌日6：00禁止机械施工，同时应避免高噪声设备同时施工。</w:t>
      </w:r>
    </w:p>
    <w:p w14:paraId="2A66C1EC">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（4）建设工程工地应</w:t>
      </w:r>
      <w:r>
        <w:rPr>
          <w:rFonts w:hint="eastAsia" w:cs="Times New Roman"/>
          <w:color w:val="auto"/>
          <w:u w:val="none"/>
          <w:lang w:val="en-US" w:eastAsia="zh-CN"/>
        </w:rPr>
        <w:t>采取</w:t>
      </w:r>
      <w:r>
        <w:rPr>
          <w:rFonts w:hint="default" w:ascii="Times New Roman" w:hAnsi="Times New Roman" w:eastAsia="宋体" w:cs="Times New Roman"/>
          <w:color w:val="auto"/>
          <w:u w:val="none"/>
        </w:rPr>
        <w:t>高噪声设备设置隔音、减噪措施，施工场地出口避开环境敏感点位，各种木材、金属的切割工作一律在现场的作业棚内进行，作业棚搭成封闭式。</w:t>
      </w:r>
    </w:p>
    <w:p w14:paraId="62315F21">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（5）合理选择物料运输路线，物料运输过程中应尽量选择敏感目标相对较少的线路，从沿线敏感目标附近经过和出入现场时应低速行驶，禁鸣喇叭。</w:t>
      </w:r>
    </w:p>
    <w:p w14:paraId="19406650">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对施工场地噪声除采取以上降噪措施外，建设过程中施工单位还应与邻近的村民建立良好的关系，及时让他们了解施工进度及采取的降噪措施，并取得大家的共同理解。若因工艺或特殊需要必须连续施工，施工单位应在施工前报请有关部门批准，并向施工场地周围的村民发布公告，以征得公众的理解和支持。</w:t>
      </w:r>
    </w:p>
    <w:p w14:paraId="65A30DFD">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之后，切实保障了施工场界周围敏感目标的正常生活、休息秩序，控制了噪声扰民纠纷的主要起因，尽管施工噪声对环境产生一定的不利影响，但其影响具有阶段性、临时性和不固定性，一旦施工活动结束，施工噪声和振动也就随之结束，因而措施可行。</w:t>
      </w:r>
    </w:p>
    <w:p w14:paraId="56F4E218">
      <w:pPr>
        <w:pStyle w:val="8"/>
        <w:rPr>
          <w:rFonts w:hint="default" w:ascii="Times New Roman" w:hAnsi="Times New Roman" w:eastAsia="宋体" w:cs="Times New Roman"/>
          <w:color w:val="auto"/>
          <w:u w:val="none"/>
        </w:rPr>
      </w:pPr>
      <w:bookmarkStart w:id="1290" w:name="_Toc30554"/>
      <w:bookmarkStart w:id="1291" w:name="_Toc18163"/>
      <w:bookmarkStart w:id="1292" w:name="_Toc10244"/>
      <w:r>
        <w:rPr>
          <w:rFonts w:hint="eastAsia"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.1.5施工生态影响缓解措施</w:t>
      </w:r>
      <w:bookmarkEnd w:id="1290"/>
      <w:bookmarkEnd w:id="1291"/>
      <w:bookmarkEnd w:id="1292"/>
    </w:p>
    <w:p w14:paraId="7893E2EB">
      <w:pPr>
        <w:pStyle w:val="2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工程施工期间，施工单位应严格执行《建设工程施工场地文明施工及环境管理暂行规定》，对</w:t>
      </w:r>
      <w:r>
        <w:rPr>
          <w:rFonts w:hint="default" w:ascii="Times New Roman" w:hAnsi="Times New Roman" w:eastAsia="宋体" w:cs="Times New Roman"/>
          <w:color w:val="auto"/>
          <w:u w:val="none" w:color="auto"/>
          <w:lang w:eastAsia="zh-CN"/>
        </w:rPr>
        <w:t>地表水</w:t>
      </w:r>
      <w:r>
        <w:rPr>
          <w:rFonts w:hint="default" w:ascii="Times New Roman" w:hAnsi="Times New Roman" w:eastAsia="宋体" w:cs="Times New Roman"/>
          <w:color w:val="auto"/>
          <w:u w:val="none" w:color="auto"/>
        </w:rPr>
        <w:t>的排放进行组织设计，严禁乱排、乱流污染道路、环境。</w:t>
      </w:r>
    </w:p>
    <w:p w14:paraId="630709E6">
      <w:pPr>
        <w:pStyle w:val="21"/>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项目用地现状已由园区开发平整完成，场地现状为空地</w:t>
      </w:r>
      <w:r>
        <w:rPr>
          <w:rFonts w:hint="default" w:ascii="Times New Roman" w:hAnsi="Times New Roman" w:eastAsia="宋体" w:cs="Times New Roman"/>
          <w:color w:val="auto"/>
          <w:u w:val="none" w:color="auto"/>
          <w:lang w:eastAsia="zh-CN"/>
        </w:rPr>
        <w:t>，</w:t>
      </w:r>
      <w:r>
        <w:rPr>
          <w:rFonts w:hint="eastAsia" w:cs="Times New Roman"/>
          <w:color w:val="auto"/>
          <w:u w:val="none" w:color="auto"/>
          <w:lang w:val="en-US" w:eastAsia="zh-CN"/>
        </w:rPr>
        <w:t>本项目</w:t>
      </w:r>
      <w:r>
        <w:rPr>
          <w:rFonts w:hint="default" w:ascii="Times New Roman" w:hAnsi="Times New Roman" w:eastAsia="宋体" w:cs="Times New Roman"/>
          <w:color w:val="auto"/>
          <w:u w:val="none" w:color="auto"/>
        </w:rPr>
        <w:t>施工期不</w:t>
      </w:r>
      <w:r>
        <w:rPr>
          <w:rFonts w:hint="eastAsia" w:cs="Times New Roman"/>
          <w:color w:val="auto"/>
          <w:u w:val="none" w:color="auto"/>
          <w:lang w:val="en-US" w:eastAsia="zh-CN"/>
        </w:rPr>
        <w:t>再</w:t>
      </w:r>
      <w:r>
        <w:rPr>
          <w:rFonts w:hint="default" w:ascii="Times New Roman" w:hAnsi="Times New Roman" w:eastAsia="宋体" w:cs="Times New Roman"/>
          <w:color w:val="auto"/>
          <w:u w:val="none" w:color="auto"/>
        </w:rPr>
        <w:t>涉及场地平整工程</w:t>
      </w:r>
      <w:r>
        <w:rPr>
          <w:rFonts w:hint="default" w:ascii="Times New Roman" w:hAnsi="Times New Roman" w:eastAsia="宋体" w:cs="Times New Roman"/>
          <w:color w:val="auto"/>
          <w:u w:val="none" w:color="auto"/>
          <w:lang w:eastAsia="zh-CN"/>
        </w:rPr>
        <w:t>，不会</w:t>
      </w:r>
      <w:r>
        <w:rPr>
          <w:rFonts w:hint="eastAsia" w:cs="Times New Roman"/>
          <w:color w:val="auto"/>
          <w:u w:val="none" w:color="auto"/>
          <w:lang w:val="en-US" w:eastAsia="zh-CN"/>
        </w:rPr>
        <w:t>再</w:t>
      </w:r>
      <w:r>
        <w:rPr>
          <w:rFonts w:hint="default" w:ascii="Times New Roman" w:hAnsi="Times New Roman" w:eastAsia="宋体" w:cs="Times New Roman"/>
          <w:color w:val="auto"/>
          <w:u w:val="none" w:color="auto"/>
          <w:lang w:eastAsia="zh-CN"/>
        </w:rPr>
        <w:t>对植被造成</w:t>
      </w:r>
      <w:r>
        <w:rPr>
          <w:rFonts w:hint="eastAsia" w:cs="Times New Roman"/>
          <w:color w:val="auto"/>
          <w:u w:val="none" w:color="auto"/>
          <w:lang w:val="en-US" w:eastAsia="zh-CN"/>
        </w:rPr>
        <w:t>直接</w:t>
      </w:r>
      <w:r>
        <w:rPr>
          <w:rFonts w:hint="default" w:ascii="Times New Roman" w:hAnsi="Times New Roman" w:eastAsia="宋体" w:cs="Times New Roman"/>
          <w:color w:val="auto"/>
          <w:u w:val="none" w:color="auto"/>
          <w:lang w:eastAsia="zh-CN"/>
        </w:rPr>
        <w:t>破坏，工程</w:t>
      </w:r>
      <w:r>
        <w:rPr>
          <w:rFonts w:hint="default" w:ascii="Times New Roman" w:hAnsi="Times New Roman" w:eastAsia="宋体" w:cs="Times New Roman"/>
          <w:color w:val="auto"/>
          <w:u w:val="none" w:color="auto"/>
        </w:rPr>
        <w:t>土石方工程量</w:t>
      </w:r>
      <w:r>
        <w:rPr>
          <w:rFonts w:hint="default" w:ascii="Times New Roman" w:hAnsi="Times New Roman" w:eastAsia="宋体" w:cs="Times New Roman"/>
          <w:color w:val="auto"/>
          <w:u w:val="none" w:color="auto"/>
          <w:lang w:eastAsia="zh-CN"/>
        </w:rPr>
        <w:t>极小</w:t>
      </w:r>
      <w:r>
        <w:rPr>
          <w:rFonts w:hint="default" w:ascii="Times New Roman" w:hAnsi="Times New Roman" w:eastAsia="宋体" w:cs="Times New Roman"/>
          <w:color w:val="auto"/>
          <w:u w:val="none" w:color="auto"/>
        </w:rPr>
        <w:t>，基本能做到场区内平衡。施工场地局部应及时进行硬化处理，临时堆土场需修建围档护坡，避免施工期因水土流失造成区域水环境污染。加强疏水导流，防止暴雨冲刷造成水土流失。应尽可能抓紧施工，缩短工期，以减轻施工期对生态环境的影响</w:t>
      </w:r>
      <w:r>
        <w:rPr>
          <w:rFonts w:hint="default" w:ascii="Times New Roman" w:hAnsi="Times New Roman" w:cs="Times New Roman"/>
          <w:color w:val="auto"/>
          <w:u w:val="none" w:color="auto"/>
          <w:lang w:val="en-US" w:eastAsia="zh-CN"/>
        </w:rPr>
        <w:t>。</w:t>
      </w:r>
    </w:p>
    <w:p w14:paraId="76B10CA7">
      <w:pPr>
        <w:pStyle w:val="7"/>
        <w:bidi w:val="0"/>
        <w:rPr>
          <w:rFonts w:hint="default"/>
          <w:color w:val="auto"/>
          <w:u w:val="none" w:color="auto"/>
        </w:rPr>
      </w:pPr>
      <w:bookmarkStart w:id="1293" w:name="_Toc11727"/>
      <w:bookmarkStart w:id="1294" w:name="_Toc4558"/>
      <w:bookmarkStart w:id="1295" w:name="_Toc9056"/>
      <w:r>
        <w:rPr>
          <w:rFonts w:hint="eastAsia"/>
          <w:color w:val="auto"/>
          <w:u w:val="none" w:color="auto"/>
          <w:lang w:val="en-US" w:eastAsia="zh-CN"/>
        </w:rPr>
        <w:t>6</w:t>
      </w:r>
      <w:r>
        <w:rPr>
          <w:rFonts w:hint="default"/>
          <w:color w:val="auto"/>
          <w:u w:val="none" w:color="auto"/>
          <w:lang w:val="en-US" w:eastAsia="zh-CN"/>
        </w:rPr>
        <w:t>.2</w:t>
      </w:r>
      <w:r>
        <w:rPr>
          <w:rFonts w:hint="default"/>
          <w:color w:val="auto"/>
          <w:u w:val="none" w:color="auto"/>
        </w:rPr>
        <w:t>运营期污染防治措施</w:t>
      </w:r>
      <w:bookmarkEnd w:id="1270"/>
      <w:bookmarkEnd w:id="1271"/>
      <w:bookmarkEnd w:id="1272"/>
      <w:bookmarkEnd w:id="1273"/>
      <w:bookmarkEnd w:id="1274"/>
      <w:bookmarkEnd w:id="1293"/>
      <w:bookmarkEnd w:id="1294"/>
      <w:bookmarkEnd w:id="1295"/>
    </w:p>
    <w:p w14:paraId="05068A8C">
      <w:pPr>
        <w:pStyle w:val="8"/>
        <w:rPr>
          <w:rFonts w:hint="default" w:ascii="Times New Roman" w:hAnsi="Times New Roman" w:cs="Times New Roman"/>
          <w:color w:val="auto"/>
          <w:u w:val="none" w:color="auto"/>
        </w:rPr>
      </w:pPr>
      <w:bookmarkStart w:id="1296" w:name="_Toc26149"/>
      <w:bookmarkStart w:id="1297" w:name="_Toc17085"/>
      <w:bookmarkStart w:id="1298" w:name="_Toc2086"/>
      <w:bookmarkStart w:id="1299" w:name="_Toc10782"/>
      <w:bookmarkStart w:id="1300" w:name="_Toc5777"/>
      <w:bookmarkStart w:id="1301" w:name="_Toc8860_WPSOffice_Level3"/>
      <w:bookmarkStart w:id="1302" w:name="_Toc9120"/>
      <w:bookmarkStart w:id="1303" w:name="_Toc11239"/>
      <w:bookmarkStart w:id="1304" w:name="_Toc31037"/>
      <w:bookmarkStart w:id="1305" w:name="_Toc14766"/>
      <w:bookmarkStart w:id="1306" w:name="_Toc23808"/>
      <w:bookmarkStart w:id="1307" w:name="_Toc6827_WPSOffice_Level3"/>
      <w:bookmarkStart w:id="1308" w:name="_Toc8142"/>
      <w:bookmarkStart w:id="1309" w:name="_Toc13115"/>
      <w:bookmarkStart w:id="1310" w:name="_Toc2827"/>
      <w:bookmarkStart w:id="1311" w:name="_Toc21274"/>
      <w:bookmarkStart w:id="1312" w:name="_Toc16618"/>
      <w:bookmarkStart w:id="1313" w:name="_Toc30413"/>
      <w:bookmarkStart w:id="1314" w:name="_Toc24765"/>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.1废气治理措施及达标可行性分析</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03FDBD38">
      <w:pPr>
        <w:pStyle w:val="21"/>
        <w:ind w:firstLine="480"/>
        <w:rPr>
          <w:rFonts w:hint="default" w:ascii="Times New Roman" w:hAnsi="Times New Roman" w:cs="Times New Roman"/>
          <w:color w:val="auto"/>
          <w:u w:val="none" w:color="auto"/>
        </w:rPr>
      </w:pPr>
      <w:bookmarkStart w:id="1315" w:name="_Toc7845"/>
      <w:bookmarkStart w:id="1316" w:name="_Toc24524"/>
      <w:bookmarkStart w:id="1317" w:name="_Toc5169"/>
      <w:bookmarkStart w:id="1318" w:name="_Toc11875"/>
      <w:bookmarkStart w:id="1319" w:name="_Toc5237_WPSOffice_Level3"/>
      <w:bookmarkStart w:id="1320" w:name="_Toc25794"/>
      <w:bookmarkStart w:id="1321" w:name="_Toc28679"/>
      <w:bookmarkStart w:id="1322" w:name="_Toc6120"/>
      <w:bookmarkStart w:id="1323" w:name="_Toc19407_WPSOffice_Level3"/>
      <w:bookmarkStart w:id="1324" w:name="_Toc11266"/>
      <w:bookmarkStart w:id="1325" w:name="_Toc17733"/>
      <w:bookmarkStart w:id="1326" w:name="_Toc1370"/>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颗粒物</w:t>
      </w:r>
      <w:r>
        <w:rPr>
          <w:rFonts w:hint="default" w:ascii="Times New Roman" w:hAnsi="Times New Roman" w:cs="Times New Roman"/>
          <w:color w:val="auto"/>
          <w:u w:val="none" w:color="auto"/>
        </w:rPr>
        <w:t>废气治理措施及达标可行性分析</w:t>
      </w:r>
    </w:p>
    <w:p w14:paraId="1BBB2EE9">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color w:val="auto"/>
          <w:u w:val="none" w:color="auto"/>
          <w:lang w:val="en-US" w:eastAsia="zh-CN"/>
        </w:rPr>
        <w:t>本项目粉尘主要为石墨粉等细小颗粒，加入酚醛树脂捏合后再经粉碎后粒径约为0.1~0.4mm。其中加热捏合废气、冷却废气、磨粉废气、混合废气中颗粒物经管道收集，再经布袋除尘器处理后由15m排气筒DA001排放，其他无组织排放的粉尘的处理措施主要为车间沉降等。天然气燃烧产生的颗粒物产生量较少，可达标排放，无处理措施</w:t>
      </w:r>
      <w:r>
        <w:rPr>
          <w:rFonts w:hint="eastAsia" w:ascii="Times New Roman" w:hAnsi="Times New Roman" w:eastAsia="宋体" w:cs="Times New Roman"/>
          <w:color w:val="auto"/>
          <w:sz w:val="24"/>
          <w:szCs w:val="24"/>
          <w:u w:val="none" w:color="auto"/>
          <w:lang w:val="en-US" w:eastAsia="zh-CN"/>
        </w:rPr>
        <w:t>。</w:t>
      </w:r>
    </w:p>
    <w:p w14:paraId="1CA64FCA">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cs="Times New Roman"/>
          <w:color w:val="auto"/>
          <w:u w:val="none" w:color="auto"/>
          <w:lang w:val="en-US" w:eastAsia="zh-CN"/>
        </w:rPr>
        <w:t>（1）</w:t>
      </w:r>
      <w:r>
        <w:rPr>
          <w:rFonts w:hint="default" w:ascii="Times New Roman" w:hAnsi="Times New Roman" w:eastAsia="宋体" w:cs="Times New Roman"/>
          <w:color w:val="auto"/>
          <w:sz w:val="24"/>
          <w:szCs w:val="24"/>
          <w:u w:val="none" w:color="auto"/>
        </w:rPr>
        <w:t>可行性分析</w:t>
      </w:r>
    </w:p>
    <w:p w14:paraId="23641E27">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布袋除尘器是用滤袋将含尘气流过滤的除尘装置，由滤袋、箱体、灰斗、清灰装置、排灰机构组成。袋式除尘器为1um的细微尘净化效率大于</w:t>
      </w:r>
      <w:r>
        <w:rPr>
          <w:rFonts w:hint="eastAsia" w:ascii="Times New Roman" w:hAnsi="Times New Roman" w:eastAsia="宋体" w:cs="Times New Roman"/>
          <w:color w:val="auto"/>
          <w:sz w:val="24"/>
          <w:szCs w:val="24"/>
          <w:u w:val="none" w:color="auto"/>
          <w:lang w:val="en-US" w:eastAsia="zh-CN"/>
        </w:rPr>
        <w:t>95</w:t>
      </w:r>
      <w:r>
        <w:rPr>
          <w:rFonts w:hint="default" w:ascii="Times New Roman" w:hAnsi="Times New Roman" w:eastAsia="宋体" w:cs="Times New Roman"/>
          <w:color w:val="auto"/>
          <w:sz w:val="24"/>
          <w:szCs w:val="24"/>
          <w:u w:val="none" w:color="auto"/>
        </w:rPr>
        <w:t>%；压力损失1000~1500pa。该设备结构简单、操作方便、可回收干料，可捕集不同性质的粉尘。</w:t>
      </w:r>
    </w:p>
    <w:p w14:paraId="27046ACF">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除尘原理描述如下，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喷入袋内，实现清灰。当控制信号停止后，电磁阀关闭，小膜片、大膜片相继复位，喷吹停止。脉冲阀是脉冲袋式除尘器关键部件。</w:t>
      </w:r>
    </w:p>
    <w:p w14:paraId="20A89B83">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根据《排污许可证申请与核发技术规范 石墨及其他非金属矿物制品制造》（HJ1119-2020）表4可知，袋式除尘属于废气污染防治可行技术。</w:t>
      </w:r>
    </w:p>
    <w:p w14:paraId="2F06CB69">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废气处理工艺流程如下图所示：</w:t>
      </w:r>
    </w:p>
    <w:p w14:paraId="3D95B71E">
      <w:pPr>
        <w:keepNext w:val="0"/>
        <w:keepLines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drawing>
          <wp:inline distT="0" distB="0" distL="114300" distR="114300">
            <wp:extent cx="2771140" cy="2038350"/>
            <wp:effectExtent l="0" t="0" r="1016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46"/>
                    <a:stretch>
                      <a:fillRect/>
                    </a:stretch>
                  </pic:blipFill>
                  <pic:spPr>
                    <a:xfrm>
                      <a:off x="0" y="0"/>
                      <a:ext cx="2771140" cy="2038350"/>
                    </a:xfrm>
                    <a:prstGeom prst="rect">
                      <a:avLst/>
                    </a:prstGeom>
                    <a:noFill/>
                    <a:ln>
                      <a:noFill/>
                    </a:ln>
                  </pic:spPr>
                </pic:pic>
              </a:graphicData>
            </a:graphic>
          </wp:inline>
        </w:drawing>
      </w:r>
    </w:p>
    <w:p w14:paraId="5CEC4554">
      <w:pPr>
        <w:pStyle w:val="31"/>
        <w:bidi w:val="0"/>
        <w:rPr>
          <w:rFonts w:hint="default"/>
          <w:color w:val="auto"/>
          <w:u w:val="none" w:color="auto"/>
        </w:rPr>
      </w:pPr>
      <w:r>
        <w:rPr>
          <w:rFonts w:hint="default" w:ascii="Times New Roman" w:hAnsi="Times New Roman" w:eastAsia="宋体" w:cs="Times New Roman"/>
          <w:color w:val="auto"/>
          <w:sz w:val="21"/>
          <w:szCs w:val="21"/>
          <w:u w:val="none" w:color="auto"/>
        </w:rPr>
        <w:t>图</w:t>
      </w:r>
      <w:r>
        <w:rPr>
          <w:rFonts w:hint="eastAsia" w:ascii="Times New Roman" w:hAnsi="Times New Roman" w:eastAsia="宋体"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-1 布袋除尘处理工艺流程图</w:t>
      </w:r>
    </w:p>
    <w:p w14:paraId="5DD3ACB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）达标可行性</w:t>
      </w:r>
    </w:p>
    <w:p w14:paraId="4D007A8D">
      <w:pPr>
        <w:pStyle w:val="21"/>
        <w:ind w:firstLine="48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u w:val="none" w:color="auto"/>
          <w:lang w:val="en-US" w:eastAsia="zh-CN"/>
        </w:rPr>
        <w:t>经处理后，</w:t>
      </w:r>
      <w:r>
        <w:rPr>
          <w:rFonts w:hint="eastAsia" w:ascii="Times New Roman" w:hAnsi="Times New Roman" w:cs="Times New Roman"/>
          <w:color w:val="auto"/>
          <w:u w:val="none" w:color="auto"/>
          <w:lang w:val="en-US" w:eastAsia="zh-CN"/>
        </w:rPr>
        <w:t>加热混捏废气、冷却废气、磨粉废气、混合废气中颗粒物</w:t>
      </w:r>
      <w:r>
        <w:rPr>
          <w:rFonts w:hint="default" w:ascii="Times New Roman" w:hAnsi="Times New Roman" w:cs="Times New Roman"/>
          <w:color w:val="auto"/>
          <w:u w:val="none" w:color="auto"/>
          <w:lang w:val="en-US" w:eastAsia="zh-CN"/>
        </w:rPr>
        <w:t>排放量为</w:t>
      </w:r>
      <w:r>
        <w:rPr>
          <w:rFonts w:hint="eastAsia" w:ascii="Times New Roman" w:hAnsi="Times New Roman" w:eastAsia="宋体" w:cs="Times New Roman"/>
          <w:b w:val="0"/>
          <w:bCs w:val="0"/>
          <w:color w:val="auto"/>
          <w:sz w:val="24"/>
          <w:highlight w:val="none"/>
          <w:u w:val="none" w:color="auto"/>
          <w:vertAlign w:val="baseline"/>
          <w:lang w:val="en-US" w:eastAsia="zh-CN"/>
        </w:rPr>
        <w:t>0.09t/a（0.038kg/h、0.938</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eastAsia="宋体" w:cs="Times New Roman"/>
          <w:b w:val="0"/>
          <w:bCs w:val="0"/>
          <w:color w:val="auto"/>
          <w:sz w:val="24"/>
          <w:highlight w:val="none"/>
          <w:u w:val="none" w:color="auto"/>
          <w:vertAlign w:val="baseline"/>
          <w:lang w:val="en-US" w:eastAsia="zh-CN"/>
        </w:rPr>
        <w:t>）</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满足</w:t>
      </w:r>
      <w:r>
        <w:rPr>
          <w:rFonts w:hint="default" w:ascii="Times New Roman" w:hAnsi="Times New Roman" w:cs="Times New Roman"/>
          <w:color w:val="auto"/>
          <w:u w:val="none"/>
          <w:lang w:eastAsia="zh-CN"/>
        </w:rPr>
        <w:t>《合成树脂工业污染物排放标准》（GB31572-2015）</w:t>
      </w:r>
      <w:r>
        <w:rPr>
          <w:rFonts w:hint="eastAsia" w:ascii="Times New Roman" w:hAnsi="Times New Roman" w:cs="Times New Roman"/>
          <w:color w:val="auto"/>
          <w:u w:val="none"/>
          <w:lang w:val="en-US" w:eastAsia="zh-CN"/>
        </w:rPr>
        <w:t>及</w:t>
      </w:r>
      <w:r>
        <w:rPr>
          <w:rFonts w:hint="default" w:ascii="Times New Roman" w:hAnsi="Times New Roman" w:cs="Times New Roman"/>
          <w:color w:val="auto"/>
          <w:u w:val="none"/>
          <w:lang w:eastAsia="zh-CN"/>
        </w:rPr>
        <w:t>《大气污染物综合排放标准》（GB16297-1996）标准中较严者</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0.51</w:t>
      </w:r>
      <w:r>
        <w:rPr>
          <w:rFonts w:hint="eastAsia" w:ascii="Times New Roman" w:hAnsi="Times New Roman" w:eastAsia="宋体" w:cs="Times New Roman"/>
          <w:b w:val="0"/>
          <w:bCs w:val="0"/>
          <w:color w:val="auto"/>
          <w:sz w:val="24"/>
          <w:highlight w:val="none"/>
          <w:u w:val="none" w:color="auto"/>
          <w:vertAlign w:val="baseline"/>
          <w:lang w:val="en-US" w:eastAsia="zh-CN"/>
        </w:rPr>
        <w:t>kg/h</w:t>
      </w:r>
      <w:r>
        <w:rPr>
          <w:rFonts w:hint="eastAsia" w:ascii="Times New Roman" w:hAnsi="Times New Roman" w:cs="Times New Roman"/>
          <w:color w:val="auto"/>
          <w:u w:val="none" w:color="auto"/>
          <w:lang w:val="en-US" w:eastAsia="zh-CN"/>
        </w:rPr>
        <w:t>、</w:t>
      </w:r>
      <w:r>
        <w:rPr>
          <w:rFonts w:hint="eastAsia" w:cs="Times New Roman"/>
          <w:color w:val="auto"/>
          <w:u w:val="none" w:color="auto"/>
          <w:lang w:val="en-US" w:eastAsia="zh-CN"/>
        </w:rPr>
        <w:t>18</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sz w:val="24"/>
          <w:u w:val="none" w:color="auto"/>
          <w:lang w:eastAsia="zh-CN"/>
        </w:rPr>
        <w:t>。</w:t>
      </w:r>
    </w:p>
    <w:p w14:paraId="0CDA9455">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有机</w:t>
      </w:r>
      <w:r>
        <w:rPr>
          <w:rFonts w:hint="default" w:ascii="Times New Roman" w:hAnsi="Times New Roman" w:cs="Times New Roman"/>
          <w:color w:val="auto"/>
          <w:u w:val="none" w:color="auto"/>
        </w:rPr>
        <w:t>废气治理措施及达标可行性分析</w:t>
      </w:r>
    </w:p>
    <w:p w14:paraId="0184F3E3">
      <w:pPr>
        <w:pStyle w:val="21"/>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w:t>
      </w:r>
      <w:r>
        <w:rPr>
          <w:rFonts w:hint="eastAsia" w:ascii="Times New Roman" w:hAnsi="Times New Roman" w:cs="Times New Roman"/>
          <w:color w:val="auto"/>
          <w:u w:val="none" w:color="auto"/>
          <w:lang w:val="en-US" w:eastAsia="zh-CN"/>
        </w:rPr>
        <w:t>加热混捏、冷却</w:t>
      </w:r>
      <w:r>
        <w:rPr>
          <w:rFonts w:hint="eastAsia" w:ascii="Times New Roman" w:hAnsi="Times New Roman" w:eastAsia="宋体" w:cs="Times New Roman"/>
          <w:color w:val="auto"/>
          <w:sz w:val="24"/>
          <w:szCs w:val="24"/>
          <w:u w:val="none" w:color="auto"/>
          <w:lang w:val="en-US" w:eastAsia="zh-CN"/>
        </w:rPr>
        <w:t>产生的非甲烷总烃、酚类、甲醛</w:t>
      </w:r>
      <w:r>
        <w:rPr>
          <w:rFonts w:hint="default" w:ascii="Times New Roman" w:hAnsi="Times New Roman" w:eastAsia="宋体" w:cs="Times New Roman"/>
          <w:color w:val="auto"/>
          <w:sz w:val="24"/>
          <w:szCs w:val="24"/>
          <w:u w:val="none" w:color="auto"/>
        </w:rPr>
        <w:t>经</w:t>
      </w:r>
      <w:r>
        <w:rPr>
          <w:rFonts w:hint="eastAsia" w:ascii="Times New Roman" w:hAnsi="Times New Roman" w:eastAsia="宋体" w:cs="Times New Roman"/>
          <w:color w:val="auto"/>
          <w:sz w:val="24"/>
          <w:szCs w:val="24"/>
          <w:u w:val="none" w:color="auto"/>
          <w:lang w:val="en-US" w:eastAsia="zh-CN"/>
        </w:rPr>
        <w:t>管道收集</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二级活性炭吸附处理</w:t>
      </w:r>
      <w:r>
        <w:rPr>
          <w:rFonts w:hint="default" w:ascii="Times New Roman" w:hAnsi="Times New Roman" w:eastAsia="宋体" w:cs="Times New Roman"/>
          <w:color w:val="auto"/>
          <w:sz w:val="24"/>
          <w:szCs w:val="24"/>
          <w:u w:val="none" w:color="auto"/>
        </w:rPr>
        <w:t>后，经</w:t>
      </w:r>
      <w:r>
        <w:rPr>
          <w:rFonts w:hint="eastAsia" w:ascii="Times New Roman" w:hAnsi="Times New Roman" w:eastAsia="宋体"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rPr>
        <w:t>m高排气筒</w:t>
      </w:r>
      <w:r>
        <w:rPr>
          <w:rFonts w:hint="default" w:ascii="Times New Roman" w:hAnsi="Times New Roman" w:cs="Times New Roman"/>
          <w:color w:val="auto"/>
          <w:sz w:val="24"/>
          <w:szCs w:val="24"/>
          <w:u w:val="none" w:color="auto"/>
          <w:lang w:eastAsia="zh-CN"/>
        </w:rPr>
        <w:t>（</w:t>
      </w:r>
      <w:r>
        <w:rPr>
          <w:rFonts w:hint="eastAsia" w:cs="Times New Roman"/>
          <w:color w:val="auto"/>
          <w:sz w:val="24"/>
          <w:szCs w:val="24"/>
          <w:u w:val="none" w:color="auto"/>
          <w:lang w:val="en-US" w:eastAsia="zh-CN"/>
        </w:rPr>
        <w:t>DA001</w:t>
      </w:r>
      <w:r>
        <w:rPr>
          <w:rFonts w:hint="default" w:ascii="Times New Roman" w:hAnsi="Times New Roman" w:cs="Times New Roman"/>
          <w:color w:val="auto"/>
          <w:sz w:val="24"/>
          <w:szCs w:val="24"/>
          <w:u w:val="none" w:color="auto"/>
          <w:lang w:val="en-US" w:eastAsia="zh-CN"/>
        </w:rPr>
        <w:t>排气筒</w:t>
      </w:r>
      <w:r>
        <w:rPr>
          <w:rFonts w:hint="default" w:ascii="Times New Roman" w:hAnsi="Times New Roman"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收集效率约为</w:t>
      </w:r>
      <w:r>
        <w:rPr>
          <w:rFonts w:hint="eastAsia" w:ascii="Times New Roman" w:hAnsi="Times New Roman" w:eastAsia="宋体" w:cs="Times New Roman"/>
          <w:color w:val="auto"/>
          <w:sz w:val="24"/>
          <w:szCs w:val="24"/>
          <w:u w:val="none" w:color="auto"/>
          <w:lang w:val="en-US" w:eastAsia="zh-CN"/>
        </w:rPr>
        <w:t>95</w:t>
      </w:r>
      <w:r>
        <w:rPr>
          <w:rFonts w:hint="default" w:ascii="Times New Roman" w:hAnsi="Times New Roman" w:eastAsia="宋体" w:cs="Times New Roman"/>
          <w:color w:val="auto"/>
          <w:sz w:val="24"/>
          <w:szCs w:val="24"/>
          <w:u w:val="none" w:color="auto"/>
        </w:rPr>
        <w:t>%，处理效率</w:t>
      </w:r>
      <w:r>
        <w:rPr>
          <w:rFonts w:hint="eastAsia" w:ascii="Times New Roman" w:hAnsi="Times New Roman" w:eastAsia="宋体" w:cs="Times New Roman"/>
          <w:color w:val="auto"/>
          <w:sz w:val="24"/>
          <w:szCs w:val="24"/>
          <w:u w:val="none" w:color="auto"/>
          <w:lang w:val="en-US" w:eastAsia="zh-CN"/>
        </w:rPr>
        <w:t>70</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本项目</w:t>
      </w:r>
      <w:r>
        <w:rPr>
          <w:rFonts w:hint="eastAsia" w:ascii="Times New Roman" w:hAnsi="Times New Roman" w:cs="Times New Roman"/>
          <w:color w:val="auto"/>
          <w:u w:val="none" w:color="auto"/>
          <w:lang w:val="en-US" w:eastAsia="zh-CN"/>
        </w:rPr>
        <w:t>焙烧</w:t>
      </w:r>
      <w:r>
        <w:rPr>
          <w:rFonts w:hint="eastAsia" w:ascii="Times New Roman" w:hAnsi="Times New Roman" w:eastAsia="宋体" w:cs="Times New Roman"/>
          <w:color w:val="auto"/>
          <w:sz w:val="24"/>
          <w:szCs w:val="24"/>
          <w:u w:val="none" w:color="auto"/>
          <w:lang w:val="en-US" w:eastAsia="zh-CN"/>
        </w:rPr>
        <w:t>产生的非甲烷总烃、酚类、甲醛</w:t>
      </w:r>
      <w:r>
        <w:rPr>
          <w:rFonts w:hint="default" w:ascii="Times New Roman" w:hAnsi="Times New Roman" w:eastAsia="宋体" w:cs="Times New Roman"/>
          <w:color w:val="auto"/>
          <w:sz w:val="24"/>
          <w:szCs w:val="24"/>
          <w:u w:val="none" w:color="auto"/>
        </w:rPr>
        <w:t>经</w:t>
      </w:r>
      <w:r>
        <w:rPr>
          <w:rFonts w:hint="eastAsia" w:ascii="Times New Roman" w:hAnsi="Times New Roman" w:eastAsia="宋体" w:cs="Times New Roman"/>
          <w:color w:val="auto"/>
          <w:sz w:val="24"/>
          <w:szCs w:val="24"/>
          <w:u w:val="none" w:color="auto"/>
          <w:lang w:val="en-US" w:eastAsia="zh-CN"/>
        </w:rPr>
        <w:t>焚烧炉处理</w:t>
      </w:r>
      <w:r>
        <w:rPr>
          <w:rFonts w:hint="default" w:ascii="Times New Roman" w:hAnsi="Times New Roman" w:eastAsia="宋体" w:cs="Times New Roman"/>
          <w:color w:val="auto"/>
          <w:sz w:val="24"/>
          <w:szCs w:val="24"/>
          <w:u w:val="none" w:color="auto"/>
        </w:rPr>
        <w:t>后，经</w:t>
      </w:r>
      <w:r>
        <w:rPr>
          <w:rFonts w:hint="eastAsia" w:ascii="Times New Roman" w:hAnsi="Times New Roman" w:eastAsia="宋体"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rPr>
        <w:t>m高排气筒</w:t>
      </w:r>
      <w:r>
        <w:rPr>
          <w:rFonts w:hint="default" w:ascii="Times New Roman" w:hAnsi="Times New Roman" w:cs="Times New Roman"/>
          <w:color w:val="auto"/>
          <w:sz w:val="24"/>
          <w:szCs w:val="24"/>
          <w:u w:val="none" w:color="auto"/>
          <w:lang w:eastAsia="zh-CN"/>
        </w:rPr>
        <w:t>（</w:t>
      </w:r>
      <w:r>
        <w:rPr>
          <w:rFonts w:hint="eastAsia" w:cs="Times New Roman"/>
          <w:color w:val="auto"/>
          <w:sz w:val="24"/>
          <w:szCs w:val="24"/>
          <w:u w:val="none" w:color="auto"/>
          <w:lang w:val="en-US" w:eastAsia="zh-CN"/>
        </w:rPr>
        <w:t>DA002</w:t>
      </w:r>
      <w:r>
        <w:rPr>
          <w:rFonts w:hint="default" w:ascii="Times New Roman" w:hAnsi="Times New Roman" w:cs="Times New Roman"/>
          <w:color w:val="auto"/>
          <w:sz w:val="24"/>
          <w:szCs w:val="24"/>
          <w:u w:val="none" w:color="auto"/>
          <w:lang w:val="en-US" w:eastAsia="zh-CN"/>
        </w:rPr>
        <w:t>排气筒</w:t>
      </w:r>
      <w:r>
        <w:rPr>
          <w:rFonts w:hint="eastAsia" w:ascii="Times New Roman" w:hAnsi="Times New Roman" w:cs="Times New Roman"/>
          <w:color w:val="auto"/>
          <w:sz w:val="24"/>
          <w:szCs w:val="24"/>
          <w:u w:val="none" w:color="auto"/>
          <w:lang w:val="en-US" w:eastAsia="zh-CN"/>
        </w:rPr>
        <w:t>、</w:t>
      </w:r>
      <w:r>
        <w:rPr>
          <w:rFonts w:hint="eastAsia" w:cs="Times New Roman"/>
          <w:color w:val="auto"/>
          <w:sz w:val="24"/>
          <w:szCs w:val="24"/>
          <w:u w:val="none" w:color="auto"/>
          <w:lang w:val="en-US" w:eastAsia="zh-CN"/>
        </w:rPr>
        <w:t>DA003</w:t>
      </w:r>
      <w:r>
        <w:rPr>
          <w:rFonts w:hint="default" w:ascii="Times New Roman" w:hAnsi="Times New Roman" w:cs="Times New Roman"/>
          <w:color w:val="auto"/>
          <w:sz w:val="24"/>
          <w:szCs w:val="24"/>
          <w:u w:val="none" w:color="auto"/>
          <w:lang w:val="en-US" w:eastAsia="zh-CN"/>
        </w:rPr>
        <w:t>排气筒</w:t>
      </w:r>
      <w:r>
        <w:rPr>
          <w:rFonts w:hint="default" w:ascii="Times New Roman" w:hAnsi="Times New Roman"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处理效率</w:t>
      </w:r>
      <w:r>
        <w:rPr>
          <w:rFonts w:hint="eastAsia" w:ascii="Times New Roman" w:hAnsi="Times New Roman" w:eastAsia="宋体" w:cs="Times New Roman"/>
          <w:color w:val="auto"/>
          <w:sz w:val="24"/>
          <w:szCs w:val="24"/>
          <w:u w:val="none" w:color="auto"/>
          <w:lang w:val="en-US" w:eastAsia="zh-CN"/>
        </w:rPr>
        <w:t>95</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w:t>
      </w:r>
    </w:p>
    <w:p w14:paraId="1332C895">
      <w:pPr>
        <w:pStyle w:val="21"/>
        <w:ind w:firstLine="480"/>
        <w:rPr>
          <w:color w:val="auto"/>
          <w:u w:val="none" w:color="auto"/>
        </w:rPr>
      </w:pPr>
      <w:r>
        <w:rPr>
          <w:rFonts w:hint="default" w:ascii="Times New Roman" w:hAnsi="Times New Roman" w:cs="Times New Roman"/>
          <w:i w:val="0"/>
          <w:iCs w:val="0"/>
          <w:color w:val="auto"/>
          <w:u w:val="none" w:color="auto"/>
          <w:lang w:eastAsia="zh-CN"/>
        </w:rPr>
        <w:t>（</w:t>
      </w:r>
      <w:r>
        <w:rPr>
          <w:rFonts w:hint="eastAsia" w:ascii="Times New Roman" w:hAnsi="Times New Roman" w:cs="Times New Roman"/>
          <w:i w:val="0"/>
          <w:iCs w:val="0"/>
          <w:color w:val="auto"/>
          <w:u w:val="none" w:color="auto"/>
          <w:lang w:val="en-US" w:eastAsia="zh-CN"/>
        </w:rPr>
        <w:t>1</w:t>
      </w:r>
      <w:r>
        <w:rPr>
          <w:rFonts w:hint="default" w:ascii="Times New Roman" w:hAnsi="Times New Roman" w:cs="Times New Roman"/>
          <w:i w:val="0"/>
          <w:iCs w:val="0"/>
          <w:color w:val="auto"/>
          <w:u w:val="none" w:color="auto"/>
          <w:lang w:eastAsia="zh-CN"/>
        </w:rPr>
        <w:t>）</w:t>
      </w:r>
      <w:r>
        <w:rPr>
          <w:rFonts w:hint="eastAsia"/>
          <w:color w:val="auto"/>
          <w:u w:val="none" w:color="auto"/>
        </w:rPr>
        <w:t>活性炭吸附原理</w:t>
      </w:r>
      <w:r>
        <w:rPr>
          <w:color w:val="auto"/>
          <w:u w:val="none" w:color="auto"/>
        </w:rPr>
        <w:t>：</w:t>
      </w:r>
    </w:p>
    <w:p w14:paraId="6FE2B7C9">
      <w:pPr>
        <w:pStyle w:val="21"/>
        <w:ind w:firstLine="480"/>
        <w:rPr>
          <w:color w:val="auto"/>
          <w:u w:val="none" w:color="auto"/>
        </w:rPr>
      </w:pPr>
      <w:r>
        <w:rPr>
          <w:rFonts w:hint="eastAsia"/>
          <w:color w:val="auto"/>
          <w:kern w:val="0"/>
          <w:u w:val="none" w:color="auto"/>
          <w:lang w:val="en-US" w:eastAsia="zh-CN" w:bidi="ar"/>
        </w:rPr>
        <w:t>①</w:t>
      </w:r>
      <w:r>
        <w:rPr>
          <w:color w:val="auto"/>
          <w:kern w:val="0"/>
          <w:u w:val="none" w:color="auto"/>
          <w:lang w:bidi="ar"/>
        </w:rPr>
        <w:t>活性炭吸附原理和特点</w:t>
      </w:r>
    </w:p>
    <w:p w14:paraId="522D0A98">
      <w:pPr>
        <w:pStyle w:val="21"/>
        <w:ind w:firstLine="480"/>
        <w:rPr>
          <w:color w:val="auto"/>
          <w:u w:val="none" w:color="auto"/>
        </w:rPr>
      </w:pPr>
      <w:r>
        <w:rPr>
          <w:color w:val="auto"/>
          <w:u w:val="none" w:color="auto"/>
        </w:rPr>
        <w:t>活性炭是</w:t>
      </w:r>
      <w:r>
        <w:rPr>
          <w:color w:val="auto"/>
          <w:kern w:val="0"/>
          <w:u w:val="none" w:color="auto"/>
          <w:lang w:bidi="ar"/>
        </w:rPr>
        <w:t>一种黑色多孔的固体炭质。早期由木材、硬果壳或兽骨等经炭化、活化制得，后改用煤通过粉碎、成型或用均匀的煤粒经炭化、活化生产。主要成分为碳，并含少量氧、氢、硫、氮、氯等元素。普通活性炭的比表面积在500～1700m</w:t>
      </w:r>
      <w:r>
        <w:rPr>
          <w:color w:val="auto"/>
          <w:kern w:val="0"/>
          <w:u w:val="none" w:color="auto"/>
          <w:vertAlign w:val="superscript"/>
          <w:lang w:bidi="ar"/>
        </w:rPr>
        <w:t>2</w:t>
      </w:r>
      <w:r>
        <w:rPr>
          <w:color w:val="auto"/>
          <w:kern w:val="0"/>
          <w:u w:val="none" w:color="auto"/>
          <w:lang w:bidi="ar"/>
        </w:rPr>
        <w:t>/g间，</w:t>
      </w:r>
      <w:r>
        <w:rPr>
          <w:rFonts w:hint="eastAsia"/>
          <w:color w:val="auto"/>
          <w:kern w:val="0"/>
          <w:u w:val="none" w:color="auto"/>
          <w:lang w:val="en-US" w:eastAsia="zh-CN" w:bidi="ar"/>
        </w:rPr>
        <w:t>本项目使用活性炭为800</w:t>
      </w:r>
      <w:r>
        <w:rPr>
          <w:color w:val="auto"/>
          <w:kern w:val="0"/>
          <w:u w:val="none" w:color="auto"/>
          <w:lang w:bidi="ar"/>
        </w:rPr>
        <w:t>m</w:t>
      </w:r>
      <w:r>
        <w:rPr>
          <w:color w:val="auto"/>
          <w:kern w:val="0"/>
          <w:u w:val="none" w:color="auto"/>
          <w:vertAlign w:val="superscript"/>
          <w:lang w:bidi="ar"/>
        </w:rPr>
        <w:t>2</w:t>
      </w:r>
      <w:r>
        <w:rPr>
          <w:color w:val="auto"/>
          <w:kern w:val="0"/>
          <w:u w:val="none" w:color="auto"/>
          <w:lang w:bidi="ar"/>
        </w:rPr>
        <w:t>/g</w:t>
      </w:r>
      <w:r>
        <w:rPr>
          <w:rFonts w:hint="eastAsia"/>
          <w:color w:val="auto"/>
          <w:kern w:val="0"/>
          <w:u w:val="none" w:color="auto"/>
          <w:lang w:eastAsia="zh-CN" w:bidi="ar"/>
        </w:rPr>
        <w:t>，</w:t>
      </w:r>
      <w:r>
        <w:rPr>
          <w:color w:val="auto"/>
          <w:kern w:val="0"/>
          <w:u w:val="none" w:color="auto"/>
          <w:lang w:bidi="ar"/>
        </w:rPr>
        <w:t>具有很强的吸附性能，吸附速度快，吸附容量高，易于再生，经久耐用，为用途极广的一种工业吸附剂。</w:t>
      </w:r>
    </w:p>
    <w:p w14:paraId="0C77EC0B">
      <w:pPr>
        <w:pStyle w:val="21"/>
        <w:ind w:firstLine="480"/>
        <w:rPr>
          <w:color w:val="auto"/>
          <w:u w:val="none" w:color="auto"/>
        </w:rPr>
      </w:pPr>
      <w:r>
        <w:rPr>
          <w:color w:val="auto"/>
          <w:u w:val="none" w:color="auto"/>
        </w:rPr>
        <w:t>活性炭吸附装置可处理苯类、酮类、醇类、烷类及其混合物类有机废气，主</w:t>
      </w:r>
      <w:r>
        <w:rPr>
          <w:color w:val="auto"/>
          <w:kern w:val="0"/>
          <w:u w:val="none" w:color="auto"/>
          <w:lang w:bidi="ar"/>
        </w:rPr>
        <w:t>要用于电子原件生产、电池生产、酸洗作业、实验室排气、冶金、化工、医药、涂装、食品、酿造等废气治理，尤为适合低浓度大风量或高浓度间歇排放废气的作业环境。而本项目的废气也具有低浓度的特征。</w:t>
      </w:r>
    </w:p>
    <w:p w14:paraId="089B5F07">
      <w:pPr>
        <w:pStyle w:val="23"/>
        <w:bidi w:val="0"/>
        <w:rPr>
          <w:color w:val="auto"/>
          <w:u w:val="none" w:color="auto"/>
        </w:rPr>
      </w:pPr>
      <w:r>
        <w:rPr>
          <w:color w:val="auto"/>
          <w:u w:val="none" w:color="auto"/>
        </w:rPr>
        <w:t>表</w:t>
      </w:r>
      <w:r>
        <w:rPr>
          <w:rFonts w:hint="eastAsia"/>
          <w:color w:val="auto"/>
          <w:u w:val="none" w:color="auto"/>
          <w:lang w:val="en-US" w:eastAsia="zh-CN"/>
        </w:rPr>
        <w:t>6.2-1</w:t>
      </w:r>
      <w:r>
        <w:rPr>
          <w:color w:val="auto"/>
          <w:u w:val="none" w:color="auto"/>
        </w:rPr>
        <w:t xml:space="preserve"> 活性炭吸附的吸附原理和特点</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14:paraId="20AE2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3" w:type="dxa"/>
            <w:noWrap w:val="0"/>
            <w:vAlign w:val="center"/>
          </w:tcPr>
          <w:p w14:paraId="421E1BB8">
            <w:pPr>
              <w:pStyle w:val="24"/>
              <w:bidi w:val="0"/>
              <w:rPr>
                <w:color w:val="auto"/>
                <w:u w:val="none" w:color="auto"/>
              </w:rPr>
            </w:pPr>
            <w:r>
              <w:rPr>
                <w:color w:val="auto"/>
                <w:u w:val="none" w:color="auto"/>
              </w:rPr>
              <w:t>吸附原理</w:t>
            </w:r>
          </w:p>
        </w:tc>
        <w:tc>
          <w:tcPr>
            <w:tcW w:w="3024" w:type="dxa"/>
            <w:noWrap w:val="0"/>
            <w:vAlign w:val="center"/>
          </w:tcPr>
          <w:p w14:paraId="6B842594">
            <w:pPr>
              <w:pStyle w:val="24"/>
              <w:bidi w:val="0"/>
              <w:rPr>
                <w:color w:val="auto"/>
                <w:u w:val="none" w:color="auto"/>
              </w:rPr>
            </w:pPr>
            <w:r>
              <w:rPr>
                <w:color w:val="auto"/>
                <w:u w:val="none" w:color="auto"/>
              </w:rPr>
              <w:t>特点</w:t>
            </w:r>
          </w:p>
        </w:tc>
        <w:tc>
          <w:tcPr>
            <w:tcW w:w="3024" w:type="dxa"/>
            <w:noWrap w:val="0"/>
            <w:vAlign w:val="center"/>
          </w:tcPr>
          <w:p w14:paraId="7E645237">
            <w:pPr>
              <w:pStyle w:val="24"/>
              <w:bidi w:val="0"/>
              <w:rPr>
                <w:color w:val="auto"/>
                <w:u w:val="none" w:color="auto"/>
              </w:rPr>
            </w:pPr>
            <w:r>
              <w:rPr>
                <w:color w:val="auto"/>
                <w:u w:val="none" w:color="auto"/>
              </w:rPr>
              <w:t>活性炭吸附内部示意简图</w:t>
            </w:r>
          </w:p>
        </w:tc>
      </w:tr>
      <w:tr w14:paraId="0107B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3" w:type="dxa"/>
            <w:noWrap w:val="0"/>
            <w:vAlign w:val="center"/>
          </w:tcPr>
          <w:p w14:paraId="6B4F0019">
            <w:pPr>
              <w:pStyle w:val="24"/>
              <w:bidi w:val="0"/>
              <w:rPr>
                <w:color w:val="auto"/>
                <w:u w:val="none" w:color="auto"/>
              </w:rPr>
            </w:pPr>
            <w:r>
              <w:rPr>
                <w:color w:val="auto"/>
                <w:u w:val="none" w:color="auto"/>
              </w:rPr>
              <w:t>活性炭（吸附剂）是一种非极性吸附剂，具有疏水性和亲有机物的性质，它能吸附绝大部分有机气体，如苯类、醛酮类、醇类、烃类等以及恶臭物质</w:t>
            </w:r>
          </w:p>
        </w:tc>
        <w:tc>
          <w:tcPr>
            <w:tcW w:w="3024" w:type="dxa"/>
            <w:noWrap w:val="0"/>
            <w:vAlign w:val="center"/>
          </w:tcPr>
          <w:p w14:paraId="14DA1040">
            <w:pPr>
              <w:pStyle w:val="24"/>
              <w:bidi w:val="0"/>
              <w:rPr>
                <w:color w:val="auto"/>
                <w:u w:val="none" w:color="auto"/>
              </w:rPr>
            </w:pPr>
            <w:r>
              <w:rPr>
                <w:color w:val="auto"/>
                <w:u w:val="none" w:color="auto"/>
              </w:rPr>
              <w:t>活性炭具有较好的机械强度、耐磨损性能、稳定的再活性以及对强、碱、水、高温的适应性等。活性炭对气体的吸附具有广泛性，对有机气体、无机气体、大分子量、小分子量均有较好的吸附性能，特别适用于混合有机气体的吸附。</w:t>
            </w:r>
          </w:p>
          <w:p w14:paraId="2D297A6B">
            <w:pPr>
              <w:pStyle w:val="24"/>
              <w:bidi w:val="0"/>
              <w:rPr>
                <w:color w:val="auto"/>
                <w:u w:val="none" w:color="auto"/>
              </w:rPr>
            </w:pPr>
            <w:r>
              <w:rPr>
                <w:color w:val="auto"/>
                <w:u w:val="none" w:color="auto"/>
              </w:rPr>
              <w:t>由于其具有疏松多孔的结构，比表面积很大，对有机废气吸附效率也比较高</w:t>
            </w:r>
          </w:p>
        </w:tc>
        <w:tc>
          <w:tcPr>
            <w:tcW w:w="3024" w:type="dxa"/>
            <w:noWrap w:val="0"/>
            <w:vAlign w:val="center"/>
          </w:tcPr>
          <w:p w14:paraId="59F27F92">
            <w:pPr>
              <w:pStyle w:val="24"/>
              <w:bidi w:val="0"/>
              <w:rPr>
                <w:color w:val="auto"/>
                <w:u w:val="none" w:color="auto"/>
              </w:rPr>
            </w:pPr>
            <w:r>
              <w:rPr>
                <w:color w:val="auto"/>
                <w:u w:val="none" w:color="auto"/>
              </w:rPr>
              <w:drawing>
                <wp:inline distT="0" distB="0" distL="114300" distR="114300">
                  <wp:extent cx="1779905" cy="1162050"/>
                  <wp:effectExtent l="0" t="0" r="10795" b="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47"/>
                          <a:stretch>
                            <a:fillRect/>
                          </a:stretch>
                        </pic:blipFill>
                        <pic:spPr>
                          <a:xfrm>
                            <a:off x="0" y="0"/>
                            <a:ext cx="1779905" cy="1162050"/>
                          </a:xfrm>
                          <a:prstGeom prst="rect">
                            <a:avLst/>
                          </a:prstGeom>
                          <a:noFill/>
                          <a:ln>
                            <a:noFill/>
                          </a:ln>
                        </pic:spPr>
                      </pic:pic>
                    </a:graphicData>
                  </a:graphic>
                </wp:inline>
              </w:drawing>
            </w:r>
          </w:p>
        </w:tc>
      </w:tr>
    </w:tbl>
    <w:p w14:paraId="682ABE7E">
      <w:pPr>
        <w:pStyle w:val="21"/>
        <w:ind w:firstLine="480"/>
        <w:rPr>
          <w:color w:val="auto"/>
          <w:u w:val="none" w:color="auto"/>
        </w:rPr>
      </w:pPr>
      <w:r>
        <w:rPr>
          <w:rFonts w:hint="eastAsia"/>
          <w:color w:val="auto"/>
          <w:u w:val="none" w:color="auto"/>
          <w:lang w:val="en-US" w:eastAsia="zh-CN"/>
        </w:rPr>
        <w:t>②</w:t>
      </w:r>
      <w:r>
        <w:rPr>
          <w:color w:val="auto"/>
          <w:u w:val="none" w:color="auto"/>
        </w:rPr>
        <w:t>活性炭吸附设施的基本参数要求</w:t>
      </w:r>
    </w:p>
    <w:p w14:paraId="6374AF90">
      <w:pPr>
        <w:pStyle w:val="21"/>
        <w:ind w:firstLine="480"/>
        <w:rPr>
          <w:color w:val="auto"/>
          <w:u w:val="none" w:color="auto"/>
        </w:rPr>
      </w:pPr>
      <w:r>
        <w:rPr>
          <w:color w:val="auto"/>
          <w:u w:val="none" w:color="auto"/>
        </w:rPr>
        <w:t>本项目有机废气由引风机提供动力，负压进入活性炭吸附装置。由于活性炭固体表面上存在着未平衡和未饱和的分子引力或化学键力，当此固体表面与气体接触时，就能吸引气体分子，使其浓聚并保持在固体表面。利用活性炭固体表面的这种吸附能力，使废气与大表面、多孔性的活性炭固体物质相接触，废气中的污染物被吸附在固体表面上，使其与气体混合物分离，达到净化目的。</w:t>
      </w:r>
    </w:p>
    <w:p w14:paraId="6CD4A1EB">
      <w:pPr>
        <w:pStyle w:val="21"/>
        <w:ind w:firstLine="480"/>
        <w:rPr>
          <w:color w:val="auto"/>
          <w:u w:val="none" w:color="auto"/>
        </w:rPr>
      </w:pPr>
      <w:r>
        <w:rPr>
          <w:color w:val="auto"/>
          <w:u w:val="none" w:color="auto"/>
        </w:rPr>
        <w:t>《吸附法工业有机废气治理工程技术规范》（HJ2026-2013）指出，进入吸附装置的废气温度宜低于40</w:t>
      </w:r>
      <w:r>
        <w:rPr>
          <w:rFonts w:hint="default" w:ascii="Times New Roman" w:hAnsi="Times New Roman" w:cs="Times New Roman"/>
          <w:color w:val="auto"/>
          <w:u w:val="none" w:color="auto"/>
        </w:rPr>
        <w:t>℃</w:t>
      </w:r>
      <w:r>
        <w:rPr>
          <w:color w:val="auto"/>
          <w:u w:val="none" w:color="auto"/>
        </w:rPr>
        <w:t>，采用颗粒状吸附剂时的气流流速宜低于0.6m/s。本项目的有机废气经过抽风后温度为常温，故适合采用颗粒活性炭作吸附剂。本环评建议吸附装置样式可选用为垂直固定床式，该样式构造简单，适合600~42000m</w:t>
      </w:r>
      <w:r>
        <w:rPr>
          <w:color w:val="auto"/>
          <w:u w:val="none" w:color="auto"/>
          <w:vertAlign w:val="superscript"/>
        </w:rPr>
        <w:t>3</w:t>
      </w:r>
      <w:r>
        <w:rPr>
          <w:color w:val="auto"/>
          <w:u w:val="none" w:color="auto"/>
        </w:rPr>
        <w:t>/h 的处理风量，要求空塔速度不高于0.5m/s，活性炭和废气的接触时间维持在1~2 秒，吸附层压力损失应小于1kPa。</w:t>
      </w:r>
    </w:p>
    <w:p w14:paraId="2DE56F3D">
      <w:pPr>
        <w:pStyle w:val="21"/>
        <w:ind w:firstLine="48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（2）焚烧炉原理</w:t>
      </w:r>
    </w:p>
    <w:p w14:paraId="4ECC4B79">
      <w:pPr>
        <w:pStyle w:val="21"/>
        <w:ind w:firstLine="48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焚烧炉与焙烧窑同步开启，焚烧炉内部设有多道烟气蓄热挡墙及格子砖火道墙，使得烟气在炉室内经过多道迂回，延长烟气在炉内滞留时间，同时在迂回流动中，浓淡烟气相互分割切圆，自动扩散实现浓淡燃烧，使得焚烧更加完全。并且挡墙格子体起到了挡焰和蓄热的双重效果，并有利于焚烧效率，又有利于节能。</w:t>
      </w:r>
    </w:p>
    <w:p w14:paraId="4DED2FFC">
      <w:pPr>
        <w:pStyle w:val="21"/>
        <w:ind w:firstLine="48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烧嘴分布可以根据焚烧功率需要分层独立开启，全部烧嘴成组采用空燃比例控制，均能实现独立火焰检测和自动点火。温度实现自动程序控制。</w:t>
      </w:r>
    </w:p>
    <w:p w14:paraId="6A22D307">
      <w:pPr>
        <w:pStyle w:val="21"/>
        <w:ind w:firstLine="48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焚烧炉的点火升温和停止时间与烧成窑炉工作主程序信号相关联，做到提前开启和升温，保障与烧成窑炉步调一致。焚烧炉开启前，让自然空气进入焚烧炉内置换余气，置换干净后才能进行焚烧炉烧嘴点火启炉，以确保启炉点火安全。焚烧炉可以把烟气中的VOC几乎全部烧干净达标。</w:t>
      </w:r>
    </w:p>
    <w:p w14:paraId="7C37E8E6">
      <w:pPr>
        <w:pStyle w:val="21"/>
        <w:ind w:firstLine="480"/>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如此，还原性气体经过窑炉内一次大量燃烧，焚烧炉内二次烧尽，最终达到排放口烟气达标排放。</w:t>
      </w:r>
    </w:p>
    <w:p w14:paraId="3A7D86BB">
      <w:pPr>
        <w:pStyle w:val="21"/>
        <w:ind w:firstLine="480"/>
        <w:rPr>
          <w:rFonts w:hint="default" w:ascii="Times New Roman" w:hAnsi="Times New Roman" w:cs="Times New Roman"/>
          <w:color w:val="auto"/>
          <w:u w:val="none" w:color="auto"/>
          <w:lang w:val="en-US" w:eastAsia="zh-CN"/>
        </w:rPr>
      </w:pPr>
      <w:r>
        <w:rPr>
          <w:rFonts w:hint="eastAsia" w:ascii="Times New Roman" w:hAnsi="Times New Roman" w:eastAsia="宋体" w:cs="Times New Roman"/>
          <w:color w:val="auto"/>
          <w:sz w:val="24"/>
          <w:szCs w:val="24"/>
          <w:u w:val="none" w:color="auto"/>
          <w:lang w:val="en-US" w:eastAsia="zh-CN"/>
        </w:rPr>
        <w:t>根据《排污许可证申请与核发技术规范 石墨及其他非金属矿物制品制造》（HJ1119-2020）表4可知，焚烧法属于废气污染防治可行技术。</w:t>
      </w:r>
    </w:p>
    <w:p w14:paraId="6FF54599">
      <w:pPr>
        <w:pStyle w:val="21"/>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）达标可行性</w:t>
      </w:r>
    </w:p>
    <w:p w14:paraId="349B97FF">
      <w:pPr>
        <w:pStyle w:val="21"/>
        <w:ind w:firstLine="480"/>
        <w:rPr>
          <w:rFonts w:hint="default" w:ascii="Times New Roman" w:hAnsi="Times New Roman" w:cs="Times New Roman"/>
          <w:color w:val="auto"/>
          <w:sz w:val="24"/>
          <w:u w:val="none" w:color="auto"/>
          <w:lang w:eastAsia="zh-CN"/>
        </w:rPr>
      </w:pPr>
      <w:r>
        <w:rPr>
          <w:rFonts w:hint="eastAsia" w:ascii="Times New Roman" w:hAnsi="Times New Roman" w:cs="Times New Roman"/>
          <w:color w:val="auto"/>
          <w:u w:val="none" w:color="auto"/>
          <w:lang w:val="en-US" w:eastAsia="zh-CN"/>
        </w:rPr>
        <w:t>废气</w:t>
      </w:r>
      <w:r>
        <w:rPr>
          <w:rFonts w:hint="default" w:ascii="Times New Roman" w:hAnsi="Times New Roman" w:cs="Times New Roman"/>
          <w:color w:val="auto"/>
          <w:u w:val="none" w:color="auto"/>
          <w:lang w:val="en-US" w:eastAsia="zh-CN"/>
        </w:rPr>
        <w:t>处理后，</w:t>
      </w:r>
      <w:r>
        <w:rPr>
          <w:rFonts w:hint="eastAsia" w:ascii="Times New Roman" w:hAnsi="Times New Roman" w:cs="Times New Roman"/>
          <w:color w:val="auto"/>
          <w:u w:val="none" w:color="auto"/>
          <w:lang w:val="en-US" w:eastAsia="zh-CN"/>
        </w:rPr>
        <w:t>DA001排气筒</w:t>
      </w:r>
      <w:r>
        <w:rPr>
          <w:rFonts w:hint="eastAsia" w:ascii="Times New Roman" w:hAnsi="Times New Roman" w:cs="Times New Roman"/>
          <w:color w:val="auto"/>
          <w:u w:val="none" w:color="auto"/>
          <w:vertAlign w:val="baseline"/>
          <w:lang w:val="en-US" w:eastAsia="zh-CN"/>
        </w:rPr>
        <w:t>非甲烷总烃排放量为0.257t/a（0.107kg/h，2.672</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）、甲醛排放量为0.342t/a（0.143kg/h，3.563</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）、酚类排放量为0.146t/a（0.061kg/h，1.514</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eastAsia" w:ascii="Times New Roman" w:hAnsi="Times New Roman" w:cs="Times New Roman"/>
          <w:color w:val="auto"/>
          <w:u w:val="none" w:color="auto"/>
          <w:lang w:val="en-US" w:eastAsia="zh-CN"/>
        </w:rPr>
        <w:t>DA002排气筒</w:t>
      </w:r>
      <w:r>
        <w:rPr>
          <w:rFonts w:hint="eastAsia" w:ascii="Times New Roman" w:hAnsi="Times New Roman" w:cs="Times New Roman"/>
          <w:color w:val="auto"/>
          <w:u w:val="none" w:color="auto"/>
          <w:vertAlign w:val="baseline"/>
          <w:lang w:val="en-US" w:eastAsia="zh-CN"/>
        </w:rPr>
        <w:t>非甲烷总烃排放量为2.1t/a（0.35kg/h，58.334</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）、酚类排放量为0.126t/a（0.021kg/h，3.489</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eastAsia" w:ascii="Times New Roman" w:hAnsi="Times New Roman" w:cs="Times New Roman"/>
          <w:color w:val="auto"/>
          <w:u w:val="none" w:color="auto"/>
          <w:lang w:val="en-US" w:eastAsia="zh-CN"/>
        </w:rPr>
        <w:t>DA003排气筒</w:t>
      </w:r>
      <w:r>
        <w:rPr>
          <w:rFonts w:hint="eastAsia" w:ascii="Times New Roman" w:hAnsi="Times New Roman" w:cs="Times New Roman"/>
          <w:color w:val="auto"/>
          <w:u w:val="none" w:color="auto"/>
          <w:vertAlign w:val="baseline"/>
          <w:lang w:val="en-US" w:eastAsia="zh-CN"/>
        </w:rPr>
        <w:t>非甲烷总烃排放量为2.1t/a（0.35kg/h，58.334</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）、酚类排放量为0.126t/a（0.021kg/h，3.489</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u w:val="none" w:color="auto"/>
          <w:lang w:val="en-US" w:eastAsia="zh-CN"/>
        </w:rPr>
        <w:t>满足</w:t>
      </w:r>
      <w:r>
        <w:rPr>
          <w:rFonts w:hint="default" w:ascii="Times New Roman" w:hAnsi="Times New Roman" w:cs="Times New Roman"/>
          <w:color w:val="auto"/>
          <w:u w:val="none"/>
          <w:lang w:eastAsia="zh-CN"/>
        </w:rPr>
        <w:t>《合成树脂工业污染物排放标准》（GB31572-2015）</w:t>
      </w:r>
      <w:r>
        <w:rPr>
          <w:rFonts w:hint="eastAsia" w:ascii="Times New Roman" w:hAnsi="Times New Roman" w:cs="Times New Roman"/>
          <w:color w:val="auto"/>
          <w:u w:val="none"/>
          <w:lang w:val="en-US" w:eastAsia="zh-CN"/>
        </w:rPr>
        <w:t>及</w:t>
      </w:r>
      <w:r>
        <w:rPr>
          <w:rFonts w:hint="default" w:ascii="Times New Roman" w:hAnsi="Times New Roman" w:cs="Times New Roman"/>
          <w:color w:val="auto"/>
          <w:u w:val="none"/>
          <w:lang w:eastAsia="zh-CN"/>
        </w:rPr>
        <w:t>《大气污染物综合排放标准》（GB16297-1996）标准中较严者</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vertAlign w:val="baseline"/>
          <w:lang w:val="en-US" w:eastAsia="zh-CN"/>
        </w:rPr>
        <w:t>非甲烷总烃</w:t>
      </w:r>
      <w:r>
        <w:rPr>
          <w:rFonts w:hint="eastAsia" w:cs="Times New Roman"/>
          <w:color w:val="auto"/>
          <w:u w:val="none" w:color="auto"/>
          <w:lang w:val="en-US" w:eastAsia="zh-CN"/>
        </w:rPr>
        <w:t>100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、甲醛5</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、酚类2</w:t>
      </w:r>
      <w:r>
        <w:rPr>
          <w:rFonts w:hint="eastAsia" w:cs="Times New Roman"/>
          <w:color w:val="auto"/>
          <w:u w:val="none" w:color="auto"/>
          <w:lang w:val="en-US" w:eastAsia="zh-CN"/>
        </w:rPr>
        <w:t>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sz w:val="24"/>
          <w:u w:val="none" w:color="auto"/>
          <w:lang w:eastAsia="zh-CN"/>
        </w:rPr>
        <w:t>。</w:t>
      </w:r>
    </w:p>
    <w:p w14:paraId="4048EFEA">
      <w:pPr>
        <w:pStyle w:val="21"/>
        <w:bidi w:val="0"/>
        <w:rPr>
          <w:rFonts w:hint="default"/>
          <w:color w:val="auto"/>
          <w:u w:val="none" w:color="auto"/>
          <w:lang w:val="en-US" w:eastAsia="zh-CN"/>
        </w:rPr>
      </w:pPr>
      <w:r>
        <w:rPr>
          <w:rFonts w:hint="eastAsia"/>
          <w:color w:val="auto"/>
          <w:u w:val="none" w:color="auto"/>
          <w:lang w:val="en-US" w:eastAsia="zh-CN"/>
        </w:rPr>
        <w:t>3</w:t>
      </w:r>
      <w:r>
        <w:rPr>
          <w:rFonts w:hint="default"/>
          <w:color w:val="auto"/>
          <w:u w:val="none" w:color="auto"/>
          <w:lang w:val="en-US" w:eastAsia="zh-CN"/>
        </w:rPr>
        <w:t>、有组织排放治理要求：</w:t>
      </w:r>
    </w:p>
    <w:p w14:paraId="128E69E3">
      <w:pPr>
        <w:pStyle w:val="21"/>
        <w:bidi w:val="0"/>
        <w:rPr>
          <w:rFonts w:hint="default"/>
          <w:color w:val="auto"/>
          <w:u w:val="none" w:color="auto"/>
          <w:lang w:val="en-US" w:eastAsia="zh-CN"/>
        </w:rPr>
      </w:pPr>
      <w:r>
        <w:rPr>
          <w:rFonts w:hint="eastAsia"/>
          <w:color w:val="auto"/>
          <w:u w:val="none" w:color="auto"/>
          <w:lang w:val="en-US" w:eastAsia="zh-CN"/>
        </w:rPr>
        <w:t>①</w:t>
      </w:r>
      <w:r>
        <w:rPr>
          <w:rFonts w:hint="default"/>
          <w:color w:val="auto"/>
          <w:u w:val="none" w:color="auto"/>
          <w:lang w:val="en-US" w:eastAsia="zh-CN"/>
        </w:rPr>
        <w:t>企业应考虑生产工艺、操作方式、废气性质、处理方法等因素，对工艺废气进行分类收集、分类处理或预处理，严禁经污染控制设施处理后的废气与其他未经处理的废气混合后直接排放，严禁经污染控制设施处理后的废气与空气混合后稀释排放。</w:t>
      </w:r>
    </w:p>
    <w:p w14:paraId="01DC60E3">
      <w:pPr>
        <w:pStyle w:val="21"/>
        <w:bidi w:val="0"/>
        <w:rPr>
          <w:rFonts w:hint="default"/>
          <w:color w:val="auto"/>
          <w:u w:val="none" w:color="auto"/>
          <w:lang w:val="en-US" w:eastAsia="zh-CN"/>
        </w:rPr>
      </w:pPr>
      <w:r>
        <w:rPr>
          <w:rFonts w:hint="eastAsia"/>
          <w:color w:val="auto"/>
          <w:u w:val="none" w:color="auto"/>
          <w:lang w:val="en-US" w:eastAsia="zh-CN"/>
        </w:rPr>
        <w:t>②</w:t>
      </w:r>
      <w:r>
        <w:rPr>
          <w:rFonts w:hint="default"/>
          <w:color w:val="auto"/>
          <w:u w:val="none" w:color="auto"/>
          <w:lang w:val="en-US" w:eastAsia="zh-CN"/>
        </w:rPr>
        <w:t>环保设施应先于其对应的生产设施运转，后于对应设施关闭，保证在生产设施运行波动情况下仍能正常运转，实现达标排放。产生大气污染物的生产工艺和装置需设立局部或整体气体收集系统和净化处理装置，集气方向应与污染气流运动方向一致。</w:t>
      </w:r>
    </w:p>
    <w:p w14:paraId="19F128D8">
      <w:pPr>
        <w:pStyle w:val="21"/>
        <w:bidi w:val="0"/>
        <w:rPr>
          <w:rFonts w:hint="default"/>
          <w:color w:val="auto"/>
          <w:u w:val="none" w:color="auto"/>
          <w:lang w:val="en-US" w:eastAsia="zh-CN"/>
        </w:rPr>
      </w:pPr>
      <w:r>
        <w:rPr>
          <w:rFonts w:hint="eastAsia"/>
          <w:color w:val="auto"/>
          <w:u w:val="none" w:color="auto"/>
          <w:lang w:val="en-US" w:eastAsia="zh-CN"/>
        </w:rPr>
        <w:t>③</w:t>
      </w:r>
      <w:r>
        <w:rPr>
          <w:rFonts w:hint="default"/>
          <w:color w:val="auto"/>
          <w:u w:val="none" w:color="auto"/>
          <w:lang w:val="en-US" w:eastAsia="zh-CN"/>
        </w:rPr>
        <w:t>废气收集系统的输送管道应密闭，在负压下运行。</w:t>
      </w:r>
    </w:p>
    <w:p w14:paraId="67ADF3DB">
      <w:pPr>
        <w:pStyle w:val="21"/>
        <w:bidi w:val="0"/>
        <w:rPr>
          <w:rFonts w:hint="default"/>
          <w:color w:val="auto"/>
          <w:u w:val="none" w:color="auto"/>
          <w:lang w:val="en-US" w:eastAsia="zh-CN"/>
        </w:rPr>
      </w:pPr>
      <w:r>
        <w:rPr>
          <w:rFonts w:hint="eastAsia"/>
          <w:color w:val="auto"/>
          <w:u w:val="none" w:color="auto"/>
          <w:lang w:val="en-US" w:eastAsia="zh-CN"/>
        </w:rPr>
        <w:t>④</w:t>
      </w:r>
      <w:r>
        <w:rPr>
          <w:rFonts w:hint="default"/>
          <w:color w:val="auto"/>
          <w:u w:val="none" w:color="auto"/>
          <w:lang w:val="en-US" w:eastAsia="zh-CN"/>
        </w:rPr>
        <w:t>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14:paraId="4E8E3816">
      <w:pPr>
        <w:pStyle w:val="21"/>
        <w:bidi w:val="0"/>
        <w:rPr>
          <w:rFonts w:hint="default"/>
          <w:color w:val="auto"/>
          <w:u w:val="none" w:color="auto"/>
          <w:lang w:val="en-US" w:eastAsia="zh-CN"/>
        </w:rPr>
      </w:pPr>
      <w:r>
        <w:rPr>
          <w:rFonts w:hint="eastAsia"/>
          <w:color w:val="auto"/>
          <w:u w:val="none" w:color="auto"/>
          <w:lang w:val="en-US" w:eastAsia="zh-CN"/>
        </w:rPr>
        <w:t>⑤</w:t>
      </w:r>
      <w:r>
        <w:rPr>
          <w:rFonts w:hint="default"/>
          <w:color w:val="auto"/>
          <w:u w:val="none" w:color="auto"/>
          <w:lang w:val="en-US" w:eastAsia="zh-CN"/>
        </w:rPr>
        <w:t>所有治理设施应制定操作规程，明确各项运行参数，实际运行参数应与操作规程一致。使用吸附技术治理挥发性有机物时，应记录吸附剂的使用/更换量、更换/再生周期，操作温度应满足设计参数的要求，更换的吸附材料按危险废物处置。</w:t>
      </w:r>
    </w:p>
    <w:p w14:paraId="44CA5E06">
      <w:pPr>
        <w:pStyle w:val="21"/>
        <w:bidi w:val="0"/>
        <w:rPr>
          <w:rFonts w:hint="eastAsia"/>
          <w:color w:val="auto"/>
          <w:u w:val="none" w:color="auto"/>
          <w:lang w:val="en-US" w:eastAsia="zh-CN"/>
        </w:rPr>
      </w:pPr>
      <w:r>
        <w:rPr>
          <w:rFonts w:hint="eastAsia" w:ascii="宋体" w:hAnsi="宋体" w:eastAsia="宋体" w:cs="宋体"/>
          <w:color w:val="auto"/>
          <w:u w:val="none" w:color="auto"/>
          <w:lang w:val="en-US" w:eastAsia="zh-CN"/>
        </w:rPr>
        <w:t>⑥根据《排污许可证申请与核发技术规范 石墨及其他非金属矿物制品制造》（</w:t>
      </w:r>
      <w:r>
        <w:rPr>
          <w:rFonts w:hint="default" w:ascii="Times New Roman" w:hAnsi="Times New Roman" w:eastAsia="宋体" w:cs="Times New Roman"/>
          <w:color w:val="auto"/>
          <w:u w:val="none" w:color="auto"/>
          <w:lang w:val="en-US" w:eastAsia="zh-CN"/>
        </w:rPr>
        <w:t>HJ1119—2020</w:t>
      </w:r>
      <w:r>
        <w:rPr>
          <w:rFonts w:hint="eastAsia" w:ascii="宋体" w:hAnsi="宋体" w:eastAsia="宋体" w:cs="宋体"/>
          <w:color w:val="auto"/>
          <w:u w:val="none" w:color="auto"/>
          <w:lang w:val="en-US" w:eastAsia="zh-CN"/>
        </w:rPr>
        <w:t>），排污单位需安装了自动监控设备，需要定期对自动监控设备进行比对校核</w:t>
      </w:r>
      <w:r>
        <w:rPr>
          <w:rFonts w:hint="eastAsia" w:ascii="宋体" w:hAnsi="宋体" w:cs="宋体"/>
          <w:color w:val="auto"/>
          <w:u w:val="none" w:color="auto"/>
          <w:lang w:val="en-US" w:eastAsia="zh-CN"/>
        </w:rPr>
        <w:t>。</w:t>
      </w:r>
    </w:p>
    <w:p w14:paraId="064BA892">
      <w:pPr>
        <w:pStyle w:val="21"/>
        <w:bidi w:val="0"/>
        <w:rPr>
          <w:rFonts w:hint="eastAsia"/>
          <w:color w:val="auto"/>
          <w:u w:val="none" w:color="auto"/>
          <w:lang w:val="en-US" w:eastAsia="zh-CN"/>
        </w:rPr>
      </w:pPr>
      <w:r>
        <w:rPr>
          <w:rFonts w:hint="eastAsia"/>
          <w:color w:val="auto"/>
          <w:u w:val="none" w:color="auto"/>
          <w:lang w:val="en-US" w:eastAsia="zh-CN"/>
        </w:rPr>
        <w:t>4、无组织排放治理要求：</w:t>
      </w:r>
    </w:p>
    <w:p w14:paraId="6F392509">
      <w:pPr>
        <w:pStyle w:val="21"/>
        <w:bidi w:val="0"/>
        <w:rPr>
          <w:rFonts w:hint="eastAsia"/>
          <w:color w:val="auto"/>
          <w:u w:val="none" w:color="auto"/>
          <w:lang w:val="en-US" w:eastAsia="zh-CN"/>
        </w:rPr>
      </w:pPr>
      <w:r>
        <w:rPr>
          <w:rFonts w:hint="eastAsia"/>
          <w:color w:val="auto"/>
          <w:u w:val="none" w:color="auto"/>
          <w:lang w:val="en-US" w:eastAsia="zh-CN"/>
        </w:rPr>
        <w:t>a、本项目使用酚醛树脂等原料采用包装桶进行储存。</w:t>
      </w:r>
    </w:p>
    <w:p w14:paraId="56BB8901">
      <w:pPr>
        <w:pStyle w:val="21"/>
        <w:bidi w:val="0"/>
        <w:rPr>
          <w:rFonts w:hint="eastAsia"/>
          <w:color w:val="auto"/>
          <w:u w:val="none" w:color="auto"/>
          <w:lang w:val="en-US" w:eastAsia="zh-CN"/>
        </w:rPr>
      </w:pPr>
      <w:r>
        <w:rPr>
          <w:rFonts w:hint="eastAsia"/>
          <w:color w:val="auto"/>
          <w:u w:val="none" w:color="auto"/>
          <w:lang w:val="en-US" w:eastAsia="zh-CN"/>
        </w:rPr>
        <w:t>b、本项目原辅料均储存在室内，不露天堆放，且在非取用状态时加盖、封口、保持密闭。</w:t>
      </w:r>
    </w:p>
    <w:p w14:paraId="19846426">
      <w:pPr>
        <w:pStyle w:val="21"/>
        <w:bidi w:val="0"/>
        <w:rPr>
          <w:rFonts w:hint="eastAsia"/>
          <w:color w:val="auto"/>
          <w:u w:val="none" w:color="auto"/>
          <w:lang w:val="en-US" w:eastAsia="zh-CN"/>
        </w:rPr>
      </w:pPr>
      <w:r>
        <w:rPr>
          <w:rFonts w:hint="eastAsia"/>
          <w:color w:val="auto"/>
          <w:u w:val="none" w:color="auto"/>
          <w:lang w:val="en-US" w:eastAsia="zh-CN"/>
        </w:rPr>
        <w:t>c、本项目对焙烧、加热捏合、冷却等过程产生的有机废气收集后进入废气处理系统处置。</w:t>
      </w:r>
    </w:p>
    <w:p w14:paraId="3AD86383">
      <w:pPr>
        <w:pStyle w:val="21"/>
        <w:bidi w:val="0"/>
        <w:rPr>
          <w:rFonts w:hint="eastAsia"/>
          <w:color w:val="auto"/>
          <w:u w:val="none" w:color="auto"/>
          <w:lang w:val="en-US" w:eastAsia="zh-CN"/>
        </w:rPr>
      </w:pPr>
      <w:r>
        <w:rPr>
          <w:rFonts w:hint="eastAsia"/>
          <w:color w:val="auto"/>
          <w:u w:val="none" w:color="auto"/>
          <w:lang w:val="en-US" w:eastAsia="zh-CN"/>
        </w:rPr>
        <w:t>5、无组织粉尘污染控制措施：</w:t>
      </w:r>
    </w:p>
    <w:p w14:paraId="1B19ED64">
      <w:pPr>
        <w:pStyle w:val="21"/>
        <w:bidi w:val="0"/>
        <w:rPr>
          <w:rFonts w:hint="eastAsia"/>
          <w:color w:val="auto"/>
          <w:u w:val="none" w:color="auto"/>
          <w:lang w:val="en-US" w:eastAsia="zh-CN"/>
        </w:rPr>
      </w:pPr>
      <w:r>
        <w:rPr>
          <w:rFonts w:hint="eastAsia"/>
          <w:color w:val="auto"/>
          <w:u w:val="none" w:color="auto"/>
          <w:lang w:val="en-US" w:eastAsia="zh-CN"/>
        </w:rPr>
        <w:t>本项目在物料的配料、搬运、加工等过程中产生粉尘，排放量与物料的粒径、物料转运的距离和落差、操作管理有关，为了有效地控制各个扬尘点的粉尘，工艺设计中原辅材料应尽量采用密闭设备，降低物料转运的距离和落差，车间内配备集尘设备，减少粉尘的产生，并在厂房的周围及道路两旁等凡能绿化的地带尽量种植乔木、灌木和草坪，加强厂区周围环境的绿化，减少无组织粉尘对外环境的影响。</w:t>
      </w:r>
    </w:p>
    <w:p w14:paraId="5720E7B9">
      <w:pPr>
        <w:pStyle w:val="21"/>
        <w:bidi w:val="0"/>
        <w:rPr>
          <w:rFonts w:hint="eastAsia"/>
          <w:color w:val="auto"/>
          <w:u w:val="none" w:color="auto"/>
          <w:lang w:val="en-US" w:eastAsia="zh-CN"/>
        </w:rPr>
      </w:pPr>
      <w:r>
        <w:rPr>
          <w:rFonts w:hint="eastAsia"/>
          <w:color w:val="auto"/>
          <w:u w:val="none" w:color="auto"/>
          <w:lang w:val="en-US" w:eastAsia="zh-CN"/>
        </w:rPr>
        <w:t>为了进一步减小项目粉尘对周围环境的影响，建议建设单位采取以下措施进行控制：</w:t>
      </w:r>
    </w:p>
    <w:p w14:paraId="0119A0DE">
      <w:pPr>
        <w:pStyle w:val="21"/>
        <w:bidi w:val="0"/>
        <w:rPr>
          <w:rFonts w:hint="eastAsia"/>
          <w:color w:val="auto"/>
          <w:u w:val="none" w:color="auto"/>
          <w:lang w:val="en-US" w:eastAsia="zh-CN"/>
        </w:rPr>
      </w:pPr>
      <w:r>
        <w:rPr>
          <w:rFonts w:hint="eastAsia"/>
          <w:color w:val="auto"/>
          <w:u w:val="none" w:color="auto"/>
          <w:lang w:val="en-US" w:eastAsia="zh-CN"/>
        </w:rPr>
        <w:t>a、运输车辆采取帆布封盖措施。</w:t>
      </w:r>
    </w:p>
    <w:p w14:paraId="0C50FC77">
      <w:pPr>
        <w:pStyle w:val="21"/>
        <w:bidi w:val="0"/>
        <w:rPr>
          <w:rFonts w:hint="eastAsia"/>
          <w:color w:val="auto"/>
          <w:u w:val="none" w:color="auto"/>
          <w:lang w:val="en-US" w:eastAsia="zh-CN"/>
        </w:rPr>
      </w:pPr>
      <w:r>
        <w:rPr>
          <w:rFonts w:hint="eastAsia"/>
          <w:color w:val="auto"/>
          <w:u w:val="none" w:color="auto"/>
          <w:lang w:val="en-US" w:eastAsia="zh-CN"/>
        </w:rPr>
        <w:t>b、对原料、成品采取室内包装堆存、严禁露天堆放。</w:t>
      </w:r>
    </w:p>
    <w:p w14:paraId="3F2C0DD6">
      <w:pPr>
        <w:pStyle w:val="21"/>
        <w:bidi w:val="0"/>
        <w:rPr>
          <w:rFonts w:hint="eastAsia"/>
          <w:color w:val="auto"/>
          <w:u w:val="none" w:color="auto"/>
          <w:lang w:val="en-US" w:eastAsia="zh-CN"/>
        </w:rPr>
      </w:pPr>
      <w:r>
        <w:rPr>
          <w:rFonts w:hint="eastAsia"/>
          <w:color w:val="auto"/>
          <w:u w:val="none" w:color="auto"/>
          <w:lang w:val="en-US" w:eastAsia="zh-CN"/>
        </w:rPr>
        <w:t>c、由于粉尘排放受人为操作因素影响较大，要求厂家加强对操作人员的管理，保持除尘设施正常运转，将粉尘影响降低到可接受的范围内。</w:t>
      </w:r>
    </w:p>
    <w:p w14:paraId="55742B70">
      <w:pPr>
        <w:pStyle w:val="21"/>
        <w:bidi w:val="0"/>
        <w:rPr>
          <w:rFonts w:hint="eastAsia"/>
          <w:color w:val="auto"/>
          <w:u w:val="none" w:color="auto"/>
          <w:lang w:val="en-US" w:eastAsia="zh-CN"/>
        </w:rPr>
      </w:pPr>
      <w:r>
        <w:rPr>
          <w:rFonts w:hint="eastAsia"/>
          <w:color w:val="auto"/>
          <w:u w:val="none" w:color="auto"/>
          <w:lang w:val="en-US" w:eastAsia="zh-CN"/>
        </w:rPr>
        <w:t>粉尘非正常排放的原因主要是原料在加料以及配套的除尘系统或者输送设备发生故障，造成粉尘大量外溢，当粉尘发生非正常排放时，应立即停止进料，并立即更换备件，同时组织人员疏通除尘系统及相关链接的管道；立即停止与之相关的风机，防止风力将造成扬尘污染环境，确保故障隐患的消除。在故障消除之后进料时，应组织人员把现场的粉尘清理干净，收集后存放到指定位置。</w:t>
      </w:r>
    </w:p>
    <w:p w14:paraId="007F98CB">
      <w:pPr>
        <w:pStyle w:val="21"/>
        <w:bidi w:val="0"/>
        <w:rPr>
          <w:rFonts w:hint="eastAsia"/>
          <w:color w:val="auto"/>
          <w:u w:val="none" w:color="auto"/>
          <w:lang w:val="en-US" w:eastAsia="zh-CN"/>
        </w:rPr>
      </w:pPr>
      <w:r>
        <w:rPr>
          <w:rFonts w:hint="eastAsia"/>
          <w:color w:val="auto"/>
          <w:u w:val="none" w:color="auto"/>
          <w:lang w:val="en-US" w:eastAsia="zh-CN"/>
        </w:rPr>
        <w:t>项目应选用稳定成熟的设备、加强操作人员的责任心以减少非正常排放。环评要求建设单位落实各项环保措施，保证设备的正常运转，防止人为或设备故障导致事故排放，实现废气达标排放。同时设备的制造和安装应严格进行调试。</w:t>
      </w:r>
    </w:p>
    <w:p w14:paraId="52328BCF">
      <w:pPr>
        <w:pStyle w:val="21"/>
        <w:bidi w:val="0"/>
        <w:rPr>
          <w:rFonts w:hint="default"/>
          <w:color w:val="auto"/>
          <w:u w:val="none" w:color="auto"/>
        </w:rPr>
      </w:pPr>
      <w:r>
        <w:rPr>
          <w:rFonts w:hint="eastAsia"/>
          <w:color w:val="auto"/>
          <w:u w:val="none" w:color="auto"/>
          <w:lang w:val="en-US" w:eastAsia="zh-CN"/>
        </w:rPr>
        <w:t>综上所述，本项目废气对周边空气环境的影响较小，不会对周边的居民生活的空气环境造成明显影响。故建设方应加强环保措施的维护，确保设施的正常运行，减少事故的发生</w:t>
      </w:r>
      <w:r>
        <w:rPr>
          <w:rFonts w:hint="default"/>
          <w:color w:val="auto"/>
          <w:u w:val="none" w:color="auto"/>
        </w:rPr>
        <w:t>。</w:t>
      </w:r>
    </w:p>
    <w:p w14:paraId="4736D95D">
      <w:pPr>
        <w:pStyle w:val="8"/>
        <w:rPr>
          <w:rFonts w:hint="default" w:ascii="Times New Roman" w:hAnsi="Times New Roman" w:cs="Times New Roman"/>
          <w:color w:val="auto"/>
          <w:u w:val="none" w:color="auto"/>
        </w:rPr>
      </w:pPr>
      <w:bookmarkStart w:id="1327" w:name="_Toc15355"/>
      <w:bookmarkStart w:id="1328" w:name="_Toc10862"/>
      <w:bookmarkStart w:id="1329" w:name="_Toc10857"/>
      <w:bookmarkStart w:id="1330" w:name="_Toc5251"/>
      <w:bookmarkStart w:id="1331" w:name="_Toc4483"/>
      <w:bookmarkStart w:id="1332" w:name="_Toc6166"/>
      <w:bookmarkStart w:id="1333" w:name="_Toc3077"/>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.2废水治理措施及达标可行性分析</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3B44D10E">
      <w:pPr>
        <w:pStyle w:val="21"/>
        <w:bidi w:val="0"/>
        <w:rPr>
          <w:color w:val="auto"/>
          <w:u w:val="none" w:color="auto"/>
        </w:rPr>
      </w:pPr>
      <w:bookmarkStart w:id="1334" w:name="_Toc232307502"/>
      <w:bookmarkStart w:id="1335" w:name="_Toc233000954"/>
      <w:bookmarkStart w:id="1336" w:name="_Toc234226372"/>
      <w:bookmarkStart w:id="1337" w:name="_Toc232306666"/>
      <w:bookmarkStart w:id="1338" w:name="_Toc233106498"/>
      <w:bookmarkStart w:id="1339" w:name="_Toc232251334"/>
      <w:r>
        <w:rPr>
          <w:rFonts w:hint="eastAsia"/>
          <w:color w:val="auto"/>
          <w:u w:val="none" w:color="auto"/>
        </w:rPr>
        <w:t>本项目为水污染影响型建设项目，</w:t>
      </w:r>
      <w:r>
        <w:rPr>
          <w:rStyle w:val="52"/>
          <w:rFonts w:hint="eastAsia" w:ascii="Times New Roman" w:hAnsi="Times New Roman" w:cs="Times New Roman"/>
          <w:color w:val="auto"/>
          <w:u w:val="none" w:color="auto"/>
          <w:lang w:val="en-US" w:eastAsia="zh-CN"/>
        </w:rPr>
        <w:t>项目无生产废水产生及外排</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生活污水依托现有化粪池处理</w:t>
      </w:r>
      <w:r>
        <w:rPr>
          <w:rFonts w:hint="eastAsia"/>
          <w:color w:val="auto"/>
          <w:u w:val="none" w:color="auto"/>
          <w:lang w:val="en-US" w:eastAsia="zh-CN"/>
        </w:rPr>
        <w:t>后排入长沙经开区汨罗产业园污水处理厂</w:t>
      </w:r>
      <w:r>
        <w:rPr>
          <w:rFonts w:hint="eastAsia"/>
          <w:color w:val="auto"/>
          <w:u w:val="none" w:color="auto"/>
        </w:rPr>
        <w:t>。</w:t>
      </w:r>
    </w:p>
    <w:p w14:paraId="1B54B4D6">
      <w:pPr>
        <w:pStyle w:val="21"/>
        <w:bidi w:val="0"/>
        <w:rPr>
          <w:rFonts w:hint="default" w:ascii="Times New Roman" w:hAnsi="Times New Roman" w:eastAsia="宋体" w:cs="Times New Roman"/>
          <w:color w:val="000000"/>
          <w:u w:val="none" w:color="auto"/>
          <w:lang w:val="en-US" w:eastAsia="zh-CN"/>
        </w:rPr>
      </w:pPr>
      <w:r>
        <w:rPr>
          <w:rFonts w:hint="default" w:ascii="Times New Roman" w:hAnsi="Times New Roman" w:eastAsia="宋体" w:cs="Times New Roman"/>
          <w:color w:val="auto"/>
          <w:u w:val="none" w:color="auto"/>
          <w:lang w:eastAsia="zh-CN"/>
        </w:rPr>
        <w:t>根据第</w:t>
      </w:r>
      <w:r>
        <w:rPr>
          <w:rFonts w:hint="eastAsia" w:ascii="Times New Roman" w:hAnsi="Times New Roman" w:eastAsia="宋体" w:cs="Times New Roman"/>
          <w:b/>
          <w:bCs/>
          <w:color w:val="auto"/>
          <w:u w:val="none" w:color="auto"/>
          <w:lang w:val="en-US" w:eastAsia="zh-CN"/>
        </w:rPr>
        <w:t>6.2</w:t>
      </w:r>
      <w:r>
        <w:rPr>
          <w:rFonts w:hint="default" w:ascii="Times New Roman" w:hAnsi="Times New Roman" w:eastAsia="宋体" w:cs="Times New Roman"/>
          <w:b/>
          <w:bCs/>
          <w:color w:val="auto"/>
          <w:u w:val="none" w:color="auto"/>
        </w:rPr>
        <w:t>营运期地表水环境影响评价</w:t>
      </w:r>
      <w:r>
        <w:rPr>
          <w:rFonts w:hint="default" w:ascii="Times New Roman" w:hAnsi="Times New Roman" w:eastAsia="宋体" w:cs="Times New Roman"/>
          <w:color w:val="auto"/>
          <w:u w:val="none" w:color="auto"/>
          <w:lang w:eastAsia="zh-CN"/>
        </w:rPr>
        <w:t>章节中依托污水处理设施的环境可行性评价</w:t>
      </w:r>
      <w:r>
        <w:rPr>
          <w:rFonts w:hint="eastAsia" w:ascii="Times New Roman" w:hAnsi="Times New Roman" w:eastAsia="宋体" w:cs="Times New Roman"/>
          <w:color w:val="auto"/>
          <w:u w:val="none" w:color="auto"/>
          <w:lang w:eastAsia="zh-CN"/>
        </w:rPr>
        <w:t>内容可知，本</w:t>
      </w:r>
      <w:r>
        <w:rPr>
          <w:rFonts w:hint="default" w:ascii="Times New Roman" w:hAnsi="Times New Roman" w:eastAsia="宋体" w:cs="Times New Roman"/>
          <w:color w:val="auto"/>
          <w:u w:val="none" w:color="auto"/>
        </w:rPr>
        <w:t>项目废水排放量为</w:t>
      </w:r>
      <w:r>
        <w:rPr>
          <w:rFonts w:hint="eastAsia" w:ascii="Times New Roman" w:hAnsi="Times New Roman" w:eastAsia="宋体" w:cs="Times New Roman"/>
          <w:color w:val="auto"/>
          <w:u w:val="none" w:color="auto"/>
          <w:lang w:val="en-US" w:eastAsia="zh-CN"/>
        </w:rPr>
        <w:t>1216</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/a，</w:t>
      </w:r>
      <w:r>
        <w:rPr>
          <w:rFonts w:hint="default" w:ascii="Times New Roman" w:hAnsi="Times New Roman" w:eastAsia="宋体" w:cs="Times New Roman"/>
          <w:color w:val="auto"/>
          <w:u w:val="none" w:color="auto"/>
          <w:lang w:eastAsia="zh-CN"/>
        </w:rPr>
        <w:t>废水</w:t>
      </w:r>
      <w:r>
        <w:rPr>
          <w:rFonts w:hint="default" w:ascii="Times New Roman" w:hAnsi="Times New Roman" w:eastAsia="宋体" w:cs="Times New Roman"/>
          <w:color w:val="auto"/>
          <w:u w:val="none" w:color="auto"/>
        </w:rPr>
        <w:t>中所含污染物主要为COD、BOD</w:t>
      </w:r>
      <w:r>
        <w:rPr>
          <w:rFonts w:hint="default" w:ascii="Times New Roman" w:hAnsi="Times New Roman" w:eastAsia="宋体" w:cs="Times New Roman"/>
          <w:color w:val="auto"/>
          <w:u w:val="none" w:color="auto"/>
          <w:vertAlign w:val="subscript"/>
        </w:rPr>
        <w:t>5</w:t>
      </w:r>
      <w:r>
        <w:rPr>
          <w:rFonts w:hint="default" w:ascii="Times New Roman" w:hAnsi="Times New Roman" w:eastAsia="宋体" w:cs="Times New Roman"/>
          <w:color w:val="auto"/>
          <w:u w:val="none" w:color="auto"/>
        </w:rPr>
        <w:t>、NH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-N、SS等；</w:t>
      </w:r>
      <w:r>
        <w:rPr>
          <w:rFonts w:hint="default" w:ascii="Times New Roman" w:hAnsi="Times New Roman" w:eastAsia="宋体" w:cs="Times New Roman"/>
          <w:color w:val="000000"/>
          <w:u w:val="none" w:color="auto"/>
          <w:lang w:val="en-US" w:eastAsia="zh-CN"/>
        </w:rPr>
        <w:t>项目所在厂区已建设雨污分流的排水系统，</w:t>
      </w:r>
      <w:r>
        <w:rPr>
          <w:rFonts w:hint="default" w:ascii="Times New Roman" w:hAnsi="Times New Roman" w:eastAsia="宋体" w:cs="Times New Roman"/>
          <w:color w:val="000000"/>
          <w:u w:val="none" w:color="auto"/>
        </w:rPr>
        <w:t>雨水通过厂区雨水排放口进入市政雨水管网。</w:t>
      </w:r>
    </w:p>
    <w:p w14:paraId="60FF0B14">
      <w:pPr>
        <w:pStyle w:val="21"/>
        <w:ind w:firstLine="480"/>
        <w:rPr>
          <w:rFonts w:hint="default" w:ascii="Times New Roman" w:hAnsi="Times New Roman" w:eastAsia="宋体" w:cs="Times New Roman"/>
          <w:color w:val="auto"/>
          <w:sz w:val="24"/>
          <w:szCs w:val="24"/>
          <w:u w:val="none" w:color="auto"/>
          <w:lang w:val="en-US" w:eastAsia="zh-CN"/>
        </w:rPr>
      </w:pPr>
      <w:r>
        <w:rPr>
          <w:rFonts w:hint="eastAsia" w:cs="Times New Roman"/>
          <w:color w:val="000000"/>
          <w:kern w:val="2"/>
          <w:sz w:val="24"/>
          <w:szCs w:val="21"/>
          <w:lang w:val="en-US" w:eastAsia="zh-CN" w:bidi="ar-SA"/>
        </w:rPr>
        <w:t>长沙经开区汨罗产业园污水处理厂</w:t>
      </w:r>
      <w:r>
        <w:rPr>
          <w:rFonts w:hint="default" w:ascii="Times New Roman" w:hAnsi="Times New Roman" w:eastAsia="宋体" w:cs="Times New Roman"/>
          <w:color w:val="000000"/>
          <w:kern w:val="2"/>
          <w:sz w:val="24"/>
          <w:szCs w:val="21"/>
          <w:lang w:val="en-US" w:eastAsia="zh-CN" w:bidi="ar-SA"/>
        </w:rPr>
        <w:t>位于汨罗市</w:t>
      </w:r>
      <w:r>
        <w:rPr>
          <w:rFonts w:hint="eastAsia" w:cs="Times New Roman"/>
          <w:color w:val="000000"/>
          <w:kern w:val="2"/>
          <w:sz w:val="24"/>
          <w:szCs w:val="21"/>
          <w:lang w:val="en-US" w:eastAsia="zh-CN" w:bidi="ar-SA"/>
        </w:rPr>
        <w:t>弼时镇白沙河路和丛木塘路交叉口</w:t>
      </w:r>
      <w:r>
        <w:rPr>
          <w:rFonts w:hint="default" w:ascii="Times New Roman" w:hAnsi="Times New Roman" w:eastAsia="宋体" w:cs="Times New Roman"/>
          <w:color w:val="000000"/>
          <w:kern w:val="2"/>
          <w:sz w:val="24"/>
          <w:szCs w:val="21"/>
          <w:lang w:val="en-US" w:eastAsia="zh-CN" w:bidi="ar-SA"/>
        </w:rPr>
        <w:t>，占地面积4</w:t>
      </w:r>
      <w:r>
        <w:rPr>
          <w:rFonts w:hint="eastAsia" w:cs="Times New Roman"/>
          <w:color w:val="000000"/>
          <w:kern w:val="2"/>
          <w:sz w:val="24"/>
          <w:szCs w:val="21"/>
          <w:lang w:val="en-US" w:eastAsia="zh-CN" w:bidi="ar-SA"/>
        </w:rPr>
        <w:t>9234.65</w:t>
      </w:r>
      <w:r>
        <w:rPr>
          <w:rFonts w:hint="default" w:ascii="Times New Roman" w:hAnsi="Times New Roman" w:eastAsia="宋体" w:cs="Times New Roman"/>
          <w:color w:val="000000"/>
          <w:kern w:val="2"/>
          <w:sz w:val="24"/>
          <w:szCs w:val="21"/>
          <w:lang w:val="en-US" w:eastAsia="zh-CN" w:bidi="ar-SA"/>
        </w:rPr>
        <w:t>m</w:t>
      </w:r>
      <w:r>
        <w:rPr>
          <w:rFonts w:hint="default" w:ascii="Times New Roman" w:hAnsi="Times New Roman" w:eastAsia="宋体" w:cs="Times New Roman"/>
          <w:color w:val="000000"/>
          <w:kern w:val="2"/>
          <w:sz w:val="24"/>
          <w:szCs w:val="21"/>
          <w:vertAlign w:val="superscript"/>
          <w:lang w:val="en-US" w:eastAsia="zh-CN" w:bidi="ar-SA"/>
        </w:rPr>
        <w:t>2</w:t>
      </w:r>
      <w:r>
        <w:rPr>
          <w:rFonts w:hint="default" w:ascii="Times New Roman" w:hAnsi="Times New Roman" w:eastAsia="宋体" w:cs="Times New Roman"/>
          <w:color w:val="000000"/>
          <w:kern w:val="2"/>
          <w:sz w:val="24"/>
          <w:szCs w:val="21"/>
          <w:lang w:val="en-US" w:eastAsia="zh-CN" w:bidi="ar-SA"/>
        </w:rPr>
        <w:t>，工程服务范围为汨罗高新技术产业开发区</w:t>
      </w:r>
      <w:r>
        <w:rPr>
          <w:rFonts w:hint="eastAsia" w:cs="Times New Roman"/>
          <w:color w:val="000000"/>
          <w:kern w:val="2"/>
          <w:sz w:val="24"/>
          <w:szCs w:val="21"/>
          <w:lang w:val="en-US" w:eastAsia="zh-CN" w:bidi="ar-SA"/>
        </w:rPr>
        <w:t>弼时</w:t>
      </w:r>
      <w:r>
        <w:rPr>
          <w:rFonts w:hint="default" w:ascii="Times New Roman" w:hAnsi="Times New Roman" w:eastAsia="宋体" w:cs="Times New Roman"/>
          <w:color w:val="000000"/>
          <w:kern w:val="2"/>
          <w:sz w:val="24"/>
          <w:szCs w:val="21"/>
          <w:lang w:val="en-US" w:eastAsia="zh-CN" w:bidi="ar-SA"/>
        </w:rPr>
        <w:t>片区的生活污水、工业污水。</w:t>
      </w:r>
      <w:r>
        <w:rPr>
          <w:rFonts w:hint="eastAsia" w:ascii="Times New Roman" w:hAnsi="Times New Roman" w:eastAsia="宋体" w:cs="Times New Roman"/>
          <w:color w:val="000000"/>
          <w:kern w:val="2"/>
          <w:sz w:val="24"/>
          <w:szCs w:val="24"/>
          <w:u w:val="none" w:color="auto"/>
          <w:lang w:val="en-US" w:eastAsia="zh-CN" w:bidi="ar-SA"/>
        </w:rPr>
        <w:t>目前长沙经开区汨罗产业园污水处理厂已投产处理能力为5000m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lang w:val="en-US" w:eastAsia="zh-CN" w:bidi="ar-SA"/>
        </w:rPr>
        <w:t>/d，日平均处理水量约为1000m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lang w:val="en-US" w:eastAsia="zh-CN" w:bidi="ar-SA"/>
        </w:rPr>
        <w:t>/d，日平均处理余量为4000m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lang w:val="en-US" w:eastAsia="zh-CN" w:bidi="ar-SA"/>
        </w:rPr>
        <w:t>/d</w:t>
      </w:r>
      <w:r>
        <w:rPr>
          <w:rFonts w:hint="default" w:ascii="Times New Roman" w:hAnsi="Times New Roman" w:eastAsia="宋体" w:cs="Times New Roman"/>
          <w:color w:val="000000"/>
          <w:kern w:val="2"/>
          <w:sz w:val="24"/>
          <w:szCs w:val="21"/>
          <w:lang w:val="en-US" w:eastAsia="zh-CN" w:bidi="ar-SA"/>
        </w:rPr>
        <w:t>。污水处理工艺为：</w:t>
      </w:r>
      <w:r>
        <w:rPr>
          <w:rFonts w:hint="eastAsia" w:ascii="宋体" w:hAnsi="宋体" w:eastAsia="宋体" w:cs="宋体"/>
          <w:color w:val="000000"/>
          <w:kern w:val="2"/>
          <w:sz w:val="24"/>
          <w:szCs w:val="21"/>
          <w:lang w:val="en-US" w:eastAsia="zh-CN" w:bidi="ar-SA"/>
        </w:rPr>
        <w:t>“</w:t>
      </w:r>
      <w:r>
        <w:rPr>
          <w:rFonts w:hint="eastAsia" w:cs="Times New Roman"/>
          <w:color w:val="000000"/>
          <w:kern w:val="2"/>
          <w:sz w:val="24"/>
          <w:szCs w:val="21"/>
          <w:lang w:val="en-US" w:eastAsia="zh-CN" w:bidi="ar-SA"/>
        </w:rPr>
        <w:t>格栅+水解酸化及A</w:t>
      </w:r>
      <w:r>
        <w:rPr>
          <w:rFonts w:hint="eastAsia" w:cs="Times New Roman"/>
          <w:color w:val="000000"/>
          <w:kern w:val="2"/>
          <w:sz w:val="24"/>
          <w:szCs w:val="21"/>
          <w:vertAlign w:val="subscript"/>
          <w:lang w:val="en-US" w:eastAsia="zh-CN" w:bidi="ar-SA"/>
        </w:rPr>
        <w:t>2</w:t>
      </w:r>
      <w:r>
        <w:rPr>
          <w:rFonts w:hint="eastAsia" w:cs="Times New Roman"/>
          <w:color w:val="000000"/>
          <w:kern w:val="2"/>
          <w:sz w:val="24"/>
          <w:szCs w:val="21"/>
          <w:lang w:val="en-US" w:eastAsia="zh-CN" w:bidi="ar-SA"/>
        </w:rPr>
        <w:t>O+二沉池+高效沉淀池+活性砂滤池</w:t>
      </w:r>
      <w:r>
        <w:rPr>
          <w:rFonts w:hint="default" w:ascii="Times New Roman" w:hAnsi="Times New Roman" w:eastAsia="宋体" w:cs="Times New Roman"/>
          <w:color w:val="000000"/>
          <w:kern w:val="2"/>
          <w:sz w:val="24"/>
          <w:szCs w:val="21"/>
          <w:lang w:val="en-US" w:eastAsia="zh-CN" w:bidi="ar-SA"/>
        </w:rPr>
        <w:t>＋二氧化氯消毒</w:t>
      </w:r>
      <w:r>
        <w:rPr>
          <w:rFonts w:hint="eastAsia" w:ascii="宋体" w:hAnsi="宋体" w:eastAsia="宋体" w:cs="宋体"/>
          <w:color w:val="000000"/>
          <w:kern w:val="2"/>
          <w:sz w:val="24"/>
          <w:szCs w:val="21"/>
          <w:lang w:val="en-US" w:eastAsia="zh-CN" w:bidi="ar-SA"/>
        </w:rPr>
        <w:t>”</w:t>
      </w:r>
      <w:r>
        <w:rPr>
          <w:rFonts w:hint="default" w:ascii="Times New Roman" w:hAnsi="Times New Roman" w:eastAsia="宋体" w:cs="Times New Roman"/>
          <w:color w:val="000000"/>
          <w:kern w:val="2"/>
          <w:sz w:val="24"/>
          <w:szCs w:val="21"/>
          <w:lang w:val="en-US" w:eastAsia="zh-CN" w:bidi="ar-SA"/>
        </w:rPr>
        <w:t>，出水水质执行《城镇污水处理厂污染物排放标准》(GB18918-2002)一级A标准后排放至</w:t>
      </w:r>
      <w:r>
        <w:rPr>
          <w:rFonts w:hint="eastAsia" w:cs="Times New Roman"/>
          <w:color w:val="000000"/>
          <w:kern w:val="2"/>
          <w:sz w:val="24"/>
          <w:szCs w:val="21"/>
          <w:lang w:val="en-US" w:eastAsia="zh-CN" w:bidi="ar-SA"/>
        </w:rPr>
        <w:t>白沙河</w:t>
      </w:r>
      <w:r>
        <w:rPr>
          <w:rFonts w:hint="default" w:ascii="Times New Roman" w:hAnsi="Times New Roman" w:eastAsia="宋体" w:cs="Times New Roman"/>
          <w:color w:val="000000"/>
          <w:kern w:val="2"/>
          <w:sz w:val="24"/>
          <w:szCs w:val="21"/>
          <w:lang w:val="en-US" w:eastAsia="zh-CN" w:bidi="ar-SA"/>
        </w:rPr>
        <w:t>。项目运营期总废水排放量为</w:t>
      </w:r>
      <w:r>
        <w:rPr>
          <w:rFonts w:hint="eastAsia" w:cs="Times New Roman"/>
          <w:color w:val="000000"/>
          <w:kern w:val="2"/>
          <w:sz w:val="24"/>
          <w:szCs w:val="21"/>
          <w:lang w:val="en-US" w:eastAsia="zh-CN" w:bidi="ar-SA"/>
        </w:rPr>
        <w:t>1216</w:t>
      </w:r>
      <w:r>
        <w:rPr>
          <w:rFonts w:hint="default" w:ascii="Times New Roman" w:hAnsi="Times New Roman" w:eastAsia="宋体" w:cs="Times New Roman"/>
          <w:color w:val="000000"/>
          <w:kern w:val="2"/>
          <w:sz w:val="24"/>
          <w:szCs w:val="21"/>
          <w:lang w:val="en-US" w:eastAsia="zh-CN" w:bidi="ar-SA"/>
        </w:rPr>
        <w:t>m</w:t>
      </w:r>
      <w:r>
        <w:rPr>
          <w:rFonts w:hint="default" w:ascii="Times New Roman" w:hAnsi="Times New Roman" w:eastAsia="宋体" w:cs="Times New Roman"/>
          <w:color w:val="000000"/>
          <w:kern w:val="2"/>
          <w:sz w:val="24"/>
          <w:szCs w:val="21"/>
          <w:vertAlign w:val="superscript"/>
          <w:lang w:val="en-US" w:eastAsia="zh-CN" w:bidi="ar-SA"/>
        </w:rPr>
        <w:t>3</w:t>
      </w:r>
      <w:r>
        <w:rPr>
          <w:rFonts w:hint="default" w:ascii="Times New Roman" w:hAnsi="Times New Roman" w:eastAsia="宋体" w:cs="Times New Roman"/>
          <w:color w:val="000000"/>
          <w:kern w:val="2"/>
          <w:sz w:val="24"/>
          <w:szCs w:val="21"/>
          <w:lang w:val="en-US" w:eastAsia="zh-CN" w:bidi="ar-SA"/>
        </w:rPr>
        <w:t>/a（</w:t>
      </w:r>
      <w:r>
        <w:rPr>
          <w:rFonts w:hint="eastAsia" w:cs="Times New Roman"/>
          <w:color w:val="000000"/>
          <w:kern w:val="2"/>
          <w:sz w:val="24"/>
          <w:szCs w:val="21"/>
          <w:lang w:val="en-US" w:eastAsia="zh-CN" w:bidi="ar-SA"/>
        </w:rPr>
        <w:t>4.053</w:t>
      </w:r>
      <w:r>
        <w:rPr>
          <w:rFonts w:hint="default" w:ascii="Times New Roman" w:hAnsi="Times New Roman" w:eastAsia="宋体" w:cs="Times New Roman"/>
          <w:color w:val="000000"/>
          <w:kern w:val="2"/>
          <w:sz w:val="24"/>
          <w:szCs w:val="21"/>
          <w:lang w:val="en-US" w:eastAsia="zh-CN" w:bidi="ar-SA"/>
        </w:rPr>
        <w:t>m</w:t>
      </w:r>
      <w:r>
        <w:rPr>
          <w:rFonts w:hint="default" w:ascii="Times New Roman" w:hAnsi="Times New Roman" w:eastAsia="宋体" w:cs="Times New Roman"/>
          <w:color w:val="000000"/>
          <w:kern w:val="2"/>
          <w:sz w:val="24"/>
          <w:szCs w:val="21"/>
          <w:vertAlign w:val="superscript"/>
          <w:lang w:val="en-US" w:eastAsia="zh-CN" w:bidi="ar-SA"/>
        </w:rPr>
        <w:t>3</w:t>
      </w:r>
      <w:r>
        <w:rPr>
          <w:rFonts w:hint="default" w:ascii="Times New Roman" w:hAnsi="Times New Roman" w:eastAsia="宋体" w:cs="Times New Roman"/>
          <w:color w:val="000000"/>
          <w:kern w:val="2"/>
          <w:sz w:val="24"/>
          <w:szCs w:val="21"/>
          <w:lang w:val="en-US" w:eastAsia="zh-CN" w:bidi="ar-SA"/>
        </w:rPr>
        <w:t>/d），</w:t>
      </w:r>
      <w:r>
        <w:rPr>
          <w:rFonts w:hint="eastAsia" w:ascii="Times New Roman" w:hAnsi="Times New Roman" w:eastAsia="宋体" w:cs="Times New Roman"/>
          <w:color w:val="000000"/>
          <w:kern w:val="2"/>
          <w:sz w:val="24"/>
          <w:szCs w:val="21"/>
          <w:lang w:val="en-US" w:eastAsia="zh-CN" w:bidi="ar-SA"/>
        </w:rPr>
        <w:t>占</w:t>
      </w:r>
      <w:r>
        <w:rPr>
          <w:rFonts w:hint="eastAsia" w:cs="Times New Roman"/>
          <w:color w:val="000000"/>
          <w:kern w:val="2"/>
          <w:sz w:val="24"/>
          <w:szCs w:val="21"/>
          <w:lang w:val="en-US" w:eastAsia="zh-CN" w:bidi="ar-SA"/>
        </w:rPr>
        <w:t>长沙经开区汨罗产业园污水处理厂</w:t>
      </w:r>
      <w:r>
        <w:rPr>
          <w:rFonts w:hint="eastAsia" w:ascii="Times New Roman" w:hAnsi="Times New Roman" w:eastAsia="宋体" w:cs="Times New Roman"/>
          <w:color w:val="000000"/>
          <w:kern w:val="2"/>
          <w:sz w:val="24"/>
          <w:szCs w:val="21"/>
          <w:lang w:val="en-US" w:eastAsia="zh-CN" w:bidi="ar-SA"/>
        </w:rPr>
        <w:t>处理余量的0.101%，因此</w:t>
      </w:r>
      <w:r>
        <w:rPr>
          <w:rFonts w:hint="eastAsia" w:cs="Times New Roman"/>
          <w:color w:val="000000"/>
          <w:kern w:val="2"/>
          <w:sz w:val="24"/>
          <w:szCs w:val="21"/>
          <w:lang w:val="en-US" w:eastAsia="zh-CN" w:bidi="ar-SA"/>
        </w:rPr>
        <w:t>长沙经开区汨罗产业园污水处理厂</w:t>
      </w:r>
      <w:r>
        <w:rPr>
          <w:rFonts w:hint="default" w:ascii="Times New Roman" w:hAnsi="Times New Roman" w:eastAsia="宋体" w:cs="Times New Roman"/>
          <w:color w:val="000000"/>
          <w:kern w:val="2"/>
          <w:sz w:val="24"/>
          <w:szCs w:val="21"/>
          <w:lang w:val="en-US" w:eastAsia="zh-CN" w:bidi="ar-SA"/>
        </w:rPr>
        <w:t>有足够的剩余能力接纳本项目的废水故对污水处理厂的冲击在可接受范围内</w:t>
      </w:r>
      <w:r>
        <w:rPr>
          <w:rFonts w:hint="default" w:ascii="Times New Roman" w:hAnsi="Times New Roman" w:eastAsia="宋体" w:cs="Times New Roman"/>
          <w:color w:val="auto"/>
          <w:kern w:val="0"/>
          <w:sz w:val="24"/>
          <w:szCs w:val="20"/>
          <w:u w:val="none" w:color="auto"/>
          <w:lang w:val="en-US" w:eastAsia="zh-CN" w:bidi="ar-SA"/>
        </w:rPr>
        <w:t>。</w:t>
      </w:r>
    </w:p>
    <w:p w14:paraId="35F57984">
      <w:pPr>
        <w:pStyle w:val="21"/>
        <w:bidi w:val="0"/>
        <w:rPr>
          <w:rFonts w:hint="default"/>
          <w:color w:val="auto"/>
          <w:u w:val="none" w:color="auto"/>
        </w:rPr>
      </w:pPr>
      <w:r>
        <w:rPr>
          <w:rFonts w:hint="default" w:ascii="Times New Roman" w:hAnsi="Times New Roman" w:eastAsia="宋体" w:cs="Times New Roman"/>
          <w:color w:val="auto"/>
          <w:u w:val="none" w:color="auto"/>
        </w:rPr>
        <w:t>综上所述，</w:t>
      </w:r>
      <w:r>
        <w:rPr>
          <w:rFonts w:hint="default"/>
          <w:color w:val="000000"/>
          <w:lang w:val="en-US" w:eastAsia="zh-CN"/>
        </w:rPr>
        <w:t>本项目建成后废水进入</w:t>
      </w:r>
      <w:r>
        <w:rPr>
          <w:rFonts w:hint="eastAsia" w:cs="Times New Roman"/>
          <w:color w:val="000000"/>
          <w:kern w:val="2"/>
          <w:sz w:val="24"/>
          <w:szCs w:val="21"/>
          <w:lang w:val="en-US" w:eastAsia="zh-CN" w:bidi="ar-SA"/>
        </w:rPr>
        <w:t>长沙经开区汨罗产业园污水处理厂</w:t>
      </w:r>
      <w:r>
        <w:rPr>
          <w:rFonts w:hint="default"/>
          <w:color w:val="000000"/>
          <w:lang w:val="en-US" w:eastAsia="zh-CN"/>
        </w:rPr>
        <w:t>进行处理，能够实现达标排放，措施可行</w:t>
      </w:r>
      <w:r>
        <w:rPr>
          <w:rFonts w:hint="default" w:ascii="Times New Roman" w:hAnsi="Times New Roman" w:eastAsia="宋体" w:cs="Times New Roman"/>
          <w:color w:val="auto"/>
          <w:u w:val="none" w:color="auto"/>
        </w:rPr>
        <w:t>。</w:t>
      </w:r>
    </w:p>
    <w:bookmarkEnd w:id="1334"/>
    <w:bookmarkEnd w:id="1335"/>
    <w:bookmarkEnd w:id="1336"/>
    <w:bookmarkEnd w:id="1337"/>
    <w:bookmarkEnd w:id="1338"/>
    <w:bookmarkEnd w:id="1339"/>
    <w:p w14:paraId="1F66F5C6">
      <w:pPr>
        <w:pStyle w:val="8"/>
        <w:rPr>
          <w:rFonts w:hint="default" w:ascii="Times New Roman" w:hAnsi="Times New Roman" w:cs="Times New Roman"/>
          <w:color w:val="auto"/>
          <w:u w:val="none" w:color="auto"/>
        </w:rPr>
      </w:pPr>
      <w:bookmarkStart w:id="1340" w:name="_Toc4804"/>
      <w:bookmarkStart w:id="1341" w:name="_Toc7722"/>
      <w:bookmarkStart w:id="1342" w:name="_Toc10359"/>
      <w:bookmarkStart w:id="1343" w:name="_Toc12369"/>
      <w:bookmarkStart w:id="1344" w:name="_Toc16862"/>
      <w:bookmarkStart w:id="1345" w:name="_Toc4418"/>
      <w:bookmarkStart w:id="1346" w:name="_Toc12553"/>
      <w:bookmarkStart w:id="1347" w:name="_Toc61"/>
      <w:bookmarkStart w:id="1348" w:name="_Toc26900"/>
      <w:bookmarkStart w:id="1349" w:name="_Toc6377_WPSOffice_Level3"/>
      <w:bookmarkStart w:id="1350" w:name="_Toc15241"/>
      <w:bookmarkStart w:id="1351" w:name="_Toc7042"/>
      <w:bookmarkStart w:id="1352" w:name="_Toc15286"/>
      <w:bookmarkStart w:id="1353" w:name="_Toc8323_WPSOffice_Level3"/>
      <w:bookmarkStart w:id="1354" w:name="_Toc1421"/>
      <w:bookmarkStart w:id="1355" w:name="_Toc481738480"/>
      <w:bookmarkStart w:id="1356" w:name="_Toc14654"/>
      <w:bookmarkStart w:id="1357" w:name="_Toc25479"/>
      <w:bookmarkStart w:id="1358" w:name="_Toc21747"/>
      <w:bookmarkStart w:id="1359" w:name="_Toc19122"/>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.3地下水的环境保护措施可行性分析</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091AA4AA">
      <w:pPr>
        <w:pStyle w:val="21"/>
        <w:bidi w:val="0"/>
        <w:rPr>
          <w:rFonts w:hint="default"/>
          <w:color w:val="auto"/>
          <w:u w:val="none" w:color="auto"/>
        </w:rPr>
      </w:pPr>
      <w:bookmarkStart w:id="1360" w:name="_Toc3527_WPSOffice_Level3"/>
      <w:bookmarkStart w:id="1361" w:name="_Toc31510"/>
      <w:bookmarkStart w:id="1362" w:name="_Toc23662_WPSOffice_Level3"/>
      <w:bookmarkStart w:id="1363" w:name="_Toc1175"/>
      <w:bookmarkStart w:id="1364" w:name="_Toc25039"/>
      <w:bookmarkStart w:id="1365" w:name="_Toc13758"/>
      <w:bookmarkStart w:id="1366" w:name="_Toc4212"/>
      <w:r>
        <w:rPr>
          <w:rFonts w:hint="default"/>
          <w:color w:val="auto"/>
          <w:u w:val="none" w:color="auto"/>
        </w:rPr>
        <w:t>为了杜绝</w:t>
      </w:r>
      <w:r>
        <w:rPr>
          <w:rFonts w:hint="default"/>
          <w:color w:val="auto"/>
          <w:u w:val="none" w:color="auto"/>
          <w:lang w:eastAsia="zh-CN"/>
        </w:rPr>
        <w:t>废水、</w:t>
      </w:r>
      <w:r>
        <w:rPr>
          <w:rFonts w:hint="default"/>
          <w:color w:val="auto"/>
          <w:u w:val="none" w:color="auto"/>
        </w:rPr>
        <w:t>物料等泄漏对土壤及地下水环境质量的影响，根据《中华人民共和国水污染防治法》的相关规范，按照“源头控制、分区防治、污染监控、应急响应”的原则，场地污染防治对策从以下方面考虑：</w:t>
      </w:r>
    </w:p>
    <w:p w14:paraId="7F59E6A1">
      <w:pPr>
        <w:pStyle w:val="21"/>
        <w:bidi w:val="0"/>
        <w:rPr>
          <w:rFonts w:hint="default"/>
          <w:color w:val="auto"/>
          <w:u w:val="none" w:color="auto"/>
          <w:lang w:eastAsia="zh-CN"/>
        </w:rPr>
      </w:pPr>
      <w:bookmarkStart w:id="1367" w:name="_Toc13085"/>
      <w:bookmarkStart w:id="1368" w:name="_Toc9174"/>
      <w:bookmarkStart w:id="1369" w:name="_Toc19300"/>
      <w:bookmarkStart w:id="1370" w:name="_Toc28311"/>
      <w:bookmarkStart w:id="1371" w:name="_Toc19043"/>
      <w:r>
        <w:rPr>
          <w:rFonts w:hint="default"/>
          <w:color w:val="auto"/>
          <w:u w:val="none" w:color="auto"/>
          <w:lang w:eastAsia="zh-CN"/>
        </w:rPr>
        <w:t>（</w:t>
      </w:r>
      <w:r>
        <w:rPr>
          <w:rFonts w:hint="default"/>
          <w:color w:val="auto"/>
          <w:u w:val="none" w:color="auto"/>
          <w:lang w:val="en-US" w:eastAsia="zh-CN"/>
        </w:rPr>
        <w:t>1</w:t>
      </w:r>
      <w:r>
        <w:rPr>
          <w:rFonts w:hint="default"/>
          <w:color w:val="auto"/>
          <w:u w:val="none" w:color="auto"/>
          <w:lang w:eastAsia="zh-CN"/>
        </w:rPr>
        <w:t>）源头控制</w:t>
      </w:r>
      <w:bookmarkEnd w:id="1367"/>
      <w:bookmarkEnd w:id="1368"/>
      <w:bookmarkEnd w:id="1369"/>
      <w:bookmarkEnd w:id="1370"/>
      <w:bookmarkEnd w:id="1371"/>
    </w:p>
    <w:p w14:paraId="768BADC1">
      <w:pPr>
        <w:pStyle w:val="21"/>
        <w:bidi w:val="0"/>
        <w:rPr>
          <w:rFonts w:hint="default"/>
          <w:color w:val="auto"/>
          <w:u w:val="none" w:color="auto"/>
          <w:lang w:eastAsia="zh-CN"/>
        </w:rPr>
      </w:pPr>
      <w:r>
        <w:rPr>
          <w:rFonts w:hint="default"/>
          <w:color w:val="auto"/>
          <w:u w:val="none" w:color="auto"/>
          <w:lang w:eastAsia="zh-CN"/>
        </w:rPr>
        <w:t>为了防止本项目的建设对地下水造成污染，从原料产品储存、装卸、运输、生产过程、污染处理设施等全过程控制各种有毒有害物料的泄漏（含跑、冒、滴、漏），同时对有害物质可能泄漏到地面的区域采取防渗措施，阻止其渗入地下水中，即从源头到末端全方位采取控制措施。</w:t>
      </w:r>
    </w:p>
    <w:p w14:paraId="4742C3A3">
      <w:pPr>
        <w:pStyle w:val="21"/>
        <w:bidi w:val="0"/>
        <w:rPr>
          <w:rFonts w:hint="default"/>
          <w:color w:val="auto"/>
          <w:u w:val="none" w:color="auto"/>
          <w:lang w:eastAsia="zh-CN"/>
        </w:rPr>
      </w:pPr>
      <w:r>
        <w:rPr>
          <w:rFonts w:hint="eastAsia"/>
          <w:color w:val="auto"/>
          <w:u w:val="none" w:color="auto"/>
          <w:lang w:val="en-US" w:eastAsia="zh-CN"/>
        </w:rPr>
        <w:t>①</w:t>
      </w:r>
      <w:r>
        <w:rPr>
          <w:rFonts w:hint="default"/>
          <w:color w:val="auto"/>
          <w:u w:val="none" w:color="auto"/>
          <w:lang w:eastAsia="zh-CN"/>
        </w:rPr>
        <w:t>企业实施清洁生产及各类废物循环利用的方法，选用先进的生产工艺，减少污染物的排放量。</w:t>
      </w:r>
    </w:p>
    <w:p w14:paraId="47FF8C8C">
      <w:pPr>
        <w:pStyle w:val="21"/>
        <w:bidi w:val="0"/>
        <w:rPr>
          <w:rFonts w:hint="default"/>
          <w:color w:val="auto"/>
          <w:u w:val="none" w:color="auto"/>
          <w:lang w:eastAsia="zh-CN"/>
        </w:rPr>
      </w:pPr>
      <w:r>
        <w:rPr>
          <w:rFonts w:hint="eastAsia"/>
          <w:color w:val="auto"/>
          <w:u w:val="none" w:color="auto"/>
          <w:lang w:val="en-US" w:eastAsia="zh-CN"/>
        </w:rPr>
        <w:t>②</w:t>
      </w:r>
      <w:r>
        <w:rPr>
          <w:rFonts w:hint="default"/>
          <w:color w:val="auto"/>
          <w:u w:val="none" w:color="auto"/>
          <w:lang w:eastAsia="zh-CN"/>
        </w:rPr>
        <w:t>生产废水均通过防渗管道接入污水处理设施，生活污水经化粪池处理后排入市政污水管网，再排入湖南汨罗高新技术产业开发区（循环园区）污水处理厂，防止污染物的跑、冒、滴、漏。</w:t>
      </w:r>
    </w:p>
    <w:p w14:paraId="7E425613">
      <w:pPr>
        <w:pStyle w:val="21"/>
        <w:bidi w:val="0"/>
        <w:rPr>
          <w:rFonts w:hint="default"/>
          <w:color w:val="auto"/>
          <w:u w:val="none" w:color="auto"/>
          <w:lang w:eastAsia="zh-CN"/>
        </w:rPr>
      </w:pPr>
      <w:r>
        <w:rPr>
          <w:rFonts w:hint="eastAsia"/>
          <w:color w:val="auto"/>
          <w:u w:val="none" w:color="auto"/>
          <w:lang w:val="en-US" w:eastAsia="zh-CN"/>
        </w:rPr>
        <w:t>③</w:t>
      </w:r>
      <w:r>
        <w:rPr>
          <w:rFonts w:hint="default"/>
          <w:color w:val="auto"/>
          <w:u w:val="none" w:color="auto"/>
          <w:lang w:eastAsia="zh-CN"/>
        </w:rPr>
        <w:t>排水管道和污水处理设施均具有防渗功能，切断了废水进入地下水的途径。</w:t>
      </w:r>
    </w:p>
    <w:p w14:paraId="2BDC80E5">
      <w:pPr>
        <w:pStyle w:val="21"/>
        <w:bidi w:val="0"/>
        <w:rPr>
          <w:rFonts w:hint="default"/>
          <w:color w:val="auto"/>
          <w:u w:val="none" w:color="auto"/>
          <w:lang w:eastAsia="zh-CN"/>
        </w:rPr>
      </w:pPr>
      <w:r>
        <w:rPr>
          <w:rFonts w:hint="eastAsia"/>
          <w:color w:val="auto"/>
          <w:u w:val="none" w:color="auto"/>
          <w:lang w:val="en-US" w:eastAsia="zh-CN"/>
        </w:rPr>
        <w:t>④</w:t>
      </w:r>
      <w:r>
        <w:rPr>
          <w:rFonts w:hint="default"/>
          <w:color w:val="auto"/>
          <w:u w:val="none" w:color="auto"/>
          <w:lang w:eastAsia="zh-CN"/>
        </w:rPr>
        <w:t>本项目</w:t>
      </w:r>
      <w:r>
        <w:rPr>
          <w:rFonts w:hint="eastAsia"/>
          <w:color w:val="auto"/>
          <w:u w:val="none" w:color="auto"/>
          <w:lang w:val="en-US" w:eastAsia="zh-CN"/>
        </w:rPr>
        <w:t>循环冷却水池</w:t>
      </w:r>
      <w:r>
        <w:rPr>
          <w:rFonts w:hint="default"/>
          <w:color w:val="auto"/>
          <w:u w:val="none" w:color="auto"/>
          <w:lang w:eastAsia="zh-CN"/>
        </w:rPr>
        <w:t>均做防渗防腐处理，生产车间地面防渗处理，确保泄漏的物料</w:t>
      </w:r>
      <w:r>
        <w:rPr>
          <w:rFonts w:hint="eastAsia"/>
          <w:color w:val="auto"/>
          <w:u w:val="none" w:color="auto"/>
          <w:lang w:eastAsia="zh-CN"/>
        </w:rPr>
        <w:t>、</w:t>
      </w:r>
      <w:r>
        <w:rPr>
          <w:rFonts w:hint="eastAsia"/>
          <w:color w:val="auto"/>
          <w:u w:val="none" w:color="auto"/>
          <w:lang w:val="en-US" w:eastAsia="zh-CN"/>
        </w:rPr>
        <w:t>废水</w:t>
      </w:r>
      <w:r>
        <w:rPr>
          <w:rFonts w:hint="default"/>
          <w:color w:val="auto"/>
          <w:u w:val="none" w:color="auto"/>
          <w:lang w:eastAsia="zh-CN"/>
        </w:rPr>
        <w:t>不会渗入到土壤及地下水中。</w:t>
      </w:r>
    </w:p>
    <w:p w14:paraId="1665FD18">
      <w:pPr>
        <w:pStyle w:val="21"/>
        <w:bidi w:val="0"/>
        <w:rPr>
          <w:rFonts w:hint="default"/>
          <w:color w:val="auto"/>
          <w:u w:val="none" w:color="auto"/>
          <w:lang w:eastAsia="zh-CN"/>
        </w:rPr>
      </w:pPr>
      <w:bookmarkStart w:id="1372" w:name="_Toc28343"/>
      <w:bookmarkStart w:id="1373" w:name="_Toc23411"/>
      <w:bookmarkStart w:id="1374" w:name="_Toc6683"/>
      <w:bookmarkStart w:id="1375" w:name="_Toc23054"/>
      <w:bookmarkStart w:id="1376" w:name="_Toc15740"/>
      <w:r>
        <w:rPr>
          <w:rFonts w:hint="default"/>
          <w:color w:val="auto"/>
          <w:u w:val="none" w:color="auto"/>
          <w:lang w:eastAsia="zh-CN"/>
        </w:rPr>
        <w:t>（</w:t>
      </w:r>
      <w:r>
        <w:rPr>
          <w:rFonts w:hint="default"/>
          <w:color w:val="auto"/>
          <w:u w:val="none" w:color="auto"/>
          <w:lang w:val="en-US" w:eastAsia="zh-CN"/>
        </w:rPr>
        <w:t>2</w:t>
      </w:r>
      <w:r>
        <w:rPr>
          <w:rFonts w:hint="default"/>
          <w:color w:val="auto"/>
          <w:u w:val="none" w:color="auto"/>
          <w:lang w:eastAsia="zh-CN"/>
        </w:rPr>
        <w:t>）分区防治</w:t>
      </w:r>
      <w:bookmarkEnd w:id="1372"/>
      <w:bookmarkEnd w:id="1373"/>
      <w:bookmarkEnd w:id="1374"/>
      <w:bookmarkEnd w:id="1375"/>
      <w:bookmarkEnd w:id="1376"/>
    </w:p>
    <w:p w14:paraId="0DB98A66">
      <w:pPr>
        <w:pStyle w:val="21"/>
        <w:bidi w:val="0"/>
        <w:rPr>
          <w:rFonts w:hint="default"/>
          <w:color w:val="auto"/>
          <w:u w:val="none" w:color="auto"/>
          <w:lang w:eastAsia="zh-CN"/>
        </w:rPr>
      </w:pPr>
      <w:r>
        <w:rPr>
          <w:rFonts w:hint="default"/>
          <w:color w:val="auto"/>
          <w:u w:val="none" w:color="auto"/>
          <w:lang w:eastAsia="zh-CN"/>
        </w:rPr>
        <w:t>污染防渗分区判定根据污染控制难易程度、天然包气带防污性能和污染物类型来判定。根据厂区各生产功能单元可能泄漏至地面区域的污染物性质和生产单元的构筑方式，将厂区划分为简单防渗区、一般防渗区和重点防渗区。</w:t>
      </w:r>
    </w:p>
    <w:p w14:paraId="7FCB3848">
      <w:pPr>
        <w:pStyle w:val="21"/>
        <w:bidi w:val="0"/>
        <w:rPr>
          <w:rFonts w:hint="default"/>
          <w:color w:val="auto"/>
          <w:u w:val="none" w:color="auto"/>
          <w:lang w:eastAsia="zh-CN"/>
        </w:rPr>
      </w:pPr>
      <w:r>
        <w:rPr>
          <w:rFonts w:hint="default"/>
          <w:color w:val="auto"/>
          <w:u w:val="none" w:color="auto"/>
          <w:lang w:eastAsia="zh-CN"/>
        </w:rPr>
        <w:t>具体详见下表。</w:t>
      </w:r>
    </w:p>
    <w:p w14:paraId="26A532D6">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6.2-2</w:t>
      </w:r>
      <w:r>
        <w:rPr>
          <w:rFonts w:hint="default"/>
          <w:color w:val="auto"/>
          <w:u w:val="none" w:color="auto"/>
          <w:lang w:val="en-US" w:eastAsia="zh-CN"/>
        </w:rPr>
        <w:t xml:space="preserve"> </w:t>
      </w:r>
      <w:r>
        <w:rPr>
          <w:rFonts w:hint="default"/>
          <w:color w:val="auto"/>
          <w:u w:val="none" w:color="auto"/>
        </w:rPr>
        <w:t xml:space="preserve"> 地下水污染防渗分区判定表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2326"/>
        <w:gridCol w:w="1092"/>
        <w:gridCol w:w="1198"/>
        <w:gridCol w:w="1092"/>
        <w:gridCol w:w="2701"/>
      </w:tblGrid>
      <w:tr w14:paraId="72A9B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62B753C9">
            <w:pPr>
              <w:pStyle w:val="25"/>
              <w:bidi w:val="0"/>
              <w:rPr>
                <w:rFonts w:hint="default"/>
                <w:color w:val="auto"/>
                <w:u w:val="none" w:color="auto"/>
              </w:rPr>
            </w:pPr>
            <w:r>
              <w:rPr>
                <w:rFonts w:hint="default"/>
                <w:color w:val="auto"/>
                <w:u w:val="none" w:color="auto"/>
              </w:rPr>
              <w:t>区域</w:t>
            </w:r>
          </w:p>
        </w:tc>
        <w:tc>
          <w:tcPr>
            <w:tcW w:w="649" w:type="pct"/>
            <w:tcBorders>
              <w:tl2br w:val="nil"/>
              <w:tr2bl w:val="nil"/>
            </w:tcBorders>
            <w:noWrap w:val="0"/>
            <w:vAlign w:val="center"/>
          </w:tcPr>
          <w:p w14:paraId="1CFA3B36">
            <w:pPr>
              <w:pStyle w:val="25"/>
              <w:bidi w:val="0"/>
              <w:rPr>
                <w:rFonts w:hint="default"/>
                <w:color w:val="auto"/>
                <w:u w:val="none" w:color="auto"/>
              </w:rPr>
            </w:pPr>
            <w:r>
              <w:rPr>
                <w:rFonts w:hint="default"/>
                <w:color w:val="auto"/>
                <w:u w:val="none" w:color="auto"/>
              </w:rPr>
              <w:t>分级特征</w:t>
            </w:r>
          </w:p>
        </w:tc>
        <w:tc>
          <w:tcPr>
            <w:tcW w:w="711" w:type="pct"/>
            <w:tcBorders>
              <w:tl2br w:val="nil"/>
              <w:tr2bl w:val="nil"/>
            </w:tcBorders>
            <w:noWrap w:val="0"/>
            <w:vAlign w:val="center"/>
          </w:tcPr>
          <w:p w14:paraId="1C8F7379">
            <w:pPr>
              <w:pStyle w:val="25"/>
              <w:bidi w:val="0"/>
              <w:rPr>
                <w:rFonts w:hint="default"/>
                <w:color w:val="auto"/>
                <w:u w:val="none" w:color="auto"/>
              </w:rPr>
            </w:pPr>
            <w:r>
              <w:rPr>
                <w:rFonts w:hint="default"/>
                <w:color w:val="auto"/>
                <w:u w:val="none" w:color="auto"/>
              </w:rPr>
              <w:t>污染控制难易程度</w:t>
            </w:r>
          </w:p>
        </w:tc>
        <w:tc>
          <w:tcPr>
            <w:tcW w:w="649" w:type="pct"/>
            <w:tcBorders>
              <w:tl2br w:val="nil"/>
              <w:tr2bl w:val="nil"/>
            </w:tcBorders>
            <w:noWrap w:val="0"/>
            <w:vAlign w:val="center"/>
          </w:tcPr>
          <w:p w14:paraId="213BEE27">
            <w:pPr>
              <w:pStyle w:val="25"/>
              <w:bidi w:val="0"/>
              <w:rPr>
                <w:rFonts w:hint="default"/>
                <w:color w:val="auto"/>
                <w:u w:val="none" w:color="auto"/>
              </w:rPr>
            </w:pPr>
            <w:r>
              <w:rPr>
                <w:rFonts w:hint="default"/>
                <w:color w:val="auto"/>
                <w:u w:val="none" w:color="auto"/>
              </w:rPr>
              <w:t>污染物类型</w:t>
            </w:r>
          </w:p>
        </w:tc>
        <w:tc>
          <w:tcPr>
            <w:tcW w:w="1605" w:type="pct"/>
            <w:tcBorders>
              <w:tl2br w:val="nil"/>
              <w:tr2bl w:val="nil"/>
            </w:tcBorders>
            <w:noWrap w:val="0"/>
            <w:vAlign w:val="center"/>
          </w:tcPr>
          <w:p w14:paraId="4155AFD1">
            <w:pPr>
              <w:pStyle w:val="25"/>
              <w:bidi w:val="0"/>
              <w:rPr>
                <w:rFonts w:hint="default"/>
                <w:color w:val="auto"/>
                <w:u w:val="none" w:color="auto"/>
              </w:rPr>
            </w:pPr>
            <w:r>
              <w:rPr>
                <w:rFonts w:hint="default"/>
                <w:color w:val="auto"/>
                <w:u w:val="none" w:color="auto"/>
              </w:rPr>
              <w:t>防渗技术要求</w:t>
            </w:r>
          </w:p>
        </w:tc>
      </w:tr>
      <w:tr w14:paraId="511C8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1203" w:hRule="atLeast"/>
          <w:jc w:val="center"/>
        </w:trPr>
        <w:tc>
          <w:tcPr>
            <w:tcW w:w="1382" w:type="pct"/>
            <w:tcBorders>
              <w:tl2br w:val="nil"/>
              <w:tr2bl w:val="nil"/>
            </w:tcBorders>
            <w:noWrap w:val="0"/>
            <w:vAlign w:val="center"/>
          </w:tcPr>
          <w:p w14:paraId="7B47606F">
            <w:pPr>
              <w:pStyle w:val="25"/>
              <w:bidi w:val="0"/>
              <w:rPr>
                <w:rFonts w:hint="default"/>
                <w:color w:val="auto"/>
                <w:u w:val="none" w:color="auto"/>
                <w:lang w:val="en-US" w:eastAsia="zh-CN"/>
              </w:rPr>
            </w:pPr>
            <w:r>
              <w:rPr>
                <w:rFonts w:hint="eastAsia"/>
                <w:color w:val="auto"/>
                <w:u w:val="none" w:color="auto"/>
                <w:lang w:val="en-US" w:eastAsia="zh-CN"/>
              </w:rPr>
              <w:t>原料区、导热油炉区域、压机区域、危废暂存间</w:t>
            </w:r>
          </w:p>
        </w:tc>
        <w:tc>
          <w:tcPr>
            <w:tcW w:w="649" w:type="pct"/>
            <w:tcBorders>
              <w:tl2br w:val="nil"/>
              <w:tr2bl w:val="nil"/>
            </w:tcBorders>
            <w:noWrap w:val="0"/>
            <w:vAlign w:val="center"/>
          </w:tcPr>
          <w:p w14:paraId="3817BEAB">
            <w:pPr>
              <w:pStyle w:val="25"/>
              <w:bidi w:val="0"/>
              <w:rPr>
                <w:rFonts w:hint="default"/>
                <w:color w:val="auto"/>
                <w:u w:val="none" w:color="auto"/>
              </w:rPr>
            </w:pPr>
            <w:r>
              <w:rPr>
                <w:rFonts w:hint="default"/>
                <w:color w:val="auto"/>
                <w:u w:val="none" w:color="auto"/>
              </w:rPr>
              <w:t>重点防渗区</w:t>
            </w:r>
          </w:p>
        </w:tc>
        <w:tc>
          <w:tcPr>
            <w:tcW w:w="711" w:type="pct"/>
            <w:tcBorders>
              <w:tl2br w:val="nil"/>
              <w:tr2bl w:val="nil"/>
            </w:tcBorders>
            <w:noWrap w:val="0"/>
            <w:vAlign w:val="center"/>
          </w:tcPr>
          <w:p w14:paraId="3D52BFC6">
            <w:pPr>
              <w:pStyle w:val="25"/>
              <w:bidi w:val="0"/>
              <w:rPr>
                <w:rFonts w:hint="default"/>
                <w:color w:val="auto"/>
                <w:u w:val="none" w:color="auto"/>
              </w:rPr>
            </w:pPr>
            <w:r>
              <w:rPr>
                <w:rFonts w:hint="default"/>
                <w:color w:val="auto"/>
                <w:u w:val="none" w:color="auto"/>
              </w:rPr>
              <w:t>难</w:t>
            </w:r>
          </w:p>
        </w:tc>
        <w:tc>
          <w:tcPr>
            <w:tcW w:w="649" w:type="pct"/>
            <w:tcBorders>
              <w:tl2br w:val="nil"/>
              <w:tr2bl w:val="nil"/>
            </w:tcBorders>
            <w:noWrap w:val="0"/>
            <w:vAlign w:val="center"/>
          </w:tcPr>
          <w:p w14:paraId="37150392">
            <w:pPr>
              <w:pStyle w:val="25"/>
              <w:bidi w:val="0"/>
              <w:rPr>
                <w:rFonts w:hint="default"/>
                <w:color w:val="auto"/>
                <w:u w:val="none" w:color="auto"/>
              </w:rPr>
            </w:pPr>
            <w:r>
              <w:rPr>
                <w:rFonts w:hint="default"/>
                <w:color w:val="auto"/>
                <w:u w:val="none" w:color="auto"/>
              </w:rPr>
              <w:t>特征污染物</w:t>
            </w:r>
          </w:p>
        </w:tc>
        <w:tc>
          <w:tcPr>
            <w:tcW w:w="1605" w:type="pct"/>
            <w:tcBorders>
              <w:tl2br w:val="nil"/>
              <w:tr2bl w:val="nil"/>
            </w:tcBorders>
            <w:noWrap w:val="0"/>
            <w:vAlign w:val="center"/>
          </w:tcPr>
          <w:p w14:paraId="32C08FCA">
            <w:pPr>
              <w:pStyle w:val="25"/>
              <w:bidi w:val="0"/>
              <w:rPr>
                <w:rFonts w:hint="default"/>
                <w:color w:val="auto"/>
                <w:u w:val="none" w:color="auto"/>
                <w:lang w:val="en-US" w:eastAsia="zh-CN"/>
              </w:rPr>
            </w:pPr>
            <w:r>
              <w:rPr>
                <w:rFonts w:hint="eastAsia"/>
                <w:color w:val="auto"/>
                <w:u w:val="none" w:color="auto"/>
                <w:lang w:val="en-US" w:eastAsia="zh-CN"/>
              </w:rPr>
              <w:t>等效黏土防渗层Mb≥6.0m，K小于等于1*10</w:t>
            </w:r>
            <w:r>
              <w:rPr>
                <w:rFonts w:hint="eastAsia"/>
                <w:color w:val="auto"/>
                <w:u w:val="none" w:color="auto"/>
                <w:vertAlign w:val="superscript"/>
                <w:lang w:val="en-US" w:eastAsia="zh-CN"/>
              </w:rPr>
              <w:t>-7</w:t>
            </w:r>
            <w:r>
              <w:rPr>
                <w:rFonts w:hint="eastAsia"/>
                <w:color w:val="auto"/>
                <w:u w:val="none" w:color="auto"/>
                <w:lang w:val="en-US" w:eastAsia="zh-CN"/>
              </w:rPr>
              <w:t>cm/s；或参照GB18598执行</w:t>
            </w:r>
          </w:p>
        </w:tc>
      </w:tr>
      <w:tr w14:paraId="5B56B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63F693FA">
            <w:pPr>
              <w:pStyle w:val="25"/>
              <w:bidi w:val="0"/>
              <w:rPr>
                <w:rFonts w:hint="default"/>
                <w:color w:val="auto"/>
                <w:u w:val="none" w:color="auto"/>
                <w:lang w:eastAsia="zh-CN"/>
              </w:rPr>
            </w:pPr>
            <w:r>
              <w:rPr>
                <w:rFonts w:hint="eastAsia"/>
                <w:color w:val="auto"/>
                <w:u w:val="none" w:color="auto"/>
                <w:lang w:val="en-US" w:eastAsia="zh-CN"/>
              </w:rPr>
              <w:t>生产车间地面、一般固废暂存间、</w:t>
            </w:r>
            <w:r>
              <w:rPr>
                <w:rFonts w:hint="default"/>
                <w:color w:val="auto"/>
                <w:u w:val="none" w:color="auto"/>
                <w:lang w:val="en-US" w:eastAsia="zh-CN"/>
              </w:rPr>
              <w:t>其他公用单元</w:t>
            </w:r>
            <w:r>
              <w:rPr>
                <w:rFonts w:hint="default"/>
                <w:color w:val="auto"/>
                <w:u w:val="none" w:color="auto"/>
                <w:lang w:eastAsia="zh-CN"/>
              </w:rPr>
              <w:t>等</w:t>
            </w:r>
          </w:p>
        </w:tc>
        <w:tc>
          <w:tcPr>
            <w:tcW w:w="649" w:type="pct"/>
            <w:tcBorders>
              <w:tl2br w:val="nil"/>
              <w:tr2bl w:val="nil"/>
            </w:tcBorders>
            <w:noWrap w:val="0"/>
            <w:vAlign w:val="center"/>
          </w:tcPr>
          <w:p w14:paraId="6C54219B">
            <w:pPr>
              <w:pStyle w:val="25"/>
              <w:bidi w:val="0"/>
              <w:rPr>
                <w:rFonts w:hint="default"/>
                <w:color w:val="auto"/>
                <w:u w:val="none" w:color="auto"/>
              </w:rPr>
            </w:pPr>
            <w:r>
              <w:rPr>
                <w:rFonts w:hint="default"/>
                <w:color w:val="auto"/>
                <w:u w:val="none" w:color="auto"/>
              </w:rPr>
              <w:t>一般防渗区</w:t>
            </w:r>
          </w:p>
        </w:tc>
        <w:tc>
          <w:tcPr>
            <w:tcW w:w="711" w:type="pct"/>
            <w:tcBorders>
              <w:tl2br w:val="nil"/>
              <w:tr2bl w:val="nil"/>
            </w:tcBorders>
            <w:noWrap w:val="0"/>
            <w:vAlign w:val="center"/>
          </w:tcPr>
          <w:p w14:paraId="5EA553FB">
            <w:pPr>
              <w:pStyle w:val="25"/>
              <w:bidi w:val="0"/>
              <w:rPr>
                <w:rFonts w:hint="default"/>
                <w:color w:val="auto"/>
                <w:u w:val="none" w:color="auto"/>
              </w:rPr>
            </w:pPr>
            <w:r>
              <w:rPr>
                <w:rFonts w:hint="default"/>
                <w:color w:val="auto"/>
                <w:u w:val="none" w:color="auto"/>
              </w:rPr>
              <w:t>中</w:t>
            </w:r>
          </w:p>
        </w:tc>
        <w:tc>
          <w:tcPr>
            <w:tcW w:w="649" w:type="pct"/>
            <w:tcBorders>
              <w:tl2br w:val="nil"/>
              <w:tr2bl w:val="nil"/>
            </w:tcBorders>
            <w:noWrap w:val="0"/>
            <w:vAlign w:val="center"/>
          </w:tcPr>
          <w:p w14:paraId="26FF6832">
            <w:pPr>
              <w:pStyle w:val="25"/>
              <w:bidi w:val="0"/>
              <w:rPr>
                <w:rFonts w:hint="default"/>
                <w:color w:val="auto"/>
                <w:u w:val="none" w:color="auto"/>
              </w:rPr>
            </w:pPr>
            <w:r>
              <w:rPr>
                <w:rFonts w:hint="default"/>
                <w:color w:val="auto"/>
                <w:u w:val="none" w:color="auto"/>
              </w:rPr>
              <w:t>常规污染物</w:t>
            </w:r>
          </w:p>
        </w:tc>
        <w:tc>
          <w:tcPr>
            <w:tcW w:w="1605" w:type="pct"/>
            <w:tcBorders>
              <w:tl2br w:val="nil"/>
              <w:tr2bl w:val="nil"/>
            </w:tcBorders>
            <w:noWrap w:val="0"/>
            <w:vAlign w:val="center"/>
          </w:tcPr>
          <w:p w14:paraId="4F0F8D79">
            <w:pPr>
              <w:pStyle w:val="25"/>
              <w:bidi w:val="0"/>
              <w:rPr>
                <w:rFonts w:hint="default"/>
                <w:color w:val="auto"/>
                <w:u w:val="none" w:color="auto"/>
                <w:lang w:val="en-US" w:eastAsia="zh-CN"/>
              </w:rPr>
            </w:pPr>
            <w:r>
              <w:rPr>
                <w:rFonts w:hint="eastAsia"/>
                <w:color w:val="auto"/>
                <w:u w:val="none" w:color="auto"/>
                <w:lang w:val="en-US" w:eastAsia="zh-CN"/>
              </w:rPr>
              <w:t>等效黏土防渗层Mb≥1.5m，K小于等于1*10</w:t>
            </w:r>
            <w:r>
              <w:rPr>
                <w:rFonts w:hint="eastAsia"/>
                <w:color w:val="auto"/>
                <w:u w:val="none" w:color="auto"/>
                <w:vertAlign w:val="superscript"/>
                <w:lang w:val="en-US" w:eastAsia="zh-CN"/>
              </w:rPr>
              <w:t>-7</w:t>
            </w:r>
            <w:r>
              <w:rPr>
                <w:rFonts w:hint="eastAsia"/>
                <w:color w:val="auto"/>
                <w:u w:val="none" w:color="auto"/>
                <w:lang w:val="en-US" w:eastAsia="zh-CN"/>
              </w:rPr>
              <w:t>cm/s；或参照GB16889执行</w:t>
            </w:r>
          </w:p>
        </w:tc>
      </w:tr>
      <w:tr w14:paraId="4AF5F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63C41BC8">
            <w:pPr>
              <w:pStyle w:val="25"/>
              <w:bidi w:val="0"/>
              <w:rPr>
                <w:rFonts w:hint="default"/>
                <w:color w:val="auto"/>
                <w:u w:val="none" w:color="auto"/>
                <w:lang w:val="en-US" w:eastAsia="zh-CN"/>
              </w:rPr>
            </w:pPr>
            <w:r>
              <w:rPr>
                <w:rFonts w:hint="default"/>
                <w:color w:val="auto"/>
                <w:u w:val="none" w:color="auto"/>
                <w:lang w:val="en-US" w:eastAsia="zh-CN"/>
              </w:rPr>
              <w:t>厂区道路、空闲场地</w:t>
            </w:r>
          </w:p>
        </w:tc>
        <w:tc>
          <w:tcPr>
            <w:tcW w:w="649" w:type="pct"/>
            <w:tcBorders>
              <w:tl2br w:val="nil"/>
              <w:tr2bl w:val="nil"/>
            </w:tcBorders>
            <w:noWrap w:val="0"/>
            <w:vAlign w:val="center"/>
          </w:tcPr>
          <w:p w14:paraId="7B0E9C63">
            <w:pPr>
              <w:pStyle w:val="25"/>
              <w:bidi w:val="0"/>
              <w:rPr>
                <w:rFonts w:hint="default"/>
                <w:color w:val="auto"/>
                <w:u w:val="none" w:color="auto"/>
                <w:lang w:val="en-US" w:eastAsia="zh-CN"/>
              </w:rPr>
            </w:pPr>
            <w:r>
              <w:rPr>
                <w:rFonts w:hint="default"/>
                <w:color w:val="auto"/>
                <w:u w:val="none" w:color="auto"/>
                <w:lang w:val="en-US" w:eastAsia="zh-CN"/>
              </w:rPr>
              <w:t>简单防渗区</w:t>
            </w:r>
          </w:p>
        </w:tc>
        <w:tc>
          <w:tcPr>
            <w:tcW w:w="711" w:type="pct"/>
            <w:tcBorders>
              <w:tl2br w:val="nil"/>
              <w:tr2bl w:val="nil"/>
            </w:tcBorders>
            <w:noWrap w:val="0"/>
            <w:vAlign w:val="center"/>
          </w:tcPr>
          <w:p w14:paraId="0127216B">
            <w:pPr>
              <w:pStyle w:val="25"/>
              <w:bidi w:val="0"/>
              <w:rPr>
                <w:rFonts w:hint="default"/>
                <w:color w:val="auto"/>
                <w:u w:val="none" w:color="auto"/>
                <w:lang w:val="en-US" w:eastAsia="zh-CN"/>
              </w:rPr>
            </w:pPr>
            <w:r>
              <w:rPr>
                <w:rFonts w:hint="default"/>
                <w:color w:val="auto"/>
                <w:u w:val="none" w:color="auto"/>
                <w:lang w:val="en-US" w:eastAsia="zh-CN"/>
              </w:rPr>
              <w:t>易</w:t>
            </w:r>
          </w:p>
        </w:tc>
        <w:tc>
          <w:tcPr>
            <w:tcW w:w="649" w:type="pct"/>
            <w:tcBorders>
              <w:tl2br w:val="nil"/>
              <w:tr2bl w:val="nil"/>
            </w:tcBorders>
            <w:noWrap w:val="0"/>
            <w:vAlign w:val="center"/>
          </w:tcPr>
          <w:p w14:paraId="39E8E67E">
            <w:pPr>
              <w:pStyle w:val="25"/>
              <w:bidi w:val="0"/>
              <w:rPr>
                <w:rFonts w:hint="default"/>
                <w:color w:val="auto"/>
                <w:u w:val="none" w:color="auto"/>
                <w:lang w:val="en-US" w:eastAsia="zh-CN"/>
              </w:rPr>
            </w:pPr>
            <w:r>
              <w:rPr>
                <w:rFonts w:hint="default"/>
                <w:color w:val="auto"/>
                <w:u w:val="none" w:color="auto"/>
                <w:lang w:val="en-US" w:eastAsia="zh-CN"/>
              </w:rPr>
              <w:t>/</w:t>
            </w:r>
          </w:p>
        </w:tc>
        <w:tc>
          <w:tcPr>
            <w:tcW w:w="1605" w:type="pct"/>
            <w:tcBorders>
              <w:tl2br w:val="nil"/>
              <w:tr2bl w:val="nil"/>
            </w:tcBorders>
            <w:noWrap w:val="0"/>
            <w:vAlign w:val="center"/>
          </w:tcPr>
          <w:p w14:paraId="7042E1DF">
            <w:pPr>
              <w:pStyle w:val="25"/>
              <w:bidi w:val="0"/>
              <w:rPr>
                <w:rFonts w:hint="default"/>
                <w:color w:val="auto"/>
                <w:u w:val="none" w:color="auto"/>
              </w:rPr>
            </w:pPr>
            <w:r>
              <w:rPr>
                <w:rFonts w:hint="default"/>
                <w:color w:val="auto"/>
                <w:u w:val="none" w:color="auto"/>
              </w:rPr>
              <w:t>一般地面硬化</w:t>
            </w:r>
          </w:p>
        </w:tc>
      </w:tr>
    </w:tbl>
    <w:p w14:paraId="36B07479">
      <w:pPr>
        <w:pStyle w:val="21"/>
        <w:bidi w:val="0"/>
        <w:rPr>
          <w:rFonts w:hint="default"/>
          <w:color w:val="auto"/>
          <w:u w:val="none" w:color="auto"/>
        </w:rPr>
      </w:pPr>
      <w:r>
        <w:rPr>
          <w:rFonts w:hint="default"/>
          <w:color w:val="auto"/>
          <w:u w:val="none" w:color="auto"/>
          <w:lang w:eastAsia="zh-CN"/>
        </w:rPr>
        <w:t>①简单</w:t>
      </w:r>
      <w:r>
        <w:rPr>
          <w:rFonts w:hint="default"/>
          <w:color w:val="auto"/>
          <w:u w:val="none" w:color="auto"/>
        </w:rPr>
        <w:t>防渗区</w:t>
      </w:r>
    </w:p>
    <w:p w14:paraId="4C4DEF4E">
      <w:pPr>
        <w:pStyle w:val="21"/>
        <w:bidi w:val="0"/>
        <w:rPr>
          <w:rFonts w:hint="default"/>
          <w:color w:val="auto"/>
          <w:u w:val="none" w:color="auto"/>
          <w:lang w:eastAsia="zh-CN"/>
        </w:rPr>
      </w:pPr>
      <w:r>
        <w:rPr>
          <w:rFonts w:hint="default"/>
          <w:color w:val="auto"/>
          <w:u w:val="none" w:color="auto"/>
        </w:rPr>
        <w:t>主要包括厂区道路</w:t>
      </w:r>
      <w:r>
        <w:rPr>
          <w:rFonts w:hint="default"/>
          <w:color w:val="auto"/>
          <w:u w:val="none" w:color="auto"/>
          <w:lang w:eastAsia="zh-CN"/>
        </w:rPr>
        <w:t>、空闲场地</w:t>
      </w:r>
      <w:r>
        <w:rPr>
          <w:rFonts w:hint="default"/>
          <w:color w:val="auto"/>
          <w:u w:val="none" w:color="auto"/>
        </w:rPr>
        <w:t>等</w:t>
      </w:r>
      <w:r>
        <w:rPr>
          <w:rFonts w:hint="default"/>
          <w:color w:val="auto"/>
          <w:u w:val="none" w:color="auto"/>
          <w:lang w:eastAsia="zh-CN"/>
        </w:rPr>
        <w:t>基本不涉及污染的区域，该类区域只需做一般地面水泥硬化即可。</w:t>
      </w:r>
    </w:p>
    <w:p w14:paraId="08C14731">
      <w:pPr>
        <w:pStyle w:val="21"/>
        <w:bidi w:val="0"/>
        <w:rPr>
          <w:rFonts w:hint="default"/>
          <w:color w:val="auto"/>
          <w:u w:val="none" w:color="auto"/>
        </w:rPr>
      </w:pPr>
      <w:r>
        <w:rPr>
          <w:rFonts w:hint="default"/>
          <w:color w:val="auto"/>
          <w:u w:val="none" w:color="auto"/>
          <w:lang w:val="en-US" w:eastAsia="zh-CN"/>
        </w:rPr>
        <w:t>②</w:t>
      </w:r>
      <w:r>
        <w:rPr>
          <w:rFonts w:hint="default"/>
          <w:color w:val="auto"/>
          <w:u w:val="none" w:color="auto"/>
        </w:rPr>
        <w:t>一般</w:t>
      </w:r>
      <w:r>
        <w:rPr>
          <w:rFonts w:hint="eastAsia"/>
          <w:color w:val="auto"/>
          <w:u w:val="none" w:color="auto"/>
          <w:lang w:val="en-US" w:eastAsia="zh-CN"/>
        </w:rPr>
        <w:t>防渗</w:t>
      </w:r>
      <w:r>
        <w:rPr>
          <w:rFonts w:hint="default"/>
          <w:color w:val="auto"/>
          <w:u w:val="none" w:color="auto"/>
        </w:rPr>
        <w:t>区</w:t>
      </w:r>
    </w:p>
    <w:p w14:paraId="3D39F25A">
      <w:pPr>
        <w:pStyle w:val="21"/>
        <w:bidi w:val="0"/>
        <w:rPr>
          <w:rFonts w:hint="default"/>
          <w:color w:val="auto"/>
          <w:u w:val="none" w:color="auto"/>
        </w:rPr>
      </w:pPr>
      <w:r>
        <w:rPr>
          <w:rFonts w:hint="default"/>
          <w:color w:val="auto"/>
          <w:u w:val="none" w:color="auto"/>
        </w:rPr>
        <w:t>裸露于地面的生产功能单元，污染地下水环境的物料或污染物泄漏后，可及时发现和处理的区域或部位。本项目将生产车间地面、</w:t>
      </w:r>
      <w:r>
        <w:rPr>
          <w:rFonts w:hint="eastAsia"/>
          <w:color w:val="auto"/>
          <w:u w:val="none" w:color="auto"/>
          <w:lang w:val="en-US" w:eastAsia="zh-CN"/>
        </w:rPr>
        <w:t>一般固废暂存间</w:t>
      </w:r>
      <w:r>
        <w:rPr>
          <w:rFonts w:hint="default"/>
          <w:color w:val="auto"/>
          <w:u w:val="none" w:color="auto"/>
        </w:rPr>
        <w:t>以及其他公用单元划分为一般污染防治区。</w:t>
      </w:r>
    </w:p>
    <w:p w14:paraId="0681FD82">
      <w:pPr>
        <w:pStyle w:val="21"/>
        <w:bidi w:val="0"/>
        <w:rPr>
          <w:rFonts w:hint="default"/>
          <w:color w:val="auto"/>
          <w:u w:val="none" w:color="auto"/>
        </w:rPr>
      </w:pPr>
      <w:r>
        <w:rPr>
          <w:rFonts w:hint="default"/>
          <w:color w:val="auto"/>
          <w:u w:val="none" w:color="auto"/>
          <w:lang w:val="en-US" w:eastAsia="zh-CN"/>
        </w:rPr>
        <w:t>③</w:t>
      </w:r>
      <w:r>
        <w:rPr>
          <w:rFonts w:hint="default"/>
          <w:color w:val="auto"/>
          <w:u w:val="none" w:color="auto"/>
        </w:rPr>
        <w:t>重点</w:t>
      </w:r>
      <w:r>
        <w:rPr>
          <w:rFonts w:hint="eastAsia"/>
          <w:color w:val="auto"/>
          <w:u w:val="none" w:color="auto"/>
          <w:lang w:val="en-US" w:eastAsia="zh-CN"/>
        </w:rPr>
        <w:t>防渗</w:t>
      </w:r>
      <w:r>
        <w:rPr>
          <w:rFonts w:hint="default"/>
          <w:color w:val="auto"/>
          <w:u w:val="none" w:color="auto"/>
        </w:rPr>
        <w:t>区</w:t>
      </w:r>
    </w:p>
    <w:p w14:paraId="6ED41630">
      <w:pPr>
        <w:pStyle w:val="21"/>
        <w:bidi w:val="0"/>
        <w:rPr>
          <w:rFonts w:hint="default"/>
          <w:color w:val="auto"/>
          <w:u w:val="none" w:color="auto"/>
        </w:rPr>
      </w:pPr>
      <w:r>
        <w:rPr>
          <w:rFonts w:hint="default"/>
          <w:color w:val="auto"/>
          <w:u w:val="none" w:color="auto"/>
        </w:rPr>
        <w:t>位于地下或半地下的生产功能单元，污染地下水环境的物料或污染泄漏后，不易及时发现和处理的区域或部位。本项目将</w:t>
      </w:r>
      <w:r>
        <w:rPr>
          <w:rFonts w:hint="eastAsia"/>
          <w:color w:val="auto"/>
          <w:u w:val="none" w:color="auto"/>
          <w:lang w:val="en-US" w:eastAsia="zh-CN"/>
        </w:rPr>
        <w:t>原料区、</w:t>
      </w:r>
      <w:r>
        <w:rPr>
          <w:rFonts w:hint="default"/>
          <w:color w:val="auto"/>
          <w:u w:val="none" w:color="auto"/>
        </w:rPr>
        <w:t>危废暂存间划分为重点污染防治区。</w:t>
      </w:r>
    </w:p>
    <w:p w14:paraId="14EA9778">
      <w:pPr>
        <w:pStyle w:val="21"/>
        <w:bidi w:val="0"/>
        <w:rPr>
          <w:rFonts w:hint="default"/>
          <w:color w:val="auto"/>
          <w:u w:val="none" w:color="auto"/>
          <w:lang w:val="en-US" w:eastAsia="zh-CN"/>
        </w:rPr>
      </w:pPr>
      <w:bookmarkStart w:id="1377" w:name="_Toc12146"/>
      <w:bookmarkStart w:id="1378" w:name="_Toc721"/>
      <w:bookmarkStart w:id="1379" w:name="_Toc7010"/>
      <w:bookmarkStart w:id="1380" w:name="_Toc27597"/>
      <w:bookmarkStart w:id="1381" w:name="_Toc15302"/>
      <w:r>
        <w:rPr>
          <w:rFonts w:hint="default"/>
          <w:color w:val="auto"/>
          <w:u w:val="none" w:color="auto"/>
          <w:lang w:val="en-US" w:eastAsia="zh-CN"/>
        </w:rPr>
        <w:t>（3）分区防渗措施及要求</w:t>
      </w:r>
      <w:bookmarkEnd w:id="1377"/>
      <w:bookmarkEnd w:id="1378"/>
      <w:bookmarkEnd w:id="1379"/>
      <w:bookmarkEnd w:id="1380"/>
      <w:bookmarkEnd w:id="1381"/>
    </w:p>
    <w:p w14:paraId="1B9EF8F7">
      <w:pPr>
        <w:pStyle w:val="21"/>
        <w:bidi w:val="0"/>
        <w:rPr>
          <w:rFonts w:hint="default"/>
          <w:color w:val="auto"/>
          <w:u w:val="none" w:color="auto"/>
          <w:lang w:eastAsia="zh-CN"/>
        </w:rPr>
      </w:pPr>
      <w:r>
        <w:rPr>
          <w:rFonts w:hint="default"/>
          <w:color w:val="auto"/>
          <w:u w:val="none" w:color="auto"/>
          <w:lang w:eastAsia="zh-CN"/>
        </w:rPr>
        <w:t>①防渗要求</w:t>
      </w:r>
    </w:p>
    <w:p w14:paraId="370ABB1D">
      <w:pPr>
        <w:pStyle w:val="21"/>
        <w:bidi w:val="0"/>
        <w:rPr>
          <w:rFonts w:hint="default"/>
          <w:color w:val="auto"/>
          <w:u w:val="none" w:color="auto"/>
        </w:rPr>
      </w:pPr>
      <w:r>
        <w:rPr>
          <w:rFonts w:hint="default"/>
          <w:color w:val="auto"/>
          <w:u w:val="none" w:color="auto"/>
          <w:lang w:eastAsia="zh-CN"/>
        </w:rPr>
        <w:t>一般工业固体废物暂存按照有关要求进行设计，严禁在室外露天堆放，厂房内地面采用水泥硬化，基础</w:t>
      </w:r>
      <w:r>
        <w:rPr>
          <w:rFonts w:hint="default"/>
          <w:color w:val="auto"/>
          <w:u w:val="none" w:color="auto"/>
        </w:rPr>
        <w:t>进行防渗处理；对于重点污染防治区，如</w:t>
      </w:r>
      <w:r>
        <w:rPr>
          <w:rFonts w:hint="default"/>
          <w:color w:val="auto"/>
          <w:u w:val="none" w:color="auto"/>
          <w:lang w:val="en-US" w:eastAsia="zh-CN"/>
        </w:rPr>
        <w:t>危废暂存间</w:t>
      </w:r>
      <w:r>
        <w:rPr>
          <w:rFonts w:hint="default"/>
          <w:color w:val="auto"/>
          <w:u w:val="none" w:color="auto"/>
        </w:rPr>
        <w:t>，严格按照《危险废物贮存污染控制标准》（GB18597-20</w:t>
      </w:r>
      <w:r>
        <w:rPr>
          <w:rFonts w:hint="eastAsia"/>
          <w:color w:val="auto"/>
          <w:u w:val="none" w:color="auto"/>
          <w:lang w:val="en-US" w:eastAsia="zh-CN"/>
        </w:rPr>
        <w:t>23</w:t>
      </w:r>
      <w:r>
        <w:rPr>
          <w:rFonts w:hint="default"/>
          <w:color w:val="auto"/>
          <w:u w:val="none" w:color="auto"/>
        </w:rPr>
        <w:t>）的有关要求设计，包括：</w:t>
      </w:r>
    </w:p>
    <w:p w14:paraId="6CBC8EEB">
      <w:pPr>
        <w:pStyle w:val="21"/>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在各车间暂存区按储存的危险废物类别分别建设专用的危险废物贮存设施，危险废物贮存设施的地面与裙脚必须用坚固、防渗的材料建造，建筑材料与危险废物相容（即不相互反应）；</w:t>
      </w:r>
    </w:p>
    <w:p w14:paraId="63A14634">
      <w:pPr>
        <w:pStyle w:val="21"/>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有泄漏液体收集装置；</w:t>
      </w:r>
    </w:p>
    <w:p w14:paraId="3BE0425B">
      <w:pPr>
        <w:pStyle w:val="21"/>
        <w:bidi w:val="0"/>
        <w:rPr>
          <w:rFonts w:hint="default"/>
          <w:color w:val="auto"/>
          <w:u w:val="none" w:color="auto"/>
        </w:rPr>
      </w:pPr>
      <w:r>
        <w:rPr>
          <w:rFonts w:hint="default"/>
          <w:color w:val="auto"/>
          <w:u w:val="none" w:color="auto"/>
          <w:lang w:val="en-US" w:eastAsia="zh-CN"/>
        </w:rPr>
        <w:t xml:space="preserve">c </w:t>
      </w:r>
      <w:r>
        <w:rPr>
          <w:rFonts w:hint="default"/>
          <w:color w:val="auto"/>
          <w:u w:val="none" w:color="auto"/>
        </w:rPr>
        <w:t>设施内有安全照明设施和观察窗口；</w:t>
      </w:r>
    </w:p>
    <w:p w14:paraId="4144114E">
      <w:pPr>
        <w:pStyle w:val="21"/>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有耐腐蚀的硬化地面，且表面无裂隙；</w:t>
      </w:r>
    </w:p>
    <w:p w14:paraId="5BF1905B">
      <w:pPr>
        <w:pStyle w:val="21"/>
        <w:bidi w:val="0"/>
        <w:rPr>
          <w:rFonts w:hint="default"/>
          <w:color w:val="auto"/>
          <w:u w:val="none" w:color="auto"/>
        </w:rPr>
      </w:pPr>
      <w:r>
        <w:rPr>
          <w:rFonts w:hint="default"/>
          <w:color w:val="auto"/>
          <w:u w:val="none" w:color="auto"/>
          <w:lang w:val="en-US" w:eastAsia="zh-CN"/>
        </w:rPr>
        <w:t>e</w:t>
      </w:r>
      <w:r>
        <w:rPr>
          <w:rFonts w:hint="default"/>
          <w:color w:val="auto"/>
          <w:u w:val="none" w:color="auto"/>
        </w:rPr>
        <w:t xml:space="preserve"> 有堵截泄漏的裙脚，地面与裙脚所围建的容积不低于堵截最大容器的最大储量或总储量的五分之一；</w:t>
      </w:r>
    </w:p>
    <w:p w14:paraId="74F7FA11">
      <w:pPr>
        <w:pStyle w:val="21"/>
        <w:bidi w:val="0"/>
        <w:rPr>
          <w:rFonts w:hint="default"/>
          <w:color w:val="auto"/>
          <w:u w:val="none" w:color="auto"/>
        </w:rPr>
      </w:pPr>
      <w:r>
        <w:rPr>
          <w:rFonts w:hint="default"/>
          <w:color w:val="auto"/>
          <w:u w:val="none" w:color="auto"/>
          <w:lang w:val="en-US" w:eastAsia="zh-CN"/>
        </w:rPr>
        <w:t>f</w:t>
      </w:r>
      <w:r>
        <w:rPr>
          <w:rFonts w:hint="default"/>
          <w:color w:val="auto"/>
          <w:u w:val="none" w:color="auto"/>
        </w:rPr>
        <w:t xml:space="preserve"> 危废</w:t>
      </w:r>
      <w:r>
        <w:rPr>
          <w:rFonts w:hint="default"/>
          <w:color w:val="auto"/>
          <w:u w:val="none" w:color="auto"/>
          <w:lang w:val="en-US" w:eastAsia="zh-CN"/>
        </w:rPr>
        <w:t>暂存间</w:t>
      </w:r>
      <w:r>
        <w:rPr>
          <w:rFonts w:hint="default"/>
          <w:color w:val="auto"/>
          <w:u w:val="none" w:color="auto"/>
        </w:rPr>
        <w:t>顶部设有顶棚，可避免风吹日晒或雨水淋滤，堆放基础需设防渗层，防渗层为至少1m厚粘土层（渗透系数≤10</w:t>
      </w:r>
      <w:r>
        <w:rPr>
          <w:rFonts w:hint="default"/>
          <w:color w:val="auto"/>
          <w:u w:val="none" w:color="auto"/>
          <w:vertAlign w:val="superscript"/>
        </w:rPr>
        <w:t>-7</w:t>
      </w:r>
      <w:r>
        <w:rPr>
          <w:rFonts w:hint="default"/>
          <w:color w:val="auto"/>
          <w:u w:val="none" w:color="auto"/>
        </w:rPr>
        <w:t>cm/s），或2</w:t>
      </w:r>
      <w:r>
        <w:rPr>
          <w:rFonts w:hint="default"/>
          <w:color w:val="auto"/>
          <w:u w:val="none" w:color="auto"/>
          <w:lang w:val="en-US" w:eastAsia="zh-CN"/>
        </w:rPr>
        <w:t>mm</w:t>
      </w:r>
      <w:r>
        <w:rPr>
          <w:rFonts w:hint="default"/>
          <w:color w:val="auto"/>
          <w:u w:val="none" w:color="auto"/>
        </w:rPr>
        <w:t>厚高密度聚乙烯，或至少2</w:t>
      </w:r>
      <w:r>
        <w:rPr>
          <w:rFonts w:hint="default"/>
          <w:color w:val="auto"/>
          <w:u w:val="none" w:color="auto"/>
          <w:lang w:val="en-US" w:eastAsia="zh-CN"/>
        </w:rPr>
        <w:t>mm</w:t>
      </w:r>
      <w:r>
        <w:rPr>
          <w:rFonts w:hint="default"/>
          <w:color w:val="auto"/>
          <w:u w:val="none" w:color="auto"/>
        </w:rPr>
        <w:t>厚的其它人工材料，渗透系数≤10</w:t>
      </w:r>
      <w:r>
        <w:rPr>
          <w:rFonts w:hint="default"/>
          <w:color w:val="auto"/>
          <w:u w:val="none" w:color="auto"/>
          <w:vertAlign w:val="superscript"/>
        </w:rPr>
        <w:t>-10</w:t>
      </w:r>
      <w:r>
        <w:rPr>
          <w:rFonts w:hint="default"/>
          <w:color w:val="auto"/>
          <w:u w:val="none" w:color="auto"/>
        </w:rPr>
        <w:t xml:space="preserve"> cm/s；</w:t>
      </w:r>
    </w:p>
    <w:p w14:paraId="15E9708C">
      <w:pPr>
        <w:pStyle w:val="21"/>
        <w:bidi w:val="0"/>
        <w:rPr>
          <w:rFonts w:hint="default"/>
          <w:color w:val="auto"/>
          <w:u w:val="none" w:color="auto"/>
        </w:rPr>
      </w:pPr>
      <w:r>
        <w:rPr>
          <w:rFonts w:hint="default"/>
          <w:color w:val="auto"/>
          <w:u w:val="none" w:color="auto"/>
          <w:lang w:val="en-US" w:eastAsia="zh-CN"/>
        </w:rPr>
        <w:t>g</w:t>
      </w:r>
      <w:r>
        <w:rPr>
          <w:rFonts w:hint="default"/>
          <w:color w:val="auto"/>
          <w:u w:val="none" w:color="auto"/>
        </w:rPr>
        <w:t xml:space="preserve"> 在常温常压下不水解、不挥发的固体危险废物（如废包装桶）在暂存</w:t>
      </w:r>
      <w:r>
        <w:rPr>
          <w:rFonts w:hint="default"/>
          <w:color w:val="auto"/>
          <w:u w:val="none" w:color="auto"/>
          <w:lang w:val="en-US" w:eastAsia="zh-CN"/>
        </w:rPr>
        <w:t>间</w:t>
      </w:r>
      <w:r>
        <w:rPr>
          <w:rFonts w:hint="default"/>
          <w:color w:val="auto"/>
          <w:u w:val="none" w:color="auto"/>
        </w:rPr>
        <w:t>内分类堆放。</w:t>
      </w:r>
    </w:p>
    <w:p w14:paraId="41E30E1B">
      <w:pPr>
        <w:pStyle w:val="21"/>
        <w:bidi w:val="0"/>
        <w:rPr>
          <w:rFonts w:hint="default"/>
          <w:color w:val="auto"/>
          <w:u w:val="none" w:color="auto"/>
        </w:rPr>
      </w:pPr>
      <w:r>
        <w:rPr>
          <w:rFonts w:hint="default"/>
          <w:color w:val="auto"/>
          <w:u w:val="none" w:color="auto"/>
          <w:lang w:eastAsia="zh-CN"/>
        </w:rPr>
        <w:t>②</w:t>
      </w:r>
      <w:r>
        <w:rPr>
          <w:rFonts w:hint="default"/>
          <w:color w:val="auto"/>
          <w:u w:val="none" w:color="auto"/>
        </w:rPr>
        <w:t xml:space="preserve"> 厂区污水管道防渗措施</w:t>
      </w:r>
    </w:p>
    <w:p w14:paraId="2B700138">
      <w:pPr>
        <w:pStyle w:val="21"/>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做好管道基础处理工作，管道基础一定要平整，管道周围不得有硬块或尖状物，遇软地基时要回填沙石分层夯实；回填土必须夯实，密实度应达90%以上；</w:t>
      </w:r>
    </w:p>
    <w:p w14:paraId="0000BC8E">
      <w:pPr>
        <w:pStyle w:val="21"/>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地下管道必须采取两层管，内层采用耐压塑料管，外层再加一层水泥管道；管道内衬防渗膜，须具有耐酸、耐碱和经久耐用的特性，可有效防止渗漏；</w:t>
      </w:r>
    </w:p>
    <w:p w14:paraId="5C61C832">
      <w:pPr>
        <w:pStyle w:val="21"/>
        <w:bidi w:val="0"/>
        <w:rPr>
          <w:rFonts w:hint="default"/>
          <w:color w:val="auto"/>
          <w:u w:val="none" w:color="auto"/>
        </w:rPr>
      </w:pPr>
      <w:r>
        <w:rPr>
          <w:rFonts w:hint="default"/>
          <w:color w:val="auto"/>
          <w:u w:val="none" w:color="auto"/>
          <w:lang w:val="en-US" w:eastAsia="zh-CN"/>
        </w:rPr>
        <w:t>c</w:t>
      </w:r>
      <w:r>
        <w:rPr>
          <w:rFonts w:hint="default"/>
          <w:color w:val="auto"/>
          <w:u w:val="none" w:color="auto"/>
        </w:rPr>
        <w:t xml:space="preserve"> 严格材料的验收、检查制度，管道在搬运、存放时要按要求执行，管材和管制件按标准严格进行防腐；</w:t>
      </w:r>
    </w:p>
    <w:p w14:paraId="3C448E4D">
      <w:pPr>
        <w:pStyle w:val="21"/>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应用管道连接、防腐等方面的先进施工技术。一般情况下，承插接口应采用橡胶圈密封的柔性接口技术，金属管内壁采用涂水泥沙浆或树脂的防腐技术；焊接、粘接的管道应考虑涨缩性问题，采用相应的施工技术，如适当距离安装柔性接口、伸缩器或U 形弯管；同时管道阀门设专用防渗管沟，管沟上设活动观察顶盖，以便出现渗漏问题及时发现解决。</w:t>
      </w:r>
    </w:p>
    <w:p w14:paraId="4F296409">
      <w:pPr>
        <w:pStyle w:val="21"/>
        <w:bidi w:val="0"/>
        <w:rPr>
          <w:rFonts w:hint="default"/>
          <w:color w:val="auto"/>
          <w:u w:val="none" w:color="auto"/>
        </w:rPr>
      </w:pPr>
      <w:r>
        <w:rPr>
          <w:rFonts w:hint="default"/>
          <w:color w:val="auto"/>
          <w:u w:val="none" w:color="auto"/>
          <w:lang w:val="en-US" w:eastAsia="zh-CN"/>
        </w:rPr>
        <w:t>e</w:t>
      </w:r>
      <w:r>
        <w:rPr>
          <w:rFonts w:hint="default"/>
          <w:color w:val="auto"/>
          <w:u w:val="none" w:color="auto"/>
        </w:rPr>
        <w:t xml:space="preserve"> 严格按照施工图及施工规范按照，不可随意变更设计；</w:t>
      </w:r>
    </w:p>
    <w:p w14:paraId="3C99E823">
      <w:pPr>
        <w:pStyle w:val="21"/>
        <w:bidi w:val="0"/>
        <w:rPr>
          <w:rFonts w:hint="default"/>
          <w:color w:val="auto"/>
          <w:u w:val="none" w:color="auto"/>
        </w:rPr>
      </w:pPr>
      <w:r>
        <w:rPr>
          <w:rFonts w:hint="default"/>
          <w:color w:val="auto"/>
          <w:u w:val="none" w:color="auto"/>
          <w:lang w:val="en-US" w:eastAsia="zh-CN"/>
        </w:rPr>
        <w:t>f</w:t>
      </w:r>
      <w:r>
        <w:rPr>
          <w:rFonts w:hint="default"/>
          <w:color w:val="auto"/>
          <w:u w:val="none" w:color="auto"/>
        </w:rPr>
        <w:t xml:space="preserve"> 做好管道试水试压工作，严格按验收规程进行，认真做好管道施工竣工图绘制，及时归档备案，方便管网维修、管理；</w:t>
      </w:r>
    </w:p>
    <w:p w14:paraId="0640F41F">
      <w:pPr>
        <w:pStyle w:val="21"/>
        <w:bidi w:val="0"/>
        <w:rPr>
          <w:rFonts w:hint="default"/>
          <w:color w:val="auto"/>
          <w:u w:val="none" w:color="auto"/>
        </w:rPr>
      </w:pPr>
      <w:r>
        <w:rPr>
          <w:rFonts w:hint="default"/>
          <w:color w:val="auto"/>
          <w:u w:val="none" w:color="auto"/>
          <w:lang w:val="en-US" w:eastAsia="zh-CN"/>
        </w:rPr>
        <w:t>g</w:t>
      </w:r>
      <w:r>
        <w:rPr>
          <w:rFonts w:hint="default"/>
          <w:color w:val="auto"/>
          <w:u w:val="none" w:color="auto"/>
        </w:rPr>
        <w:t xml:space="preserve"> 加强管道日常维修管理和检查工作。</w:t>
      </w:r>
    </w:p>
    <w:p w14:paraId="327A37A0">
      <w:pPr>
        <w:pStyle w:val="21"/>
        <w:bidi w:val="0"/>
        <w:rPr>
          <w:rFonts w:hint="default"/>
          <w:color w:val="auto"/>
          <w:u w:val="none" w:color="auto"/>
        </w:rPr>
      </w:pPr>
      <w:r>
        <w:rPr>
          <w:rFonts w:hint="default"/>
          <w:color w:val="auto"/>
          <w:u w:val="none" w:color="auto"/>
          <w:lang w:eastAsia="zh-CN"/>
        </w:rPr>
        <w:t>③</w:t>
      </w:r>
      <w:r>
        <w:rPr>
          <w:rFonts w:hint="default"/>
          <w:color w:val="auto"/>
          <w:u w:val="none" w:color="auto"/>
        </w:rPr>
        <w:t>其它污染防治措施</w:t>
      </w:r>
    </w:p>
    <w:p w14:paraId="63E64237">
      <w:pPr>
        <w:pStyle w:val="21"/>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废水池及各处理单元应按建筑规范要求做好防渗、硬底化工程，渗透系数&lt;10</w:t>
      </w:r>
      <w:r>
        <w:rPr>
          <w:rFonts w:hint="default"/>
          <w:color w:val="auto"/>
          <w:u w:val="none" w:color="auto"/>
          <w:vertAlign w:val="superscript"/>
        </w:rPr>
        <w:t>-7</w:t>
      </w:r>
      <w:r>
        <w:rPr>
          <w:rFonts w:hint="default"/>
          <w:color w:val="auto"/>
          <w:u w:val="none" w:color="auto"/>
        </w:rPr>
        <w:t>cm/s。同时定期检查，若发现池体或管道出现裂痕等问题，应立即进行抢修。</w:t>
      </w:r>
    </w:p>
    <w:p w14:paraId="26DC612C">
      <w:pPr>
        <w:pStyle w:val="21"/>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危险废物在交给有资质单位处理前，贮存危险废物的容器或设施必须按《危险废物贮存污染控制标准》（GB18597-20</w:t>
      </w:r>
      <w:r>
        <w:rPr>
          <w:rFonts w:hint="eastAsia"/>
          <w:color w:val="auto"/>
          <w:u w:val="none" w:color="auto"/>
          <w:lang w:val="en-US" w:eastAsia="zh-CN"/>
        </w:rPr>
        <w:t>23</w:t>
      </w:r>
      <w:r>
        <w:rPr>
          <w:rFonts w:hint="default"/>
          <w:color w:val="auto"/>
          <w:u w:val="none" w:color="auto"/>
        </w:rPr>
        <w:t>）</w:t>
      </w:r>
      <w:r>
        <w:rPr>
          <w:rFonts w:hint="eastAsia"/>
          <w:color w:val="auto"/>
          <w:u w:val="none" w:color="auto"/>
          <w:lang w:val="en-US" w:eastAsia="zh-CN"/>
        </w:rPr>
        <w:t>中</w:t>
      </w:r>
      <w:r>
        <w:rPr>
          <w:rFonts w:hint="default"/>
          <w:color w:val="auto"/>
          <w:u w:val="none" w:color="auto"/>
        </w:rPr>
        <w:t>的有关要求进行，不得在露天堆放。</w:t>
      </w:r>
    </w:p>
    <w:p w14:paraId="0FF6901D">
      <w:pPr>
        <w:pStyle w:val="21"/>
        <w:bidi w:val="0"/>
        <w:rPr>
          <w:rFonts w:hint="default"/>
          <w:color w:val="auto"/>
          <w:u w:val="none" w:color="auto"/>
        </w:rPr>
      </w:pPr>
      <w:r>
        <w:rPr>
          <w:rFonts w:hint="default"/>
          <w:color w:val="auto"/>
          <w:u w:val="none" w:color="auto"/>
          <w:lang w:val="en-US" w:eastAsia="zh-CN"/>
        </w:rPr>
        <w:t>c</w:t>
      </w:r>
      <w:r>
        <w:rPr>
          <w:rFonts w:hint="default"/>
          <w:color w:val="auto"/>
          <w:u w:val="none" w:color="auto"/>
        </w:rPr>
        <w:t xml:space="preserve"> 生产车间可能发生泄漏的单元应按建筑规范要求做好防渗、硬底化工程，渗透系数&lt;10</w:t>
      </w:r>
      <w:r>
        <w:rPr>
          <w:rFonts w:hint="default"/>
          <w:color w:val="auto"/>
          <w:u w:val="none" w:color="auto"/>
          <w:vertAlign w:val="superscript"/>
        </w:rPr>
        <w:t>-7</w:t>
      </w:r>
      <w:r>
        <w:rPr>
          <w:rFonts w:hint="default"/>
          <w:color w:val="auto"/>
          <w:u w:val="none" w:color="auto"/>
        </w:rPr>
        <w:t>cm/s。定期检查车间地面及事故沟的情况，若出现裂痕等问题，应立即进行抢修。</w:t>
      </w:r>
    </w:p>
    <w:p w14:paraId="06BAE975">
      <w:pPr>
        <w:pStyle w:val="21"/>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为防止泄漏物的下渗，厂区道路应做好硬底化防渗措施。</w:t>
      </w:r>
    </w:p>
    <w:p w14:paraId="4E48F19B">
      <w:pPr>
        <w:pStyle w:val="21"/>
        <w:bidi w:val="0"/>
        <w:rPr>
          <w:rFonts w:hint="default"/>
          <w:color w:val="auto"/>
          <w:u w:val="none" w:color="auto"/>
        </w:rPr>
      </w:pPr>
      <w:r>
        <w:rPr>
          <w:rFonts w:hint="default"/>
          <w:color w:val="auto"/>
          <w:u w:val="none" w:color="auto"/>
        </w:rPr>
        <w:t>在做好上述措施的情况下，营运期对地下水造成的影响可以得到有效控制。</w:t>
      </w:r>
    </w:p>
    <w:p w14:paraId="0FB69B1B">
      <w:pPr>
        <w:pStyle w:val="21"/>
        <w:bidi w:val="0"/>
        <w:rPr>
          <w:rFonts w:hint="default"/>
          <w:color w:val="auto"/>
          <w:u w:val="none" w:color="auto"/>
          <w:lang w:val="en-US" w:eastAsia="zh-CN"/>
        </w:rPr>
      </w:pPr>
      <w:bookmarkStart w:id="1382" w:name="_Toc29630"/>
      <w:bookmarkStart w:id="1383" w:name="_Toc18029"/>
      <w:bookmarkStart w:id="1384" w:name="_Toc30095"/>
      <w:bookmarkStart w:id="1385" w:name="_Toc7750"/>
      <w:bookmarkStart w:id="1386" w:name="_Toc14121"/>
      <w:r>
        <w:rPr>
          <w:rFonts w:hint="default"/>
          <w:color w:val="auto"/>
          <w:u w:val="none" w:color="auto"/>
          <w:lang w:val="en-US" w:eastAsia="zh-CN"/>
        </w:rPr>
        <w:t>（4）</w:t>
      </w:r>
      <w:r>
        <w:rPr>
          <w:rFonts w:hint="default"/>
          <w:color w:val="auto"/>
          <w:u w:val="none" w:color="auto"/>
          <w:lang w:eastAsia="zh-CN"/>
        </w:rPr>
        <w:t>污染监控</w:t>
      </w:r>
      <w:bookmarkEnd w:id="1382"/>
      <w:bookmarkEnd w:id="1383"/>
      <w:bookmarkEnd w:id="1384"/>
      <w:bookmarkEnd w:id="1385"/>
      <w:bookmarkEnd w:id="1386"/>
    </w:p>
    <w:p w14:paraId="70023DB1">
      <w:pPr>
        <w:pStyle w:val="21"/>
        <w:bidi w:val="0"/>
        <w:rPr>
          <w:rFonts w:hint="default"/>
          <w:color w:val="auto"/>
          <w:u w:val="none" w:color="auto"/>
          <w:lang w:eastAsia="zh-CN"/>
        </w:rPr>
      </w:pPr>
      <w:r>
        <w:rPr>
          <w:rFonts w:hint="default"/>
          <w:color w:val="auto"/>
          <w:u w:val="none" w:color="auto"/>
          <w:lang w:eastAsia="zh-CN"/>
        </w:rPr>
        <w:t>建立完善的地下水环境监控体系，包括建立地下水监控制度和环境管理体系、制定监测计划、配备必要的监测仪器和设备，以便及时发现问题，及时采取措施。</w:t>
      </w:r>
    </w:p>
    <w:p w14:paraId="035A0101">
      <w:pPr>
        <w:pStyle w:val="21"/>
        <w:bidi w:val="0"/>
        <w:rPr>
          <w:rFonts w:hint="default"/>
          <w:color w:val="auto"/>
          <w:u w:val="none" w:color="auto"/>
          <w:lang w:eastAsia="zh-CN"/>
        </w:rPr>
      </w:pPr>
      <w:r>
        <w:rPr>
          <w:rFonts w:hint="default"/>
          <w:color w:val="auto"/>
          <w:u w:val="none" w:color="auto"/>
          <w:lang w:eastAsia="zh-CN"/>
        </w:rPr>
        <w:t>根据《环境影响评价技术导则 地下水环境》（HJ610-2016）的相关要求，三级评价跟踪监测点位数量一般为1个，本次评价建议在</w:t>
      </w:r>
      <w:r>
        <w:rPr>
          <w:rFonts w:hint="eastAsia"/>
          <w:color w:val="auto"/>
          <w:u w:val="none" w:color="auto"/>
          <w:lang w:eastAsia="zh-CN"/>
        </w:rPr>
        <w:t>项目厂区下游</w:t>
      </w:r>
      <w:r>
        <w:rPr>
          <w:rFonts w:hint="default"/>
          <w:color w:val="auto"/>
          <w:u w:val="none" w:color="auto"/>
          <w:lang w:eastAsia="zh-CN"/>
        </w:rPr>
        <w:t>布置监测井。</w:t>
      </w:r>
      <w:r>
        <w:rPr>
          <w:rFonts w:hint="default"/>
          <w:color w:val="auto"/>
          <w:u w:val="none" w:color="auto"/>
          <w:lang w:val="en-US" w:eastAsia="zh-CN"/>
        </w:rPr>
        <w:t>厂区</w:t>
      </w:r>
      <w:r>
        <w:rPr>
          <w:rFonts w:hint="default"/>
          <w:color w:val="auto"/>
          <w:u w:val="none" w:color="auto"/>
          <w:lang w:eastAsia="zh-CN"/>
        </w:rPr>
        <w:t>安全环保部门作为项目建设单位的环境综合管理部门，负责对整个项目环境保护措施的落实情况实行统一的监督管理，并对项目所在区域环境质量全面负责，接受上级环境保护行政部门的监督、检查和指导。</w:t>
      </w:r>
    </w:p>
    <w:p w14:paraId="7EA9E981">
      <w:pPr>
        <w:pStyle w:val="21"/>
        <w:bidi w:val="0"/>
        <w:rPr>
          <w:rFonts w:hint="default"/>
          <w:color w:val="auto"/>
          <w:u w:val="none" w:color="auto"/>
          <w:lang w:eastAsia="zh-CN"/>
        </w:rPr>
      </w:pPr>
      <w:r>
        <w:rPr>
          <w:rFonts w:hint="default"/>
          <w:color w:val="auto"/>
          <w:u w:val="none" w:color="auto"/>
          <w:lang w:eastAsia="zh-CN"/>
        </w:rPr>
        <w:t>同时，上述</w:t>
      </w:r>
      <w:r>
        <w:rPr>
          <w:rFonts w:hint="default"/>
          <w:color w:val="auto"/>
          <w:u w:val="none" w:color="auto"/>
          <w:lang w:val="en-US" w:eastAsia="zh-CN"/>
        </w:rPr>
        <w:t>跟踪</w:t>
      </w:r>
      <w:r>
        <w:rPr>
          <w:rFonts w:hint="default"/>
          <w:color w:val="auto"/>
          <w:u w:val="none" w:color="auto"/>
          <w:lang w:eastAsia="zh-CN"/>
        </w:rPr>
        <w:t>监测结果应按项目有关规定及时建立档案，并定期向</w:t>
      </w:r>
      <w:r>
        <w:rPr>
          <w:rFonts w:hint="default"/>
          <w:color w:val="auto"/>
          <w:u w:val="none" w:color="auto"/>
          <w:lang w:val="en-US" w:eastAsia="zh-CN"/>
        </w:rPr>
        <w:t>厂区</w:t>
      </w:r>
      <w:r>
        <w:rPr>
          <w:rFonts w:hint="default"/>
          <w:color w:val="auto"/>
          <w:u w:val="none" w:color="auto"/>
          <w:lang w:eastAsia="zh-CN"/>
        </w:rPr>
        <w:t>安全环保部门汇报，对于常规监测数据应该进行公开，特别是对项目所在区域的居民进行公开，满足法律中关于知情权的要求。如发现异常或发生事故，加密监测频次，并分析污染原因，确定泄漏污染源，及时采取应急措施。</w:t>
      </w:r>
    </w:p>
    <w:p w14:paraId="5899CE3B">
      <w:pPr>
        <w:pStyle w:val="21"/>
        <w:bidi w:val="0"/>
        <w:rPr>
          <w:rFonts w:hint="default"/>
          <w:color w:val="auto"/>
          <w:u w:val="none" w:color="auto"/>
          <w:lang w:eastAsia="zh-CN"/>
        </w:rPr>
      </w:pPr>
      <w:bookmarkStart w:id="1387" w:name="_Toc25012"/>
      <w:bookmarkStart w:id="1388" w:name="_Toc18858"/>
      <w:bookmarkStart w:id="1389" w:name="_Toc3517"/>
      <w:bookmarkStart w:id="1390" w:name="_Toc22130"/>
      <w:bookmarkStart w:id="1391" w:name="_Toc5628"/>
      <w:r>
        <w:rPr>
          <w:rFonts w:hint="default"/>
          <w:color w:val="auto"/>
          <w:u w:val="none" w:color="auto"/>
          <w:lang w:val="en-US" w:eastAsia="zh-CN"/>
        </w:rPr>
        <w:t>（5）</w:t>
      </w:r>
      <w:r>
        <w:rPr>
          <w:rFonts w:hint="default"/>
          <w:color w:val="auto"/>
          <w:u w:val="none" w:color="auto"/>
          <w:lang w:eastAsia="zh-CN"/>
        </w:rPr>
        <w:t>应急响应</w:t>
      </w:r>
      <w:bookmarkEnd w:id="1387"/>
      <w:bookmarkEnd w:id="1388"/>
      <w:bookmarkEnd w:id="1389"/>
      <w:bookmarkEnd w:id="1390"/>
      <w:bookmarkEnd w:id="1391"/>
    </w:p>
    <w:p w14:paraId="1FB9D1F8">
      <w:pPr>
        <w:pStyle w:val="21"/>
        <w:bidi w:val="0"/>
        <w:rPr>
          <w:rFonts w:hint="default"/>
          <w:color w:val="auto"/>
          <w:u w:val="none" w:color="auto"/>
        </w:rPr>
      </w:pPr>
      <w:r>
        <w:rPr>
          <w:rFonts w:hint="default"/>
          <w:color w:val="auto"/>
          <w:u w:val="none" w:color="auto"/>
          <w:lang w:val="en-US" w:eastAsia="zh-CN"/>
        </w:rPr>
        <w:t>建设单位</w:t>
      </w:r>
      <w:r>
        <w:rPr>
          <w:rFonts w:hint="default"/>
          <w:color w:val="auto"/>
          <w:u w:val="none" w:color="auto"/>
        </w:rPr>
        <w:t>制定风险事故应急预案中应包括地下水风险事故应急响应内容，提出防止受污染地下水扩散和对受污染的地下水进行治理的的具体方案。</w:t>
      </w:r>
    </w:p>
    <w:p w14:paraId="54747FC0">
      <w:pPr>
        <w:pStyle w:val="21"/>
        <w:bidi w:val="0"/>
        <w:rPr>
          <w:rFonts w:hint="default"/>
          <w:color w:val="auto"/>
          <w:u w:val="none" w:color="auto"/>
          <w:lang w:eastAsia="zh-CN"/>
        </w:rPr>
      </w:pPr>
      <w:r>
        <w:rPr>
          <w:rFonts w:hint="default"/>
          <w:color w:val="auto"/>
          <w:u w:val="none" w:color="auto"/>
          <w:lang w:eastAsia="zh-CN"/>
        </w:rPr>
        <w:t>一旦发现地下水发生异常情况，必须按照应急预案马上采取紧急措施：</w:t>
      </w:r>
    </w:p>
    <w:p w14:paraId="6DB69760">
      <w:pPr>
        <w:pStyle w:val="21"/>
        <w:bidi w:val="0"/>
        <w:rPr>
          <w:rFonts w:hint="default"/>
          <w:color w:val="auto"/>
          <w:u w:val="none" w:color="auto"/>
          <w:lang w:eastAsia="zh-CN"/>
        </w:rPr>
      </w:pPr>
      <w:r>
        <w:rPr>
          <w:rFonts w:hint="default"/>
          <w:color w:val="auto"/>
          <w:u w:val="none" w:color="auto"/>
          <w:lang w:eastAsia="zh-CN"/>
        </w:rPr>
        <w:t>①当确定发生地下水异常情况时，在第一时间内尽快上报公司主管领导，通知当地生态环境局、附近居民等，密切关注地下水水质变化情况。</w:t>
      </w:r>
    </w:p>
    <w:p w14:paraId="34217845">
      <w:pPr>
        <w:pStyle w:val="21"/>
        <w:bidi w:val="0"/>
        <w:rPr>
          <w:rFonts w:hint="default"/>
          <w:color w:val="auto"/>
          <w:u w:val="none" w:color="auto"/>
          <w:lang w:eastAsia="zh-CN"/>
        </w:rPr>
      </w:pPr>
      <w:r>
        <w:rPr>
          <w:rFonts w:hint="default"/>
          <w:color w:val="auto"/>
          <w:u w:val="none" w:color="auto"/>
          <w:lang w:eastAsia="zh-CN"/>
        </w:rPr>
        <w:t>②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14:paraId="0A6035DF">
      <w:pPr>
        <w:pStyle w:val="21"/>
        <w:bidi w:val="0"/>
        <w:rPr>
          <w:rFonts w:hint="default"/>
          <w:color w:val="auto"/>
          <w:u w:val="none" w:color="auto"/>
          <w:lang w:eastAsia="zh-CN"/>
        </w:rPr>
      </w:pPr>
      <w:r>
        <w:rPr>
          <w:rFonts w:hint="default"/>
          <w:color w:val="auto"/>
          <w:u w:val="none" w:color="auto"/>
          <w:lang w:eastAsia="zh-CN"/>
        </w:rPr>
        <w:t>③当通过监测发现对周围地下水造成污染时，根据观测井的反馈信息，可对污染区地下水人工开采以形成地下水漏斗，控制污染区地下水流场，尽量防止污染物扩散。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14:paraId="51C2F3E7">
      <w:pPr>
        <w:pStyle w:val="21"/>
        <w:bidi w:val="0"/>
        <w:rPr>
          <w:rFonts w:hint="default"/>
          <w:color w:val="auto"/>
          <w:u w:val="none" w:color="auto"/>
          <w:lang w:eastAsia="zh-CN"/>
        </w:rPr>
      </w:pPr>
      <w:r>
        <w:rPr>
          <w:rFonts w:hint="default"/>
          <w:color w:val="auto"/>
          <w:u w:val="none" w:color="auto"/>
          <w:lang w:eastAsia="zh-CN"/>
        </w:rPr>
        <w:t>④对被破坏的区域设置紧急隔离围堤，防止物料进一步渗入地下。</w:t>
      </w:r>
    </w:p>
    <w:p w14:paraId="67FE8CF7">
      <w:pPr>
        <w:pStyle w:val="21"/>
        <w:bidi w:val="0"/>
        <w:rPr>
          <w:rFonts w:hint="default"/>
          <w:color w:val="auto"/>
          <w:u w:val="none" w:color="auto"/>
          <w:lang w:eastAsia="zh-CN"/>
        </w:rPr>
      </w:pPr>
      <w:r>
        <w:rPr>
          <w:rFonts w:hint="default"/>
          <w:color w:val="auto"/>
          <w:u w:val="none" w:color="auto"/>
          <w:lang w:eastAsia="zh-CN"/>
        </w:rPr>
        <w:t>⑤对事故后果进行评估，并制定防止类似事件发生的措施；</w:t>
      </w:r>
    </w:p>
    <w:p w14:paraId="0E18994E">
      <w:pPr>
        <w:pStyle w:val="21"/>
        <w:bidi w:val="0"/>
        <w:rPr>
          <w:rFonts w:hint="default"/>
          <w:color w:val="auto"/>
          <w:u w:val="none" w:color="auto"/>
          <w:lang w:eastAsia="zh-CN"/>
        </w:rPr>
      </w:pPr>
      <w:r>
        <w:rPr>
          <w:rFonts w:hint="default"/>
          <w:color w:val="auto"/>
          <w:u w:val="none" w:color="auto"/>
          <w:lang w:eastAsia="zh-CN"/>
        </w:rPr>
        <w:t>⑥如果</w:t>
      </w:r>
      <w:r>
        <w:rPr>
          <w:rFonts w:hint="default"/>
          <w:color w:val="auto"/>
          <w:u w:val="none" w:color="auto"/>
          <w:lang w:val="en-US" w:eastAsia="zh-CN"/>
        </w:rPr>
        <w:t>厂区</w:t>
      </w:r>
      <w:r>
        <w:rPr>
          <w:rFonts w:hint="default"/>
          <w:color w:val="auto"/>
          <w:u w:val="none" w:color="auto"/>
          <w:lang w:eastAsia="zh-CN"/>
        </w:rPr>
        <w:t>力量无法应对污染事故，应立即请求社会应急力量协助处理。</w:t>
      </w:r>
    </w:p>
    <w:p w14:paraId="0A50ACCA">
      <w:pPr>
        <w:pStyle w:val="21"/>
        <w:bidi w:val="0"/>
        <w:rPr>
          <w:rFonts w:hint="default"/>
          <w:color w:val="auto"/>
          <w:u w:val="none" w:color="auto"/>
        </w:rPr>
      </w:pPr>
      <w:r>
        <w:rPr>
          <w:rFonts w:hint="default"/>
          <w:color w:val="auto"/>
          <w:u w:val="none" w:color="auto"/>
        </w:rPr>
        <w:t>从上述措施可以看出，项目对可能产生地下水影响的各项途径均应进行有效预防，在确保各项防渗措施得以落实，并加强维护和厂区环境管理的前提下，可有效控制厂区内的污染物下渗现象，避免污染地下水，因此</w:t>
      </w:r>
      <w:r>
        <w:rPr>
          <w:rFonts w:hint="default"/>
          <w:color w:val="auto"/>
          <w:u w:val="none" w:color="auto"/>
          <w:lang w:eastAsia="zh-CN"/>
        </w:rPr>
        <w:t>，本项目</w:t>
      </w:r>
      <w:r>
        <w:rPr>
          <w:rFonts w:hint="default"/>
          <w:color w:val="auto"/>
          <w:u w:val="none" w:color="auto"/>
        </w:rPr>
        <w:t>不会对所在地的地下水环境产生明显影响。</w:t>
      </w:r>
    </w:p>
    <w:p w14:paraId="00FF1132">
      <w:pPr>
        <w:pStyle w:val="21"/>
        <w:bidi w:val="0"/>
        <w:rPr>
          <w:rFonts w:hint="default" w:ascii="Times New Roman" w:hAnsi="Times New Roman" w:cs="Times New Roman"/>
          <w:color w:val="auto"/>
          <w:u w:val="none" w:color="auto"/>
        </w:rPr>
      </w:pPr>
      <w:r>
        <w:rPr>
          <w:rFonts w:hint="default"/>
          <w:color w:val="auto"/>
          <w:u w:val="none" w:color="auto"/>
        </w:rPr>
        <w:t>综上所述，本项目</w:t>
      </w:r>
      <w:r>
        <w:rPr>
          <w:rFonts w:hint="default"/>
          <w:color w:val="auto"/>
          <w:u w:val="none" w:color="auto"/>
          <w:lang w:eastAsia="zh-CN"/>
        </w:rPr>
        <w:t>地下水污染</w:t>
      </w:r>
      <w:r>
        <w:rPr>
          <w:rFonts w:hint="default"/>
          <w:color w:val="auto"/>
          <w:u w:val="none" w:color="auto"/>
        </w:rPr>
        <w:t>防治措施方案可行。</w:t>
      </w:r>
      <w:r>
        <w:rPr>
          <w:rFonts w:hint="default" w:ascii="Times New Roman" w:hAnsi="Times New Roman" w:cs="Times New Roman"/>
          <w:color w:val="auto"/>
          <w:u w:val="none" w:color="auto"/>
        </w:rPr>
        <w:t xml:space="preserve"> </w:t>
      </w:r>
    </w:p>
    <w:p w14:paraId="2EA07695">
      <w:pPr>
        <w:pStyle w:val="8"/>
        <w:rPr>
          <w:rFonts w:hint="default" w:ascii="Times New Roman" w:hAnsi="Times New Roman" w:cs="Times New Roman"/>
          <w:color w:val="auto"/>
          <w:u w:val="none" w:color="auto"/>
        </w:rPr>
      </w:pPr>
      <w:bookmarkStart w:id="1392" w:name="_Toc25950"/>
      <w:bookmarkStart w:id="1393" w:name="_Toc13669"/>
      <w:bookmarkStart w:id="1394" w:name="_Toc17806"/>
      <w:bookmarkStart w:id="1395" w:name="_Toc5660"/>
      <w:bookmarkStart w:id="1396" w:name="_Toc21475"/>
      <w:bookmarkStart w:id="1397" w:name="_Toc16732"/>
      <w:bookmarkStart w:id="1398" w:name="_Toc32275"/>
      <w:bookmarkStart w:id="1399" w:name="_Toc6543"/>
      <w:bookmarkStart w:id="1400" w:name="_Toc20755"/>
      <w:bookmarkStart w:id="1401" w:name="_Toc18021"/>
      <w:bookmarkStart w:id="1402" w:name="_Toc12214"/>
      <w:bookmarkStart w:id="1403" w:name="_Toc22545"/>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.4噪声治理措施及达标可行性分析</w:t>
      </w:r>
      <w:bookmarkEnd w:id="1360"/>
      <w:bookmarkEnd w:id="1361"/>
      <w:bookmarkEnd w:id="1362"/>
      <w:bookmarkEnd w:id="1363"/>
      <w:bookmarkEnd w:id="1364"/>
      <w:bookmarkEnd w:id="1365"/>
      <w:bookmarkEnd w:id="1366"/>
      <w:bookmarkEnd w:id="1392"/>
      <w:bookmarkEnd w:id="1393"/>
      <w:bookmarkEnd w:id="1394"/>
      <w:bookmarkEnd w:id="1395"/>
      <w:bookmarkEnd w:id="1396"/>
      <w:bookmarkEnd w:id="1397"/>
      <w:bookmarkEnd w:id="1398"/>
      <w:bookmarkEnd w:id="1399"/>
      <w:bookmarkEnd w:id="1400"/>
      <w:bookmarkEnd w:id="1401"/>
      <w:bookmarkEnd w:id="1402"/>
      <w:bookmarkEnd w:id="1403"/>
    </w:p>
    <w:p w14:paraId="2822C49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本项目的噪声源主要为设备运转时产生的噪声，噪声源强为</w:t>
      </w:r>
      <w:r>
        <w:rPr>
          <w:rFonts w:hint="eastAsia" w:ascii="Times New Roman" w:hAnsi="Times New Roman" w:cs="Times New Roman"/>
          <w:color w:val="auto"/>
          <w:u w:val="none" w:color="auto"/>
          <w:lang w:val="en-US" w:eastAsia="zh-CN"/>
        </w:rPr>
        <w:t>70</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85</w:t>
      </w:r>
      <w:r>
        <w:rPr>
          <w:rFonts w:hint="default" w:ascii="Times New Roman" w:hAnsi="Times New Roman" w:cs="Times New Roman"/>
          <w:color w:val="auto"/>
          <w:u w:val="none" w:color="auto"/>
        </w:rPr>
        <w:t>dBA，所有设备均按照工业设备安装的有关规范安装，采取减振隔声措施，且大多数噪声源设置在室内。对于室外噪声源等安装时尽可能的安装在远离厂界的位置，采用隔声房或隔声罩等隔声措施进行处理，以降低噪声对环境的影响，使厂界噪声达到《工业企业厂界环境噪声排放标准》（GB12348</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2008）</w:t>
      </w:r>
      <w:r>
        <w:rPr>
          <w:rFonts w:hint="eastAsia" w:cs="Times New Roman"/>
          <w:color w:val="auto"/>
          <w:u w:val="none" w:color="auto"/>
          <w:lang w:val="en-US" w:eastAsia="zh-CN"/>
        </w:rPr>
        <w:t>3</w:t>
      </w:r>
      <w:r>
        <w:rPr>
          <w:rFonts w:hint="default" w:ascii="Times New Roman" w:hAnsi="Times New Roman" w:cs="Times New Roman"/>
          <w:color w:val="auto"/>
          <w:u w:val="none" w:color="auto"/>
        </w:rPr>
        <w:t>类标准。</w:t>
      </w:r>
    </w:p>
    <w:p w14:paraId="1F9D78F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进一步防止项目生产产生的噪声对周边环境的影响，确保厂界噪声达标排放，本环评建议：（1）在设备选型时，除考虑满足生产工艺要求外，还必须考虑设备的声学特性（选用高效低噪设备），对于噪声较高的设备应与设备出售厂方协商提供配套的降噪措施。（2）将各设备均安装于生产车间内，进行墙体隔声，并且在设备安装时加减振垫。（3）应加强设备的保养和维修，使设备随时处于良好的运行状态，避免偶发强噪声产生。高噪声设备操作人员，操作时应佩戴防护头盔或耳套。（4）声屏障的存在使声波不能直达受声点，从而使受声点噪声降低。声屏障通常指墙、建筑物、土坡、树丛等。建议结合项目周边防护绿地，种植树木或加建围墙，以达到声屏障降噪的目的。</w:t>
      </w:r>
    </w:p>
    <w:p w14:paraId="6E7C71B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综上所述，在落实各项噪声污染防治措施的情况下，项目投产后对周围声环境影响较小。</w:t>
      </w:r>
    </w:p>
    <w:p w14:paraId="18D0C196">
      <w:pPr>
        <w:pStyle w:val="8"/>
        <w:rPr>
          <w:rFonts w:hint="default" w:ascii="Times New Roman" w:hAnsi="Times New Roman" w:cs="Times New Roman"/>
          <w:color w:val="auto"/>
          <w:u w:val="none" w:color="auto"/>
        </w:rPr>
      </w:pPr>
      <w:bookmarkStart w:id="1404" w:name="_Toc30653"/>
      <w:bookmarkStart w:id="1405" w:name="_Toc31391"/>
      <w:bookmarkStart w:id="1406" w:name="_Toc4500"/>
      <w:bookmarkStart w:id="1407" w:name="_Toc23612"/>
      <w:bookmarkStart w:id="1408" w:name="_Toc27059"/>
      <w:bookmarkStart w:id="1409" w:name="_Toc24945_WPSOffice_Level3"/>
      <w:bookmarkStart w:id="1410" w:name="_Toc17531"/>
      <w:bookmarkStart w:id="1411" w:name="_Toc16085"/>
      <w:bookmarkStart w:id="1412" w:name="_Toc12467"/>
      <w:bookmarkStart w:id="1413" w:name="_Toc6082"/>
      <w:bookmarkStart w:id="1414" w:name="_Toc32012"/>
      <w:bookmarkStart w:id="1415" w:name="_Toc4635"/>
      <w:bookmarkStart w:id="1416" w:name="_Toc29897"/>
      <w:bookmarkStart w:id="1417" w:name="_Toc13157"/>
      <w:bookmarkStart w:id="1418" w:name="_Toc22646"/>
      <w:bookmarkStart w:id="1419" w:name="_Toc28023"/>
      <w:bookmarkStart w:id="1420" w:name="_Toc26011"/>
      <w:bookmarkStart w:id="1421" w:name="_Toc14796_WPSOffice_Level3"/>
      <w:bookmarkStart w:id="1422" w:name="_Toc881"/>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.5固体废物治理措施及达标可行性分析</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1C97C086">
      <w:pPr>
        <w:pStyle w:val="21"/>
        <w:ind w:firstLine="480"/>
        <w:rPr>
          <w:rFonts w:hint="default" w:ascii="Times New Roman" w:hAnsi="Times New Roman" w:cs="Times New Roman"/>
          <w:color w:val="auto"/>
          <w:u w:val="none" w:color="auto"/>
        </w:rPr>
      </w:pPr>
      <w:bookmarkStart w:id="1423" w:name="_Toc25815_WPSOffice_Level3"/>
      <w:bookmarkStart w:id="1424" w:name="_Toc28872_WPSOffice_Level3"/>
      <w:bookmarkStart w:id="1425" w:name="_Toc27082"/>
      <w:bookmarkStart w:id="1426" w:name="_Toc26395"/>
      <w:bookmarkStart w:id="1427" w:name="_Toc5116"/>
      <w:bookmarkStart w:id="1428" w:name="_Toc20466"/>
      <w:bookmarkStart w:id="1429" w:name="_Toc12045"/>
      <w:bookmarkStart w:id="1430" w:name="_Toc12049"/>
      <w:r>
        <w:rPr>
          <w:rFonts w:hint="default" w:ascii="Times New Roman" w:hAnsi="Times New Roman" w:cs="Times New Roman"/>
          <w:color w:val="auto"/>
          <w:u w:val="none" w:color="auto"/>
        </w:rPr>
        <w:t>1、处置方式</w:t>
      </w:r>
      <w:bookmarkEnd w:id="1423"/>
      <w:bookmarkEnd w:id="1424"/>
    </w:p>
    <w:p w14:paraId="1B300AE3">
      <w:pPr>
        <w:pStyle w:val="21"/>
        <w:ind w:firstLine="480"/>
        <w:rPr>
          <w:rFonts w:hint="default" w:ascii="Times New Roman" w:hAnsi="Times New Roman" w:cs="Times New Roman"/>
          <w:color w:val="auto"/>
          <w:u w:val="none" w:color="auto"/>
        </w:rPr>
      </w:pPr>
      <w:bookmarkStart w:id="1431" w:name="_Toc24548_WPSOffice_Level3"/>
      <w:bookmarkStart w:id="1432" w:name="_Toc5952_WPSOffice_Level3"/>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依托已建</w:t>
      </w:r>
      <w:r>
        <w:rPr>
          <w:rFonts w:hint="default" w:ascii="Times New Roman" w:hAnsi="Times New Roman" w:cs="Times New Roman"/>
          <w:color w:val="auto"/>
          <w:u w:val="none" w:color="auto"/>
        </w:rPr>
        <w:t>一般固体废物</w:t>
      </w:r>
      <w:r>
        <w:rPr>
          <w:rFonts w:hint="default" w:ascii="Times New Roman" w:hAnsi="Times New Roman" w:cs="Times New Roman"/>
          <w:color w:val="auto"/>
          <w:u w:val="none" w:color="auto"/>
          <w:lang w:eastAsia="zh-CN"/>
        </w:rPr>
        <w:t>暂存</w:t>
      </w:r>
      <w:r>
        <w:rPr>
          <w:rFonts w:hint="eastAsia" w:ascii="Times New Roman" w:hAnsi="Times New Roman" w:cs="Times New Roman"/>
          <w:color w:val="auto"/>
          <w:u w:val="none" w:color="auto"/>
          <w:lang w:val="en-US" w:eastAsia="zh-CN"/>
        </w:rPr>
        <w:t>间与危险废物暂存间</w:t>
      </w:r>
      <w:r>
        <w:rPr>
          <w:rFonts w:hint="default" w:ascii="Times New Roman" w:hAnsi="Times New Roman" w:cs="Times New Roman"/>
          <w:color w:val="auto"/>
          <w:u w:val="none" w:color="auto"/>
        </w:rPr>
        <w:t>，一般固体废物</w:t>
      </w:r>
      <w:r>
        <w:rPr>
          <w:rFonts w:hint="eastAsia" w:ascii="Times New Roman" w:hAnsi="Times New Roman" w:cs="Times New Roman"/>
          <w:color w:val="auto"/>
          <w:u w:val="none" w:color="auto"/>
          <w:lang w:val="en-US" w:eastAsia="zh-CN"/>
        </w:rPr>
        <w:t>已</w:t>
      </w:r>
      <w:r>
        <w:rPr>
          <w:rFonts w:hint="default" w:ascii="Times New Roman" w:hAnsi="Times New Roman" w:cs="Times New Roman"/>
          <w:color w:val="auto"/>
          <w:u w:val="none" w:color="auto"/>
        </w:rPr>
        <w:t>作好防风、防雨措施，地面进行硬化处理，危险废物暂存区</w:t>
      </w:r>
      <w:r>
        <w:rPr>
          <w:rFonts w:hint="eastAsia" w:ascii="Times New Roman" w:hAnsi="Times New Roman" w:cs="Times New Roman"/>
          <w:color w:val="auto"/>
          <w:u w:val="none" w:color="auto"/>
          <w:lang w:val="en-US" w:eastAsia="zh-CN"/>
        </w:rPr>
        <w:t>已</w:t>
      </w:r>
      <w:r>
        <w:rPr>
          <w:rFonts w:hint="default" w:ascii="Times New Roman" w:hAnsi="Times New Roman" w:cs="Times New Roman"/>
          <w:color w:val="auto"/>
          <w:u w:val="none" w:color="auto"/>
        </w:rPr>
        <w:t>作好防风、防雨、防晒，防渗防漏处理。</w:t>
      </w:r>
    </w:p>
    <w:p w14:paraId="1E6DC0AD">
      <w:pPr>
        <w:pStyle w:val="21"/>
        <w:ind w:firstLine="48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除尘系统收集的粉尘</w:t>
      </w:r>
      <w:r>
        <w:rPr>
          <w:rFonts w:hint="default" w:ascii="Times New Roman" w:hAnsi="Times New Roman" w:cs="Times New Roman"/>
          <w:color w:val="auto"/>
          <w:u w:val="none" w:color="auto"/>
          <w:lang w:eastAsia="zh-CN"/>
        </w:rPr>
        <w:t>回用于生产</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一般性废包装材料</w:t>
      </w:r>
      <w:r>
        <w:rPr>
          <w:rFonts w:hint="default" w:ascii="Times New Roman" w:hAnsi="Times New Roman" w:cs="Times New Roman"/>
          <w:color w:val="auto"/>
          <w:u w:val="none" w:color="auto"/>
        </w:rPr>
        <w:t>在一般固体废物暂存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收集暂存</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定期</w:t>
      </w:r>
      <w:r>
        <w:rPr>
          <w:rFonts w:hint="eastAsia"/>
          <w:color w:val="auto"/>
          <w:u w:val="none" w:color="auto"/>
          <w:lang w:val="en-US" w:eastAsia="zh-CN"/>
        </w:rPr>
        <w:t>外售综合</w:t>
      </w:r>
      <w:r>
        <w:rPr>
          <w:rFonts w:hint="default"/>
          <w:color w:val="auto"/>
          <w:u w:val="none" w:color="auto"/>
        </w:rPr>
        <w:t>利用</w:t>
      </w:r>
      <w:r>
        <w:rPr>
          <w:rFonts w:hint="eastAsia"/>
          <w:color w:val="auto"/>
          <w:u w:val="none" w:color="auto"/>
          <w:lang w:val="en-US" w:eastAsia="zh-CN"/>
        </w:rPr>
        <w:t>或交由厂家回收；</w:t>
      </w:r>
      <w:r>
        <w:rPr>
          <w:rFonts w:hint="eastAsia" w:ascii="Times New Roman" w:hAnsi="Times New Roman" w:cs="Times New Roman"/>
          <w:color w:val="auto"/>
          <w:u w:val="none" w:color="auto"/>
          <w:lang w:val="en-US" w:eastAsia="zh-CN"/>
        </w:rPr>
        <w:t>不合格品在不合格品区收集暂存</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定期</w:t>
      </w:r>
      <w:r>
        <w:rPr>
          <w:rFonts w:hint="eastAsia"/>
          <w:color w:val="auto"/>
          <w:u w:val="none" w:color="auto"/>
          <w:lang w:val="en-US" w:eastAsia="zh-CN"/>
        </w:rPr>
        <w:t>外售综合</w:t>
      </w:r>
      <w:r>
        <w:rPr>
          <w:rFonts w:hint="default"/>
          <w:color w:val="auto"/>
          <w:u w:val="none" w:color="auto"/>
        </w:rPr>
        <w:t>利用</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项目一般固体废物的暂存需按照</w:t>
      </w:r>
      <w:r>
        <w:rPr>
          <w:rFonts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的相关要求管理规范暂存库，通过加强管理，不与危险废物和生活垃圾相混。</w:t>
      </w:r>
      <w:r>
        <w:rPr>
          <w:color w:val="auto"/>
          <w:sz w:val="24"/>
          <w:highlight w:val="none"/>
          <w:u w:val="none" w:color="auto"/>
        </w:rPr>
        <w:t>一般固废</w:t>
      </w:r>
      <w:r>
        <w:rPr>
          <w:rFonts w:hint="eastAsia"/>
          <w:color w:val="auto"/>
          <w:sz w:val="24"/>
          <w:highlight w:val="none"/>
          <w:u w:val="none" w:color="auto"/>
        </w:rPr>
        <w:t>暂存</w:t>
      </w:r>
      <w:r>
        <w:rPr>
          <w:color w:val="auto"/>
          <w:sz w:val="24"/>
          <w:highlight w:val="none"/>
          <w:u w:val="none" w:color="auto"/>
        </w:rPr>
        <w:t>间</w:t>
      </w:r>
      <w:r>
        <w:rPr>
          <w:rFonts w:hint="eastAsia"/>
          <w:color w:val="auto"/>
          <w:sz w:val="24"/>
          <w:highlight w:val="none"/>
          <w:u w:val="none" w:color="auto"/>
        </w:rPr>
        <w:t>位于</w:t>
      </w:r>
      <w:r>
        <w:rPr>
          <w:rFonts w:hint="eastAsia"/>
          <w:color w:val="auto"/>
          <w:sz w:val="24"/>
          <w:highlight w:val="none"/>
          <w:u w:val="none" w:color="auto"/>
          <w:lang w:val="en-US" w:eastAsia="zh-CN"/>
        </w:rPr>
        <w:t>建设单位现有租赁湖南省虹宇碳素新材料有限公司2#生产车间</w:t>
      </w:r>
      <w:r>
        <w:rPr>
          <w:rFonts w:hint="eastAsia"/>
          <w:color w:val="auto"/>
          <w:sz w:val="24"/>
          <w:highlight w:val="none"/>
          <w:u w:val="none" w:color="auto"/>
        </w:rPr>
        <w:t>，</w:t>
      </w:r>
      <w:r>
        <w:rPr>
          <w:color w:val="auto"/>
          <w:sz w:val="24"/>
          <w:highlight w:val="none"/>
          <w:u w:val="none" w:color="auto"/>
        </w:rPr>
        <w:t>占地面积</w:t>
      </w:r>
      <w:r>
        <w:rPr>
          <w:rFonts w:hint="eastAsia"/>
          <w:color w:val="auto"/>
          <w:sz w:val="24"/>
          <w:highlight w:val="none"/>
          <w:u w:val="none" w:color="auto"/>
          <w:lang w:val="en-US" w:eastAsia="zh-CN"/>
        </w:rPr>
        <w:t>30</w:t>
      </w:r>
      <w:r>
        <w:rPr>
          <w:rFonts w:hint="eastAsia"/>
          <w:color w:val="auto"/>
          <w:sz w:val="24"/>
          <w:highlight w:val="none"/>
          <w:u w:val="none" w:color="auto"/>
        </w:rPr>
        <w:t>m</w:t>
      </w:r>
      <w:r>
        <w:rPr>
          <w:color w:val="auto"/>
          <w:sz w:val="24"/>
          <w:highlight w:val="none"/>
          <w:u w:val="none" w:color="auto"/>
          <w:vertAlign w:val="superscript"/>
        </w:rPr>
        <w:t>2</w:t>
      </w:r>
      <w:r>
        <w:rPr>
          <w:rFonts w:hint="eastAsia"/>
          <w:color w:val="auto"/>
          <w:sz w:val="24"/>
          <w:highlight w:val="none"/>
          <w:u w:val="none" w:color="auto"/>
          <w:lang w:eastAsia="zh-CN"/>
        </w:rPr>
        <w:t>。</w:t>
      </w:r>
    </w:p>
    <w:p w14:paraId="5504679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r>
        <w:rPr>
          <w:rFonts w:hint="default" w:ascii="Times New Roman" w:hAnsi="Times New Roman" w:cs="Times New Roman"/>
          <w:color w:val="auto"/>
          <w:u w:val="none" w:color="auto"/>
          <w:lang w:eastAsia="zh-CN"/>
        </w:rPr>
        <w:t>废活性炭、</w:t>
      </w:r>
      <w:r>
        <w:rPr>
          <w:rFonts w:hint="eastAsia" w:ascii="Times New Roman" w:hAnsi="Times New Roman" w:cs="Times New Roman"/>
          <w:color w:val="auto"/>
          <w:u w:val="none" w:color="auto"/>
          <w:lang w:val="en-US" w:eastAsia="zh-CN"/>
        </w:rPr>
        <w:t>废矿物油、废液压油、废含油抹布及手套</w:t>
      </w:r>
      <w:r>
        <w:rPr>
          <w:rFonts w:hint="default" w:ascii="Times New Roman" w:hAnsi="Times New Roman" w:cs="Times New Roman"/>
          <w:color w:val="auto"/>
          <w:u w:val="none" w:color="auto"/>
        </w:rPr>
        <w:t>等属于危险废物</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eastAsia="zh-CN"/>
        </w:rPr>
        <w:t>定期交由有资质的单位处置。</w:t>
      </w:r>
      <w:r>
        <w:rPr>
          <w:rFonts w:hint="default" w:ascii="Times New Roman" w:hAnsi="Times New Roman" w:cs="Times New Roman"/>
          <w:color w:val="auto"/>
          <w:u w:val="none" w:color="auto"/>
        </w:rPr>
        <w:t>危险废物储存、运输、处置必须严格按《中华人民共和国固体废物污染环境防治法》、国家环保总局《关于发布〈危险废物污染防治技术政策〉的通知》[环发2001（199）号]及《危险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同时应严格履行国家与地方政府关于危险废物转移的规定，危险废物送至具有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14:paraId="21EBA06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生活垃圾：本项目职工办公、生活产生的垃圾属于生活垃圾，建设单位在厂内设立垃圾收集箱，由环卫部门集中收集处理，对环境的影响很小。</w:t>
      </w:r>
    </w:p>
    <w:p w14:paraId="3462D02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2、暂存措施</w:t>
      </w:r>
      <w:bookmarkEnd w:id="1431"/>
      <w:bookmarkEnd w:id="1432"/>
    </w:p>
    <w:p w14:paraId="3411BCA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依托已建</w:t>
      </w:r>
      <w:r>
        <w:rPr>
          <w:rFonts w:hint="default" w:ascii="Times New Roman" w:hAnsi="Times New Roman" w:cs="Times New Roman"/>
          <w:color w:val="auto"/>
          <w:u w:val="none" w:color="auto"/>
        </w:rPr>
        <w:t>一般固体废物</w:t>
      </w:r>
      <w:r>
        <w:rPr>
          <w:rFonts w:hint="default" w:ascii="Times New Roman" w:hAnsi="Times New Roman" w:cs="Times New Roman"/>
          <w:color w:val="auto"/>
          <w:u w:val="none" w:color="auto"/>
          <w:lang w:eastAsia="zh-CN"/>
        </w:rPr>
        <w:t>暂存区</w:t>
      </w:r>
      <w:r>
        <w:rPr>
          <w:rFonts w:hint="eastAsia" w:ascii="Times New Roman" w:hAnsi="Times New Roman" w:cs="Times New Roman"/>
          <w:color w:val="auto"/>
          <w:u w:val="none" w:color="auto"/>
          <w:lang w:val="en-US" w:eastAsia="zh-CN"/>
        </w:rPr>
        <w:t>与危险废物暂存间</w:t>
      </w:r>
      <w:r>
        <w:rPr>
          <w:rFonts w:hint="default" w:ascii="Times New Roman" w:hAnsi="Times New Roman" w:cs="Times New Roman"/>
          <w:color w:val="auto"/>
          <w:u w:val="none" w:color="auto"/>
        </w:rPr>
        <w:t>，危险废物处置应严格按照以下规定及相关要求管理：</w:t>
      </w:r>
    </w:p>
    <w:p w14:paraId="14E4B3D1">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中华人民共和国固体废物污染环境防治法（修订）》规定：对危险废物的容器和包装物以及收集、贮存、运输、处置危险废物的设施、场所、必须设置危险废物识别标志。厂内危险废物临时堆存应采取相应污染控制措施防止对环境产生影响；</w:t>
      </w:r>
    </w:p>
    <w:p w14:paraId="7D31933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必须按照国家有关规定制定危险废物管理计划：</w:t>
      </w:r>
    </w:p>
    <w:p w14:paraId="1B87AC64">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必须按照国家有关规定处置危险废物，不得擅自倾倒、堆放：</w:t>
      </w:r>
    </w:p>
    <w:p w14:paraId="39EE071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事收集、贮存、处置危险废物经营活动的单位，必须向县级以上人民政府环境保护行政主管部门申请领取经营许可证；禁止将危险废物提供或者委托给无经营许可证的单位从事收集、贮存、利用、处置的经营活动。</w:t>
      </w:r>
    </w:p>
    <w:p w14:paraId="63AB037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转移危险废物的，须按照国家有关规定填写危险废物转移联单，并向危险废物移出地的市级以上地方人民政府环境保护行政主管部门提出申请。运输危险废物，必须采取防止污染环境的措施，并遵守国家有关危险货物运输管理的规定。</w:t>
      </w:r>
    </w:p>
    <w:p w14:paraId="2449349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收集、贮存、运输、处置危险废物的场所，设施、设备和容器，包装物及其他物品转作他用时，必须经过消除污染的处理．方可使用。</w:t>
      </w:r>
    </w:p>
    <w:p w14:paraId="1A6716A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产生、收集、贮存、运输、利用、处置危险废物的单位、应当制定意外事故的防范措施和应急预案，并向所在地县级以上地方人民政府环境保护行政主管部门备案，环境保护行政主管部门应当进行检查。</w:t>
      </w:r>
    </w:p>
    <w:p w14:paraId="01BE8CEE">
      <w:pPr>
        <w:pStyle w:val="21"/>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综上所述，本项目产生的各种固体废物均能得到妥善处置，对周围环境的影响较小。建设方应严格按照《危险废物贮存污染控制标准（GB18597-20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要求</w:t>
      </w:r>
      <w:r>
        <w:rPr>
          <w:rFonts w:hint="default" w:ascii="Times New Roman" w:hAnsi="Times New Roman" w:cs="Times New Roman"/>
          <w:color w:val="auto"/>
          <w:u w:val="none" w:color="auto"/>
        </w:rPr>
        <w:t>建设危险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暂存间</w:t>
      </w:r>
      <w:r>
        <w:rPr>
          <w:rFonts w:hint="default" w:ascii="Times New Roman" w:hAnsi="Times New Roman" w:cs="Times New Roman"/>
          <w:color w:val="auto"/>
          <w:u w:val="none" w:color="auto"/>
          <w:lang w:eastAsia="zh-CN"/>
        </w:rPr>
        <w:t>：</w:t>
      </w:r>
    </w:p>
    <w:p w14:paraId="14A66FE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a．</w:t>
      </w:r>
      <w:r>
        <w:rPr>
          <w:rFonts w:hint="eastAsia" w:ascii="Times New Roman" w:hAnsi="Times New Roman" w:cs="Times New Roman"/>
          <w:color w:val="auto"/>
          <w:u w:val="none" w:color="auto"/>
          <w:lang w:val="en-US" w:eastAsia="zh-CN"/>
        </w:rPr>
        <w:t>贮存设施或贮存分区内地面、墙面群脚、堵截泄漏的围堰、接触危险废物的隔板和墙体等应采用坚固的材料建造，表面无裂缝</w:t>
      </w:r>
      <w:r>
        <w:rPr>
          <w:rFonts w:hint="default" w:ascii="Times New Roman" w:hAnsi="Times New Roman" w:cs="Times New Roman"/>
          <w:color w:val="auto"/>
          <w:u w:val="none" w:color="auto"/>
        </w:rPr>
        <w:t>。</w:t>
      </w:r>
    </w:p>
    <w:p w14:paraId="767FD03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b．</w:t>
      </w:r>
      <w:r>
        <w:rPr>
          <w:rFonts w:hint="eastAsia" w:ascii="Times New Roman" w:hAnsi="Times New Roman" w:cs="Times New Roman"/>
          <w:color w:val="auto"/>
          <w:u w:val="none" w:color="auto"/>
          <w:lang w:val="en-US" w:eastAsia="zh-CN"/>
        </w:rPr>
        <w:t>贮存设施地面与群脚应采取表面防渗措施</w:t>
      </w:r>
      <w:r>
        <w:rPr>
          <w:rFonts w:hint="default" w:ascii="Times New Roman" w:hAnsi="Times New Roman" w:cs="Times New Roman"/>
          <w:color w:val="auto"/>
          <w:u w:val="none" w:color="auto"/>
        </w:rPr>
        <w:t>。</w:t>
      </w:r>
    </w:p>
    <w:p w14:paraId="5E6131B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c．</w:t>
      </w:r>
      <w:r>
        <w:rPr>
          <w:rFonts w:hint="eastAsia" w:ascii="Times New Roman" w:hAnsi="Times New Roman" w:cs="Times New Roman"/>
          <w:color w:val="auto"/>
          <w:u w:val="none" w:color="auto"/>
          <w:lang w:val="en-US" w:eastAsia="zh-CN"/>
        </w:rPr>
        <w:t>同一贮存设施采用相同的防渗、防腐工艺；采用不同防渗、防腐工艺应分别建设贮存分区</w:t>
      </w:r>
      <w:r>
        <w:rPr>
          <w:rFonts w:hint="default" w:ascii="Times New Roman" w:hAnsi="Times New Roman" w:cs="Times New Roman"/>
          <w:color w:val="auto"/>
          <w:u w:val="none" w:color="auto"/>
        </w:rPr>
        <w:t>。</w:t>
      </w:r>
    </w:p>
    <w:p w14:paraId="674A6424">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f</w:t>
      </w:r>
      <w:r>
        <w:rPr>
          <w:rFonts w:hint="default" w:ascii="Times New Roman" w:hAnsi="Times New Roman" w:cs="Times New Roman"/>
          <w:color w:val="auto"/>
          <w:u w:val="none" w:color="auto"/>
        </w:rPr>
        <w:t>．应配备通讯设备、照明设施、安全防护服装，并设有报警装置和应急防护设施。</w:t>
      </w:r>
    </w:p>
    <w:p w14:paraId="3C6FAB6F">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.2-</w:t>
      </w:r>
      <w:r>
        <w:rPr>
          <w:rFonts w:hint="eastAsia"/>
          <w:color w:val="auto"/>
          <w:u w:val="none" w:color="auto"/>
          <w:lang w:val="en-US" w:eastAsia="zh-CN"/>
        </w:rPr>
        <w:t>3</w:t>
      </w:r>
      <w:r>
        <w:rPr>
          <w:rFonts w:hint="default"/>
          <w:color w:val="auto"/>
          <w:u w:val="none" w:color="auto"/>
        </w:rPr>
        <w:t xml:space="preserve"> 建设项目危险废物贮存场所（设施）基本情况表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56"/>
        <w:gridCol w:w="819"/>
        <w:gridCol w:w="819"/>
        <w:gridCol w:w="762"/>
        <w:gridCol w:w="861"/>
        <w:gridCol w:w="479"/>
        <w:gridCol w:w="833"/>
        <w:gridCol w:w="663"/>
        <w:gridCol w:w="650"/>
        <w:gridCol w:w="1058"/>
      </w:tblGrid>
      <w:tr w14:paraId="1A4A7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6A2593F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1156" w:type="dxa"/>
            <w:tcBorders>
              <w:tl2br w:val="nil"/>
              <w:tr2bl w:val="nil"/>
            </w:tcBorders>
            <w:noWrap w:val="0"/>
            <w:vAlign w:val="center"/>
          </w:tcPr>
          <w:p w14:paraId="3F81972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危险废物</w:t>
            </w:r>
            <w:r>
              <w:rPr>
                <w:rFonts w:hint="default" w:ascii="Times New Roman" w:hAnsi="Times New Roman" w:eastAsia="宋体" w:cs="Times New Roman"/>
                <w:b/>
                <w:bCs/>
                <w:color w:val="auto"/>
                <w:sz w:val="21"/>
                <w:szCs w:val="21"/>
                <w:u w:val="none" w:color="auto"/>
              </w:rPr>
              <w:t>名称</w:t>
            </w:r>
          </w:p>
        </w:tc>
        <w:tc>
          <w:tcPr>
            <w:tcW w:w="819" w:type="dxa"/>
            <w:tcBorders>
              <w:tl2br w:val="nil"/>
              <w:tr2bl w:val="nil"/>
            </w:tcBorders>
            <w:noWrap w:val="0"/>
            <w:vAlign w:val="center"/>
          </w:tcPr>
          <w:p w14:paraId="63C2553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危险废物类别</w:t>
            </w:r>
          </w:p>
        </w:tc>
        <w:tc>
          <w:tcPr>
            <w:tcW w:w="819" w:type="dxa"/>
            <w:tcBorders>
              <w:tl2br w:val="nil"/>
              <w:tr2bl w:val="nil"/>
            </w:tcBorders>
            <w:noWrap w:val="0"/>
            <w:vAlign w:val="center"/>
          </w:tcPr>
          <w:p w14:paraId="379C1E1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危险废物代码</w:t>
            </w:r>
          </w:p>
        </w:tc>
        <w:tc>
          <w:tcPr>
            <w:tcW w:w="762" w:type="dxa"/>
            <w:tcBorders>
              <w:tl2br w:val="nil"/>
              <w:tr2bl w:val="nil"/>
            </w:tcBorders>
            <w:noWrap w:val="0"/>
            <w:vAlign w:val="center"/>
          </w:tcPr>
          <w:p w14:paraId="7C517BE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w:t>
            </w:r>
            <w:r>
              <w:rPr>
                <w:rFonts w:hint="default" w:ascii="Times New Roman" w:hAnsi="Times New Roman" w:eastAsia="宋体" w:cs="Times New Roman"/>
                <w:b/>
                <w:bCs/>
                <w:color w:val="auto"/>
                <w:sz w:val="21"/>
                <w:szCs w:val="21"/>
                <w:u w:val="none" w:color="auto"/>
              </w:rPr>
              <w:t>量(t/a)</w:t>
            </w:r>
          </w:p>
        </w:tc>
        <w:tc>
          <w:tcPr>
            <w:tcW w:w="861" w:type="dxa"/>
            <w:tcBorders>
              <w:tl2br w:val="nil"/>
              <w:tr2bl w:val="nil"/>
            </w:tcBorders>
            <w:noWrap w:val="0"/>
            <w:vAlign w:val="center"/>
          </w:tcPr>
          <w:p w14:paraId="46E6727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产生来源</w:t>
            </w:r>
          </w:p>
        </w:tc>
        <w:tc>
          <w:tcPr>
            <w:tcW w:w="479" w:type="dxa"/>
            <w:tcBorders>
              <w:tl2br w:val="nil"/>
              <w:tr2bl w:val="nil"/>
            </w:tcBorders>
            <w:noWrap w:val="0"/>
            <w:vAlign w:val="center"/>
          </w:tcPr>
          <w:p w14:paraId="7FAF143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形态</w:t>
            </w:r>
          </w:p>
        </w:tc>
        <w:tc>
          <w:tcPr>
            <w:tcW w:w="833" w:type="dxa"/>
            <w:tcBorders>
              <w:tl2br w:val="nil"/>
              <w:tr2bl w:val="nil"/>
            </w:tcBorders>
            <w:noWrap w:val="0"/>
            <w:vAlign w:val="center"/>
          </w:tcPr>
          <w:p w14:paraId="4BD53AF0">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主要</w:t>
            </w:r>
            <w:r>
              <w:rPr>
                <w:rFonts w:hint="default" w:ascii="Times New Roman" w:hAnsi="Times New Roman" w:eastAsia="宋体" w:cs="Times New Roman"/>
                <w:b/>
                <w:bCs/>
                <w:color w:val="auto"/>
                <w:sz w:val="21"/>
                <w:szCs w:val="21"/>
                <w:u w:val="none" w:color="auto"/>
                <w:lang w:eastAsia="zh-CN"/>
              </w:rPr>
              <w:t>有害</w:t>
            </w:r>
            <w:r>
              <w:rPr>
                <w:rFonts w:hint="default" w:ascii="Times New Roman" w:hAnsi="Times New Roman" w:eastAsia="宋体" w:cs="Times New Roman"/>
                <w:b/>
                <w:bCs/>
                <w:color w:val="auto"/>
                <w:sz w:val="21"/>
                <w:szCs w:val="21"/>
                <w:u w:val="none" w:color="auto"/>
              </w:rPr>
              <w:t>成分</w:t>
            </w:r>
          </w:p>
        </w:tc>
        <w:tc>
          <w:tcPr>
            <w:tcW w:w="663" w:type="dxa"/>
            <w:tcBorders>
              <w:tl2br w:val="nil"/>
              <w:tr2bl w:val="nil"/>
            </w:tcBorders>
            <w:noWrap w:val="0"/>
            <w:vAlign w:val="center"/>
          </w:tcPr>
          <w:p w14:paraId="3A649BFE">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产废周期</w:t>
            </w:r>
          </w:p>
        </w:tc>
        <w:tc>
          <w:tcPr>
            <w:tcW w:w="650" w:type="dxa"/>
            <w:tcBorders>
              <w:tl2br w:val="nil"/>
              <w:tr2bl w:val="nil"/>
            </w:tcBorders>
            <w:noWrap w:val="0"/>
            <w:vAlign w:val="center"/>
          </w:tcPr>
          <w:p w14:paraId="6C94075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危险特性</w:t>
            </w:r>
          </w:p>
        </w:tc>
        <w:tc>
          <w:tcPr>
            <w:tcW w:w="1058" w:type="dxa"/>
            <w:tcBorders>
              <w:tl2br w:val="nil"/>
              <w:tr2bl w:val="nil"/>
            </w:tcBorders>
            <w:noWrap w:val="0"/>
            <w:vAlign w:val="center"/>
          </w:tcPr>
          <w:p w14:paraId="3E3B5B8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污染防治措施</w:t>
            </w:r>
          </w:p>
        </w:tc>
      </w:tr>
      <w:tr w14:paraId="2ACA3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5A24B15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156" w:type="dxa"/>
            <w:tcBorders>
              <w:tl2br w:val="nil"/>
              <w:tr2bl w:val="nil"/>
            </w:tcBorders>
            <w:noWrap w:val="0"/>
            <w:vAlign w:val="center"/>
          </w:tcPr>
          <w:p w14:paraId="40859DD0">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废矿物油</w:t>
            </w:r>
          </w:p>
        </w:tc>
        <w:tc>
          <w:tcPr>
            <w:tcW w:w="819" w:type="dxa"/>
            <w:tcBorders>
              <w:tl2br w:val="nil"/>
              <w:tr2bl w:val="nil"/>
            </w:tcBorders>
            <w:noWrap w:val="0"/>
            <w:vAlign w:val="center"/>
          </w:tcPr>
          <w:p w14:paraId="59A0625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7AF84BB3">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eastAsia="zh-CN"/>
              </w:rPr>
              <w:t>900-</w:t>
            </w:r>
            <w:r>
              <w:rPr>
                <w:rFonts w:hint="default" w:ascii="Times New Roman" w:hAnsi="Times New Roman" w:eastAsia="宋体" w:cs="Times New Roman"/>
                <w:color w:val="auto"/>
                <w:sz w:val="21"/>
                <w:szCs w:val="21"/>
                <w:u w:val="none" w:color="auto"/>
                <w:lang w:val="en-US" w:eastAsia="zh-CN"/>
              </w:rPr>
              <w:t>214-08</w:t>
            </w:r>
          </w:p>
        </w:tc>
        <w:tc>
          <w:tcPr>
            <w:tcW w:w="762" w:type="dxa"/>
            <w:tcBorders>
              <w:tl2br w:val="nil"/>
              <w:tr2bl w:val="nil"/>
            </w:tcBorders>
            <w:noWrap w:val="0"/>
            <w:vAlign w:val="center"/>
          </w:tcPr>
          <w:p w14:paraId="06A7E15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0.1</w:t>
            </w:r>
          </w:p>
        </w:tc>
        <w:tc>
          <w:tcPr>
            <w:tcW w:w="861" w:type="dxa"/>
            <w:tcBorders>
              <w:tl2br w:val="nil"/>
              <w:tr2bl w:val="nil"/>
            </w:tcBorders>
            <w:noWrap w:val="0"/>
            <w:vAlign w:val="center"/>
          </w:tcPr>
          <w:p w14:paraId="4A1E0034">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0199A9A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1E8C8BD9">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2D2D44A4">
            <w:pPr>
              <w:pStyle w:val="2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21E87D7B">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restart"/>
            <w:tcBorders>
              <w:tl2br w:val="nil"/>
              <w:tr2bl w:val="nil"/>
            </w:tcBorders>
            <w:noWrap w:val="0"/>
            <w:vAlign w:val="center"/>
          </w:tcPr>
          <w:p w14:paraId="6CA6BB5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暂存于危废暂存间、定期交由有资质单位处置</w:t>
            </w:r>
          </w:p>
        </w:tc>
      </w:tr>
      <w:tr w14:paraId="0E69E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3CC061B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156" w:type="dxa"/>
            <w:tcBorders>
              <w:tl2br w:val="nil"/>
              <w:tr2bl w:val="nil"/>
            </w:tcBorders>
            <w:noWrap w:val="0"/>
            <w:vAlign w:val="center"/>
          </w:tcPr>
          <w:p w14:paraId="0D77CE7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废液压油</w:t>
            </w:r>
          </w:p>
        </w:tc>
        <w:tc>
          <w:tcPr>
            <w:tcW w:w="819" w:type="dxa"/>
            <w:tcBorders>
              <w:tl2br w:val="nil"/>
              <w:tr2bl w:val="nil"/>
            </w:tcBorders>
            <w:noWrap w:val="0"/>
            <w:vAlign w:val="center"/>
          </w:tcPr>
          <w:p w14:paraId="13C6D5B0">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39551B8D">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900-218-08</w:t>
            </w:r>
          </w:p>
        </w:tc>
        <w:tc>
          <w:tcPr>
            <w:tcW w:w="762" w:type="dxa"/>
            <w:tcBorders>
              <w:tl2br w:val="nil"/>
              <w:tr2bl w:val="nil"/>
            </w:tcBorders>
            <w:noWrap w:val="0"/>
            <w:vAlign w:val="center"/>
          </w:tcPr>
          <w:p w14:paraId="370C7AA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0.4</w:t>
            </w:r>
          </w:p>
        </w:tc>
        <w:tc>
          <w:tcPr>
            <w:tcW w:w="861" w:type="dxa"/>
            <w:tcBorders>
              <w:tl2br w:val="nil"/>
              <w:tr2bl w:val="nil"/>
            </w:tcBorders>
            <w:noWrap w:val="0"/>
            <w:vAlign w:val="center"/>
          </w:tcPr>
          <w:p w14:paraId="533D2477">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35F4EDD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51D77854">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0C936D5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0BA9BD6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7B2DAF0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7114E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5443B5A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1156" w:type="dxa"/>
            <w:tcBorders>
              <w:tl2br w:val="nil"/>
              <w:tr2bl w:val="nil"/>
            </w:tcBorders>
            <w:noWrap w:val="0"/>
            <w:vAlign w:val="center"/>
          </w:tcPr>
          <w:p w14:paraId="77403A5D">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废导热油</w:t>
            </w:r>
          </w:p>
        </w:tc>
        <w:tc>
          <w:tcPr>
            <w:tcW w:w="819" w:type="dxa"/>
            <w:tcBorders>
              <w:tl2br w:val="nil"/>
              <w:tr2bl w:val="nil"/>
            </w:tcBorders>
            <w:noWrap w:val="0"/>
            <w:vAlign w:val="center"/>
          </w:tcPr>
          <w:p w14:paraId="4CFE6EE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3C160AB4">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bidi="ar-SA"/>
              </w:rPr>
            </w:pPr>
            <w:r>
              <w:rPr>
                <w:rFonts w:hint="eastAsia" w:ascii="Times New Roman" w:hAnsi="Times New Roman" w:eastAsia="宋体" w:cs="Times New Roman"/>
                <w:color w:val="auto"/>
                <w:kern w:val="0"/>
                <w:sz w:val="21"/>
                <w:szCs w:val="21"/>
                <w:u w:val="none" w:color="auto"/>
                <w:vertAlign w:val="baseline"/>
                <w:lang w:val="en-US" w:eastAsia="zh-CN" w:bidi="ar-SA"/>
              </w:rPr>
              <w:t>900-218-08</w:t>
            </w:r>
          </w:p>
        </w:tc>
        <w:tc>
          <w:tcPr>
            <w:tcW w:w="762" w:type="dxa"/>
            <w:tcBorders>
              <w:tl2br w:val="nil"/>
              <w:tr2bl w:val="nil"/>
            </w:tcBorders>
            <w:noWrap w:val="0"/>
            <w:vAlign w:val="center"/>
          </w:tcPr>
          <w:p w14:paraId="6E1EB6BC">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0.5</w:t>
            </w:r>
          </w:p>
        </w:tc>
        <w:tc>
          <w:tcPr>
            <w:tcW w:w="861" w:type="dxa"/>
            <w:tcBorders>
              <w:tl2br w:val="nil"/>
              <w:tr2bl w:val="nil"/>
            </w:tcBorders>
            <w:noWrap w:val="0"/>
            <w:vAlign w:val="center"/>
          </w:tcPr>
          <w:p w14:paraId="30C4EF95">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59EAFB9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08997186">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359E957C">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28D385C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07455F80">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5CC4B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17904005">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1156" w:type="dxa"/>
            <w:tcBorders>
              <w:tl2br w:val="nil"/>
              <w:tr2bl w:val="nil"/>
            </w:tcBorders>
            <w:noWrap w:val="0"/>
            <w:vAlign w:val="center"/>
          </w:tcPr>
          <w:p w14:paraId="7333172F">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废含油抹布及手套</w:t>
            </w:r>
          </w:p>
        </w:tc>
        <w:tc>
          <w:tcPr>
            <w:tcW w:w="819" w:type="dxa"/>
            <w:tcBorders>
              <w:tl2br w:val="nil"/>
              <w:tr2bl w:val="nil"/>
            </w:tcBorders>
            <w:noWrap w:val="0"/>
            <w:vAlign w:val="center"/>
          </w:tcPr>
          <w:p w14:paraId="3942778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HW</w:t>
            </w:r>
            <w:r>
              <w:rPr>
                <w:rFonts w:hint="eastAsia" w:ascii="Times New Roman" w:hAnsi="Times New Roman" w:eastAsia="宋体" w:cs="Times New Roman"/>
                <w:color w:val="auto"/>
                <w:sz w:val="21"/>
                <w:szCs w:val="21"/>
                <w:u w:val="none" w:color="auto"/>
                <w:lang w:val="en-US" w:eastAsia="zh-CN"/>
              </w:rPr>
              <w:t>49</w:t>
            </w:r>
          </w:p>
        </w:tc>
        <w:tc>
          <w:tcPr>
            <w:tcW w:w="819" w:type="dxa"/>
            <w:tcBorders>
              <w:tl2br w:val="nil"/>
              <w:tr2bl w:val="nil"/>
            </w:tcBorders>
            <w:noWrap w:val="0"/>
            <w:vAlign w:val="center"/>
          </w:tcPr>
          <w:p w14:paraId="5E187BD2">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900-041-49</w:t>
            </w:r>
          </w:p>
        </w:tc>
        <w:tc>
          <w:tcPr>
            <w:tcW w:w="762" w:type="dxa"/>
            <w:tcBorders>
              <w:tl2br w:val="nil"/>
              <w:tr2bl w:val="nil"/>
            </w:tcBorders>
            <w:noWrap w:val="0"/>
            <w:vAlign w:val="center"/>
          </w:tcPr>
          <w:p w14:paraId="5D3EA693">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0.01</w:t>
            </w:r>
          </w:p>
        </w:tc>
        <w:tc>
          <w:tcPr>
            <w:tcW w:w="861" w:type="dxa"/>
            <w:tcBorders>
              <w:tl2br w:val="nil"/>
              <w:tr2bl w:val="nil"/>
            </w:tcBorders>
            <w:noWrap w:val="0"/>
            <w:vAlign w:val="center"/>
          </w:tcPr>
          <w:p w14:paraId="685C39E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47DD4F13">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4B5A48E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45669982">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4F44DB4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11954CA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65569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6576ED5A">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1156" w:type="dxa"/>
            <w:tcBorders>
              <w:tl2br w:val="nil"/>
              <w:tr2bl w:val="nil"/>
            </w:tcBorders>
            <w:noWrap w:val="0"/>
            <w:vAlign w:val="center"/>
          </w:tcPr>
          <w:p w14:paraId="64A395F4">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废油桶</w:t>
            </w:r>
          </w:p>
        </w:tc>
        <w:tc>
          <w:tcPr>
            <w:tcW w:w="819" w:type="dxa"/>
            <w:tcBorders>
              <w:tl2br w:val="nil"/>
              <w:tr2bl w:val="nil"/>
            </w:tcBorders>
            <w:noWrap w:val="0"/>
            <w:vAlign w:val="center"/>
          </w:tcPr>
          <w:p w14:paraId="4A9BFCB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5D1C47FF">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900-249-08</w:t>
            </w:r>
          </w:p>
        </w:tc>
        <w:tc>
          <w:tcPr>
            <w:tcW w:w="762" w:type="dxa"/>
            <w:tcBorders>
              <w:tl2br w:val="nil"/>
              <w:tr2bl w:val="nil"/>
            </w:tcBorders>
            <w:noWrap w:val="0"/>
            <w:vAlign w:val="center"/>
          </w:tcPr>
          <w:p w14:paraId="23AAE0AA">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0.1</w:t>
            </w:r>
          </w:p>
        </w:tc>
        <w:tc>
          <w:tcPr>
            <w:tcW w:w="861" w:type="dxa"/>
            <w:tcBorders>
              <w:tl2br w:val="nil"/>
              <w:tr2bl w:val="nil"/>
            </w:tcBorders>
            <w:noWrap w:val="0"/>
            <w:vAlign w:val="center"/>
          </w:tcPr>
          <w:p w14:paraId="685FC1E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5B51B92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2D735C1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4CFDC784">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50" w:type="dxa"/>
            <w:tcBorders>
              <w:tl2br w:val="nil"/>
              <w:tr2bl w:val="nil"/>
            </w:tcBorders>
            <w:noWrap w:val="0"/>
            <w:vAlign w:val="center"/>
          </w:tcPr>
          <w:p w14:paraId="05D7E84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2FEEA340">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7B988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7966B0D6">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1156" w:type="dxa"/>
            <w:tcBorders>
              <w:tl2br w:val="nil"/>
              <w:tr2bl w:val="nil"/>
            </w:tcBorders>
            <w:noWrap w:val="0"/>
            <w:vAlign w:val="center"/>
          </w:tcPr>
          <w:p w14:paraId="7B11B9F5">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废活性炭</w:t>
            </w:r>
          </w:p>
        </w:tc>
        <w:tc>
          <w:tcPr>
            <w:tcW w:w="819" w:type="dxa"/>
            <w:tcBorders>
              <w:tl2br w:val="nil"/>
              <w:tr2bl w:val="nil"/>
            </w:tcBorders>
            <w:noWrap w:val="0"/>
            <w:vAlign w:val="center"/>
          </w:tcPr>
          <w:p w14:paraId="102B90EF">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HW49</w:t>
            </w:r>
          </w:p>
        </w:tc>
        <w:tc>
          <w:tcPr>
            <w:tcW w:w="819" w:type="dxa"/>
            <w:tcBorders>
              <w:tl2br w:val="nil"/>
              <w:tr2bl w:val="nil"/>
            </w:tcBorders>
            <w:noWrap w:val="0"/>
            <w:vAlign w:val="center"/>
          </w:tcPr>
          <w:p w14:paraId="5C74081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900-039-49</w:t>
            </w:r>
          </w:p>
        </w:tc>
        <w:tc>
          <w:tcPr>
            <w:tcW w:w="762" w:type="dxa"/>
            <w:tcBorders>
              <w:tl2br w:val="nil"/>
              <w:tr2bl w:val="nil"/>
            </w:tcBorders>
            <w:noWrap w:val="0"/>
            <w:vAlign w:val="center"/>
          </w:tcPr>
          <w:p w14:paraId="45D86B67">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0.979</w:t>
            </w:r>
          </w:p>
        </w:tc>
        <w:tc>
          <w:tcPr>
            <w:tcW w:w="861" w:type="dxa"/>
            <w:tcBorders>
              <w:tl2br w:val="nil"/>
              <w:tr2bl w:val="nil"/>
            </w:tcBorders>
            <w:noWrap w:val="0"/>
            <w:vAlign w:val="center"/>
          </w:tcPr>
          <w:p w14:paraId="329DF049">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废气处理</w:t>
            </w:r>
          </w:p>
        </w:tc>
        <w:tc>
          <w:tcPr>
            <w:tcW w:w="479" w:type="dxa"/>
            <w:tcBorders>
              <w:tl2br w:val="nil"/>
              <w:tr2bl w:val="nil"/>
            </w:tcBorders>
            <w:noWrap w:val="0"/>
            <w:vAlign w:val="center"/>
          </w:tcPr>
          <w:p w14:paraId="37B646C7">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0294B0D8">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吸附有机废气</w:t>
            </w:r>
          </w:p>
        </w:tc>
        <w:tc>
          <w:tcPr>
            <w:tcW w:w="663" w:type="dxa"/>
            <w:tcBorders>
              <w:tl2br w:val="nil"/>
              <w:tr2bl w:val="nil"/>
            </w:tcBorders>
            <w:noWrap w:val="0"/>
            <w:vAlign w:val="center"/>
          </w:tcPr>
          <w:p w14:paraId="27C497ED">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w:t>
            </w:r>
            <w:r>
              <w:rPr>
                <w:rFonts w:hint="eastAsia" w:ascii="Times New Roman" w:hAnsi="Times New Roman" w:eastAsia="宋体" w:cs="Times New Roman"/>
                <w:color w:val="auto"/>
                <w:sz w:val="21"/>
                <w:szCs w:val="21"/>
                <w:u w:val="none" w:color="auto"/>
                <w:lang w:val="en-US" w:eastAsia="zh-CN"/>
              </w:rPr>
              <w:t>季度</w:t>
            </w:r>
          </w:p>
        </w:tc>
        <w:tc>
          <w:tcPr>
            <w:tcW w:w="650" w:type="dxa"/>
            <w:tcBorders>
              <w:tl2br w:val="nil"/>
              <w:tr2bl w:val="nil"/>
            </w:tcBorders>
            <w:noWrap w:val="0"/>
            <w:vAlign w:val="center"/>
          </w:tcPr>
          <w:p w14:paraId="30F6EC41">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T</w:t>
            </w:r>
          </w:p>
        </w:tc>
        <w:tc>
          <w:tcPr>
            <w:tcW w:w="1058" w:type="dxa"/>
            <w:vMerge w:val="continue"/>
            <w:tcBorders>
              <w:tl2br w:val="nil"/>
              <w:tr2bl w:val="nil"/>
            </w:tcBorders>
            <w:noWrap w:val="0"/>
            <w:vAlign w:val="center"/>
          </w:tcPr>
          <w:p w14:paraId="01300D08">
            <w:pPr>
              <w:pStyle w:val="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bl>
    <w:p w14:paraId="2CE51DA2">
      <w:pPr>
        <w:pStyle w:val="8"/>
        <w:rPr>
          <w:rFonts w:hint="default" w:ascii="Times New Roman" w:hAnsi="Times New Roman" w:eastAsia="宋体" w:cs="Times New Roman"/>
          <w:color w:val="auto"/>
          <w:u w:val="none" w:color="auto"/>
          <w:lang w:val="en-US" w:eastAsia="zh-CN"/>
        </w:rPr>
      </w:pPr>
      <w:bookmarkStart w:id="1433" w:name="_Toc31210"/>
      <w:bookmarkStart w:id="1434" w:name="_Toc4206"/>
      <w:bookmarkStart w:id="1435" w:name="_Toc23754"/>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.6土壤防治措施分析</w:t>
      </w:r>
      <w:bookmarkEnd w:id="1425"/>
      <w:bookmarkEnd w:id="1426"/>
      <w:bookmarkEnd w:id="1427"/>
      <w:bookmarkEnd w:id="1428"/>
      <w:bookmarkEnd w:id="1429"/>
      <w:bookmarkEnd w:id="1430"/>
      <w:bookmarkEnd w:id="1433"/>
      <w:bookmarkEnd w:id="1434"/>
      <w:bookmarkEnd w:id="1435"/>
      <w:r>
        <w:rPr>
          <w:rFonts w:hint="default" w:ascii="Times New Roman" w:hAnsi="Times New Roman" w:eastAsia="宋体" w:cs="Times New Roman"/>
          <w:color w:val="auto"/>
          <w:u w:val="none" w:color="auto"/>
          <w:lang w:val="en-US" w:eastAsia="zh-CN"/>
        </w:rPr>
        <w:t xml:space="preserve"> </w:t>
      </w:r>
    </w:p>
    <w:p w14:paraId="02CF889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根据现场调查，项目厂界周边</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rPr>
        <w:t>居民点，</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rPr>
        <w:t>耕地、园地，区域内地面大部分实现硬化和绿化，对区域土壤环境影响极小。本项目废气经采取相应的措施后，外排废气各因子均能达到规定排放限值要求。生产过程未使用有毒有害化学药剂。项目对土壤环境的影响主要是危废暂存间等。企业应加强管理，保证企业固废尤其是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，在暂存和存贮过程中注意防雨、防渗，以避免固废渗滤液污染土壤环境，对企业重点防渗区域严格按相关标准要求实施与管理，取上述措施后，项目对土壤环境影响较小。</w:t>
      </w:r>
    </w:p>
    <w:p w14:paraId="19A049AD">
      <w:pPr>
        <w:pStyle w:val="8"/>
        <w:bidi w:val="0"/>
        <w:rPr>
          <w:rFonts w:hint="default" w:ascii="Times New Roman" w:hAnsi="Times New Roman" w:cs="Times New Roman"/>
          <w:color w:val="auto"/>
          <w:u w:val="none" w:color="auto"/>
          <w:lang w:eastAsia="zh-CN"/>
        </w:rPr>
      </w:pPr>
      <w:bookmarkStart w:id="1436" w:name="_Toc4566"/>
      <w:bookmarkStart w:id="1437" w:name="_Toc29174"/>
      <w:bookmarkStart w:id="1438" w:name="_Toc26396"/>
      <w:bookmarkStart w:id="1439" w:name="_Toc31873"/>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.2.7</w:t>
      </w:r>
      <w:r>
        <w:rPr>
          <w:rFonts w:hint="default" w:ascii="Times New Roman" w:hAnsi="Times New Roman" w:cs="Times New Roman"/>
          <w:color w:val="auto"/>
          <w:u w:val="none" w:color="auto"/>
          <w:lang w:eastAsia="zh-CN"/>
        </w:rPr>
        <w:t>环保措施及投资估算</w:t>
      </w:r>
      <w:bookmarkEnd w:id="1436"/>
      <w:bookmarkEnd w:id="1437"/>
      <w:bookmarkEnd w:id="1438"/>
      <w:bookmarkEnd w:id="1439"/>
    </w:p>
    <w:p w14:paraId="4AEE0C5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rPr>
        <w:t>项目总投资约</w:t>
      </w:r>
      <w:r>
        <w:rPr>
          <w:rFonts w:hint="eastAsia" w:ascii="Times New Roman" w:hAnsi="Times New Roman" w:cs="Times New Roman"/>
          <w:color w:val="auto"/>
          <w:u w:val="none" w:color="auto"/>
          <w:lang w:val="en-US" w:eastAsia="zh-CN"/>
        </w:rPr>
        <w:t>1</w:t>
      </w:r>
      <w:r>
        <w:rPr>
          <w:rFonts w:hint="eastAsia" w:cs="Times New Roman"/>
          <w:color w:val="auto"/>
          <w:u w:val="none" w:color="auto"/>
          <w:lang w:val="en-US" w:eastAsia="zh-CN"/>
        </w:rPr>
        <w:t>000</w:t>
      </w:r>
      <w:r>
        <w:rPr>
          <w:rFonts w:hint="default" w:ascii="Times New Roman" w:hAnsi="Times New Roman" w:cs="Times New Roman"/>
          <w:color w:val="auto"/>
          <w:u w:val="none" w:color="auto"/>
        </w:rPr>
        <w:t>万元，环保投资</w:t>
      </w:r>
      <w:r>
        <w:rPr>
          <w:rFonts w:hint="eastAsia" w:ascii="Times New Roman" w:hAnsi="Times New Roman" w:cs="Times New Roman"/>
          <w:color w:val="auto"/>
          <w:u w:val="none" w:color="auto"/>
          <w:lang w:val="en-US" w:eastAsia="zh-CN"/>
        </w:rPr>
        <w:t>52</w:t>
      </w:r>
      <w:r>
        <w:rPr>
          <w:rFonts w:hint="default" w:ascii="Times New Roman" w:hAnsi="Times New Roman" w:cs="Times New Roman"/>
          <w:color w:val="auto"/>
          <w:u w:val="none" w:color="auto"/>
        </w:rPr>
        <w:t>万元，占项目建设投资的比例为</w:t>
      </w:r>
      <w:r>
        <w:rPr>
          <w:rFonts w:hint="eastAsia" w:cs="Times New Roman"/>
          <w:color w:val="auto"/>
          <w:u w:val="none" w:color="auto"/>
          <w:lang w:val="en-US" w:eastAsia="zh-CN"/>
        </w:rPr>
        <w:t>5.2</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eastAsia="zh-CN"/>
        </w:rPr>
        <w:t>，具体环保措施及投资情况见下表</w:t>
      </w:r>
      <w:r>
        <w:rPr>
          <w:rFonts w:hint="default" w:ascii="Times New Roman" w:hAnsi="Times New Roman" w:cs="Times New Roman"/>
          <w:color w:val="auto"/>
          <w:u w:val="none" w:color="auto"/>
        </w:rPr>
        <w:t>。</w:t>
      </w:r>
    </w:p>
    <w:p w14:paraId="44DA674B">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 xml:space="preserve">4 </w:t>
      </w:r>
      <w:r>
        <w:rPr>
          <w:rFonts w:hint="default"/>
          <w:color w:val="auto"/>
          <w:u w:val="none" w:color="auto"/>
        </w:rPr>
        <w:t>环保设施投资估算表</w:t>
      </w:r>
    </w:p>
    <w:tbl>
      <w:tblPr>
        <w:tblStyle w:val="1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464"/>
        <w:gridCol w:w="1049"/>
        <w:gridCol w:w="1496"/>
        <w:gridCol w:w="3383"/>
        <w:gridCol w:w="930"/>
        <w:gridCol w:w="1037"/>
      </w:tblGrid>
      <w:tr w14:paraId="79A16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64" w:type="dxa"/>
            <w:tcBorders>
              <w:tl2br w:val="nil"/>
              <w:tr2bl w:val="nil"/>
            </w:tcBorders>
            <w:noWrap w:val="0"/>
            <w:vAlign w:val="center"/>
          </w:tcPr>
          <w:p w14:paraId="19757D0B">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050" w:type="dxa"/>
            <w:tcBorders>
              <w:tl2br w:val="nil"/>
              <w:tr2bl w:val="nil"/>
            </w:tcBorders>
            <w:noWrap w:val="0"/>
            <w:vAlign w:val="center"/>
          </w:tcPr>
          <w:p w14:paraId="30EEEF6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环境工程项目</w:t>
            </w:r>
          </w:p>
        </w:tc>
        <w:tc>
          <w:tcPr>
            <w:tcW w:w="1496" w:type="dxa"/>
            <w:tcBorders>
              <w:tl2br w:val="nil"/>
              <w:tr2bl w:val="nil"/>
            </w:tcBorders>
            <w:noWrap w:val="0"/>
            <w:vAlign w:val="center"/>
          </w:tcPr>
          <w:p w14:paraId="660E328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污染物类别</w:t>
            </w:r>
          </w:p>
        </w:tc>
        <w:tc>
          <w:tcPr>
            <w:tcW w:w="3384" w:type="dxa"/>
            <w:tcBorders>
              <w:tl2br w:val="nil"/>
              <w:tr2bl w:val="nil"/>
            </w:tcBorders>
            <w:noWrap w:val="0"/>
            <w:vAlign w:val="center"/>
          </w:tcPr>
          <w:p w14:paraId="2C332BA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环保措施</w:t>
            </w:r>
          </w:p>
        </w:tc>
        <w:tc>
          <w:tcPr>
            <w:tcW w:w="930" w:type="dxa"/>
            <w:tcBorders>
              <w:tl2br w:val="nil"/>
              <w:tr2bl w:val="nil"/>
            </w:tcBorders>
            <w:noWrap w:val="0"/>
            <w:vAlign w:val="center"/>
          </w:tcPr>
          <w:p w14:paraId="53B4F803">
            <w:pPr>
              <w:pStyle w:val="25"/>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投资</w:t>
            </w:r>
            <w:r>
              <w:rPr>
                <w:rFonts w:hint="default" w:ascii="Times New Roman" w:hAnsi="Times New Roman" w:cs="Times New Roman"/>
                <w:color w:val="auto"/>
                <w:u w:val="none" w:color="auto"/>
              </w:rPr>
              <w:t>(万元)</w:t>
            </w:r>
          </w:p>
        </w:tc>
        <w:tc>
          <w:tcPr>
            <w:tcW w:w="1037" w:type="dxa"/>
            <w:tcBorders>
              <w:tl2br w:val="nil"/>
              <w:tr2bl w:val="nil"/>
            </w:tcBorders>
            <w:noWrap w:val="0"/>
            <w:vAlign w:val="center"/>
          </w:tcPr>
          <w:p w14:paraId="1B17F9A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备注</w:t>
            </w:r>
          </w:p>
        </w:tc>
      </w:tr>
      <w:tr w14:paraId="65D31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40" w:hRule="atLeast"/>
          <w:jc w:val="center"/>
        </w:trPr>
        <w:tc>
          <w:tcPr>
            <w:tcW w:w="464" w:type="dxa"/>
            <w:tcBorders>
              <w:tl2br w:val="nil"/>
              <w:tr2bl w:val="nil"/>
            </w:tcBorders>
            <w:noWrap w:val="0"/>
            <w:vAlign w:val="center"/>
          </w:tcPr>
          <w:p w14:paraId="336ED48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050" w:type="dxa"/>
            <w:tcBorders>
              <w:tl2br w:val="nil"/>
              <w:tr2bl w:val="nil"/>
            </w:tcBorders>
            <w:noWrap w:val="0"/>
            <w:vAlign w:val="center"/>
          </w:tcPr>
          <w:p w14:paraId="1AB276F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废水处理工程</w:t>
            </w:r>
          </w:p>
        </w:tc>
        <w:tc>
          <w:tcPr>
            <w:tcW w:w="1496" w:type="dxa"/>
            <w:tcBorders>
              <w:tl2br w:val="nil"/>
              <w:tr2bl w:val="nil"/>
            </w:tcBorders>
            <w:noWrap w:val="0"/>
            <w:vAlign w:val="center"/>
          </w:tcPr>
          <w:p w14:paraId="6A70172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3384" w:type="dxa"/>
            <w:tcBorders>
              <w:tl2br w:val="nil"/>
              <w:tr2bl w:val="nil"/>
            </w:tcBorders>
            <w:noWrap w:val="0"/>
            <w:vAlign w:val="center"/>
          </w:tcPr>
          <w:p w14:paraId="286756C8">
            <w:pPr>
              <w:pStyle w:val="25"/>
              <w:rPr>
                <w:rFonts w:hint="eastAsia" w:ascii="Times New Roman" w:hAnsi="Times New Roman" w:eastAsia="宋体" w:cs="Times New Roman"/>
                <w:color w:val="auto"/>
                <w:u w:val="none" w:color="auto"/>
                <w:lang w:eastAsia="zh-CN"/>
              </w:rPr>
            </w:pPr>
            <w:r>
              <w:rPr>
                <w:rFonts w:hint="eastAsia" w:cs="Times New Roman"/>
                <w:color w:val="auto"/>
                <w:u w:val="none" w:color="auto"/>
                <w:lang w:eastAsia="zh-CN"/>
              </w:rPr>
              <w:t>化粪池</w:t>
            </w:r>
          </w:p>
        </w:tc>
        <w:tc>
          <w:tcPr>
            <w:tcW w:w="930" w:type="dxa"/>
            <w:tcBorders>
              <w:tl2br w:val="nil"/>
              <w:tr2bl w:val="nil"/>
            </w:tcBorders>
            <w:noWrap w:val="0"/>
            <w:vAlign w:val="center"/>
          </w:tcPr>
          <w:p w14:paraId="7FA567DE">
            <w:pPr>
              <w:pStyle w:val="25"/>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0</w:t>
            </w:r>
          </w:p>
        </w:tc>
        <w:tc>
          <w:tcPr>
            <w:tcW w:w="1037" w:type="dxa"/>
            <w:tcBorders>
              <w:tl2br w:val="nil"/>
              <w:tr2bl w:val="nil"/>
            </w:tcBorders>
            <w:noWrap w:val="0"/>
            <w:vAlign w:val="center"/>
          </w:tcPr>
          <w:p w14:paraId="48000649">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依托</w:t>
            </w:r>
          </w:p>
        </w:tc>
      </w:tr>
      <w:tr w14:paraId="39E69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048" w:hRule="atLeast"/>
          <w:jc w:val="center"/>
        </w:trPr>
        <w:tc>
          <w:tcPr>
            <w:tcW w:w="464" w:type="dxa"/>
            <w:vMerge w:val="restart"/>
            <w:tcBorders>
              <w:tl2br w:val="nil"/>
              <w:tr2bl w:val="nil"/>
            </w:tcBorders>
            <w:noWrap w:val="0"/>
            <w:vAlign w:val="center"/>
          </w:tcPr>
          <w:p w14:paraId="639D0D6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1050" w:type="dxa"/>
            <w:vMerge w:val="restart"/>
            <w:tcBorders>
              <w:tl2br w:val="nil"/>
              <w:tr2bl w:val="nil"/>
            </w:tcBorders>
            <w:noWrap w:val="0"/>
            <w:vAlign w:val="center"/>
          </w:tcPr>
          <w:p w14:paraId="539E245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废气治理工程</w:t>
            </w:r>
          </w:p>
        </w:tc>
        <w:tc>
          <w:tcPr>
            <w:tcW w:w="1496" w:type="dxa"/>
            <w:tcBorders>
              <w:tl2br w:val="nil"/>
              <w:tr2bl w:val="nil"/>
            </w:tcBorders>
            <w:noWrap w:val="0"/>
            <w:vAlign w:val="center"/>
          </w:tcPr>
          <w:p w14:paraId="38328A3D">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加热混捏、冷却、磨粉、混合废气</w:t>
            </w:r>
          </w:p>
        </w:tc>
        <w:tc>
          <w:tcPr>
            <w:tcW w:w="3384" w:type="dxa"/>
            <w:tcBorders>
              <w:tl2br w:val="nil"/>
              <w:tr2bl w:val="nil"/>
            </w:tcBorders>
            <w:noWrap w:val="0"/>
            <w:vAlign w:val="center"/>
          </w:tcPr>
          <w:p w14:paraId="0F8FCB0A">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布袋除尘器+二级活性炭吸附装置+15m高DA001排气筒</w:t>
            </w:r>
          </w:p>
        </w:tc>
        <w:tc>
          <w:tcPr>
            <w:tcW w:w="930" w:type="dxa"/>
            <w:tcBorders>
              <w:tl2br w:val="nil"/>
              <w:tr2bl w:val="nil"/>
            </w:tcBorders>
            <w:noWrap w:val="0"/>
            <w:vAlign w:val="center"/>
          </w:tcPr>
          <w:p w14:paraId="63009B65">
            <w:pPr>
              <w:pStyle w:val="25"/>
              <w:rPr>
                <w:rFonts w:hint="default" w:cs="Times New Roman"/>
                <w:color w:val="auto"/>
                <w:u w:val="none" w:color="auto"/>
                <w:lang w:val="en-US" w:eastAsia="zh-CN"/>
              </w:rPr>
            </w:pPr>
            <w:r>
              <w:rPr>
                <w:rFonts w:hint="eastAsia" w:cs="Times New Roman"/>
                <w:color w:val="auto"/>
                <w:u w:val="none" w:color="auto"/>
                <w:lang w:val="en-US" w:eastAsia="zh-CN"/>
              </w:rPr>
              <w:t>10</w:t>
            </w:r>
          </w:p>
        </w:tc>
        <w:tc>
          <w:tcPr>
            <w:tcW w:w="1037" w:type="dxa"/>
            <w:tcBorders>
              <w:tl2br w:val="nil"/>
              <w:tr2bl w:val="nil"/>
            </w:tcBorders>
            <w:noWrap w:val="0"/>
            <w:vAlign w:val="center"/>
          </w:tcPr>
          <w:p w14:paraId="303236E1">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5AA86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4F0888C3">
            <w:pPr>
              <w:pStyle w:val="25"/>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4637DFBA">
            <w:pPr>
              <w:pStyle w:val="25"/>
              <w:rPr>
                <w:rFonts w:hint="default" w:ascii="Times New Roman" w:hAnsi="Times New Roman" w:cs="Times New Roman"/>
                <w:color w:val="auto"/>
                <w:u w:val="none" w:color="auto"/>
              </w:rPr>
            </w:pPr>
          </w:p>
        </w:tc>
        <w:tc>
          <w:tcPr>
            <w:tcW w:w="1496" w:type="dxa"/>
            <w:tcBorders>
              <w:tl2br w:val="nil"/>
              <w:tr2bl w:val="nil"/>
            </w:tcBorders>
            <w:noWrap w:val="0"/>
            <w:vAlign w:val="center"/>
          </w:tcPr>
          <w:p w14:paraId="55BD1B83">
            <w:pPr>
              <w:pStyle w:val="25"/>
              <w:rPr>
                <w:rFonts w:hint="default" w:cs="Times New Roman"/>
                <w:color w:val="auto"/>
                <w:u w:val="none" w:color="auto"/>
                <w:lang w:val="en-US" w:eastAsia="zh-CN"/>
              </w:rPr>
            </w:pPr>
            <w:r>
              <w:rPr>
                <w:rFonts w:hint="eastAsia" w:cs="Times New Roman"/>
                <w:color w:val="auto"/>
                <w:u w:val="none" w:color="auto"/>
                <w:lang w:val="en-US" w:eastAsia="zh-CN"/>
              </w:rPr>
              <w:t>1#厂房焙烧废气</w:t>
            </w:r>
          </w:p>
        </w:tc>
        <w:tc>
          <w:tcPr>
            <w:tcW w:w="3384" w:type="dxa"/>
            <w:tcBorders>
              <w:tl2br w:val="nil"/>
              <w:tr2bl w:val="nil"/>
            </w:tcBorders>
            <w:noWrap w:val="0"/>
            <w:vAlign w:val="center"/>
          </w:tcPr>
          <w:p w14:paraId="6FA3C6A8">
            <w:pPr>
              <w:pStyle w:val="25"/>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焚烧炉1#+15m高DA002排气筒</w:t>
            </w:r>
          </w:p>
        </w:tc>
        <w:tc>
          <w:tcPr>
            <w:tcW w:w="930" w:type="dxa"/>
            <w:tcBorders>
              <w:tl2br w:val="nil"/>
              <w:tr2bl w:val="nil"/>
            </w:tcBorders>
            <w:noWrap w:val="0"/>
            <w:vAlign w:val="center"/>
          </w:tcPr>
          <w:p w14:paraId="414B95D2">
            <w:pPr>
              <w:pStyle w:val="25"/>
              <w:rPr>
                <w:rFonts w:hint="default" w:cs="Times New Roman"/>
                <w:color w:val="auto"/>
                <w:u w:val="none" w:color="auto"/>
                <w:lang w:val="en-US" w:eastAsia="zh-CN"/>
              </w:rPr>
            </w:pPr>
            <w:r>
              <w:rPr>
                <w:rFonts w:hint="eastAsia" w:cs="Times New Roman"/>
                <w:color w:val="auto"/>
                <w:u w:val="none" w:color="auto"/>
                <w:lang w:val="en-US" w:eastAsia="zh-CN"/>
              </w:rPr>
              <w:t>20</w:t>
            </w:r>
          </w:p>
        </w:tc>
        <w:tc>
          <w:tcPr>
            <w:tcW w:w="1037" w:type="dxa"/>
            <w:tcBorders>
              <w:tl2br w:val="nil"/>
              <w:tr2bl w:val="nil"/>
            </w:tcBorders>
            <w:noWrap w:val="0"/>
            <w:vAlign w:val="center"/>
          </w:tcPr>
          <w:p w14:paraId="34DC9BF8">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617F9D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1C74763D">
            <w:pPr>
              <w:pStyle w:val="25"/>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0BF79652">
            <w:pPr>
              <w:pStyle w:val="25"/>
              <w:rPr>
                <w:rFonts w:hint="default" w:ascii="Times New Roman" w:hAnsi="Times New Roman" w:cs="Times New Roman"/>
                <w:color w:val="auto"/>
                <w:u w:val="none" w:color="auto"/>
              </w:rPr>
            </w:pPr>
          </w:p>
        </w:tc>
        <w:tc>
          <w:tcPr>
            <w:tcW w:w="1496" w:type="dxa"/>
            <w:tcBorders>
              <w:tl2br w:val="nil"/>
              <w:tr2bl w:val="nil"/>
            </w:tcBorders>
            <w:noWrap w:val="0"/>
            <w:vAlign w:val="center"/>
          </w:tcPr>
          <w:p w14:paraId="153F8DF1">
            <w:pPr>
              <w:pStyle w:val="25"/>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2#厂房焙烧废气</w:t>
            </w:r>
          </w:p>
        </w:tc>
        <w:tc>
          <w:tcPr>
            <w:tcW w:w="3384" w:type="dxa"/>
            <w:tcBorders>
              <w:tl2br w:val="nil"/>
              <w:tr2bl w:val="nil"/>
            </w:tcBorders>
            <w:noWrap w:val="0"/>
            <w:vAlign w:val="center"/>
          </w:tcPr>
          <w:p w14:paraId="5F038783">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焚烧炉2#+15m高DA003排气筒</w:t>
            </w:r>
          </w:p>
        </w:tc>
        <w:tc>
          <w:tcPr>
            <w:tcW w:w="930" w:type="dxa"/>
            <w:tcBorders>
              <w:tl2br w:val="nil"/>
              <w:tr2bl w:val="nil"/>
            </w:tcBorders>
            <w:noWrap w:val="0"/>
            <w:vAlign w:val="center"/>
          </w:tcPr>
          <w:p w14:paraId="4B4932D4">
            <w:pPr>
              <w:pStyle w:val="25"/>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20</w:t>
            </w:r>
          </w:p>
        </w:tc>
        <w:tc>
          <w:tcPr>
            <w:tcW w:w="1037" w:type="dxa"/>
            <w:tcBorders>
              <w:tl2br w:val="nil"/>
              <w:tr2bl w:val="nil"/>
            </w:tcBorders>
            <w:noWrap w:val="0"/>
            <w:vAlign w:val="center"/>
          </w:tcPr>
          <w:p w14:paraId="7B416E0A">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59F2F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464" w:type="dxa"/>
            <w:vMerge w:val="restart"/>
            <w:tcBorders>
              <w:tl2br w:val="nil"/>
              <w:tr2bl w:val="nil"/>
            </w:tcBorders>
            <w:noWrap w:val="0"/>
            <w:vAlign w:val="center"/>
          </w:tcPr>
          <w:p w14:paraId="44FA100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1050" w:type="dxa"/>
            <w:vMerge w:val="restart"/>
            <w:tcBorders>
              <w:tl2br w:val="nil"/>
              <w:tr2bl w:val="nil"/>
            </w:tcBorders>
            <w:noWrap w:val="0"/>
            <w:vAlign w:val="center"/>
          </w:tcPr>
          <w:p w14:paraId="066C198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固废处置工程</w:t>
            </w:r>
          </w:p>
        </w:tc>
        <w:tc>
          <w:tcPr>
            <w:tcW w:w="1496" w:type="dxa"/>
            <w:tcBorders>
              <w:tl2br w:val="nil"/>
              <w:tr2bl w:val="nil"/>
            </w:tcBorders>
            <w:noWrap w:val="0"/>
            <w:vAlign w:val="center"/>
          </w:tcPr>
          <w:p w14:paraId="13B8504B">
            <w:pPr>
              <w:pStyle w:val="25"/>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一般固废</w:t>
            </w:r>
          </w:p>
        </w:tc>
        <w:tc>
          <w:tcPr>
            <w:tcW w:w="3384" w:type="dxa"/>
            <w:tcBorders>
              <w:tl2br w:val="nil"/>
              <w:tr2bl w:val="nil"/>
            </w:tcBorders>
            <w:noWrap w:val="0"/>
            <w:vAlign w:val="center"/>
          </w:tcPr>
          <w:p w14:paraId="2D5373F5">
            <w:pPr>
              <w:pStyle w:val="25"/>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一般固废暂存区</w:t>
            </w:r>
          </w:p>
        </w:tc>
        <w:tc>
          <w:tcPr>
            <w:tcW w:w="930" w:type="dxa"/>
            <w:tcBorders>
              <w:tl2br w:val="nil"/>
              <w:tr2bl w:val="nil"/>
            </w:tcBorders>
            <w:noWrap w:val="0"/>
            <w:vAlign w:val="center"/>
          </w:tcPr>
          <w:p w14:paraId="146845B6">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w:t>
            </w:r>
          </w:p>
        </w:tc>
        <w:tc>
          <w:tcPr>
            <w:tcW w:w="1037" w:type="dxa"/>
            <w:vMerge w:val="restart"/>
            <w:tcBorders>
              <w:tl2br w:val="nil"/>
              <w:tr2bl w:val="nil"/>
            </w:tcBorders>
            <w:noWrap w:val="0"/>
            <w:vAlign w:val="center"/>
          </w:tcPr>
          <w:p w14:paraId="58549F2E">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依托</w:t>
            </w:r>
          </w:p>
        </w:tc>
      </w:tr>
      <w:tr w14:paraId="7D148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649FCADF">
            <w:pPr>
              <w:pStyle w:val="25"/>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0FBCCAB1">
            <w:pPr>
              <w:pStyle w:val="25"/>
              <w:rPr>
                <w:rFonts w:hint="default" w:ascii="Times New Roman" w:hAnsi="Times New Roman" w:cs="Times New Roman"/>
                <w:color w:val="auto"/>
                <w:u w:val="none" w:color="auto"/>
              </w:rPr>
            </w:pPr>
          </w:p>
        </w:tc>
        <w:tc>
          <w:tcPr>
            <w:tcW w:w="1496" w:type="dxa"/>
            <w:tcBorders>
              <w:tl2br w:val="nil"/>
              <w:tr2bl w:val="nil"/>
            </w:tcBorders>
            <w:noWrap w:val="0"/>
            <w:vAlign w:val="center"/>
          </w:tcPr>
          <w:p w14:paraId="744392DF">
            <w:pPr>
              <w:pStyle w:val="25"/>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危险废物</w:t>
            </w:r>
          </w:p>
        </w:tc>
        <w:tc>
          <w:tcPr>
            <w:tcW w:w="3384" w:type="dxa"/>
            <w:tcBorders>
              <w:tl2br w:val="nil"/>
              <w:tr2bl w:val="nil"/>
            </w:tcBorders>
            <w:noWrap w:val="0"/>
            <w:vAlign w:val="center"/>
          </w:tcPr>
          <w:p w14:paraId="55EA8A68">
            <w:pPr>
              <w:pStyle w:val="25"/>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危险废物暂存间</w:t>
            </w:r>
          </w:p>
        </w:tc>
        <w:tc>
          <w:tcPr>
            <w:tcW w:w="930" w:type="dxa"/>
            <w:tcBorders>
              <w:tl2br w:val="nil"/>
              <w:tr2bl w:val="nil"/>
            </w:tcBorders>
            <w:noWrap w:val="0"/>
            <w:vAlign w:val="center"/>
          </w:tcPr>
          <w:p w14:paraId="0C33EB8B">
            <w:pPr>
              <w:pStyle w:val="25"/>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w:t>
            </w:r>
          </w:p>
        </w:tc>
        <w:tc>
          <w:tcPr>
            <w:tcW w:w="1037" w:type="dxa"/>
            <w:vMerge w:val="continue"/>
            <w:tcBorders>
              <w:tl2br w:val="nil"/>
              <w:tr2bl w:val="nil"/>
            </w:tcBorders>
            <w:noWrap w:val="0"/>
            <w:vAlign w:val="center"/>
          </w:tcPr>
          <w:p w14:paraId="0359AF21">
            <w:pPr>
              <w:pStyle w:val="25"/>
              <w:rPr>
                <w:rFonts w:hint="default" w:ascii="Times New Roman" w:hAnsi="Times New Roman" w:cs="Times New Roman"/>
                <w:color w:val="auto"/>
                <w:u w:val="none" w:color="auto"/>
              </w:rPr>
            </w:pPr>
          </w:p>
        </w:tc>
      </w:tr>
      <w:tr w14:paraId="744B0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tcBorders>
              <w:tl2br w:val="nil"/>
              <w:tr2bl w:val="nil"/>
            </w:tcBorders>
            <w:noWrap w:val="0"/>
            <w:vAlign w:val="center"/>
          </w:tcPr>
          <w:p w14:paraId="5372AC43">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1050" w:type="dxa"/>
            <w:tcBorders>
              <w:tl2br w:val="nil"/>
              <w:tr2bl w:val="nil"/>
            </w:tcBorders>
            <w:noWrap w:val="0"/>
            <w:vAlign w:val="center"/>
          </w:tcPr>
          <w:p w14:paraId="1CC27D4B">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噪声治理工程</w:t>
            </w:r>
          </w:p>
        </w:tc>
        <w:tc>
          <w:tcPr>
            <w:tcW w:w="1496" w:type="dxa"/>
            <w:tcBorders>
              <w:tl2br w:val="nil"/>
              <w:tr2bl w:val="nil"/>
            </w:tcBorders>
            <w:noWrap w:val="0"/>
            <w:vAlign w:val="center"/>
          </w:tcPr>
          <w:p w14:paraId="75662BE5">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生产设备噪声</w:t>
            </w:r>
          </w:p>
        </w:tc>
        <w:tc>
          <w:tcPr>
            <w:tcW w:w="3384" w:type="dxa"/>
            <w:tcBorders>
              <w:tl2br w:val="nil"/>
              <w:tr2bl w:val="nil"/>
            </w:tcBorders>
            <w:noWrap w:val="0"/>
            <w:vAlign w:val="center"/>
          </w:tcPr>
          <w:p w14:paraId="6C7C079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隔声、加强厂区绿化</w:t>
            </w:r>
          </w:p>
        </w:tc>
        <w:tc>
          <w:tcPr>
            <w:tcW w:w="930" w:type="dxa"/>
            <w:tcBorders>
              <w:tl2br w:val="nil"/>
              <w:tr2bl w:val="nil"/>
            </w:tcBorders>
            <w:noWrap w:val="0"/>
            <w:vAlign w:val="center"/>
          </w:tcPr>
          <w:p w14:paraId="3C47D8B8">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p>
        </w:tc>
        <w:tc>
          <w:tcPr>
            <w:tcW w:w="1037" w:type="dxa"/>
            <w:tcBorders>
              <w:tl2br w:val="nil"/>
              <w:tr2bl w:val="nil"/>
            </w:tcBorders>
            <w:noWrap w:val="0"/>
            <w:vAlign w:val="center"/>
          </w:tcPr>
          <w:p w14:paraId="431A786C">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413AB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514" w:type="dxa"/>
            <w:gridSpan w:val="2"/>
            <w:tcBorders>
              <w:tl2br w:val="nil"/>
              <w:tr2bl w:val="nil"/>
            </w:tcBorders>
            <w:noWrap w:val="0"/>
            <w:vAlign w:val="center"/>
          </w:tcPr>
          <w:p w14:paraId="0CC4706D">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合计</w:t>
            </w:r>
          </w:p>
        </w:tc>
        <w:tc>
          <w:tcPr>
            <w:tcW w:w="1496" w:type="dxa"/>
            <w:tcBorders>
              <w:tl2br w:val="nil"/>
              <w:tr2bl w:val="nil"/>
            </w:tcBorders>
            <w:noWrap w:val="0"/>
            <w:vAlign w:val="center"/>
          </w:tcPr>
          <w:p w14:paraId="3B0BEF48">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3384" w:type="dxa"/>
            <w:tcBorders>
              <w:tl2br w:val="nil"/>
              <w:tr2bl w:val="nil"/>
            </w:tcBorders>
            <w:noWrap w:val="0"/>
            <w:vAlign w:val="center"/>
          </w:tcPr>
          <w:p w14:paraId="06B397F6">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930" w:type="dxa"/>
            <w:tcBorders>
              <w:tl2br w:val="nil"/>
              <w:tr2bl w:val="nil"/>
            </w:tcBorders>
            <w:noWrap w:val="0"/>
            <w:vAlign w:val="center"/>
          </w:tcPr>
          <w:p w14:paraId="069DAADC">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52</w:t>
            </w:r>
          </w:p>
        </w:tc>
        <w:tc>
          <w:tcPr>
            <w:tcW w:w="1037" w:type="dxa"/>
            <w:tcBorders>
              <w:tl2br w:val="nil"/>
              <w:tr2bl w:val="nil"/>
            </w:tcBorders>
            <w:noWrap w:val="0"/>
            <w:vAlign w:val="center"/>
          </w:tcPr>
          <w:p w14:paraId="315BBC6B">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r>
    </w:tbl>
    <w:p w14:paraId="6A0F8A9C">
      <w:pPr>
        <w:pStyle w:val="21"/>
        <w:ind w:firstLine="480"/>
        <w:rPr>
          <w:rFonts w:hint="default" w:ascii="Times New Roman" w:hAnsi="Times New Roman" w:cs="Times New Roman"/>
          <w:color w:val="auto"/>
          <w:u w:val="none" w:color="auto"/>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106"/>
    <w:bookmarkEnd w:id="1107"/>
    <w:bookmarkEnd w:id="1256"/>
    <w:bookmarkEnd w:id="1257"/>
    <w:p w14:paraId="67AACF34">
      <w:pPr>
        <w:pStyle w:val="6"/>
        <w:bidi w:val="0"/>
        <w:rPr>
          <w:rFonts w:hint="default"/>
          <w:color w:val="auto"/>
          <w:u w:val="none" w:color="auto"/>
        </w:rPr>
      </w:pPr>
      <w:bookmarkStart w:id="1440" w:name="_Toc20468"/>
      <w:bookmarkStart w:id="1441" w:name="_Toc24194"/>
      <w:bookmarkStart w:id="1442" w:name="_Toc8070"/>
      <w:bookmarkStart w:id="1443" w:name="_Toc6861_WPSOffice_Level1"/>
      <w:bookmarkStart w:id="1444" w:name="_Toc5008_WPSOffice_Level1"/>
      <w:bookmarkStart w:id="1445" w:name="_Toc11224"/>
      <w:bookmarkStart w:id="1446" w:name="_Toc10272"/>
      <w:bookmarkStart w:id="1447" w:name="_Toc20524"/>
      <w:bookmarkStart w:id="1448" w:name="_Toc6129_WPSOffice_Level1"/>
      <w:bookmarkStart w:id="1449" w:name="_Toc1073_WPSOffice_Level1"/>
      <w:bookmarkStart w:id="1450" w:name="_Toc4808_WPSOffice_Level1"/>
      <w:bookmarkStart w:id="1451" w:name="_Toc12012"/>
      <w:r>
        <w:rPr>
          <w:rFonts w:hint="eastAsia"/>
          <w:color w:val="auto"/>
          <w:u w:val="none" w:color="auto"/>
          <w:lang w:val="en-US" w:eastAsia="zh-CN"/>
        </w:rPr>
        <w:t>7</w:t>
      </w:r>
      <w:r>
        <w:rPr>
          <w:rFonts w:hint="default"/>
          <w:color w:val="auto"/>
          <w:u w:val="none" w:color="auto"/>
          <w:lang w:val="en-US" w:eastAsia="zh-CN"/>
        </w:rPr>
        <w:t>、</w:t>
      </w:r>
      <w:r>
        <w:rPr>
          <w:rFonts w:hint="default"/>
          <w:color w:val="auto"/>
          <w:u w:val="none" w:color="auto"/>
        </w:rPr>
        <w:t>环境效益分析</w:t>
      </w:r>
      <w:bookmarkEnd w:id="1440"/>
      <w:bookmarkEnd w:id="1441"/>
      <w:bookmarkEnd w:id="1442"/>
    </w:p>
    <w:p w14:paraId="1BD4C4E4">
      <w:pPr>
        <w:pStyle w:val="7"/>
        <w:bidi w:val="0"/>
        <w:rPr>
          <w:rFonts w:hint="default"/>
          <w:color w:val="auto"/>
          <w:u w:val="none" w:color="auto"/>
          <w:lang w:val="en-US" w:eastAsia="zh-CN"/>
        </w:rPr>
      </w:pPr>
      <w:bookmarkStart w:id="1452" w:name="_Toc30337"/>
      <w:bookmarkStart w:id="1453" w:name="_Toc30213"/>
      <w:bookmarkStart w:id="1454" w:name="_Toc24493"/>
      <w:r>
        <w:rPr>
          <w:rFonts w:hint="eastAsia"/>
          <w:color w:val="auto"/>
          <w:u w:val="none" w:color="auto"/>
          <w:lang w:val="en-US" w:eastAsia="zh-CN"/>
        </w:rPr>
        <w:t>7.1环境效益分析</w:t>
      </w:r>
      <w:bookmarkEnd w:id="1452"/>
      <w:bookmarkEnd w:id="1453"/>
      <w:bookmarkEnd w:id="1454"/>
    </w:p>
    <w:p w14:paraId="5EC28CF7">
      <w:pPr>
        <w:pStyle w:val="8"/>
        <w:bidi w:val="0"/>
        <w:rPr>
          <w:rFonts w:hint="default" w:ascii="Times New Roman" w:hAnsi="Times New Roman" w:cs="Times New Roman"/>
          <w:color w:val="auto"/>
          <w:u w:val="none" w:color="auto"/>
          <w:lang w:val="en-US" w:eastAsia="zh-CN"/>
        </w:rPr>
      </w:pPr>
      <w:bookmarkStart w:id="1455" w:name="_Toc19555"/>
      <w:bookmarkStart w:id="1456" w:name="_Toc8811"/>
      <w:bookmarkStart w:id="1457" w:name="_Toc21634"/>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.1.1环境成本</w:t>
      </w:r>
      <w:bookmarkEnd w:id="1455"/>
      <w:bookmarkEnd w:id="1456"/>
      <w:bookmarkEnd w:id="1457"/>
    </w:p>
    <w:p w14:paraId="548FB500">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环境成本是指治理污染的投资费用和设施运行费用。</w:t>
      </w:r>
    </w:p>
    <w:p w14:paraId="25A6393E">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环境工程投资是指新建、迁扩建或技改工程为控制污染、实现污染物达标排放或回用及污染物排放总量控制所进行的必要投资，一般由治理费用和辅助费用组成。本评价只估算其中的治理费用。</w:t>
      </w:r>
    </w:p>
    <w:p w14:paraId="15F0161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该项目的环境工程包括废水处理工程、废气治理工程、固体废物处置工程、噪声治理工程等。</w:t>
      </w:r>
    </w:p>
    <w:p w14:paraId="21AB9D28">
      <w:pPr>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lang w:bidi="ar"/>
        </w:rPr>
        <w:t>本项目投资估算总计为</w:t>
      </w:r>
      <w:r>
        <w:rPr>
          <w:rFonts w:hint="eastAsia" w:cs="Times New Roman"/>
          <w:color w:val="auto"/>
          <w:sz w:val="24"/>
          <w:u w:val="none" w:color="auto"/>
          <w:lang w:val="en-US" w:eastAsia="zh-CN" w:bidi="ar"/>
        </w:rPr>
        <w:t>1000</w:t>
      </w:r>
      <w:r>
        <w:rPr>
          <w:rFonts w:hint="default" w:ascii="Times New Roman" w:hAnsi="Times New Roman" w:cs="Times New Roman"/>
          <w:color w:val="auto"/>
          <w:sz w:val="24"/>
          <w:u w:val="none" w:color="auto"/>
          <w:lang w:bidi="ar"/>
        </w:rPr>
        <w:t>万元，环保投资</w:t>
      </w:r>
      <w:r>
        <w:rPr>
          <w:rFonts w:hint="eastAsia" w:cs="Times New Roman"/>
          <w:color w:val="auto"/>
          <w:sz w:val="24"/>
          <w:u w:val="none" w:color="auto"/>
          <w:lang w:val="en-US" w:eastAsia="zh-CN" w:bidi="ar"/>
        </w:rPr>
        <w:t>52</w:t>
      </w:r>
      <w:r>
        <w:rPr>
          <w:rFonts w:hint="default" w:ascii="Times New Roman" w:hAnsi="Times New Roman" w:cs="Times New Roman"/>
          <w:color w:val="auto"/>
          <w:sz w:val="24"/>
          <w:u w:val="none" w:color="auto"/>
          <w:lang w:bidi="ar"/>
        </w:rPr>
        <w:t>万元，占总投资的</w:t>
      </w:r>
      <w:r>
        <w:rPr>
          <w:rFonts w:hint="eastAsia" w:cs="Times New Roman"/>
          <w:color w:val="auto"/>
          <w:sz w:val="24"/>
          <w:u w:val="none" w:color="auto"/>
          <w:lang w:val="en-US" w:eastAsia="zh-CN" w:bidi="ar"/>
        </w:rPr>
        <w:t>5.2</w:t>
      </w:r>
      <w:r>
        <w:rPr>
          <w:rFonts w:hint="default" w:ascii="Times New Roman" w:hAnsi="Times New Roman" w:cs="Times New Roman"/>
          <w:color w:val="auto"/>
          <w:sz w:val="24"/>
          <w:u w:val="none" w:color="auto"/>
          <w:lang w:bidi="ar"/>
        </w:rPr>
        <w:t>%（详见表</w:t>
      </w:r>
      <w:r>
        <w:rPr>
          <w:rFonts w:hint="eastAsia" w:cs="Times New Roman"/>
          <w:color w:val="auto"/>
          <w:sz w:val="24"/>
          <w:u w:val="none" w:color="auto"/>
          <w:lang w:val="en-US" w:eastAsia="zh-CN" w:bidi="ar"/>
        </w:rPr>
        <w:t>7</w:t>
      </w:r>
      <w:r>
        <w:rPr>
          <w:rFonts w:hint="default" w:ascii="Times New Roman" w:hAnsi="Times New Roman" w:cs="Times New Roman"/>
          <w:color w:val="auto"/>
          <w:sz w:val="24"/>
          <w:u w:val="none" w:color="auto"/>
          <w:lang w:val="en-US" w:eastAsia="zh-CN" w:bidi="ar"/>
        </w:rPr>
        <w:t>.2</w:t>
      </w:r>
      <w:r>
        <w:rPr>
          <w:rFonts w:hint="default" w:ascii="Times New Roman" w:hAnsi="Times New Roman" w:cs="Times New Roman"/>
          <w:color w:val="auto"/>
          <w:sz w:val="24"/>
          <w:u w:val="none" w:color="auto"/>
          <w:lang w:bidi="ar"/>
        </w:rPr>
        <w:t>-</w:t>
      </w:r>
      <w:r>
        <w:rPr>
          <w:rFonts w:hint="eastAsia" w:cs="Times New Roman"/>
          <w:color w:val="auto"/>
          <w:sz w:val="24"/>
          <w:u w:val="none" w:color="auto"/>
          <w:lang w:val="en-US" w:eastAsia="zh-CN" w:bidi="ar"/>
        </w:rPr>
        <w:t>5</w:t>
      </w:r>
      <w:r>
        <w:rPr>
          <w:rFonts w:hint="default" w:ascii="Times New Roman" w:hAnsi="Times New Roman" w:cs="Times New Roman"/>
          <w:color w:val="auto"/>
          <w:sz w:val="24"/>
          <w:u w:val="none" w:color="auto"/>
          <w:lang w:bidi="ar"/>
        </w:rPr>
        <w:t>）。</w:t>
      </w:r>
    </w:p>
    <w:p w14:paraId="419E8BED">
      <w:pPr>
        <w:pStyle w:val="21"/>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环保年费用包括“三废”处理设施运转费、折旧费、绿化费、排污及超标排污费、污染事故赔偿费、环保管理费（公关及业务活动费）等。根据运转费用估算和厂方经验，项目环保年费用约为</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eastAsia="zh-CN"/>
        </w:rPr>
        <w:t>0</w:t>
      </w:r>
      <w:r>
        <w:rPr>
          <w:rFonts w:hint="default" w:ascii="Times New Roman" w:hAnsi="Times New Roman" w:cs="Times New Roman"/>
          <w:color w:val="auto"/>
          <w:u w:val="none" w:color="auto"/>
        </w:rPr>
        <w:t>万元。该部分费用应纳入企业经济核算中，即纳入产品的成本核算中，使企业真正从根源上减少污染物产生量。</w:t>
      </w:r>
      <w:bookmarkEnd w:id="1443"/>
      <w:bookmarkEnd w:id="1444"/>
      <w:bookmarkEnd w:id="1445"/>
      <w:bookmarkEnd w:id="1446"/>
      <w:bookmarkEnd w:id="1447"/>
      <w:bookmarkEnd w:id="1448"/>
      <w:bookmarkEnd w:id="1449"/>
      <w:bookmarkEnd w:id="1450"/>
      <w:bookmarkEnd w:id="1451"/>
    </w:p>
    <w:p w14:paraId="2EECAFE3">
      <w:pPr>
        <w:pStyle w:val="8"/>
        <w:bidi w:val="0"/>
        <w:rPr>
          <w:rFonts w:hint="default" w:ascii="Times New Roman" w:hAnsi="Times New Roman" w:eastAsia="宋体" w:cs="Times New Roman"/>
          <w:color w:val="auto"/>
          <w:u w:val="none" w:color="auto"/>
          <w:lang w:val="en-US" w:eastAsia="zh-CN"/>
        </w:rPr>
      </w:pPr>
      <w:bookmarkStart w:id="1458" w:name="_Toc5512"/>
      <w:bookmarkStart w:id="1459" w:name="_Toc14631"/>
      <w:bookmarkStart w:id="1460" w:name="_Toc13844"/>
      <w:bookmarkStart w:id="1461" w:name="_Toc854"/>
      <w:bookmarkStart w:id="1462" w:name="_Toc372124982"/>
      <w:bookmarkStart w:id="1463" w:name="_Toc13609_WPSOffice_Level2"/>
      <w:bookmarkStart w:id="1464" w:name="_Toc28501"/>
      <w:bookmarkStart w:id="1465" w:name="_Toc12459_WPSOffice_Level2"/>
      <w:bookmarkStart w:id="1466" w:name="_Toc23961"/>
      <w:bookmarkStart w:id="1467" w:name="_Toc343691375"/>
      <w:bookmarkStart w:id="1468" w:name="_Toc574_WPSOffice_Level2"/>
      <w:bookmarkStart w:id="1469" w:name="_Toc29188_WPSOffice_Level2"/>
      <w:bookmarkStart w:id="1470" w:name="_Toc9431"/>
      <w:bookmarkStart w:id="1471" w:name="_Toc289857468"/>
      <w:bookmarkStart w:id="1472" w:name="_Toc219109476"/>
      <w:bookmarkStart w:id="1473" w:name="_Toc201127323"/>
      <w:bookmarkStart w:id="1474" w:name="_Toc31222_WPSOffice_Level2"/>
      <w:bookmarkStart w:id="1475" w:name="_Toc2947"/>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.1.2环境收益</w:t>
      </w:r>
      <w:bookmarkEnd w:id="1458"/>
      <w:bookmarkEnd w:id="1459"/>
      <w:bookmarkEnd w:id="1460"/>
      <w:bookmarkEnd w:id="1461"/>
    </w:p>
    <w:p w14:paraId="496F5A89">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环保投资和运行费用的投入，表观看虽为负经济效益，但其潜在效益十分显著，主要表现在：</w:t>
      </w:r>
    </w:p>
    <w:p w14:paraId="7343D4B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eastAsia="zh-CN"/>
        </w:rPr>
        <w:t>）采用有效的废气治理措施，可减轻粉尘、有机废气对操作员工身体健康和周边空气环境的影响。</w:t>
      </w:r>
    </w:p>
    <w:p w14:paraId="103E331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val="en-US" w:eastAsia="zh-CN"/>
        </w:rPr>
        <w:t>）固体废物的回收综合利用或有效处置，不仅消除了对环境的污染，而且变废为宝，具有明显的环境效益和经济效益。</w:t>
      </w:r>
    </w:p>
    <w:p w14:paraId="2CF06E8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）厂内设备噪声污染源采取相应治理措施，使厂界噪声低于《工业企业厂界环境噪声排放标准》(GB12348-2008)表1的</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类排放限值。</w:t>
      </w:r>
    </w:p>
    <w:p w14:paraId="5B502A14">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val="en-US" w:eastAsia="zh-CN"/>
        </w:rPr>
        <w:t>）加强厂区环境质量的监测，将监测结果及时反馈回生产调度管理，使生产过程出现的不正常现象能够得以及时准确的纠正。</w:t>
      </w:r>
    </w:p>
    <w:p w14:paraId="24216B2B">
      <w:pPr>
        <w:pStyle w:val="8"/>
        <w:bidi w:val="0"/>
        <w:rPr>
          <w:rFonts w:hint="default" w:ascii="Times New Roman" w:hAnsi="Times New Roman" w:eastAsia="宋体" w:cs="Times New Roman"/>
          <w:color w:val="auto"/>
          <w:u w:val="none" w:color="auto"/>
          <w:lang w:val="en-US" w:eastAsia="zh-CN"/>
        </w:rPr>
      </w:pPr>
      <w:bookmarkStart w:id="1476" w:name="_Toc14707"/>
      <w:bookmarkStart w:id="1477" w:name="_Toc762"/>
      <w:bookmarkStart w:id="1478" w:name="_Toc9103"/>
      <w:bookmarkStart w:id="1479" w:name="_Toc1872"/>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.1.3经济损益分析</w:t>
      </w:r>
      <w:bookmarkEnd w:id="1476"/>
      <w:bookmarkEnd w:id="1477"/>
      <w:bookmarkEnd w:id="1478"/>
      <w:bookmarkEnd w:id="1479"/>
    </w:p>
    <w:p w14:paraId="10D19994">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（1）环保投资经济负效益分析</w:t>
      </w:r>
    </w:p>
    <w:p w14:paraId="68ECDE51">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lang w:bidi="ar"/>
        </w:rPr>
        <w:t>本项目环保投资</w:t>
      </w:r>
      <w:r>
        <w:rPr>
          <w:rFonts w:hint="eastAsia" w:ascii="Times New Roman" w:hAnsi="Times New Roman" w:cs="Times New Roman"/>
          <w:color w:val="auto"/>
          <w:sz w:val="24"/>
          <w:u w:val="none" w:color="auto"/>
          <w:lang w:val="en-US" w:eastAsia="zh-CN" w:bidi="ar"/>
        </w:rPr>
        <w:t>52</w:t>
      </w:r>
      <w:r>
        <w:rPr>
          <w:rFonts w:hint="eastAsia" w:cs="Times New Roman"/>
          <w:color w:val="auto"/>
          <w:sz w:val="24"/>
          <w:u w:val="none" w:color="auto"/>
          <w:lang w:val="en-US" w:eastAsia="zh-CN" w:bidi="ar"/>
        </w:rPr>
        <w:t>万</w:t>
      </w:r>
      <w:r>
        <w:rPr>
          <w:rFonts w:hint="default" w:ascii="Times New Roman" w:hAnsi="Times New Roman" w:cs="Times New Roman"/>
          <w:color w:val="auto"/>
          <w:sz w:val="24"/>
          <w:u w:val="none" w:color="auto"/>
          <w:lang w:bidi="ar"/>
        </w:rPr>
        <w:t>元，占总投资的</w:t>
      </w:r>
      <w:r>
        <w:rPr>
          <w:rFonts w:hint="eastAsia" w:cs="Times New Roman"/>
          <w:color w:val="auto"/>
          <w:sz w:val="24"/>
          <w:u w:val="none" w:color="auto"/>
          <w:lang w:val="en-US" w:eastAsia="zh-CN" w:bidi="ar"/>
        </w:rPr>
        <w:t>5.2</w:t>
      </w:r>
      <w:r>
        <w:rPr>
          <w:rFonts w:hint="default" w:ascii="Times New Roman" w:hAnsi="Times New Roman" w:cs="Times New Roman"/>
          <w:color w:val="auto"/>
          <w:sz w:val="24"/>
          <w:u w:val="none" w:color="auto"/>
          <w:lang w:bidi="ar"/>
        </w:rPr>
        <w:t>%</w:t>
      </w:r>
      <w:r>
        <w:rPr>
          <w:rFonts w:hint="default" w:ascii="Times New Roman" w:hAnsi="Times New Roman" w:cs="Times New Roman"/>
          <w:color w:val="auto"/>
          <w:sz w:val="24"/>
          <w:u w:val="none" w:color="auto"/>
          <w:lang w:eastAsia="zh-CN" w:bidi="ar"/>
        </w:rPr>
        <w:t>，</w:t>
      </w:r>
      <w:r>
        <w:rPr>
          <w:rFonts w:hint="default" w:ascii="Times New Roman" w:hAnsi="Times New Roman" w:cs="Times New Roman"/>
          <w:color w:val="auto"/>
          <w:u w:val="none" w:color="auto"/>
          <w:lang w:val="en-US" w:eastAsia="zh-CN"/>
        </w:rPr>
        <w:t>每年的环保运行费用约</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eastAsia="zh-CN"/>
        </w:rPr>
        <w:t>0万元，纳入企业经济核算中，增加了产品的成本。</w:t>
      </w:r>
    </w:p>
    <w:p w14:paraId="2DF1F65D">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（2）环保投资环境效益分析</w:t>
      </w:r>
    </w:p>
    <w:p w14:paraId="0641CEEA">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年环保费用的经济效益，可用有效的环保治理措施而挽回的经济损失与保证这一效益而每年投入的环保费用之比来确定。</w:t>
      </w:r>
    </w:p>
    <w:p w14:paraId="73E0FC15">
      <w:pPr>
        <w:pStyle w:val="21"/>
        <w:bidi w:val="0"/>
        <w:ind w:left="0" w:leftChars="0" w:firstLine="0" w:firstLineChars="0"/>
        <w:jc w:val="center"/>
        <w:rPr>
          <w:rFonts w:hint="default" w:ascii="Times New Roman" w:hAnsi="Times New Roman" w:cs="Times New Roman"/>
          <w:color w:val="auto"/>
          <w:u w:val="none" w:color="auto"/>
        </w:rPr>
      </w:pPr>
      <w:r>
        <w:rPr>
          <w:rFonts w:hint="default" w:ascii="Times New Roman" w:hAnsi="Times New Roman" w:cs="Times New Roman"/>
          <w:color w:val="auto"/>
          <w:position w:val="-32"/>
          <w:u w:val="none" w:color="auto"/>
        </w:rPr>
        <w:object>
          <v:shape id="_x0000_i1050" o:spt="75" type="#_x0000_t75" style="height:54pt;width:55pt;" o:ole="t" filled="f" o:preferrelative="t" stroked="f" coordsize="21600,21600">
            <v:path/>
            <v:fill on="f" focussize="0,0"/>
            <v:stroke on="f"/>
            <v:imagedata r:id="rId49" o:title=""/>
            <o:lock v:ext="edit" aspectratio="t"/>
            <w10:wrap type="none"/>
            <w10:anchorlock/>
          </v:shape>
          <o:OLEObject Type="Embed" ProgID="Equation.KSEE3" ShapeID="_x0000_i1050" DrawAspect="Content" ObjectID="_1468075735" r:id="rId48">
            <o:LockedField>false</o:LockedField>
          </o:OLEObject>
        </w:object>
      </w:r>
    </w:p>
    <w:p w14:paraId="1D5EE38D">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式中：</w:t>
      </w:r>
    </w:p>
    <w:p w14:paraId="60FAF028">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Z</w:t>
      </w:r>
      <w:r>
        <w:rPr>
          <w:rFonts w:hint="default" w:ascii="Times New Roman" w:hAnsi="Times New Roman" w:cs="Times New Roman"/>
          <w:color w:val="auto"/>
          <w:u w:val="none" w:color="auto"/>
          <w:vertAlign w:val="subscript"/>
          <w:lang w:val="en-US" w:eastAsia="zh-CN"/>
        </w:rPr>
        <w:t>j</w:t>
      </w:r>
      <w:r>
        <w:rPr>
          <w:rFonts w:hint="default" w:ascii="Times New Roman" w:hAnsi="Times New Roman" w:cs="Times New Roman"/>
          <w:color w:val="auto"/>
          <w:u w:val="none" w:color="auto"/>
          <w:lang w:val="en-US" w:eastAsia="zh-CN"/>
        </w:rPr>
        <w:t>—年环保费用的经济效益；</w:t>
      </w:r>
    </w:p>
    <w:p w14:paraId="0B2B21D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S</w:t>
      </w:r>
      <w:r>
        <w:rPr>
          <w:rFonts w:hint="default" w:ascii="Times New Roman" w:hAnsi="Times New Roman" w:cs="Times New Roman"/>
          <w:color w:val="auto"/>
          <w:u w:val="none" w:color="auto"/>
          <w:vertAlign w:val="subscript"/>
          <w:lang w:val="en-US" w:eastAsia="zh-CN"/>
        </w:rPr>
        <w:t>i</w:t>
      </w:r>
      <w:r>
        <w:rPr>
          <w:rFonts w:hint="default" w:ascii="Times New Roman" w:hAnsi="Times New Roman" w:cs="Times New Roman"/>
          <w:color w:val="auto"/>
          <w:u w:val="none" w:color="auto"/>
          <w:lang w:val="en-US" w:eastAsia="zh-CN"/>
        </w:rPr>
        <w:t>—由于防止污染而挽回的经济价值；</w:t>
      </w:r>
    </w:p>
    <w:p w14:paraId="69541E40">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H</w:t>
      </w:r>
      <w:r>
        <w:rPr>
          <w:rFonts w:hint="default" w:ascii="Times New Roman" w:hAnsi="Times New Roman" w:cs="Times New Roman"/>
          <w:color w:val="auto"/>
          <w:u w:val="none" w:color="auto"/>
          <w:vertAlign w:val="subscript"/>
          <w:lang w:val="en-US" w:eastAsia="zh-CN"/>
        </w:rPr>
        <w:t>f</w:t>
      </w:r>
      <w:r>
        <w:rPr>
          <w:rFonts w:hint="default" w:ascii="Times New Roman" w:hAnsi="Times New Roman" w:cs="Times New Roman"/>
          <w:color w:val="auto"/>
          <w:u w:val="none" w:color="auto"/>
          <w:lang w:val="en-US" w:eastAsia="zh-CN"/>
        </w:rPr>
        <w:t>—年环保费用。</w:t>
      </w:r>
    </w:p>
    <w:p w14:paraId="1D5682A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根据上述分析，针对本项目建设对周围水、大气、生态及人体健康等可能造成的影响和损失，配套一系列环保设备和措施，使这些影响得以减轻，从而挽回经济损失和减轻环境污染负荷。根据类比调查，每投入1元钱的环保费用可以用货币统计出来的挽回收益在1.5～2.0元之间，因此项目环保投资可取得良好的经济效益，同时也可取得显著的社会效益和环境效益。</w:t>
      </w:r>
    </w:p>
    <w:p w14:paraId="131D8BE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企业通过污染治理，可使各项污染做到稳定达标，有助于提高整体形象，同时又是通过ISO14000认证的必备条件。企业声誉提升，社会信用度提高，订单增加，客户忠诚度提高，降低交易成本和经营风险。企业品牌形象提高，终端需求增加，提高竞争力。</w:t>
      </w:r>
    </w:p>
    <w:p w14:paraId="3280DF7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间接效益：社会责任作为企业的战略，顺应大趋势，提高企业可持续发展的能力，重塑企业文化、企业理念及培养有责任心的员工，降低管理成本，满足公众利益，更易获得公众和相关利益集团支持。以身作则形成行业的健康竞争氛围；信用价值形成良好的市场环境，有利于区域的行业声誉；区域品牌形成新的商业伦理，行业规则和社会秩序。</w:t>
      </w:r>
    </w:p>
    <w:p w14:paraId="14BAC748">
      <w:pPr>
        <w:pStyle w:val="7"/>
        <w:bidi w:val="0"/>
        <w:rPr>
          <w:rFonts w:hint="default"/>
          <w:color w:val="auto"/>
          <w:u w:val="none" w:color="auto"/>
        </w:rPr>
      </w:pPr>
      <w:bookmarkStart w:id="1480" w:name="_Toc32736"/>
      <w:bookmarkStart w:id="1481" w:name="_Toc4743"/>
      <w:bookmarkStart w:id="1482" w:name="_Toc8989"/>
      <w:bookmarkStart w:id="1483" w:name="_Toc24752"/>
      <w:r>
        <w:rPr>
          <w:rFonts w:hint="eastAsia"/>
          <w:color w:val="auto"/>
          <w:u w:val="none" w:color="auto"/>
          <w:lang w:val="en-US" w:eastAsia="zh-CN"/>
        </w:rPr>
        <w:t>7</w:t>
      </w:r>
      <w:r>
        <w:rPr>
          <w:rFonts w:hint="default"/>
          <w:color w:val="auto"/>
          <w:u w:val="none" w:color="auto"/>
        </w:rPr>
        <w:t>.</w:t>
      </w:r>
      <w:r>
        <w:rPr>
          <w:rFonts w:hint="default"/>
          <w:color w:val="auto"/>
          <w:u w:val="none" w:color="auto"/>
          <w:lang w:val="en-US" w:eastAsia="zh-CN"/>
        </w:rPr>
        <w:t>2</w:t>
      </w:r>
      <w:r>
        <w:rPr>
          <w:rFonts w:hint="default"/>
          <w:color w:val="auto"/>
          <w:u w:val="none" w:color="auto"/>
        </w:rPr>
        <w:t>社会效益分析</w:t>
      </w:r>
      <w:bookmarkEnd w:id="1480"/>
      <w:bookmarkEnd w:id="1481"/>
      <w:bookmarkEnd w:id="1482"/>
      <w:bookmarkEnd w:id="1483"/>
    </w:p>
    <w:p w14:paraId="4082EA1F">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本项目总投资</w:t>
      </w:r>
      <w:r>
        <w:rPr>
          <w:rFonts w:hint="eastAsia" w:ascii="Times New Roman" w:hAnsi="Times New Roman" w:cs="Times New Roman"/>
          <w:color w:val="auto"/>
          <w:u w:val="none" w:color="auto"/>
          <w:lang w:val="en-US" w:eastAsia="zh-CN"/>
        </w:rPr>
        <w:t>1</w:t>
      </w:r>
      <w:r>
        <w:rPr>
          <w:rFonts w:hint="eastAsia" w:cs="Times New Roman"/>
          <w:color w:val="auto"/>
          <w:u w:val="none" w:color="auto"/>
          <w:lang w:val="en-US" w:eastAsia="zh-CN"/>
        </w:rPr>
        <w:t>000</w:t>
      </w:r>
      <w:r>
        <w:rPr>
          <w:rFonts w:hint="default" w:ascii="Times New Roman" w:hAnsi="Times New Roman" w:cs="Times New Roman"/>
          <w:color w:val="auto"/>
          <w:u w:val="none" w:color="auto"/>
          <w:lang w:val="en-US" w:eastAsia="zh-CN"/>
        </w:rPr>
        <w:t>万元，产品为</w:t>
      </w:r>
      <w:r>
        <w:rPr>
          <w:rFonts w:hint="eastAsia"/>
          <w:b w:val="0"/>
          <w:bCs w:val="0"/>
          <w:color w:val="auto"/>
          <w:u w:val="none" w:color="auto"/>
          <w:lang w:val="en-US" w:eastAsia="zh-CN"/>
        </w:rPr>
        <w:t>年产20万套锂电池石墨匣钵</w:t>
      </w:r>
      <w:r>
        <w:rPr>
          <w:rFonts w:hint="default" w:ascii="Times New Roman" w:hAnsi="Times New Roman" w:cs="Times New Roman"/>
          <w:color w:val="auto"/>
          <w:u w:val="none" w:color="auto"/>
          <w:lang w:val="en-US" w:eastAsia="zh-CN"/>
        </w:rPr>
        <w:t>。</w:t>
      </w:r>
    </w:p>
    <w:p w14:paraId="2B719F5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投产后除企业自身获得良好的经济效益，而且间接地创造了一定的社会效益；产生良好的社会效益。本项目的建设不但能使企业投资、经营者获得经济效益，国家还可以通过对企业收取税收、管理费等手段获得较好的经济效益。</w:t>
      </w:r>
    </w:p>
    <w:p w14:paraId="04819AF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本项目的建成及运营，不仅可产生较好的经济，对当地的经济发展有一定的促进作用，具有显著的社会与经济效益。</w:t>
      </w:r>
    </w:p>
    <w:p w14:paraId="68BFE33D">
      <w:pPr>
        <w:pStyle w:val="7"/>
        <w:bidi w:val="0"/>
        <w:rPr>
          <w:rFonts w:hint="default"/>
          <w:color w:val="auto"/>
          <w:u w:val="none" w:color="auto"/>
        </w:rPr>
      </w:pPr>
      <w:bookmarkStart w:id="1484" w:name="_Toc4811"/>
      <w:bookmarkStart w:id="1485" w:name="_Toc14889"/>
      <w:bookmarkStart w:id="1486" w:name="_Toc9264"/>
      <w:bookmarkStart w:id="1487" w:name="_Toc8342"/>
      <w:r>
        <w:rPr>
          <w:rFonts w:hint="eastAsia"/>
          <w:color w:val="auto"/>
          <w:u w:val="none" w:color="auto"/>
          <w:lang w:val="en-US" w:eastAsia="zh-CN"/>
        </w:rPr>
        <w:t>7</w:t>
      </w:r>
      <w:r>
        <w:rPr>
          <w:rFonts w:hint="default"/>
          <w:color w:val="auto"/>
          <w:u w:val="none" w:color="auto"/>
        </w:rPr>
        <w:t>.</w:t>
      </w:r>
      <w:r>
        <w:rPr>
          <w:rFonts w:hint="default"/>
          <w:color w:val="auto"/>
          <w:u w:val="none" w:color="auto"/>
          <w:lang w:val="en-US" w:eastAsia="zh-CN"/>
        </w:rPr>
        <w:t>3</w:t>
      </w:r>
      <w:r>
        <w:rPr>
          <w:rFonts w:hint="default"/>
          <w:color w:val="auto"/>
          <w:u w:val="none" w:color="auto"/>
        </w:rPr>
        <w:t>综合分析</w:t>
      </w:r>
      <w:bookmarkEnd w:id="1484"/>
      <w:bookmarkEnd w:id="1485"/>
      <w:bookmarkEnd w:id="1486"/>
      <w:bookmarkEnd w:id="1487"/>
    </w:p>
    <w:p w14:paraId="0232E0E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lang w:bidi="ar"/>
        </w:rPr>
        <w:t>本项目环保投资</w:t>
      </w:r>
      <w:r>
        <w:rPr>
          <w:rFonts w:hint="eastAsia" w:ascii="Times New Roman" w:hAnsi="Times New Roman" w:cs="Times New Roman"/>
          <w:color w:val="auto"/>
          <w:sz w:val="24"/>
          <w:u w:val="none" w:color="auto"/>
          <w:lang w:val="en-US" w:eastAsia="zh-CN" w:bidi="ar"/>
        </w:rPr>
        <w:t>52</w:t>
      </w:r>
      <w:r>
        <w:rPr>
          <w:rFonts w:hint="default" w:ascii="Times New Roman" w:hAnsi="Times New Roman" w:cs="Times New Roman"/>
          <w:color w:val="auto"/>
          <w:sz w:val="24"/>
          <w:u w:val="none" w:color="auto"/>
          <w:lang w:bidi="ar"/>
        </w:rPr>
        <w:t>万元，占总投资的</w:t>
      </w:r>
      <w:r>
        <w:rPr>
          <w:rFonts w:hint="eastAsia" w:cs="Times New Roman"/>
          <w:color w:val="auto"/>
          <w:sz w:val="24"/>
          <w:u w:val="none" w:color="auto"/>
          <w:lang w:val="en-US" w:eastAsia="zh-CN" w:bidi="ar"/>
        </w:rPr>
        <w:t>5.2</w:t>
      </w:r>
      <w:r>
        <w:rPr>
          <w:rFonts w:hint="default" w:ascii="Times New Roman" w:hAnsi="Times New Roman" w:cs="Times New Roman"/>
          <w:color w:val="auto"/>
          <w:sz w:val="24"/>
          <w:u w:val="none" w:color="auto"/>
          <w:lang w:bidi="ar"/>
        </w:rPr>
        <w:t>%</w:t>
      </w:r>
      <w:r>
        <w:rPr>
          <w:rFonts w:hint="default" w:ascii="Times New Roman" w:hAnsi="Times New Roman" w:cs="Times New Roman"/>
          <w:color w:val="auto"/>
          <w:u w:val="none" w:color="auto"/>
        </w:rPr>
        <w:t>。</w:t>
      </w:r>
    </w:p>
    <w:p w14:paraId="6A59915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工程的建设和正常运作，不仅可以给企业带来直接的经济效益，改善企业与附近居民的关系，使企业更顺利地运作，从环境保护角度来讲，更重要的是将对保护生态环境、水环境、大气环境以及确保附近居民和企业职工的身心健康起到很大的作用，具有较大的环境效益和社会效益。</w:t>
      </w:r>
    </w:p>
    <w:p w14:paraId="546D6E7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综上所述，该建设项目的建成具有较好的经济效益、社会效益和环境效益，从环境经济角度来看本项目是可行的。</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ED8E4C9">
      <w:pPr>
        <w:pStyle w:val="6"/>
        <w:bidi w:val="0"/>
        <w:rPr>
          <w:rFonts w:hint="default" w:ascii="Times New Roman" w:hAnsi="Times New Roman" w:eastAsia="宋体" w:cs="Times New Roman"/>
          <w:bCs/>
          <w:color w:val="auto"/>
          <w:kern w:val="0"/>
          <w:szCs w:val="36"/>
          <w:u w:val="none" w:color="auto"/>
          <w:lang w:eastAsia="zh-CN"/>
        </w:rPr>
      </w:pPr>
      <w:bookmarkStart w:id="1488" w:name="_Toc481738548"/>
      <w:r>
        <w:rPr>
          <w:rFonts w:hint="default" w:ascii="Times New Roman" w:hAnsi="Times New Roman" w:eastAsia="宋体" w:cs="Times New Roman"/>
          <w:color w:val="auto"/>
          <w:sz w:val="24"/>
          <w:szCs w:val="24"/>
          <w:u w:val="none" w:color="auto"/>
        </w:rPr>
        <w:br w:type="page"/>
      </w:r>
      <w:bookmarkStart w:id="1489" w:name="_Toc14507"/>
      <w:bookmarkStart w:id="1490" w:name="_Toc26256"/>
      <w:bookmarkStart w:id="1491" w:name="_Toc21741"/>
      <w:bookmarkStart w:id="1492" w:name="_Toc18692"/>
      <w:bookmarkStart w:id="1493" w:name="_Toc22646_WPSOffice_Level1"/>
      <w:bookmarkStart w:id="1494" w:name="_Toc23780_WPSOffice_Level1"/>
      <w:bookmarkStart w:id="1495" w:name="_Toc20813"/>
      <w:bookmarkStart w:id="1496" w:name="_Toc32721"/>
      <w:bookmarkStart w:id="1497" w:name="_Toc8385_WPSOffice_Level1"/>
      <w:bookmarkStart w:id="1498" w:name="_Toc6877_WPSOffice_Level1"/>
      <w:bookmarkStart w:id="1499" w:name="_Toc21803"/>
      <w:bookmarkStart w:id="1500" w:name="_Toc28714_WPSOffice_Level1"/>
      <w:r>
        <w:rPr>
          <w:rFonts w:hint="eastAsia" w:ascii="Times New Roman" w:hAnsi="Times New Roman" w:eastAsia="宋体" w:cs="Times New Roman"/>
          <w:color w:val="auto"/>
          <w:sz w:val="24"/>
          <w:szCs w:val="24"/>
          <w:u w:val="none" w:color="auto"/>
          <w:lang w:val="en-US" w:eastAsia="zh-CN"/>
        </w:rPr>
        <w:t>8</w:t>
      </w:r>
      <w:r>
        <w:rPr>
          <w:rStyle w:val="51"/>
          <w:rFonts w:hint="default"/>
          <w:b/>
          <w:color w:val="auto"/>
          <w:u w:val="none" w:color="auto"/>
        </w:rPr>
        <w:t>、环境管理与监测</w:t>
      </w:r>
      <w:r>
        <w:rPr>
          <w:rStyle w:val="51"/>
          <w:rFonts w:hint="default"/>
          <w:b/>
          <w:color w:val="auto"/>
          <w:u w:val="none" w:color="auto"/>
          <w:lang w:eastAsia="zh-CN"/>
        </w:rPr>
        <w:t>计划</w:t>
      </w:r>
      <w:bookmarkEnd w:id="1489"/>
      <w:bookmarkEnd w:id="1490"/>
      <w:bookmarkEnd w:id="1491"/>
      <w:bookmarkEnd w:id="1492"/>
    </w:p>
    <w:p w14:paraId="6FD204AB">
      <w:pPr>
        <w:pStyle w:val="7"/>
        <w:bidi w:val="0"/>
        <w:rPr>
          <w:rFonts w:hint="default"/>
          <w:color w:val="auto"/>
          <w:u w:val="none" w:color="auto"/>
        </w:rPr>
      </w:pPr>
      <w:bookmarkStart w:id="1501" w:name="_Toc13477"/>
      <w:bookmarkStart w:id="1502" w:name="_Toc7262"/>
      <w:bookmarkStart w:id="1503" w:name="_Toc30913"/>
      <w:bookmarkStart w:id="1504" w:name="_Toc29385"/>
      <w:r>
        <w:rPr>
          <w:rFonts w:hint="eastAsia"/>
          <w:color w:val="auto"/>
          <w:u w:val="none" w:color="auto"/>
          <w:lang w:val="en-US" w:eastAsia="zh-CN"/>
        </w:rPr>
        <w:t>8</w:t>
      </w:r>
      <w:r>
        <w:rPr>
          <w:rFonts w:hint="default"/>
          <w:color w:val="auto"/>
          <w:u w:val="none" w:color="auto"/>
        </w:rPr>
        <w:t>.1环境管理</w:t>
      </w:r>
      <w:bookmarkEnd w:id="1501"/>
      <w:bookmarkEnd w:id="1502"/>
      <w:bookmarkEnd w:id="1503"/>
      <w:bookmarkEnd w:id="1504"/>
    </w:p>
    <w:p w14:paraId="506636A3">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是项目建设管理工作的重要组成部分，其主要目的是通过开展环境管理工作，促进项目建设单位和管理单位积极、主动地预防和控制各类环境问题的产生与扩散，促进项目建设生态环境的良性循环。制定出详尽的环境管理监控计划并加以贯彻实施，可以避免因管理不善而可能产生的各种环境污染和环境风险。为此，在项目施工建设及投入运营期间，应贯彻落实国家、地方政府制定的有关法规，正确处理好项目建设、发展与环境保护的协调关系，从而真正使项目的建设达到可持续发展的战略目标。</w:t>
      </w:r>
    </w:p>
    <w:p w14:paraId="546112A1">
      <w:pPr>
        <w:pStyle w:val="8"/>
        <w:bidi w:val="0"/>
        <w:rPr>
          <w:rFonts w:hint="default" w:ascii="Times New Roman" w:hAnsi="Times New Roman" w:eastAsia="宋体" w:cs="Times New Roman"/>
          <w:color w:val="auto"/>
          <w:u w:val="none" w:color="auto"/>
          <w:lang w:val="en-US" w:eastAsia="zh-CN"/>
        </w:rPr>
      </w:pPr>
      <w:bookmarkStart w:id="1505" w:name="_Toc22783"/>
      <w:bookmarkStart w:id="1506" w:name="_Toc24832"/>
      <w:bookmarkStart w:id="1507" w:name="_Toc12818"/>
      <w:bookmarkStart w:id="1508" w:name="_Toc14844"/>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.1.1环境保护管理目标</w:t>
      </w:r>
      <w:bookmarkEnd w:id="1505"/>
      <w:bookmarkEnd w:id="1506"/>
      <w:bookmarkEnd w:id="1507"/>
      <w:bookmarkEnd w:id="1508"/>
    </w:p>
    <w:p w14:paraId="6AFDCF35">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将本项目在营运阶段可能对环境造成的不良影响减少到最小程度，使本项目建成运行后，能取得最大的社会效益、环境效益和经济效益。</w:t>
      </w:r>
    </w:p>
    <w:bookmarkEnd w:id="1488"/>
    <w:bookmarkEnd w:id="1493"/>
    <w:bookmarkEnd w:id="1494"/>
    <w:bookmarkEnd w:id="1495"/>
    <w:bookmarkEnd w:id="1496"/>
    <w:bookmarkEnd w:id="1497"/>
    <w:bookmarkEnd w:id="1498"/>
    <w:bookmarkEnd w:id="1499"/>
    <w:bookmarkEnd w:id="1500"/>
    <w:p w14:paraId="054DD0F1">
      <w:pPr>
        <w:pStyle w:val="8"/>
        <w:bidi w:val="0"/>
        <w:rPr>
          <w:rFonts w:hint="default" w:ascii="Times New Roman" w:hAnsi="Times New Roman" w:eastAsia="宋体" w:cs="Times New Roman"/>
          <w:color w:val="auto"/>
          <w:u w:val="none" w:color="auto"/>
          <w:lang w:val="en-US" w:eastAsia="zh-CN"/>
        </w:rPr>
      </w:pPr>
      <w:bookmarkStart w:id="1509" w:name="_Toc2669"/>
      <w:bookmarkStart w:id="1510" w:name="_Toc11603"/>
      <w:bookmarkStart w:id="1511" w:name="_Toc26322"/>
      <w:bookmarkStart w:id="1512" w:name="_Toc19921"/>
      <w:bookmarkStart w:id="1513" w:name="_Toc2635_WPSOffice_Level1"/>
      <w:bookmarkStart w:id="1514" w:name="_Toc13975"/>
      <w:bookmarkStart w:id="1515" w:name="_Toc23706"/>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.1.2环境管理机构设置</w:t>
      </w:r>
      <w:bookmarkEnd w:id="1509"/>
      <w:bookmarkEnd w:id="1510"/>
      <w:bookmarkEnd w:id="1511"/>
      <w:bookmarkEnd w:id="1512"/>
    </w:p>
    <w:p w14:paraId="5862793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根据项目的实际情况，应设置环境管理机构，其基本任务是以保护环境和风险防范为目标，采用技术、经济、法律和行政等手段相结合的办法，保证污染治理设施的建设和正常运行，促进生产的发展。</w:t>
      </w:r>
    </w:p>
    <w:p w14:paraId="7E05E79F">
      <w:pPr>
        <w:pStyle w:val="8"/>
        <w:bidi w:val="0"/>
        <w:rPr>
          <w:rFonts w:hint="default" w:ascii="Times New Roman" w:hAnsi="Times New Roman" w:eastAsia="宋体" w:cs="Times New Roman"/>
          <w:color w:val="auto"/>
          <w:u w:val="none" w:color="auto"/>
          <w:lang w:val="en-US" w:eastAsia="zh-CN"/>
        </w:rPr>
      </w:pPr>
      <w:bookmarkStart w:id="1516" w:name="_Toc3997"/>
      <w:bookmarkStart w:id="1517" w:name="_Toc6307"/>
      <w:bookmarkStart w:id="1518" w:name="_Toc18982"/>
      <w:bookmarkStart w:id="1519" w:name="_Toc28985"/>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.1.3环境管理机构的职责</w:t>
      </w:r>
      <w:bookmarkEnd w:id="1516"/>
      <w:bookmarkEnd w:id="1517"/>
      <w:bookmarkEnd w:id="1518"/>
      <w:bookmarkEnd w:id="1519"/>
    </w:p>
    <w:p w14:paraId="599F2FFD">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项目建成运行后设置环境管理机构，环境管理部门应设置专门环境管理人员。项目设立环境管理机构主要职责如下：</w:t>
      </w:r>
    </w:p>
    <w:p w14:paraId="13C28B2F">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（1）全面贯彻落实</w:t>
      </w:r>
      <w:r>
        <w:rPr>
          <w:rFonts w:hint="default" w:ascii="Times New Roman" w:hAnsi="Times New Roman" w:eastAsia="宋体" w:cs="Times New Roman"/>
          <w:color w:val="auto"/>
          <w:u w:val="none" w:color="auto"/>
          <w:lang w:val="en-US" w:eastAsia="zh-CN"/>
        </w:rPr>
        <w:t>“</w:t>
      </w:r>
      <w:r>
        <w:rPr>
          <w:rFonts w:hint="default" w:ascii="Times New Roman" w:hAnsi="Times New Roman" w:cs="Times New Roman"/>
          <w:color w:val="auto"/>
          <w:u w:val="none" w:color="auto"/>
          <w:lang w:val="en-US" w:eastAsia="zh-CN"/>
        </w:rPr>
        <w:t>保护和改善生产环境与生态环境，防治污染和其它公害</w:t>
      </w:r>
      <w:r>
        <w:rPr>
          <w:rFonts w:hint="default" w:ascii="Times New Roman" w:hAnsi="Times New Roman" w:eastAsia="宋体" w:cs="Times New Roman"/>
          <w:color w:val="auto"/>
          <w:u w:val="none" w:color="auto"/>
          <w:lang w:val="en-US" w:eastAsia="zh-CN"/>
        </w:rPr>
        <w:t>”</w:t>
      </w:r>
      <w:r>
        <w:rPr>
          <w:rFonts w:hint="default" w:ascii="Times New Roman" w:hAnsi="Times New Roman" w:cs="Times New Roman"/>
          <w:color w:val="auto"/>
          <w:u w:val="none" w:color="auto"/>
          <w:lang w:val="en-US" w:eastAsia="zh-CN"/>
        </w:rPr>
        <w:t>等环境保护基本国策的要求，认真、全面地做好工程项目环境污染防治和当地生态环境保护的工作。</w:t>
      </w:r>
    </w:p>
    <w:p w14:paraId="7BBA9969">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（2）按照环境保护部门给本企业下达的环境保护目标责任书，结合企业实际情况，制定出本企业的环境保护目标和实施措施，落实到企业年度计划，并作为评定企业指标完成情况的依据之一。</w:t>
      </w:r>
    </w:p>
    <w:p w14:paraId="4966CB8F">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（3）监督本工程环保措施的落实，确保建设项目主体工程与环保措施同时投入使用；做好环保设施运行管理和维修工作，保证各项环保设施正常运行，确保治理效果。建立并管理好环保设施的档案资料。</w:t>
      </w:r>
    </w:p>
    <w:p w14:paraId="03FDD114">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（4）负责建立和健全企业内部环境保护目标责任制度和考核制度，严格考核各环保处理设施的处理效果，要有相应的奖惩制度。</w:t>
      </w:r>
    </w:p>
    <w:p w14:paraId="54AB210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（5）进一步</w:t>
      </w:r>
      <w:r>
        <w:rPr>
          <w:rFonts w:hint="eastAsia" w:ascii="Times New Roman" w:hAnsi="Times New Roman" w:cs="Times New Roman"/>
          <w:color w:val="auto"/>
          <w:u w:val="none" w:color="auto"/>
          <w:lang w:val="en-US" w:eastAsia="zh-CN"/>
        </w:rPr>
        <w:t>做</w:t>
      </w:r>
      <w:r>
        <w:rPr>
          <w:rFonts w:hint="default" w:ascii="Times New Roman" w:hAnsi="Times New Roman" w:cs="Times New Roman"/>
          <w:color w:val="auto"/>
          <w:u w:val="none" w:color="auto"/>
          <w:lang w:val="en-US" w:eastAsia="zh-CN"/>
        </w:rPr>
        <w:t>好废水、废气、噪声污染防治和固体废物的综合利用工作。</w:t>
      </w:r>
    </w:p>
    <w:p w14:paraId="72C1B19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6）定期委托当地环境监测部门开展厂区环境监测；对环境监测结果进行统计分析，了解掌握工艺中的排污动态，发现异常要及时查找原因并及时改正，确保企业能够按国家和地方法规标准合格排放，并反馈给生产部门，防止污染事故发生。厂区内还应配套建设化验室，并配备相应的仪器设备。</w:t>
      </w:r>
    </w:p>
    <w:p w14:paraId="1B18EC5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（7）宣传并贯彻、执行国家和地方的有关环</w:t>
      </w:r>
      <w:r>
        <w:rPr>
          <w:rFonts w:hint="default" w:ascii="Times New Roman" w:hAnsi="Times New Roman" w:eastAsia="宋体" w:cs="Times New Roman"/>
          <w:color w:val="auto"/>
          <w:kern w:val="0"/>
          <w:szCs w:val="24"/>
          <w:u w:val="none" w:color="auto"/>
          <w:lang w:val="en-US" w:eastAsia="zh-CN" w:bidi="ar"/>
        </w:rPr>
        <w:t>保法规。开展环保技术培训，</w:t>
      </w:r>
      <w:r>
        <w:rPr>
          <w:rFonts w:hint="default" w:ascii="Times New Roman" w:hAnsi="Times New Roman" w:eastAsia="宋体" w:cs="Times New Roman"/>
          <w:color w:val="auto"/>
          <w:kern w:val="0"/>
          <w:sz w:val="24"/>
          <w:szCs w:val="24"/>
          <w:u w:val="none" w:color="auto"/>
          <w:lang w:val="en-US" w:eastAsia="zh-CN" w:bidi="ar"/>
        </w:rPr>
        <w:t>提高职工的环保意识和技术水平。</w:t>
      </w:r>
    </w:p>
    <w:p w14:paraId="7218FDBF">
      <w:pPr>
        <w:pStyle w:val="8"/>
        <w:bidi w:val="0"/>
        <w:rPr>
          <w:rFonts w:hint="default" w:ascii="Times New Roman" w:hAnsi="Times New Roman" w:eastAsia="宋体" w:cs="Times New Roman"/>
          <w:color w:val="auto"/>
          <w:u w:val="none" w:color="auto"/>
          <w:lang w:val="en-US" w:eastAsia="zh-CN"/>
        </w:rPr>
      </w:pPr>
      <w:bookmarkStart w:id="1520" w:name="_Toc1367"/>
      <w:bookmarkStart w:id="1521" w:name="_Toc31579"/>
      <w:bookmarkStart w:id="1522" w:name="_Toc19844"/>
      <w:bookmarkStart w:id="1523" w:name="_Toc22710"/>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.1.4环境管理规章制度</w:t>
      </w:r>
      <w:bookmarkEnd w:id="1520"/>
      <w:bookmarkEnd w:id="1521"/>
      <w:bookmarkEnd w:id="1522"/>
      <w:bookmarkEnd w:id="1523"/>
    </w:p>
    <w:p w14:paraId="5B52BBA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建立健全必要的环境管理规章制度，并把它作为企业领导和全体职工必须严格遵守的一种规范和准则。各项规章制度要体现环境管理的任务、内容和准则，使环境管理的特点和要求渗透到企业的各项管理工作之中。</w:t>
      </w:r>
    </w:p>
    <w:p w14:paraId="5AB615CE">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推行以清洁生产为目标的生产岗位责任制和考核制，对各车间、工段、班组实行责任承包制，制定各生产岗位的责任和详细的考核指标，把污染物处理量、处理成本、运行正常率和污染事故率等都列为考核指标，使其制度化。</w:t>
      </w:r>
    </w:p>
    <w:p w14:paraId="7640A56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制定各环保设施操作规程，定期维修制度，使各项环保设施在生产过程中处于良好的运行状态。加强对环保设施的运行管理，对运行情况实行监测、记录、汇报制度。如环保设施出现故障，应立即停产检修，严禁非正常排放。</w:t>
      </w:r>
    </w:p>
    <w:p w14:paraId="6CE09E6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（3）对技术工作进行上岗前的环保知识法规、风险防范教育及操作规范的培训，使各项环保设施的操作规范化，保证环保设施的正常运转。</w:t>
      </w:r>
    </w:p>
    <w:p w14:paraId="1935951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（4）加强环境监测工作，重点是对污染源进行定期监测，污染治理设施的日常维护制度。</w:t>
      </w:r>
    </w:p>
    <w:p w14:paraId="069CD7C1">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5）建立台账管理制度是提高环境管理水平的一种有效途径，台账种类是否齐全、内容是否完善，直接反应企业对环境管理的认识程度。在台帐资料的记录、整理和积累过程中能够起到自我督促、强化管理的作用。台账录入要及时、准确、清晰，便于查看。台账要专人录入，数据、信息、记录内容要真实，与实际相符。台账要设专人管理，定点存放。无关人员不得随意移动、查看。重要台账必须纸版与电子版两种形式保存。定期对台账数据进行审核，定期检查台账录入内容，确保台账数据的准确性、及时性和完整性。安全环保台账应与其他台账分开放置，由环境管理专员亲自管理。所有台账盒签必须统一打印，名称清楚、完整。</w:t>
      </w:r>
    </w:p>
    <w:p w14:paraId="7B4F2E91">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要求本项目制定的环境管理制度有如下几个方面：</w:t>
      </w:r>
    </w:p>
    <w:p w14:paraId="1A4B290E">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① 区环境保护管理条例。</w:t>
      </w:r>
    </w:p>
    <w:p w14:paraId="619AB44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② 厂区质量管理规程。 </w:t>
      </w:r>
    </w:p>
    <w:p w14:paraId="00E8588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③ 厂区环境管理的经济责任制。 </w:t>
      </w:r>
    </w:p>
    <w:p w14:paraId="7DB0EF35">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④ 环境保护业务的管理制度。 </w:t>
      </w:r>
    </w:p>
    <w:p w14:paraId="3E6E4289">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⑤ 环境管理岗位责任制。 </w:t>
      </w:r>
    </w:p>
    <w:p w14:paraId="36E1C344">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⑥ 环境管理领导责任制。 </w:t>
      </w:r>
    </w:p>
    <w:p w14:paraId="47FB9ED3">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⑦ 环境技术管理规程。 </w:t>
      </w:r>
    </w:p>
    <w:p w14:paraId="5BFCF907">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⑧ 环境保护设施运行管理办法。 </w:t>
      </w:r>
    </w:p>
    <w:p w14:paraId="5DC9AAE2">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⑨ 厂区环境保护的年度考核制度。 </w:t>
      </w:r>
    </w:p>
    <w:p w14:paraId="1E73809D">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⑩ 风险防范措施及应急预案检查管理制度。 </w:t>
      </w:r>
    </w:p>
    <w:p w14:paraId="036572F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⑪ 环保台账管理制度。</w:t>
      </w:r>
    </w:p>
    <w:p w14:paraId="689F6AC4">
      <w:pPr>
        <w:pStyle w:val="8"/>
        <w:bidi w:val="0"/>
        <w:rPr>
          <w:rFonts w:hint="default" w:ascii="Times New Roman" w:hAnsi="Times New Roman" w:eastAsia="宋体" w:cs="Times New Roman"/>
          <w:color w:val="auto"/>
          <w:u w:val="none" w:color="auto"/>
          <w:lang w:val="en-US" w:eastAsia="zh-CN"/>
        </w:rPr>
      </w:pPr>
      <w:bookmarkStart w:id="1524" w:name="_Toc30306"/>
      <w:bookmarkStart w:id="1525" w:name="_Toc14132"/>
      <w:bookmarkStart w:id="1526" w:name="_Toc31572"/>
      <w:bookmarkStart w:id="1527" w:name="_Toc8655"/>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.1.5环境管理计划</w:t>
      </w:r>
      <w:bookmarkEnd w:id="1524"/>
      <w:bookmarkEnd w:id="1525"/>
      <w:bookmarkEnd w:id="1526"/>
      <w:bookmarkEnd w:id="1527"/>
    </w:p>
    <w:p w14:paraId="29124566">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一般情况下，各企业在各阶段都要有环境管理的具体内容，工程环境管理体系及程序具体情况见下表。</w:t>
      </w:r>
    </w:p>
    <w:p w14:paraId="3AE5D611">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w:t>
      </w:r>
      <w:r>
        <w:rPr>
          <w:rFonts w:hint="default"/>
          <w:color w:val="auto"/>
          <w:u w:val="none" w:color="auto"/>
        </w:rPr>
        <w:t>.1-1工程环境管理体系及程序示意表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8"/>
        <w:gridCol w:w="3398"/>
        <w:gridCol w:w="2256"/>
        <w:gridCol w:w="1952"/>
      </w:tblGrid>
      <w:tr w14:paraId="24908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8" w:type="dxa"/>
            <w:noWrap w:val="0"/>
            <w:vAlign w:val="center"/>
          </w:tcPr>
          <w:p w14:paraId="5178276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p>
          <w:p w14:paraId="4F7543F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3398" w:type="dxa"/>
            <w:noWrap w:val="0"/>
            <w:vAlign w:val="center"/>
          </w:tcPr>
          <w:p w14:paraId="35D72F5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环境保护内容</w:t>
            </w:r>
          </w:p>
        </w:tc>
        <w:tc>
          <w:tcPr>
            <w:tcW w:w="2256" w:type="dxa"/>
            <w:noWrap w:val="0"/>
            <w:vAlign w:val="center"/>
          </w:tcPr>
          <w:p w14:paraId="619C53F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环保措施执行单位</w:t>
            </w:r>
          </w:p>
        </w:tc>
        <w:tc>
          <w:tcPr>
            <w:tcW w:w="1952" w:type="dxa"/>
            <w:noWrap w:val="0"/>
            <w:vAlign w:val="center"/>
          </w:tcPr>
          <w:p w14:paraId="4731FD5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环境保护管理</w:t>
            </w:r>
          </w:p>
          <w:p w14:paraId="05758557">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监督部门</w:t>
            </w:r>
          </w:p>
        </w:tc>
      </w:tr>
      <w:tr w14:paraId="5FCDD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8" w:type="dxa"/>
            <w:noWrap w:val="0"/>
            <w:vAlign w:val="center"/>
          </w:tcPr>
          <w:p w14:paraId="0704888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w:t>
            </w:r>
          </w:p>
        </w:tc>
        <w:tc>
          <w:tcPr>
            <w:tcW w:w="3398" w:type="dxa"/>
            <w:noWrap w:val="0"/>
            <w:vAlign w:val="center"/>
          </w:tcPr>
          <w:p w14:paraId="1D79E93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实施营运期环保措施、保证环保设施的正常稳定运行，负责搞好全厂环境，委托监测及环境管理</w:t>
            </w:r>
          </w:p>
        </w:tc>
        <w:tc>
          <w:tcPr>
            <w:tcW w:w="2256" w:type="dxa"/>
            <w:noWrap w:val="0"/>
            <w:vAlign w:val="center"/>
          </w:tcPr>
          <w:p w14:paraId="223D28C2">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建设单位环保机构、地方环境管理部门</w:t>
            </w:r>
          </w:p>
        </w:tc>
        <w:tc>
          <w:tcPr>
            <w:tcW w:w="1952" w:type="dxa"/>
            <w:noWrap w:val="0"/>
            <w:vAlign w:val="center"/>
          </w:tcPr>
          <w:p w14:paraId="361BBC9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地方环境管理部门</w:t>
            </w:r>
          </w:p>
        </w:tc>
      </w:tr>
    </w:tbl>
    <w:p w14:paraId="0A0DBE1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环境管理方案表见下表。</w:t>
      </w:r>
    </w:p>
    <w:p w14:paraId="111047E9">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w:t>
      </w:r>
      <w:r>
        <w:rPr>
          <w:rFonts w:hint="default"/>
          <w:color w:val="auto"/>
          <w:u w:val="none" w:color="auto"/>
        </w:rPr>
        <w:t>.1-2主要环境管理方案表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9"/>
        <w:gridCol w:w="7405"/>
      </w:tblGrid>
      <w:tr w14:paraId="243FD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4000F2E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环境问题</w:t>
            </w:r>
          </w:p>
        </w:tc>
        <w:tc>
          <w:tcPr>
            <w:tcW w:w="7405" w:type="dxa"/>
            <w:noWrap w:val="0"/>
            <w:vAlign w:val="center"/>
          </w:tcPr>
          <w:p w14:paraId="3D528AA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防治措施</w:t>
            </w:r>
          </w:p>
        </w:tc>
      </w:tr>
      <w:tr w14:paraId="36C9A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14:paraId="0F2EA40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废气排放</w:t>
            </w:r>
          </w:p>
        </w:tc>
        <w:tc>
          <w:tcPr>
            <w:tcW w:w="7405" w:type="dxa"/>
            <w:noWrap w:val="0"/>
            <w:vAlign w:val="center"/>
          </w:tcPr>
          <w:p w14:paraId="01B4B95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rPr>
              <w:t>加强废气治理系统的维护保养，使运行效率不低于设计标准和废气达标，具体要求为颗粒物、非甲烷总烃、甲醛、酚类、SO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、NOx执行《合成树脂工业污染物排放标准》（GB31572-2015）及《大气污染物综合排放标准》（GB16297-1996）标准中较严者</w:t>
            </w:r>
            <w:r>
              <w:rPr>
                <w:rFonts w:hint="default" w:ascii="Times New Roman" w:hAnsi="Times New Roman" w:cs="Times New Roman"/>
                <w:color w:val="auto"/>
                <w:u w:val="none" w:color="auto"/>
              </w:rPr>
              <w:t>。</w:t>
            </w:r>
          </w:p>
        </w:tc>
      </w:tr>
      <w:tr w14:paraId="3827F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582B4A06">
            <w:pPr>
              <w:pStyle w:val="25"/>
              <w:rPr>
                <w:rFonts w:hint="default" w:ascii="Times New Roman" w:hAnsi="Times New Roman" w:cs="Times New Roman"/>
                <w:color w:val="auto"/>
                <w:u w:val="none" w:color="auto"/>
              </w:rPr>
            </w:pPr>
          </w:p>
        </w:tc>
        <w:tc>
          <w:tcPr>
            <w:tcW w:w="7405" w:type="dxa"/>
            <w:noWrap w:val="0"/>
            <w:vAlign w:val="center"/>
          </w:tcPr>
          <w:p w14:paraId="2EC5038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制定合理的绿化方案，选择滞尘、降噪、对生产中废气排放污染物有较强抵抗和吸收能力的树种进行种植。</w:t>
            </w:r>
          </w:p>
        </w:tc>
      </w:tr>
      <w:tr w14:paraId="2CAEC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555F4F5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废水排放</w:t>
            </w:r>
          </w:p>
        </w:tc>
        <w:tc>
          <w:tcPr>
            <w:tcW w:w="7405" w:type="dxa"/>
            <w:noWrap w:val="0"/>
            <w:vAlign w:val="center"/>
          </w:tcPr>
          <w:p w14:paraId="05B5D0B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严格清污分流、雨污分流管理。</w:t>
            </w:r>
          </w:p>
        </w:tc>
      </w:tr>
      <w:tr w14:paraId="2A48F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36A8819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固体废物</w:t>
            </w:r>
          </w:p>
        </w:tc>
        <w:tc>
          <w:tcPr>
            <w:tcW w:w="7405" w:type="dxa"/>
            <w:noWrap w:val="0"/>
            <w:vAlign w:val="center"/>
          </w:tcPr>
          <w:p w14:paraId="2C24E21B">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厂区内划出暂存区，对不能及时运走的固体废物暂时贮存，防止废物泄漏。</w:t>
            </w:r>
          </w:p>
        </w:tc>
      </w:tr>
      <w:tr w14:paraId="1454B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311DC4F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环境绿化</w:t>
            </w:r>
          </w:p>
        </w:tc>
        <w:tc>
          <w:tcPr>
            <w:tcW w:w="7405" w:type="dxa"/>
            <w:noWrap w:val="0"/>
            <w:vAlign w:val="center"/>
          </w:tcPr>
          <w:p w14:paraId="21538E9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加强绿化工作，规划出厂区绿化带。</w:t>
            </w:r>
          </w:p>
        </w:tc>
      </w:tr>
      <w:tr w14:paraId="05739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14:paraId="1B921C2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环境风险</w:t>
            </w:r>
          </w:p>
        </w:tc>
        <w:tc>
          <w:tcPr>
            <w:tcW w:w="7405" w:type="dxa"/>
            <w:noWrap w:val="0"/>
            <w:vAlign w:val="center"/>
          </w:tcPr>
          <w:p w14:paraId="1A331FC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定期进行生产知识及环保知识培训，提高操作人员文化素质及环保意识。</w:t>
            </w:r>
          </w:p>
        </w:tc>
      </w:tr>
      <w:tr w14:paraId="29C68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696A85C2">
            <w:pPr>
              <w:pStyle w:val="25"/>
              <w:rPr>
                <w:rFonts w:hint="default" w:ascii="Times New Roman" w:hAnsi="Times New Roman" w:cs="Times New Roman"/>
                <w:color w:val="auto"/>
                <w:u w:val="none" w:color="auto"/>
              </w:rPr>
            </w:pPr>
          </w:p>
        </w:tc>
        <w:tc>
          <w:tcPr>
            <w:tcW w:w="7405" w:type="dxa"/>
            <w:noWrap w:val="0"/>
            <w:vAlign w:val="center"/>
          </w:tcPr>
          <w:p w14:paraId="5A8B515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加强危险化学品泄漏事故风险的预防和控制，杜绝危化品环境风险事故发生。</w:t>
            </w:r>
          </w:p>
        </w:tc>
      </w:tr>
      <w:tr w14:paraId="7F54E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22E3267D">
            <w:pPr>
              <w:pStyle w:val="25"/>
              <w:rPr>
                <w:rFonts w:hint="default" w:ascii="Times New Roman" w:hAnsi="Times New Roman" w:cs="Times New Roman"/>
                <w:color w:val="auto"/>
                <w:u w:val="none" w:color="auto"/>
              </w:rPr>
            </w:pPr>
          </w:p>
        </w:tc>
        <w:tc>
          <w:tcPr>
            <w:tcW w:w="7405" w:type="dxa"/>
            <w:noWrap w:val="0"/>
            <w:vAlign w:val="center"/>
          </w:tcPr>
          <w:p w14:paraId="2BE952B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加强事故风险的预防和控制，杜绝环境风险事故发生。</w:t>
            </w:r>
          </w:p>
        </w:tc>
      </w:tr>
    </w:tbl>
    <w:p w14:paraId="55B7289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各阶段环境管理工作的具体内容见下表。</w:t>
      </w:r>
    </w:p>
    <w:p w14:paraId="6C3369E5">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w:t>
      </w:r>
      <w:r>
        <w:rPr>
          <w:rFonts w:hint="default"/>
          <w:color w:val="auto"/>
          <w:u w:val="none" w:color="auto"/>
        </w:rPr>
        <w:t>.1-3各阶段环境管理工作的具体内容</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4"/>
        <w:gridCol w:w="673"/>
        <w:gridCol w:w="7357"/>
      </w:tblGrid>
      <w:tr w14:paraId="2C448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147" w:type="dxa"/>
            <w:gridSpan w:val="2"/>
            <w:noWrap w:val="0"/>
            <w:vAlign w:val="center"/>
          </w:tcPr>
          <w:p w14:paraId="7D8316B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center"/>
          </w:tcPr>
          <w:p w14:paraId="7FD6EDD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环境管理工作计划的具体内容</w:t>
            </w:r>
          </w:p>
        </w:tc>
      </w:tr>
      <w:tr w14:paraId="239DD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47" w:type="dxa"/>
            <w:gridSpan w:val="2"/>
            <w:noWrap w:val="0"/>
            <w:vAlign w:val="center"/>
          </w:tcPr>
          <w:p w14:paraId="3B17B29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企业环</w:t>
            </w:r>
          </w:p>
          <w:p w14:paraId="265E992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境管理</w:t>
            </w:r>
          </w:p>
          <w:p w14:paraId="6B2D26D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总要求</w:t>
            </w:r>
          </w:p>
        </w:tc>
        <w:tc>
          <w:tcPr>
            <w:tcW w:w="7357" w:type="dxa"/>
            <w:noWrap w:val="0"/>
            <w:vAlign w:val="top"/>
          </w:tcPr>
          <w:p w14:paraId="7D68EEC2">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①可研阶段，委托评价单位进行环境影响评价；</w:t>
            </w:r>
          </w:p>
          <w:p w14:paraId="3C9D76EB">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②开工前，履行“三同时”手续；</w:t>
            </w:r>
          </w:p>
          <w:p w14:paraId="3561475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③项目投运试生产达到稳定状态后，尽快进行环保设施竣工验收；</w:t>
            </w:r>
          </w:p>
          <w:p w14:paraId="37B557F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④营运阶段，定期请当地环保部门监督、检查，协助作好环境管理工作，对不达标装置及时整改；</w:t>
            </w:r>
          </w:p>
          <w:p w14:paraId="5DBDFB2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⑤配合当地环境监测站搞好监测工作，及时交纳排污费。</w:t>
            </w:r>
          </w:p>
        </w:tc>
      </w:tr>
      <w:tr w14:paraId="4E5BB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restart"/>
            <w:noWrap w:val="0"/>
            <w:vAlign w:val="center"/>
          </w:tcPr>
          <w:p w14:paraId="187B4F45">
            <w:pPr>
              <w:pStyle w:val="25"/>
              <w:rPr>
                <w:rFonts w:hint="default" w:ascii="Times New Roman" w:hAnsi="Times New Roman" w:cs="Times New Roman"/>
                <w:color w:val="auto"/>
                <w:u w:val="none" w:color="auto"/>
              </w:rPr>
            </w:pPr>
          </w:p>
          <w:p w14:paraId="6C65F968">
            <w:pPr>
              <w:pStyle w:val="25"/>
              <w:rPr>
                <w:rFonts w:hint="default" w:ascii="Times New Roman" w:hAnsi="Times New Roman" w:cs="Times New Roman"/>
                <w:color w:val="auto"/>
                <w:u w:val="none" w:color="auto"/>
              </w:rPr>
            </w:pPr>
          </w:p>
          <w:p w14:paraId="564AB7AB">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竣工</w:t>
            </w:r>
          </w:p>
          <w:p w14:paraId="63047CBB">
            <w:pPr>
              <w:pStyle w:val="25"/>
              <w:rPr>
                <w:rFonts w:hint="default" w:ascii="Times New Roman" w:hAnsi="Times New Roman" w:cs="Times New Roman"/>
                <w:color w:val="auto"/>
                <w:u w:val="none" w:color="auto"/>
              </w:rPr>
            </w:pPr>
          </w:p>
          <w:p w14:paraId="6D760C87">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0206051B">
            <w:pPr>
              <w:pStyle w:val="25"/>
              <w:rPr>
                <w:rFonts w:hint="default" w:ascii="Times New Roman" w:hAnsi="Times New Roman" w:cs="Times New Roman"/>
                <w:color w:val="auto"/>
                <w:u w:val="none" w:color="auto"/>
              </w:rPr>
            </w:pPr>
          </w:p>
          <w:p w14:paraId="59FC34E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673" w:type="dxa"/>
            <w:noWrap w:val="0"/>
            <w:vAlign w:val="center"/>
          </w:tcPr>
          <w:p w14:paraId="3D23A647">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自检</w:t>
            </w:r>
          </w:p>
          <w:p w14:paraId="208EB0C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准备</w:t>
            </w:r>
          </w:p>
          <w:p w14:paraId="41EDE013">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566E097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①检查施工项目是否按设计规定全部完工；</w:t>
            </w:r>
          </w:p>
          <w:p w14:paraId="51C27D1B">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②向环保部门申请试运行；组织检查试车前的各项准备工作；</w:t>
            </w:r>
          </w:p>
          <w:p w14:paraId="337C20B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③检查操作技术文件和管理制度是否健全；整理技术文件资料档案；</w:t>
            </w:r>
          </w:p>
          <w:p w14:paraId="6569AA2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④建立环保档案。</w:t>
            </w:r>
          </w:p>
        </w:tc>
      </w:tr>
      <w:tr w14:paraId="0D08E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14:paraId="75375574">
            <w:pPr>
              <w:pStyle w:val="25"/>
              <w:rPr>
                <w:rFonts w:hint="default" w:ascii="Times New Roman" w:hAnsi="Times New Roman" w:cs="Times New Roman"/>
                <w:color w:val="auto"/>
                <w:u w:val="none" w:color="auto"/>
              </w:rPr>
            </w:pPr>
          </w:p>
        </w:tc>
        <w:tc>
          <w:tcPr>
            <w:tcW w:w="673" w:type="dxa"/>
            <w:noWrap w:val="0"/>
            <w:vAlign w:val="center"/>
          </w:tcPr>
          <w:p w14:paraId="360801B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预</w:t>
            </w:r>
          </w:p>
          <w:p w14:paraId="0DE0A71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2751497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3CB30CA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①检查污染治理效果和各污染源污染物排放情况；</w:t>
            </w:r>
          </w:p>
          <w:p w14:paraId="5D0063F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②对问题，提出解决或补救措施，落实投资，确保按期完成；</w:t>
            </w:r>
          </w:p>
          <w:p w14:paraId="0997EB3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邀请环境监测站按环评选定的监测点或断面，有重点地考核生产设施、环保设施运行情况，污染物产生、治理和排污情况及环境污染水平，并提交《建设项目环境保护竣工验收监测报告》，回答环保工程是否满足竣工验收要求和具备验收条件。</w:t>
            </w:r>
          </w:p>
        </w:tc>
      </w:tr>
      <w:tr w14:paraId="4683D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14:paraId="3053C21F">
            <w:pPr>
              <w:pStyle w:val="25"/>
              <w:rPr>
                <w:rFonts w:hint="default" w:ascii="Times New Roman" w:hAnsi="Times New Roman" w:cs="Times New Roman"/>
                <w:color w:val="auto"/>
                <w:u w:val="none" w:color="auto"/>
              </w:rPr>
            </w:pPr>
          </w:p>
        </w:tc>
        <w:tc>
          <w:tcPr>
            <w:tcW w:w="673" w:type="dxa"/>
            <w:noWrap w:val="0"/>
            <w:vAlign w:val="center"/>
          </w:tcPr>
          <w:p w14:paraId="4094ACB5">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正式</w:t>
            </w:r>
          </w:p>
          <w:p w14:paraId="1241D73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6837EC4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0C4504C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建设单位完成《环境保护工程竣工验收监测报告》和《环境保护工程竣工验收报告》，申请正式竣工验收；</w:t>
            </w:r>
          </w:p>
          <w:p w14:paraId="63E68C0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②建设单位向</w:t>
            </w:r>
            <w:r>
              <w:rPr>
                <w:rFonts w:hint="eastAsia" w:ascii="Times New Roman" w:hAnsi="Times New Roman" w:cs="Times New Roman"/>
                <w:color w:val="auto"/>
                <w:u w:val="none" w:color="auto"/>
                <w:lang w:val="en-US" w:eastAsia="zh-CN"/>
              </w:rPr>
              <w:t>生态环境局</w:t>
            </w:r>
            <w:r>
              <w:rPr>
                <w:rFonts w:hint="default" w:ascii="Times New Roman" w:hAnsi="Times New Roman" w:cs="Times New Roman"/>
                <w:color w:val="auto"/>
                <w:u w:val="none" w:color="auto"/>
              </w:rPr>
              <w:t>申请办理</w:t>
            </w:r>
            <w:r>
              <w:rPr>
                <w:rFonts w:hint="eastAsia" w:ascii="Times New Roman" w:hAnsi="Times New Roman" w:cs="Times New Roman"/>
                <w:color w:val="auto"/>
                <w:u w:val="none" w:color="auto"/>
                <w:lang w:val="en-US" w:eastAsia="zh-CN"/>
              </w:rPr>
              <w:t>/变更</w:t>
            </w:r>
            <w:r>
              <w:rPr>
                <w:rFonts w:hint="default" w:ascii="Times New Roman" w:hAnsi="Times New Roman" w:cs="Times New Roman"/>
                <w:color w:val="auto"/>
                <w:u w:val="none" w:color="auto"/>
              </w:rPr>
              <w:t>《排污许可证》，转入日常环境保护监督管理。</w:t>
            </w:r>
          </w:p>
        </w:tc>
      </w:tr>
      <w:tr w14:paraId="611BA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47" w:type="dxa"/>
            <w:gridSpan w:val="2"/>
            <w:noWrap w:val="0"/>
            <w:vAlign w:val="center"/>
          </w:tcPr>
          <w:p w14:paraId="32A7A08C">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生产运行阶段</w:t>
            </w:r>
          </w:p>
        </w:tc>
        <w:tc>
          <w:tcPr>
            <w:tcW w:w="7357" w:type="dxa"/>
            <w:noWrap w:val="0"/>
            <w:vAlign w:val="top"/>
          </w:tcPr>
          <w:p w14:paraId="1AD0351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①把污染防治和环境管理纳入企业日常经营管理活动，从计划管理、生产管理、技术管理、设备管理到经济成本核算均有控制污染内容和指标，并落实到岗位；</w:t>
            </w:r>
          </w:p>
          <w:p w14:paraId="520D2F5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②企业主要领导负责实行环保责任制，指标逐级分解，奖罚分明；</w:t>
            </w:r>
          </w:p>
          <w:p w14:paraId="5A7F345A">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③建立健全企业的污染监测系统，为企业环境管理提供依据；</w:t>
            </w:r>
          </w:p>
          <w:p w14:paraId="366E37C8">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④建立环境保护信息反馈，接受公众监督；</w:t>
            </w:r>
          </w:p>
          <w:p w14:paraId="6E3EBF5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⑤建立健全各项环保设施运行操作规则，并有效监督实施，严防跑冒滴漏；</w:t>
            </w:r>
          </w:p>
          <w:p w14:paraId="07D057C9">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⑥定期向环保部门汇报情况，配合环保部门的监督、检查。</w:t>
            </w:r>
          </w:p>
        </w:tc>
      </w:tr>
    </w:tbl>
    <w:p w14:paraId="648EEA34">
      <w:pPr>
        <w:pStyle w:val="8"/>
        <w:bidi w:val="0"/>
        <w:rPr>
          <w:rFonts w:hint="default" w:ascii="Times New Roman" w:hAnsi="Times New Roman" w:cs="Times New Roman"/>
          <w:color w:val="auto"/>
          <w:u w:val="none" w:color="auto"/>
        </w:rPr>
      </w:pPr>
      <w:bookmarkStart w:id="1528" w:name="_Toc19002"/>
      <w:bookmarkStart w:id="1529" w:name="_Toc16297"/>
      <w:bookmarkStart w:id="1530" w:name="_Toc10311"/>
      <w:bookmarkStart w:id="1531" w:name="_Toc10692"/>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.1.6</w:t>
      </w:r>
      <w:r>
        <w:rPr>
          <w:rFonts w:hint="default" w:ascii="Times New Roman" w:hAnsi="Times New Roman" w:cs="Times New Roman"/>
          <w:color w:val="auto"/>
          <w:u w:val="none" w:color="auto"/>
        </w:rPr>
        <w:t>排污口管理</w:t>
      </w:r>
      <w:bookmarkEnd w:id="1528"/>
      <w:bookmarkEnd w:id="1529"/>
      <w:bookmarkEnd w:id="1530"/>
      <w:bookmarkEnd w:id="1531"/>
    </w:p>
    <w:p w14:paraId="19768376">
      <w:pPr>
        <w:pStyle w:val="21"/>
        <w:bidi w:val="0"/>
        <w:rPr>
          <w:rFonts w:hint="default"/>
          <w:b w:val="0"/>
          <w:bCs w:val="0"/>
          <w:color w:val="auto"/>
          <w:u w:val="none" w:color="auto"/>
        </w:rPr>
      </w:pPr>
      <w:r>
        <w:rPr>
          <w:rFonts w:hint="default"/>
          <w:b w:val="0"/>
          <w:bCs w:val="0"/>
          <w:color w:val="auto"/>
          <w:u w:val="none" w:color="auto"/>
        </w:rPr>
        <w:t>根据国家标准《环境保护图形标志—排放口（源）》和国家环保总局《排污口规范化整治要求》（试行）的技术要求，企业所有排放口必须按照“便于采样、便于计量检测、便于日常现场监督检查”的原则和规范化要求，设置与之相适应的环境保护图形标志牌，同时对污水排放口安装流量计，对治理设施安装运行监控装置、排污口的规范化要符合有关环保要求。</w:t>
      </w:r>
    </w:p>
    <w:p w14:paraId="1AB8CFFB">
      <w:pPr>
        <w:pStyle w:val="21"/>
        <w:bidi w:val="0"/>
        <w:rPr>
          <w:rFonts w:hint="default"/>
          <w:b w:val="0"/>
          <w:bCs w:val="0"/>
          <w:color w:val="auto"/>
          <w:u w:val="none" w:color="auto"/>
        </w:rPr>
      </w:pPr>
      <w:r>
        <w:rPr>
          <w:rFonts w:hint="default"/>
          <w:b w:val="0"/>
          <w:bCs w:val="0"/>
          <w:color w:val="auto"/>
          <w:u w:val="none" w:color="auto"/>
        </w:rPr>
        <w:t>（1）废水排放口</w:t>
      </w:r>
    </w:p>
    <w:p w14:paraId="50A8EBB4">
      <w:pPr>
        <w:pStyle w:val="21"/>
        <w:bidi w:val="0"/>
        <w:rPr>
          <w:rFonts w:hint="default"/>
          <w:b w:val="0"/>
          <w:bCs w:val="0"/>
          <w:color w:val="auto"/>
          <w:u w:val="none" w:color="auto"/>
        </w:rPr>
      </w:pPr>
      <w:r>
        <w:rPr>
          <w:rFonts w:hint="default"/>
          <w:b w:val="0"/>
          <w:bCs w:val="0"/>
          <w:color w:val="auto"/>
          <w:u w:val="none" w:color="auto"/>
        </w:rPr>
        <w:t>排污口原则上只设一个，排污口应在项目边界内设置采样口（半径大于150mm），若排污管有压力，则应安装采样阀。</w:t>
      </w:r>
    </w:p>
    <w:p w14:paraId="33B9077A">
      <w:pPr>
        <w:pStyle w:val="21"/>
        <w:bidi w:val="0"/>
        <w:rPr>
          <w:rFonts w:hint="default" w:ascii="Times New Roman" w:hAnsi="Times New Roman" w:eastAsia="宋体" w:cs="Times New Roman"/>
          <w:b w:val="0"/>
          <w:bCs w:val="0"/>
          <w:color w:val="auto"/>
          <w:u w:val="none" w:color="auto"/>
          <w:lang w:val="en-US" w:eastAsia="zh-CN"/>
        </w:rPr>
      </w:pPr>
      <w:r>
        <w:rPr>
          <w:rFonts w:hint="default"/>
          <w:b w:val="0"/>
          <w:bCs w:val="0"/>
          <w:color w:val="auto"/>
          <w:u w:val="none" w:color="auto"/>
          <w:lang w:eastAsia="zh-CN"/>
        </w:rPr>
        <w:t>根据工程分析，本</w:t>
      </w:r>
      <w:r>
        <w:rPr>
          <w:rFonts w:hint="default"/>
          <w:b w:val="0"/>
          <w:bCs w:val="0"/>
          <w:color w:val="auto"/>
          <w:u w:val="none" w:color="auto"/>
          <w:lang w:val="en-US" w:eastAsia="zh-CN"/>
        </w:rPr>
        <w:t>项目</w:t>
      </w:r>
      <w:r>
        <w:rPr>
          <w:rFonts w:hint="eastAsia"/>
          <w:b w:val="0"/>
          <w:bCs w:val="0"/>
          <w:color w:val="auto"/>
          <w:u w:val="none" w:color="auto"/>
          <w:lang w:val="en-US" w:eastAsia="zh-CN"/>
        </w:rPr>
        <w:t>生活污水依托已建化粪池，无生产废水产生及外排，不单独设置排放口，故本项目无需新设置废水排放口。</w:t>
      </w:r>
    </w:p>
    <w:p w14:paraId="7720D0F1">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（2）废气排放</w:t>
      </w:r>
    </w:p>
    <w:p w14:paraId="60437F87">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废气排放口必须符合规定的高度和按《污染源监测技术规范》便于采样、监测的要求，设置直径不小于</w:t>
      </w:r>
      <w:r>
        <w:rPr>
          <w:rFonts w:hint="eastAsia" w:ascii="Times New Roman" w:hAnsi="Times New Roman" w:cs="Times New Roman"/>
          <w:b w:val="0"/>
          <w:bCs w:val="0"/>
          <w:color w:val="auto"/>
          <w:u w:val="none" w:color="auto"/>
          <w:lang w:val="en-US" w:eastAsia="zh-CN"/>
        </w:rPr>
        <w:t>80</w:t>
      </w:r>
      <w:r>
        <w:rPr>
          <w:rFonts w:hint="default" w:ascii="Times New Roman" w:hAnsi="Times New Roman" w:cs="Times New Roman"/>
          <w:b w:val="0"/>
          <w:bCs w:val="0"/>
          <w:color w:val="auto"/>
          <w:u w:val="none" w:color="auto"/>
        </w:rPr>
        <w:t>mm的采样口</w:t>
      </w:r>
      <w:r>
        <w:rPr>
          <w:rFonts w:hint="default" w:ascii="Times New Roman" w:hAnsi="Times New Roman" w:cs="Times New Roman"/>
          <w:b w:val="0"/>
          <w:bCs w:val="0"/>
          <w:color w:val="auto"/>
          <w:u w:val="none" w:color="auto"/>
          <w:lang w:eastAsia="zh-CN"/>
        </w:rPr>
        <w:t>，并具备采样监测条件，排放口附近树立图形标志牌</w:t>
      </w:r>
      <w:r>
        <w:rPr>
          <w:rFonts w:hint="default" w:ascii="Times New Roman" w:hAnsi="Times New Roman" w:cs="Times New Roman"/>
          <w:b w:val="0"/>
          <w:bCs w:val="0"/>
          <w:color w:val="auto"/>
          <w:u w:val="none" w:color="auto"/>
        </w:rPr>
        <w:t>。若无法满足要求的，其采样口与环境监测部门共同确认。</w:t>
      </w:r>
    </w:p>
    <w:p w14:paraId="31C8C9A5">
      <w:pPr>
        <w:pStyle w:val="54"/>
        <w:tabs>
          <w:tab w:val="left" w:pos="720"/>
          <w:tab w:val="left" w:pos="900"/>
          <w:tab w:val="clear" w:pos="1021"/>
        </w:tabs>
        <w:spacing w:line="360" w:lineRule="auto"/>
        <w:ind w:left="0" w:leftChars="0" w:firstLine="480" w:firstLineChars="200"/>
        <w:rPr>
          <w:rFonts w:hint="default" w:ascii="Times New Roman" w:hAnsi="Times New Roman" w:eastAsia="宋体" w:cs="Times New Roman"/>
          <w:b w:val="0"/>
          <w:bCs w:val="0"/>
          <w:color w:val="auto"/>
          <w:u w:val="none" w:color="auto"/>
          <w:lang w:val="en-US" w:eastAsia="zh-CN"/>
        </w:rPr>
      </w:pPr>
      <w:r>
        <w:rPr>
          <w:rFonts w:hint="eastAsia" w:ascii="Times New Roman" w:hAnsi="Times New Roman" w:cs="Times New Roman"/>
          <w:b w:val="0"/>
          <w:bCs w:val="0"/>
          <w:color w:val="auto"/>
          <w:u w:val="none" w:color="auto"/>
          <w:lang w:eastAsia="zh-CN"/>
        </w:rPr>
        <w:t>根据工程分析内容，本项目设置</w:t>
      </w:r>
      <w:r>
        <w:rPr>
          <w:rFonts w:hint="eastAsia" w:ascii="Times New Roman" w:hAnsi="Times New Roman" w:cs="Times New Roman"/>
          <w:b w:val="0"/>
          <w:bCs w:val="0"/>
          <w:color w:val="auto"/>
          <w:u w:val="none" w:color="auto"/>
          <w:lang w:val="en-US" w:eastAsia="zh-CN"/>
        </w:rPr>
        <w:t>3个排气筒。</w:t>
      </w:r>
    </w:p>
    <w:p w14:paraId="0465C3BA">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（3）固定噪声源</w:t>
      </w:r>
    </w:p>
    <w:p w14:paraId="76C5155D">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按规定对固定噪声源进行治理，并在边界噪声敏感点，且对外界影响最大处设置标志牌。</w:t>
      </w:r>
    </w:p>
    <w:p w14:paraId="2124733E">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（4）固体废物存储场</w:t>
      </w:r>
    </w:p>
    <w:p w14:paraId="481E957B">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一般工业固废和生活垃圾</w:t>
      </w:r>
      <w:r>
        <w:rPr>
          <w:rFonts w:hint="eastAsia" w:ascii="Times New Roman" w:hAnsi="Times New Roman" w:cs="Times New Roman"/>
          <w:b w:val="0"/>
          <w:bCs w:val="0"/>
          <w:color w:val="auto"/>
          <w:u w:val="none" w:color="auto"/>
          <w:lang w:val="en-US" w:eastAsia="zh-CN"/>
        </w:rPr>
        <w:t>应</w:t>
      </w:r>
      <w:r>
        <w:rPr>
          <w:rFonts w:hint="default" w:ascii="Times New Roman" w:hAnsi="Times New Roman" w:cs="Times New Roman"/>
          <w:b w:val="0"/>
          <w:bCs w:val="0"/>
          <w:color w:val="auto"/>
          <w:u w:val="none" w:color="auto"/>
        </w:rPr>
        <w:t>设置专用堆放场地，采取防止二次扬尘措施；危险废物</w:t>
      </w:r>
      <w:r>
        <w:rPr>
          <w:rFonts w:hint="eastAsia" w:ascii="Times New Roman" w:hAnsi="Times New Roman" w:cs="Times New Roman"/>
          <w:b w:val="0"/>
          <w:bCs w:val="0"/>
          <w:color w:val="auto"/>
          <w:u w:val="none" w:color="auto"/>
          <w:lang w:val="en-US" w:eastAsia="zh-CN"/>
        </w:rPr>
        <w:t>已</w:t>
      </w:r>
      <w:r>
        <w:rPr>
          <w:rFonts w:hint="default" w:ascii="Times New Roman" w:hAnsi="Times New Roman" w:cs="Times New Roman"/>
          <w:b w:val="0"/>
          <w:bCs w:val="0"/>
          <w:color w:val="auto"/>
          <w:u w:val="none" w:color="auto"/>
        </w:rPr>
        <w:t>设置专用</w:t>
      </w:r>
      <w:r>
        <w:rPr>
          <w:rFonts w:hint="default" w:ascii="Times New Roman" w:hAnsi="Times New Roman" w:cs="Times New Roman"/>
          <w:b w:val="0"/>
          <w:bCs w:val="0"/>
          <w:color w:val="auto"/>
          <w:u w:val="none" w:color="auto"/>
          <w:lang w:val="en-US" w:eastAsia="zh-CN"/>
        </w:rPr>
        <w:t>危废暂存间</w:t>
      </w:r>
      <w:r>
        <w:rPr>
          <w:rFonts w:hint="default" w:ascii="Times New Roman" w:hAnsi="Times New Roman" w:cs="Times New Roman"/>
          <w:b w:val="0"/>
          <w:bCs w:val="0"/>
          <w:color w:val="auto"/>
          <w:u w:val="none" w:color="auto"/>
        </w:rPr>
        <w:t>，有防扬散、防流失、防渗漏等措施。</w:t>
      </w:r>
    </w:p>
    <w:p w14:paraId="113FB2ED">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（5）标志牌设置</w:t>
      </w:r>
    </w:p>
    <w:p w14:paraId="6452FF2C">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排放一般污染物排污口（源），设置提示牌标志牌，排放有毒有害等污染物的排污口设置警告式标志牌。</w:t>
      </w:r>
    </w:p>
    <w:p w14:paraId="4E8D01FE">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标志牌设置位置在排污口（采样点）附近且醒目处，高度为标志牌上缘离地面2</w:t>
      </w:r>
      <w:r>
        <w:rPr>
          <w:rFonts w:hint="default" w:ascii="Times New Roman" w:hAnsi="Times New Roman" w:cs="Times New Roman"/>
          <w:b w:val="0"/>
          <w:bCs w:val="0"/>
          <w:color w:val="auto"/>
          <w:u w:val="none" w:color="auto"/>
          <w:lang w:val="en-US" w:eastAsia="zh-CN"/>
        </w:rPr>
        <w:t>m</w:t>
      </w:r>
      <w:r>
        <w:rPr>
          <w:rFonts w:hint="default" w:ascii="Times New Roman" w:hAnsi="Times New Roman" w:cs="Times New Roman"/>
          <w:b w:val="0"/>
          <w:bCs w:val="0"/>
          <w:color w:val="auto"/>
          <w:u w:val="none" w:color="auto"/>
        </w:rPr>
        <w:t>。排污口附近1</w:t>
      </w:r>
      <w:r>
        <w:rPr>
          <w:rFonts w:hint="default" w:ascii="Times New Roman" w:hAnsi="Times New Roman" w:cs="Times New Roman"/>
          <w:b w:val="0"/>
          <w:bCs w:val="0"/>
          <w:color w:val="auto"/>
          <w:u w:val="none" w:color="auto"/>
          <w:lang w:val="en-US" w:eastAsia="zh-CN"/>
        </w:rPr>
        <w:t>m</w:t>
      </w:r>
      <w:r>
        <w:rPr>
          <w:rFonts w:hint="default" w:ascii="Times New Roman" w:hAnsi="Times New Roman" w:cs="Times New Roman"/>
          <w:b w:val="0"/>
          <w:bCs w:val="0"/>
          <w:color w:val="auto"/>
          <w:u w:val="none" w:color="auto"/>
        </w:rPr>
        <w:t>范围内有建筑物的，设平面式标志牌，无建筑物的设立式标志牌。</w:t>
      </w:r>
    </w:p>
    <w:p w14:paraId="6BFC5C45">
      <w:pPr>
        <w:pStyle w:val="54"/>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规范化排污口的有关设置（如图形标志牌、计量装置、监控装置等）属环保设施，排污单位必须负责日常的维护保养，任何单位和个人不得擅自拆除，如需变更的须报环境监理部门同意并办理变更手续。</w:t>
      </w:r>
    </w:p>
    <w:p w14:paraId="0BB19017">
      <w:pPr>
        <w:pStyle w:val="21"/>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排污口建档管理</w:t>
      </w:r>
    </w:p>
    <w:p w14:paraId="06002FC2">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1）本项目应使用国家环保局统一印制的《中华人民共和国规范化排污口标志登记证》，并按要求填写有关内容；</w:t>
      </w:r>
    </w:p>
    <w:p w14:paraId="78CC103E">
      <w:pPr>
        <w:pStyle w:val="55"/>
        <w:spacing w:line="360" w:lineRule="auto"/>
        <w:ind w:firstLine="480"/>
        <w:rPr>
          <w:rFonts w:hint="default" w:ascii="Times New Roman" w:hAnsi="Times New Roman" w:eastAsia="宋体" w:cs="Times New Roman"/>
          <w:b w:val="0"/>
          <w:bCs w:val="0"/>
          <w:color w:val="auto"/>
          <w:highlight w:val="none"/>
          <w:u w:val="none" w:color="auto"/>
        </w:rPr>
      </w:pPr>
      <w:r>
        <w:rPr>
          <w:rFonts w:hint="default" w:ascii="Times New Roman" w:hAnsi="Times New Roman" w:cs="Times New Roman"/>
          <w:color w:val="auto"/>
          <w:u w:val="none" w:color="auto"/>
        </w:rPr>
        <w:t>2）根据排污口管理内容要求，项目建成投产后，建设单位应把有关排污情况如排污口的性质、编号、排污口位置以及主要排放的污染物种类、数量、浓度、排放规律、排放走向及污染治理设施的运行情况建档管理，并报送生态环境管理部门备案。</w:t>
      </w:r>
    </w:p>
    <w:p w14:paraId="74618494">
      <w:pPr>
        <w:pStyle w:val="55"/>
        <w:spacing w:line="360" w:lineRule="auto"/>
        <w:ind w:firstLine="480"/>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具体要求</w:t>
      </w:r>
      <w:r>
        <w:rPr>
          <w:rFonts w:hint="default" w:ascii="Times New Roman" w:hAnsi="Times New Roman" w:eastAsia="宋体" w:cs="Times New Roman"/>
          <w:b w:val="0"/>
          <w:bCs w:val="0"/>
          <w:color w:val="auto"/>
          <w:highlight w:val="none"/>
          <w:u w:val="none" w:color="auto"/>
          <w:lang w:val="en-US" w:eastAsia="zh-CN"/>
        </w:rPr>
        <w:t>详见下表</w:t>
      </w:r>
      <w:r>
        <w:rPr>
          <w:rFonts w:hint="default" w:ascii="Times New Roman" w:hAnsi="Times New Roman" w:eastAsia="宋体" w:cs="Times New Roman"/>
          <w:b w:val="0"/>
          <w:bCs w:val="0"/>
          <w:color w:val="auto"/>
          <w:highlight w:val="none"/>
          <w:u w:val="none" w:color="auto"/>
        </w:rPr>
        <w:t>。</w:t>
      </w:r>
    </w:p>
    <w:p w14:paraId="0985545C">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8.1-4</w:t>
      </w:r>
      <w:r>
        <w:rPr>
          <w:rFonts w:hint="default"/>
          <w:color w:val="auto"/>
          <w:u w:val="none" w:color="auto"/>
        </w:rPr>
        <w:t xml:space="preserve">  本项目各排污口环境保护图形标志要求</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1432"/>
        <w:gridCol w:w="1488"/>
        <w:gridCol w:w="1132"/>
        <w:gridCol w:w="1281"/>
      </w:tblGrid>
      <w:tr w14:paraId="21AAD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01E4B781">
            <w:pPr>
              <w:pStyle w:val="39"/>
              <w:bidi w:val="0"/>
              <w:rPr>
                <w:rFonts w:hint="default"/>
                <w:b w:val="0"/>
                <w:bCs w:val="0"/>
                <w:color w:val="auto"/>
                <w:u w:val="none" w:color="auto"/>
                <w:lang w:val="en-US" w:eastAsia="zh-CN"/>
              </w:rPr>
            </w:pPr>
            <w:r>
              <w:rPr>
                <w:rFonts w:hint="default"/>
                <w:b w:val="0"/>
                <w:bCs w:val="0"/>
                <w:color w:val="auto"/>
                <w:u w:val="none" w:color="auto"/>
                <w:lang w:val="en-US" w:eastAsia="zh-CN"/>
              </w:rPr>
              <w:t>排放口名称</w:t>
            </w:r>
          </w:p>
        </w:tc>
        <w:tc>
          <w:tcPr>
            <w:tcW w:w="840" w:type="pct"/>
            <w:tcBorders>
              <w:tl2br w:val="nil"/>
              <w:tr2bl w:val="nil"/>
            </w:tcBorders>
            <w:noWrap w:val="0"/>
            <w:vAlign w:val="center"/>
          </w:tcPr>
          <w:p w14:paraId="4169EEB5">
            <w:pPr>
              <w:pStyle w:val="39"/>
              <w:bidi w:val="0"/>
              <w:rPr>
                <w:rFonts w:hint="default"/>
                <w:b w:val="0"/>
                <w:bCs w:val="0"/>
                <w:color w:val="auto"/>
                <w:u w:val="none" w:color="auto"/>
              </w:rPr>
            </w:pPr>
            <w:r>
              <w:rPr>
                <w:rFonts w:hint="default"/>
                <w:b w:val="0"/>
                <w:bCs w:val="0"/>
                <w:color w:val="auto"/>
                <w:u w:val="none" w:color="auto"/>
              </w:rPr>
              <w:t>图形标志</w:t>
            </w:r>
          </w:p>
        </w:tc>
        <w:tc>
          <w:tcPr>
            <w:tcW w:w="873" w:type="pct"/>
            <w:tcBorders>
              <w:tl2br w:val="nil"/>
              <w:tr2bl w:val="nil"/>
            </w:tcBorders>
            <w:noWrap w:val="0"/>
            <w:vAlign w:val="center"/>
          </w:tcPr>
          <w:p w14:paraId="62A1FE42">
            <w:pPr>
              <w:pStyle w:val="39"/>
              <w:bidi w:val="0"/>
              <w:rPr>
                <w:rFonts w:hint="default"/>
                <w:b w:val="0"/>
                <w:bCs w:val="0"/>
                <w:color w:val="auto"/>
                <w:u w:val="none" w:color="auto"/>
              </w:rPr>
            </w:pPr>
            <w:r>
              <w:rPr>
                <w:rFonts w:hint="default"/>
                <w:b w:val="0"/>
                <w:bCs w:val="0"/>
                <w:color w:val="auto"/>
                <w:u w:val="none" w:color="auto"/>
              </w:rPr>
              <w:t>形状</w:t>
            </w:r>
          </w:p>
        </w:tc>
        <w:tc>
          <w:tcPr>
            <w:tcW w:w="664" w:type="pct"/>
            <w:tcBorders>
              <w:tl2br w:val="nil"/>
              <w:tr2bl w:val="nil"/>
            </w:tcBorders>
            <w:noWrap w:val="0"/>
            <w:vAlign w:val="center"/>
          </w:tcPr>
          <w:p w14:paraId="369A024D">
            <w:pPr>
              <w:pStyle w:val="39"/>
              <w:bidi w:val="0"/>
              <w:rPr>
                <w:rFonts w:hint="default"/>
                <w:b w:val="0"/>
                <w:bCs w:val="0"/>
                <w:color w:val="auto"/>
                <w:u w:val="none" w:color="auto"/>
              </w:rPr>
            </w:pPr>
            <w:r>
              <w:rPr>
                <w:rFonts w:hint="default"/>
                <w:b w:val="0"/>
                <w:bCs w:val="0"/>
                <w:color w:val="auto"/>
                <w:u w:val="none" w:color="auto"/>
              </w:rPr>
              <w:t>背景颜色</w:t>
            </w:r>
          </w:p>
        </w:tc>
        <w:tc>
          <w:tcPr>
            <w:tcW w:w="751" w:type="pct"/>
            <w:tcBorders>
              <w:tl2br w:val="nil"/>
              <w:tr2bl w:val="nil"/>
            </w:tcBorders>
            <w:noWrap w:val="0"/>
            <w:vAlign w:val="center"/>
          </w:tcPr>
          <w:p w14:paraId="361C1E6B">
            <w:pPr>
              <w:pStyle w:val="39"/>
              <w:bidi w:val="0"/>
              <w:rPr>
                <w:rFonts w:hint="default"/>
                <w:b w:val="0"/>
                <w:bCs w:val="0"/>
                <w:color w:val="auto"/>
                <w:u w:val="none" w:color="auto"/>
              </w:rPr>
            </w:pPr>
            <w:r>
              <w:rPr>
                <w:rFonts w:hint="default"/>
                <w:b w:val="0"/>
                <w:bCs w:val="0"/>
                <w:color w:val="auto"/>
                <w:u w:val="none" w:color="auto"/>
              </w:rPr>
              <w:t>图形颜色</w:t>
            </w:r>
          </w:p>
        </w:tc>
      </w:tr>
      <w:tr w14:paraId="71EE3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2BE7726C">
            <w:pPr>
              <w:pStyle w:val="39"/>
              <w:bidi w:val="0"/>
              <w:rPr>
                <w:rFonts w:hint="default"/>
                <w:b w:val="0"/>
                <w:bCs w:val="0"/>
                <w:color w:val="auto"/>
                <w:u w:val="none" w:color="auto"/>
                <w:lang w:val="en-US" w:eastAsia="zh-CN"/>
              </w:rPr>
            </w:pPr>
            <w:r>
              <w:rPr>
                <w:rFonts w:hint="eastAsia"/>
                <w:b w:val="0"/>
                <w:bCs w:val="0"/>
                <w:color w:val="auto"/>
                <w:u w:val="none" w:color="auto"/>
                <w:lang w:val="en-US" w:eastAsia="zh-CN"/>
              </w:rPr>
              <w:t>DA001排气筒、DA002排气筒、DA003排气筒</w:t>
            </w:r>
          </w:p>
        </w:tc>
        <w:tc>
          <w:tcPr>
            <w:tcW w:w="840" w:type="pct"/>
            <w:tcBorders>
              <w:tl2br w:val="nil"/>
              <w:tr2bl w:val="nil"/>
            </w:tcBorders>
            <w:noWrap w:val="0"/>
            <w:vAlign w:val="center"/>
          </w:tcPr>
          <w:p w14:paraId="5FE16C75">
            <w:pPr>
              <w:pStyle w:val="39"/>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45928849">
            <w:pPr>
              <w:pStyle w:val="39"/>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74AAD6AE">
            <w:pPr>
              <w:pStyle w:val="39"/>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1926E0B3">
            <w:pPr>
              <w:pStyle w:val="39"/>
              <w:bidi w:val="0"/>
              <w:rPr>
                <w:rFonts w:hint="default"/>
                <w:b w:val="0"/>
                <w:bCs w:val="0"/>
                <w:color w:val="auto"/>
                <w:u w:val="none" w:color="auto"/>
              </w:rPr>
            </w:pPr>
            <w:r>
              <w:rPr>
                <w:rFonts w:hint="default"/>
                <w:b w:val="0"/>
                <w:bCs w:val="0"/>
                <w:color w:val="auto"/>
                <w:u w:val="none" w:color="auto"/>
              </w:rPr>
              <w:t>白色</w:t>
            </w:r>
          </w:p>
        </w:tc>
      </w:tr>
      <w:tr w14:paraId="71191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34D1B40F">
            <w:pPr>
              <w:pStyle w:val="39"/>
              <w:bidi w:val="0"/>
              <w:rPr>
                <w:rFonts w:hint="default"/>
                <w:b w:val="0"/>
                <w:bCs w:val="0"/>
                <w:color w:val="auto"/>
                <w:u w:val="none" w:color="auto"/>
                <w:lang w:val="en-US" w:eastAsia="zh-CN"/>
              </w:rPr>
            </w:pPr>
            <w:r>
              <w:rPr>
                <w:rFonts w:hint="default"/>
                <w:b w:val="0"/>
                <w:bCs w:val="0"/>
                <w:color w:val="auto"/>
                <w:u w:val="none" w:color="auto"/>
                <w:lang w:val="en-US" w:eastAsia="zh-CN"/>
              </w:rPr>
              <w:t>噪声源</w:t>
            </w:r>
          </w:p>
        </w:tc>
        <w:tc>
          <w:tcPr>
            <w:tcW w:w="840" w:type="pct"/>
            <w:tcBorders>
              <w:tl2br w:val="nil"/>
              <w:tr2bl w:val="nil"/>
            </w:tcBorders>
            <w:noWrap w:val="0"/>
            <w:vAlign w:val="center"/>
          </w:tcPr>
          <w:p w14:paraId="7398DAD4">
            <w:pPr>
              <w:pStyle w:val="39"/>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1AC77FF6">
            <w:pPr>
              <w:pStyle w:val="39"/>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630D5FB2">
            <w:pPr>
              <w:pStyle w:val="39"/>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4A55DDE1">
            <w:pPr>
              <w:pStyle w:val="39"/>
              <w:bidi w:val="0"/>
              <w:rPr>
                <w:rFonts w:hint="default"/>
                <w:b w:val="0"/>
                <w:bCs w:val="0"/>
                <w:color w:val="auto"/>
                <w:u w:val="none" w:color="auto"/>
              </w:rPr>
            </w:pPr>
            <w:r>
              <w:rPr>
                <w:rFonts w:hint="default"/>
                <w:b w:val="0"/>
                <w:bCs w:val="0"/>
                <w:color w:val="auto"/>
                <w:u w:val="none" w:color="auto"/>
              </w:rPr>
              <w:t>白色</w:t>
            </w:r>
          </w:p>
        </w:tc>
      </w:tr>
      <w:tr w14:paraId="1E2FF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7F8FB52E">
            <w:pPr>
              <w:pStyle w:val="39"/>
              <w:bidi w:val="0"/>
              <w:rPr>
                <w:rFonts w:hint="default"/>
                <w:b w:val="0"/>
                <w:bCs w:val="0"/>
                <w:color w:val="auto"/>
                <w:u w:val="none" w:color="auto"/>
                <w:lang w:val="en-US" w:eastAsia="zh-CN"/>
              </w:rPr>
            </w:pPr>
            <w:r>
              <w:rPr>
                <w:rFonts w:hint="default"/>
                <w:b w:val="0"/>
                <w:bCs w:val="0"/>
                <w:color w:val="auto"/>
                <w:u w:val="none" w:color="auto"/>
                <w:lang w:val="en-US" w:eastAsia="zh-CN"/>
              </w:rPr>
              <w:t>一般固</w:t>
            </w:r>
            <w:r>
              <w:rPr>
                <w:rFonts w:hint="eastAsia"/>
                <w:b w:val="0"/>
                <w:bCs w:val="0"/>
                <w:color w:val="auto"/>
                <w:u w:val="none" w:color="auto"/>
                <w:lang w:val="en-US" w:eastAsia="zh-CN"/>
              </w:rPr>
              <w:t>体</w:t>
            </w:r>
            <w:r>
              <w:rPr>
                <w:rFonts w:hint="default"/>
                <w:b w:val="0"/>
                <w:bCs w:val="0"/>
                <w:color w:val="auto"/>
                <w:u w:val="none" w:color="auto"/>
                <w:lang w:val="en-US" w:eastAsia="zh-CN"/>
              </w:rPr>
              <w:t>废物暂存间</w:t>
            </w:r>
          </w:p>
        </w:tc>
        <w:tc>
          <w:tcPr>
            <w:tcW w:w="840" w:type="pct"/>
            <w:tcBorders>
              <w:tl2br w:val="nil"/>
              <w:tr2bl w:val="nil"/>
            </w:tcBorders>
            <w:noWrap w:val="0"/>
            <w:vAlign w:val="center"/>
          </w:tcPr>
          <w:p w14:paraId="0BC645BF">
            <w:pPr>
              <w:pStyle w:val="39"/>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1D46F25E">
            <w:pPr>
              <w:pStyle w:val="39"/>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141BBEB6">
            <w:pPr>
              <w:pStyle w:val="39"/>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5B712CF8">
            <w:pPr>
              <w:pStyle w:val="39"/>
              <w:bidi w:val="0"/>
              <w:rPr>
                <w:rFonts w:hint="default"/>
                <w:b w:val="0"/>
                <w:bCs w:val="0"/>
                <w:color w:val="auto"/>
                <w:u w:val="none" w:color="auto"/>
              </w:rPr>
            </w:pPr>
            <w:r>
              <w:rPr>
                <w:rFonts w:hint="default"/>
                <w:b w:val="0"/>
                <w:bCs w:val="0"/>
                <w:color w:val="auto"/>
                <w:u w:val="none" w:color="auto"/>
              </w:rPr>
              <w:t>白色</w:t>
            </w:r>
          </w:p>
        </w:tc>
      </w:tr>
      <w:tr w14:paraId="18E09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0F3A58CF">
            <w:pPr>
              <w:pStyle w:val="39"/>
              <w:bidi w:val="0"/>
              <w:rPr>
                <w:rFonts w:hint="default"/>
                <w:b w:val="0"/>
                <w:bCs w:val="0"/>
                <w:color w:val="auto"/>
                <w:u w:val="none" w:color="auto"/>
                <w:lang w:val="en-US" w:eastAsia="zh-CN"/>
              </w:rPr>
            </w:pPr>
            <w:r>
              <w:rPr>
                <w:rFonts w:hint="default"/>
                <w:b w:val="0"/>
                <w:bCs w:val="0"/>
                <w:color w:val="auto"/>
                <w:u w:val="none" w:color="auto"/>
                <w:lang w:val="en-US" w:eastAsia="zh-CN"/>
              </w:rPr>
              <w:t>危险废物暂存间</w:t>
            </w:r>
          </w:p>
        </w:tc>
        <w:tc>
          <w:tcPr>
            <w:tcW w:w="840" w:type="pct"/>
            <w:tcBorders>
              <w:tl2br w:val="nil"/>
              <w:tr2bl w:val="nil"/>
            </w:tcBorders>
            <w:noWrap w:val="0"/>
            <w:vAlign w:val="center"/>
          </w:tcPr>
          <w:p w14:paraId="0D79831C">
            <w:pPr>
              <w:pStyle w:val="39"/>
              <w:bidi w:val="0"/>
              <w:rPr>
                <w:rFonts w:hint="default"/>
                <w:b w:val="0"/>
                <w:bCs w:val="0"/>
                <w:color w:val="auto"/>
                <w:u w:val="none" w:color="auto"/>
              </w:rPr>
            </w:pPr>
            <w:r>
              <w:rPr>
                <w:rFonts w:hint="default"/>
                <w:b w:val="0"/>
                <w:bCs w:val="0"/>
                <w:color w:val="auto"/>
                <w:u w:val="none" w:color="auto"/>
              </w:rPr>
              <w:t>警告标志</w:t>
            </w:r>
          </w:p>
        </w:tc>
        <w:tc>
          <w:tcPr>
            <w:tcW w:w="873" w:type="pct"/>
            <w:tcBorders>
              <w:tl2br w:val="nil"/>
              <w:tr2bl w:val="nil"/>
            </w:tcBorders>
            <w:noWrap w:val="0"/>
            <w:vAlign w:val="center"/>
          </w:tcPr>
          <w:p w14:paraId="77B27B95">
            <w:pPr>
              <w:pStyle w:val="39"/>
              <w:bidi w:val="0"/>
              <w:rPr>
                <w:rFonts w:hint="default"/>
                <w:b w:val="0"/>
                <w:bCs w:val="0"/>
                <w:color w:val="auto"/>
                <w:u w:val="none" w:color="auto"/>
              </w:rPr>
            </w:pPr>
            <w:r>
              <w:rPr>
                <w:rFonts w:hint="default"/>
                <w:b w:val="0"/>
                <w:bCs w:val="0"/>
                <w:color w:val="auto"/>
                <w:u w:val="none" w:color="auto"/>
              </w:rPr>
              <w:t>三角形边框</w:t>
            </w:r>
          </w:p>
        </w:tc>
        <w:tc>
          <w:tcPr>
            <w:tcW w:w="664" w:type="pct"/>
            <w:tcBorders>
              <w:tl2br w:val="nil"/>
              <w:tr2bl w:val="nil"/>
            </w:tcBorders>
            <w:noWrap w:val="0"/>
            <w:vAlign w:val="center"/>
          </w:tcPr>
          <w:p w14:paraId="75242243">
            <w:pPr>
              <w:pStyle w:val="39"/>
              <w:bidi w:val="0"/>
              <w:rPr>
                <w:rFonts w:hint="default"/>
                <w:b w:val="0"/>
                <w:bCs w:val="0"/>
                <w:color w:val="auto"/>
                <w:u w:val="none" w:color="auto"/>
              </w:rPr>
            </w:pPr>
            <w:r>
              <w:rPr>
                <w:rFonts w:hint="default"/>
                <w:b w:val="0"/>
                <w:bCs w:val="0"/>
                <w:color w:val="auto"/>
                <w:u w:val="none" w:color="auto"/>
              </w:rPr>
              <w:t>黄色</w:t>
            </w:r>
          </w:p>
        </w:tc>
        <w:tc>
          <w:tcPr>
            <w:tcW w:w="751" w:type="pct"/>
            <w:tcBorders>
              <w:tl2br w:val="nil"/>
              <w:tr2bl w:val="nil"/>
            </w:tcBorders>
            <w:noWrap w:val="0"/>
            <w:vAlign w:val="center"/>
          </w:tcPr>
          <w:p w14:paraId="6F3D8719">
            <w:pPr>
              <w:pStyle w:val="39"/>
              <w:bidi w:val="0"/>
              <w:rPr>
                <w:rFonts w:hint="default"/>
                <w:b w:val="0"/>
                <w:bCs w:val="0"/>
                <w:color w:val="auto"/>
                <w:u w:val="none" w:color="auto"/>
              </w:rPr>
            </w:pPr>
            <w:r>
              <w:rPr>
                <w:rFonts w:hint="default"/>
                <w:b w:val="0"/>
                <w:bCs w:val="0"/>
                <w:color w:val="auto"/>
                <w:u w:val="none" w:color="auto"/>
              </w:rPr>
              <w:t>黑色</w:t>
            </w:r>
          </w:p>
        </w:tc>
      </w:tr>
    </w:tbl>
    <w:p w14:paraId="53B67309">
      <w:pPr>
        <w:pStyle w:val="23"/>
        <w:bidi w:val="0"/>
        <w:rPr>
          <w:rFonts w:hint="eastAsia"/>
          <w:color w:val="auto"/>
          <w:u w:val="none" w:color="auto"/>
          <w:lang w:val="en-US" w:eastAsia="zh-CN"/>
        </w:rPr>
      </w:pPr>
      <w:r>
        <w:rPr>
          <w:rFonts w:hint="eastAsia"/>
          <w:color w:val="auto"/>
          <w:u w:val="none" w:color="auto"/>
          <w:lang w:val="en-US" w:eastAsia="zh-CN"/>
        </w:rPr>
        <w:t>表8.1-5  环境保护图形符号一览表</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337"/>
        <w:gridCol w:w="2442"/>
        <w:gridCol w:w="1423"/>
        <w:gridCol w:w="1470"/>
      </w:tblGrid>
      <w:tr w14:paraId="3F277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6C247A09">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2337" w:type="dxa"/>
            <w:noWrap w:val="0"/>
            <w:vAlign w:val="center"/>
          </w:tcPr>
          <w:p w14:paraId="28CB52F2">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提示图形符号</w:t>
            </w:r>
          </w:p>
        </w:tc>
        <w:tc>
          <w:tcPr>
            <w:tcW w:w="2442" w:type="dxa"/>
            <w:noWrap w:val="0"/>
            <w:vAlign w:val="center"/>
          </w:tcPr>
          <w:p w14:paraId="36813DF4">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警告图形符号</w:t>
            </w:r>
          </w:p>
        </w:tc>
        <w:tc>
          <w:tcPr>
            <w:tcW w:w="1423" w:type="dxa"/>
            <w:noWrap w:val="0"/>
            <w:vAlign w:val="center"/>
          </w:tcPr>
          <w:p w14:paraId="1CC25FE5">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名称</w:t>
            </w:r>
          </w:p>
        </w:tc>
        <w:tc>
          <w:tcPr>
            <w:tcW w:w="1470" w:type="dxa"/>
            <w:noWrap w:val="0"/>
            <w:vAlign w:val="center"/>
          </w:tcPr>
          <w:p w14:paraId="685D47C5">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功能</w:t>
            </w:r>
          </w:p>
        </w:tc>
      </w:tr>
      <w:tr w14:paraId="09C3C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2B984FFA">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2337" w:type="dxa"/>
            <w:noWrap w:val="0"/>
            <w:vAlign w:val="center"/>
          </w:tcPr>
          <w:p w14:paraId="42AB7EA5">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162050" cy="1162050"/>
                  <wp:effectExtent l="0" t="0" r="0" b="0"/>
                  <wp:docPr id="21" name="图片 27"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污水排放口"/>
                          <pic:cNvPicPr>
                            <a:picLocks noChangeAspect="1"/>
                          </pic:cNvPicPr>
                        </pic:nvPicPr>
                        <pic:blipFill>
                          <a:blip r:embed="rId50"/>
                          <a:stretch>
                            <a:fillRect/>
                          </a:stretch>
                        </pic:blipFill>
                        <pic:spPr>
                          <a:xfrm>
                            <a:off x="0" y="0"/>
                            <a:ext cx="1162050" cy="1162050"/>
                          </a:xfrm>
                          <a:prstGeom prst="rect">
                            <a:avLst/>
                          </a:prstGeom>
                          <a:noFill/>
                          <a:ln>
                            <a:noFill/>
                          </a:ln>
                        </pic:spPr>
                      </pic:pic>
                    </a:graphicData>
                  </a:graphic>
                </wp:inline>
              </w:drawing>
            </w:r>
          </w:p>
        </w:tc>
        <w:tc>
          <w:tcPr>
            <w:tcW w:w="2442" w:type="dxa"/>
            <w:noWrap w:val="0"/>
            <w:vAlign w:val="center"/>
          </w:tcPr>
          <w:p w14:paraId="3B458AFA">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294765" cy="1151890"/>
                  <wp:effectExtent l="0" t="0" r="635" b="10160"/>
                  <wp:docPr id="27" name="图片 28"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污水排放口"/>
                          <pic:cNvPicPr>
                            <a:picLocks noChangeAspect="1"/>
                          </pic:cNvPicPr>
                        </pic:nvPicPr>
                        <pic:blipFill>
                          <a:blip r:embed="rId51"/>
                          <a:stretch>
                            <a:fillRect/>
                          </a:stretch>
                        </pic:blipFill>
                        <pic:spPr>
                          <a:xfrm>
                            <a:off x="0" y="0"/>
                            <a:ext cx="1294765" cy="1151890"/>
                          </a:xfrm>
                          <a:prstGeom prst="rect">
                            <a:avLst/>
                          </a:prstGeom>
                          <a:noFill/>
                          <a:ln>
                            <a:noFill/>
                          </a:ln>
                        </pic:spPr>
                      </pic:pic>
                    </a:graphicData>
                  </a:graphic>
                </wp:inline>
              </w:drawing>
            </w:r>
          </w:p>
        </w:tc>
        <w:tc>
          <w:tcPr>
            <w:tcW w:w="1423" w:type="dxa"/>
            <w:noWrap w:val="0"/>
            <w:vAlign w:val="center"/>
          </w:tcPr>
          <w:p w14:paraId="0E68E370">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污水排放口</w:t>
            </w:r>
          </w:p>
        </w:tc>
        <w:tc>
          <w:tcPr>
            <w:tcW w:w="1470" w:type="dxa"/>
            <w:noWrap w:val="0"/>
            <w:vAlign w:val="center"/>
          </w:tcPr>
          <w:p w14:paraId="0A5285BE">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表示污水向水体排放</w:t>
            </w:r>
          </w:p>
        </w:tc>
      </w:tr>
      <w:tr w14:paraId="70B8C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6DBB8473">
            <w:pPr>
              <w:pStyle w:val="2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2337" w:type="dxa"/>
            <w:noWrap w:val="0"/>
            <w:vAlign w:val="center"/>
          </w:tcPr>
          <w:p w14:paraId="77E19C4E">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5565" cy="966470"/>
                  <wp:effectExtent l="0" t="0" r="6985"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1345565" cy="966470"/>
                          </a:xfrm>
                          <a:prstGeom prst="rect">
                            <a:avLst/>
                          </a:prstGeom>
                          <a:noFill/>
                          <a:ln>
                            <a:noFill/>
                          </a:ln>
                        </pic:spPr>
                      </pic:pic>
                    </a:graphicData>
                  </a:graphic>
                </wp:inline>
              </w:drawing>
            </w:r>
          </w:p>
        </w:tc>
        <w:tc>
          <w:tcPr>
            <w:tcW w:w="2442" w:type="dxa"/>
            <w:noWrap w:val="0"/>
            <w:vAlign w:val="center"/>
          </w:tcPr>
          <w:p w14:paraId="70C6EF00">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026795"/>
                  <wp:effectExtent l="0" t="0" r="15875" b="1905"/>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pic:cNvPicPr>
                        </pic:nvPicPr>
                        <pic:blipFill>
                          <a:blip r:embed="rId53"/>
                          <a:stretch>
                            <a:fillRect/>
                          </a:stretch>
                        </pic:blipFill>
                        <pic:spPr>
                          <a:xfrm>
                            <a:off x="0" y="0"/>
                            <a:ext cx="1412875" cy="1026795"/>
                          </a:xfrm>
                          <a:prstGeom prst="rect">
                            <a:avLst/>
                          </a:prstGeom>
                          <a:noFill/>
                          <a:ln>
                            <a:noFill/>
                          </a:ln>
                        </pic:spPr>
                      </pic:pic>
                    </a:graphicData>
                  </a:graphic>
                </wp:inline>
              </w:drawing>
            </w:r>
          </w:p>
        </w:tc>
        <w:tc>
          <w:tcPr>
            <w:tcW w:w="1423" w:type="dxa"/>
            <w:noWrap w:val="0"/>
            <w:vAlign w:val="center"/>
          </w:tcPr>
          <w:p w14:paraId="23FD8D30">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废气排放口</w:t>
            </w:r>
          </w:p>
        </w:tc>
        <w:tc>
          <w:tcPr>
            <w:tcW w:w="1470" w:type="dxa"/>
            <w:noWrap w:val="0"/>
            <w:vAlign w:val="center"/>
          </w:tcPr>
          <w:p w14:paraId="2D09B64E">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表示废气向大气环境排放</w:t>
            </w:r>
          </w:p>
        </w:tc>
      </w:tr>
      <w:tr w14:paraId="3A2CF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23783ADD">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3</w:t>
            </w:r>
          </w:p>
        </w:tc>
        <w:tc>
          <w:tcPr>
            <w:tcW w:w="2337" w:type="dxa"/>
            <w:noWrap w:val="0"/>
            <w:vAlign w:val="center"/>
          </w:tcPr>
          <w:p w14:paraId="02578EBA">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6200" cy="1346200"/>
                  <wp:effectExtent l="0" t="0" r="6350" b="6350"/>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54"/>
                          <a:stretch>
                            <a:fillRect/>
                          </a:stretch>
                        </pic:blipFill>
                        <pic:spPr>
                          <a:xfrm>
                            <a:off x="0" y="0"/>
                            <a:ext cx="1346200" cy="1346200"/>
                          </a:xfrm>
                          <a:prstGeom prst="rect">
                            <a:avLst/>
                          </a:prstGeom>
                          <a:noFill/>
                          <a:ln>
                            <a:noFill/>
                          </a:ln>
                        </pic:spPr>
                      </pic:pic>
                    </a:graphicData>
                  </a:graphic>
                </wp:inline>
              </w:drawing>
            </w:r>
          </w:p>
        </w:tc>
        <w:tc>
          <w:tcPr>
            <w:tcW w:w="2442" w:type="dxa"/>
            <w:noWrap w:val="0"/>
            <w:vAlign w:val="center"/>
          </w:tcPr>
          <w:p w14:paraId="1357E574">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367155"/>
                  <wp:effectExtent l="0" t="0" r="15875" b="4445"/>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55"/>
                          <a:stretch>
                            <a:fillRect/>
                          </a:stretch>
                        </pic:blipFill>
                        <pic:spPr>
                          <a:xfrm>
                            <a:off x="0" y="0"/>
                            <a:ext cx="1412875" cy="1367155"/>
                          </a:xfrm>
                          <a:prstGeom prst="rect">
                            <a:avLst/>
                          </a:prstGeom>
                          <a:noFill/>
                          <a:ln>
                            <a:noFill/>
                          </a:ln>
                        </pic:spPr>
                      </pic:pic>
                    </a:graphicData>
                  </a:graphic>
                </wp:inline>
              </w:drawing>
            </w:r>
          </w:p>
        </w:tc>
        <w:tc>
          <w:tcPr>
            <w:tcW w:w="1423" w:type="dxa"/>
            <w:noWrap w:val="0"/>
            <w:vAlign w:val="center"/>
          </w:tcPr>
          <w:p w14:paraId="3583FD10">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一般固体废物</w:t>
            </w:r>
          </w:p>
        </w:tc>
        <w:tc>
          <w:tcPr>
            <w:tcW w:w="1470" w:type="dxa"/>
            <w:noWrap w:val="0"/>
            <w:vAlign w:val="center"/>
          </w:tcPr>
          <w:p w14:paraId="0C6B6899">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表示一般固体废物贮存、处置场</w:t>
            </w:r>
          </w:p>
        </w:tc>
      </w:tr>
      <w:tr w14:paraId="7D92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63C273A8">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4</w:t>
            </w:r>
          </w:p>
        </w:tc>
        <w:tc>
          <w:tcPr>
            <w:tcW w:w="2337" w:type="dxa"/>
            <w:noWrap w:val="0"/>
            <w:vAlign w:val="center"/>
          </w:tcPr>
          <w:p w14:paraId="247DBC64">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5565" cy="1336040"/>
                  <wp:effectExtent l="0" t="0" r="6985" b="1651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56"/>
                          <a:stretch>
                            <a:fillRect/>
                          </a:stretch>
                        </pic:blipFill>
                        <pic:spPr>
                          <a:xfrm>
                            <a:off x="0" y="0"/>
                            <a:ext cx="1345565" cy="1336040"/>
                          </a:xfrm>
                          <a:prstGeom prst="rect">
                            <a:avLst/>
                          </a:prstGeom>
                          <a:noFill/>
                          <a:ln>
                            <a:noFill/>
                          </a:ln>
                        </pic:spPr>
                      </pic:pic>
                    </a:graphicData>
                  </a:graphic>
                </wp:inline>
              </w:drawing>
            </w:r>
          </w:p>
        </w:tc>
        <w:tc>
          <w:tcPr>
            <w:tcW w:w="2442" w:type="dxa"/>
            <w:noWrap w:val="0"/>
            <w:vAlign w:val="center"/>
          </w:tcPr>
          <w:p w14:paraId="50DC0849">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288415"/>
                  <wp:effectExtent l="0" t="0" r="15875" b="6985"/>
                  <wp:docPr id="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pic:cNvPicPr>
                            <a:picLocks noChangeAspect="1"/>
                          </pic:cNvPicPr>
                        </pic:nvPicPr>
                        <pic:blipFill>
                          <a:blip r:embed="rId57"/>
                          <a:stretch>
                            <a:fillRect/>
                          </a:stretch>
                        </pic:blipFill>
                        <pic:spPr>
                          <a:xfrm>
                            <a:off x="0" y="0"/>
                            <a:ext cx="1412875" cy="1288415"/>
                          </a:xfrm>
                          <a:prstGeom prst="rect">
                            <a:avLst/>
                          </a:prstGeom>
                          <a:noFill/>
                          <a:ln>
                            <a:noFill/>
                          </a:ln>
                        </pic:spPr>
                      </pic:pic>
                    </a:graphicData>
                  </a:graphic>
                </wp:inline>
              </w:drawing>
            </w:r>
          </w:p>
        </w:tc>
        <w:tc>
          <w:tcPr>
            <w:tcW w:w="1423" w:type="dxa"/>
            <w:noWrap w:val="0"/>
            <w:vAlign w:val="center"/>
          </w:tcPr>
          <w:p w14:paraId="79B2228E">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噪声排放源</w:t>
            </w:r>
          </w:p>
        </w:tc>
        <w:tc>
          <w:tcPr>
            <w:tcW w:w="1470" w:type="dxa"/>
            <w:noWrap w:val="0"/>
            <w:vAlign w:val="center"/>
          </w:tcPr>
          <w:p w14:paraId="2E0FA3CC">
            <w:pPr>
              <w:pStyle w:val="25"/>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表示噪声向外环境排放</w:t>
            </w:r>
          </w:p>
        </w:tc>
      </w:tr>
    </w:tbl>
    <w:p w14:paraId="7D195E01">
      <w:pPr>
        <w:pStyle w:val="55"/>
        <w:ind w:firstLine="0" w:firstLineChars="0"/>
        <w:jc w:val="both"/>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color w:val="auto"/>
          <w:u w:val="none" w:color="auto"/>
        </w:rPr>
        <w:drawing>
          <wp:inline distT="0" distB="0" distL="114300" distR="114300">
            <wp:extent cx="2114550" cy="2098040"/>
            <wp:effectExtent l="0" t="0" r="0" b="1651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pic:cNvPicPr>
                  </pic:nvPicPr>
                  <pic:blipFill>
                    <a:blip r:embed="rId58"/>
                    <a:stretch>
                      <a:fillRect/>
                    </a:stretch>
                  </pic:blipFill>
                  <pic:spPr>
                    <a:xfrm>
                      <a:off x="0" y="0"/>
                      <a:ext cx="2114550" cy="2098040"/>
                    </a:xfrm>
                    <a:prstGeom prst="rect">
                      <a:avLst/>
                    </a:prstGeom>
                    <a:noFill/>
                    <a:ln>
                      <a:noFill/>
                    </a:ln>
                  </pic:spPr>
                </pic:pic>
              </a:graphicData>
            </a:graphic>
          </wp:inline>
        </w:drawing>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u w:val="none" w:color="auto"/>
        </w:rPr>
        <w:drawing>
          <wp:inline distT="0" distB="0" distL="114300" distR="114300">
            <wp:extent cx="2877820" cy="1820545"/>
            <wp:effectExtent l="0" t="0" r="17780" b="8255"/>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pic:cNvPicPr>
                      <a:picLocks noChangeAspect="1"/>
                    </pic:cNvPicPr>
                  </pic:nvPicPr>
                  <pic:blipFill>
                    <a:blip r:embed="rId59"/>
                    <a:stretch>
                      <a:fillRect/>
                    </a:stretch>
                  </pic:blipFill>
                  <pic:spPr>
                    <a:xfrm>
                      <a:off x="0" y="0"/>
                      <a:ext cx="2877820" cy="1820545"/>
                    </a:xfrm>
                    <a:prstGeom prst="rect">
                      <a:avLst/>
                    </a:prstGeom>
                    <a:noFill/>
                    <a:ln>
                      <a:noFill/>
                    </a:ln>
                  </pic:spPr>
                </pic:pic>
              </a:graphicData>
            </a:graphic>
          </wp:inline>
        </w:drawing>
      </w:r>
    </w:p>
    <w:p w14:paraId="50B4655D">
      <w:pPr>
        <w:pStyle w:val="31"/>
        <w:bidi w:val="0"/>
        <w:rPr>
          <w:rFonts w:hint="default"/>
          <w:color w:val="auto"/>
          <w:u w:val="none" w:color="auto"/>
        </w:rPr>
      </w:pPr>
      <w:r>
        <w:rPr>
          <w:rFonts w:hint="default"/>
          <w:color w:val="auto"/>
          <w:u w:val="none" w:color="auto"/>
        </w:rPr>
        <w:t>图</w:t>
      </w:r>
      <w:r>
        <w:rPr>
          <w:rFonts w:hint="eastAsia"/>
          <w:color w:val="auto"/>
          <w:u w:val="none" w:color="auto"/>
          <w:lang w:val="en-US" w:eastAsia="zh-CN"/>
        </w:rPr>
        <w:t>8</w:t>
      </w:r>
      <w:r>
        <w:rPr>
          <w:rFonts w:hint="default"/>
          <w:color w:val="auto"/>
          <w:u w:val="none" w:color="auto"/>
        </w:rPr>
        <w:t>.</w:t>
      </w:r>
      <w:r>
        <w:rPr>
          <w:rFonts w:hint="eastAsia"/>
          <w:color w:val="auto"/>
          <w:u w:val="none" w:color="auto"/>
          <w:lang w:val="en-US" w:eastAsia="zh-CN"/>
        </w:rPr>
        <w:t>1</w:t>
      </w:r>
      <w:r>
        <w:rPr>
          <w:rFonts w:hint="default"/>
          <w:color w:val="auto"/>
          <w:u w:val="none" w:color="auto"/>
        </w:rPr>
        <w:t>-</w:t>
      </w:r>
      <w:r>
        <w:rPr>
          <w:rFonts w:hint="eastAsia"/>
          <w:color w:val="auto"/>
          <w:u w:val="none" w:color="auto"/>
          <w:lang w:val="en-US" w:eastAsia="zh-CN"/>
        </w:rPr>
        <w:t>1</w:t>
      </w:r>
      <w:r>
        <w:rPr>
          <w:rFonts w:hint="default"/>
          <w:color w:val="auto"/>
          <w:u w:val="none" w:color="auto"/>
        </w:rPr>
        <w:t xml:space="preserve">  危险废物环境保护图形标志牌</w:t>
      </w:r>
    </w:p>
    <w:p w14:paraId="2755E200">
      <w:pPr>
        <w:pStyle w:val="7"/>
        <w:bidi w:val="0"/>
        <w:rPr>
          <w:rFonts w:hint="default"/>
          <w:color w:val="auto"/>
          <w:u w:val="none" w:color="auto"/>
        </w:rPr>
      </w:pPr>
      <w:bookmarkStart w:id="1532" w:name="_Toc1687"/>
      <w:bookmarkStart w:id="1533" w:name="_Toc31960"/>
      <w:bookmarkStart w:id="1534" w:name="_Toc23417"/>
      <w:bookmarkStart w:id="1535" w:name="_Toc596"/>
      <w:r>
        <w:rPr>
          <w:rFonts w:hint="eastAsia"/>
          <w:color w:val="auto"/>
          <w:u w:val="none" w:color="auto"/>
          <w:lang w:val="en-US" w:eastAsia="zh-CN"/>
        </w:rPr>
        <w:t>8</w:t>
      </w:r>
      <w:r>
        <w:rPr>
          <w:rFonts w:hint="default"/>
          <w:color w:val="auto"/>
          <w:u w:val="none" w:color="auto"/>
        </w:rPr>
        <w:t>.2环境监</w:t>
      </w:r>
      <w:r>
        <w:rPr>
          <w:rFonts w:hint="default"/>
          <w:color w:val="auto"/>
          <w:u w:val="none" w:color="auto"/>
          <w:lang w:eastAsia="zh-CN"/>
        </w:rPr>
        <w:t>测</w:t>
      </w:r>
      <w:r>
        <w:rPr>
          <w:rFonts w:hint="default"/>
          <w:color w:val="auto"/>
          <w:u w:val="none" w:color="auto"/>
        </w:rPr>
        <w:t>计划</w:t>
      </w:r>
      <w:bookmarkEnd w:id="1532"/>
      <w:bookmarkEnd w:id="1533"/>
      <w:bookmarkEnd w:id="1534"/>
      <w:bookmarkEnd w:id="1535"/>
    </w:p>
    <w:p w14:paraId="00A24108">
      <w:pPr>
        <w:pStyle w:val="21"/>
        <w:ind w:firstLine="480"/>
        <w:rPr>
          <w:rFonts w:hint="default" w:ascii="Times New Roman" w:hAnsi="Times New Roman" w:cs="Times New Roman"/>
          <w:color w:val="auto"/>
          <w:u w:val="none" w:color="auto"/>
          <w:lang w:val="en-US"/>
        </w:rPr>
      </w:pPr>
      <w:r>
        <w:rPr>
          <w:color w:val="auto"/>
          <w:u w:val="none" w:color="auto"/>
        </w:rPr>
        <w:t xml:space="preserve">为了解项目的环境影响及环境质量变化趋势，应建立污染源分类技术档案和监测档案，为环境污染治理提供必要的依据。环境监测计划可按照《排污许可证申请与核发技术规范 </w:t>
      </w:r>
      <w:r>
        <w:rPr>
          <w:rFonts w:hint="eastAsia"/>
          <w:color w:val="auto"/>
          <w:u w:val="none" w:color="auto"/>
        </w:rPr>
        <w:t>总则</w:t>
      </w:r>
      <w:r>
        <w:rPr>
          <w:color w:val="auto"/>
          <w:u w:val="none" w:color="auto"/>
        </w:rPr>
        <w:t>》（HJ</w:t>
      </w:r>
      <w:r>
        <w:rPr>
          <w:rFonts w:hint="eastAsia"/>
          <w:color w:val="auto"/>
          <w:u w:val="none" w:color="auto"/>
        </w:rPr>
        <w:t>942</w:t>
      </w:r>
      <w:r>
        <w:rPr>
          <w:color w:val="auto"/>
          <w:u w:val="none" w:color="auto"/>
        </w:rPr>
        <w:t>-20</w:t>
      </w:r>
      <w:r>
        <w:rPr>
          <w:rFonts w:hint="eastAsia"/>
          <w:color w:val="auto"/>
          <w:u w:val="none" w:color="auto"/>
        </w:rPr>
        <w:t>18</w:t>
      </w:r>
      <w:r>
        <w:rPr>
          <w:color w:val="auto"/>
          <w:u w:val="none" w:color="auto"/>
        </w:rPr>
        <w:t>）</w:t>
      </w:r>
      <w:r>
        <w:rPr>
          <w:rFonts w:hint="eastAsia"/>
          <w:color w:val="auto"/>
          <w:u w:val="none" w:color="auto"/>
        </w:rPr>
        <w:t>、《排污许可证申请与核发技术规范 石墨及其他非金属矿物制品制造》（HJ1119-2020）</w:t>
      </w:r>
      <w:r>
        <w:rPr>
          <w:color w:val="auto"/>
          <w:u w:val="none" w:color="auto"/>
        </w:rPr>
        <w:t>中监测要求进行监测，安排如下。</w:t>
      </w:r>
    </w:p>
    <w:p w14:paraId="183A88A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（1）建立健全监测制度，定期开展对废气和厂界噪声的常规性监测。</w:t>
      </w:r>
    </w:p>
    <w:p w14:paraId="40D1111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（2）监测厂界无组织浓度值；噪声监测因子为Leq(A)，每季监测一次。出现污染投诉和环境纠纷时另行组织开展监测。详见下表。</w:t>
      </w:r>
    </w:p>
    <w:p w14:paraId="1F9A4702">
      <w:pPr>
        <w:pStyle w:val="23"/>
        <w:bidi w:val="0"/>
        <w:rPr>
          <w:rFonts w:hint="eastAsia"/>
          <w:color w:val="auto"/>
          <w:u w:val="none" w:color="auto"/>
          <w:lang w:eastAsia="zh-CN"/>
        </w:rPr>
      </w:pPr>
      <w:r>
        <w:rPr>
          <w:rFonts w:hint="default"/>
          <w:color w:val="auto"/>
          <w:u w:val="none" w:color="auto"/>
        </w:rPr>
        <w:t>表</w:t>
      </w:r>
      <w:r>
        <w:rPr>
          <w:rFonts w:hint="eastAsia"/>
          <w:color w:val="auto"/>
          <w:u w:val="none" w:color="auto"/>
          <w:lang w:val="en-US" w:eastAsia="zh-CN"/>
        </w:rPr>
        <w:t>8</w:t>
      </w:r>
      <w:r>
        <w:rPr>
          <w:rFonts w:hint="default"/>
          <w:color w:val="auto"/>
          <w:u w:val="none" w:color="auto"/>
        </w:rPr>
        <w:t>.2-1营运期环境监测计划</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3360"/>
        <w:gridCol w:w="1530"/>
        <w:gridCol w:w="1305"/>
        <w:gridCol w:w="1138"/>
      </w:tblGrid>
      <w:tr w14:paraId="5B6FE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restart"/>
            <w:noWrap w:val="0"/>
            <w:vAlign w:val="center"/>
          </w:tcPr>
          <w:p w14:paraId="56D1F99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p>
        </w:tc>
        <w:tc>
          <w:tcPr>
            <w:tcW w:w="7333" w:type="dxa"/>
            <w:gridSpan w:val="4"/>
            <w:noWrap w:val="0"/>
            <w:vAlign w:val="center"/>
          </w:tcPr>
          <w:p w14:paraId="44DC6BAD">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建议内容</w:t>
            </w:r>
          </w:p>
        </w:tc>
      </w:tr>
      <w:tr w14:paraId="68978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7CD98790">
            <w:pPr>
              <w:pStyle w:val="25"/>
              <w:rPr>
                <w:rFonts w:hint="default" w:ascii="Times New Roman" w:hAnsi="Times New Roman" w:cs="Times New Roman"/>
                <w:color w:val="auto"/>
                <w:u w:val="none" w:color="auto"/>
              </w:rPr>
            </w:pPr>
          </w:p>
        </w:tc>
        <w:tc>
          <w:tcPr>
            <w:tcW w:w="3360" w:type="dxa"/>
            <w:noWrap w:val="0"/>
            <w:vAlign w:val="center"/>
          </w:tcPr>
          <w:p w14:paraId="03EC306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监测因子</w:t>
            </w:r>
          </w:p>
        </w:tc>
        <w:tc>
          <w:tcPr>
            <w:tcW w:w="1530" w:type="dxa"/>
            <w:noWrap w:val="0"/>
            <w:vAlign w:val="center"/>
          </w:tcPr>
          <w:p w14:paraId="56CFFFF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监测地点</w:t>
            </w:r>
          </w:p>
        </w:tc>
        <w:tc>
          <w:tcPr>
            <w:tcW w:w="1305" w:type="dxa"/>
            <w:noWrap w:val="0"/>
            <w:vAlign w:val="center"/>
          </w:tcPr>
          <w:p w14:paraId="4AA3FF51">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监测频率</w:t>
            </w:r>
          </w:p>
        </w:tc>
        <w:tc>
          <w:tcPr>
            <w:tcW w:w="1138" w:type="dxa"/>
            <w:noWrap w:val="0"/>
            <w:vAlign w:val="center"/>
          </w:tcPr>
          <w:p w14:paraId="3C7B88B2">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监测机构</w:t>
            </w:r>
          </w:p>
        </w:tc>
      </w:tr>
      <w:tr w14:paraId="17485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restart"/>
            <w:noWrap w:val="0"/>
            <w:vAlign w:val="center"/>
          </w:tcPr>
          <w:p w14:paraId="04B9C762">
            <w:pPr>
              <w:pStyle w:val="2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废气</w:t>
            </w:r>
          </w:p>
        </w:tc>
        <w:tc>
          <w:tcPr>
            <w:tcW w:w="3360" w:type="dxa"/>
            <w:noWrap w:val="0"/>
            <w:vAlign w:val="center"/>
          </w:tcPr>
          <w:p w14:paraId="3922B263">
            <w:pPr>
              <w:pStyle w:val="25"/>
              <w:bidi w:val="0"/>
              <w:rPr>
                <w:rFonts w:hint="default" w:ascii="Times New Roman" w:hAnsi="Times New Roman" w:cs="Times New Roman"/>
                <w:color w:val="auto"/>
                <w:u w:val="none" w:color="auto"/>
                <w:lang w:val="en-US"/>
              </w:rPr>
            </w:pPr>
            <w:r>
              <w:rPr>
                <w:rFonts w:hint="eastAsia" w:ascii="Times New Roman" w:hAnsi="Times New Roman" w:cs="Times New Roman"/>
                <w:color w:val="auto"/>
                <w:u w:val="none" w:color="auto"/>
                <w:lang w:val="en-US" w:eastAsia="zh-CN"/>
              </w:rPr>
              <w:t>标干流量、</w:t>
            </w:r>
            <w:r>
              <w:rPr>
                <w:rFonts w:hint="default" w:ascii="Times New Roman" w:hAnsi="Times New Roman" w:cs="Times New Roman"/>
                <w:color w:val="auto"/>
                <w:u w:val="none" w:color="auto"/>
              </w:rPr>
              <w:t>颗粒物</w:t>
            </w:r>
            <w:r>
              <w:rPr>
                <w:rFonts w:hint="default" w:ascii="Times New Roman" w:hAnsi="Times New Roman" w:cs="Times New Roman"/>
                <w:color w:val="auto"/>
                <w:u w:val="none" w:color="auto"/>
                <w:lang w:eastAsia="zh-CN"/>
              </w:rPr>
              <w:t>、非甲烷总烃</w:t>
            </w:r>
            <w:r>
              <w:rPr>
                <w:rFonts w:hint="eastAsia" w:cs="Times New Roman"/>
                <w:color w:val="auto"/>
                <w:u w:val="none" w:color="auto"/>
                <w:lang w:eastAsia="zh-CN"/>
              </w:rPr>
              <w:t>、</w:t>
            </w:r>
            <w:r>
              <w:rPr>
                <w:rFonts w:hint="eastAsia" w:cs="Times New Roman"/>
                <w:color w:val="auto"/>
                <w:u w:val="none" w:color="auto"/>
                <w:lang w:val="en-US" w:eastAsia="zh-CN"/>
              </w:rPr>
              <w:t>甲醛、酚类</w:t>
            </w:r>
          </w:p>
        </w:tc>
        <w:tc>
          <w:tcPr>
            <w:tcW w:w="1530" w:type="dxa"/>
            <w:noWrap w:val="0"/>
            <w:vAlign w:val="center"/>
          </w:tcPr>
          <w:p w14:paraId="7F25F449">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w:t>
            </w:r>
          </w:p>
        </w:tc>
        <w:tc>
          <w:tcPr>
            <w:tcW w:w="1305" w:type="dxa"/>
            <w:noWrap w:val="0"/>
            <w:vAlign w:val="center"/>
          </w:tcPr>
          <w:p w14:paraId="10E8A53D">
            <w:pPr>
              <w:pStyle w:val="25"/>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1次/</w:t>
            </w:r>
            <w:r>
              <w:rPr>
                <w:rFonts w:hint="eastAsia" w:ascii="Times New Roman" w:hAnsi="Times New Roman" w:cs="Times New Roman"/>
                <w:color w:val="auto"/>
                <w:u w:val="none" w:color="auto"/>
                <w:lang w:val="en-US" w:eastAsia="zh-CN"/>
              </w:rPr>
              <w:t>半</w:t>
            </w:r>
            <w:r>
              <w:rPr>
                <w:rFonts w:hint="default" w:ascii="Times New Roman" w:hAnsi="Times New Roman" w:cs="Times New Roman"/>
                <w:color w:val="auto"/>
                <w:u w:val="none" w:color="auto"/>
                <w:lang w:val="en-US" w:eastAsia="zh-CN"/>
              </w:rPr>
              <w:t>年</w:t>
            </w:r>
          </w:p>
        </w:tc>
        <w:tc>
          <w:tcPr>
            <w:tcW w:w="1138" w:type="dxa"/>
            <w:vMerge w:val="restart"/>
            <w:noWrap w:val="0"/>
            <w:vAlign w:val="center"/>
          </w:tcPr>
          <w:p w14:paraId="68A6A21F">
            <w:pPr>
              <w:pStyle w:val="2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建议委托有资质的公司进行</w:t>
            </w:r>
          </w:p>
        </w:tc>
      </w:tr>
      <w:tr w14:paraId="44865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6452CED0">
            <w:pPr>
              <w:pStyle w:val="25"/>
              <w:bidi w:val="0"/>
              <w:rPr>
                <w:rFonts w:hint="default" w:ascii="Times New Roman" w:hAnsi="Times New Roman" w:cs="Times New Roman"/>
                <w:color w:val="auto"/>
                <w:u w:val="none" w:color="auto"/>
                <w:lang w:eastAsia="zh-CN"/>
              </w:rPr>
            </w:pPr>
          </w:p>
        </w:tc>
        <w:tc>
          <w:tcPr>
            <w:tcW w:w="3360" w:type="dxa"/>
            <w:noWrap w:val="0"/>
            <w:vAlign w:val="center"/>
          </w:tcPr>
          <w:p w14:paraId="22F1E738">
            <w:pPr>
              <w:pStyle w:val="25"/>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530" w:type="dxa"/>
            <w:noWrap w:val="0"/>
            <w:vAlign w:val="center"/>
          </w:tcPr>
          <w:p w14:paraId="20BE2FB4">
            <w:pPr>
              <w:pStyle w:val="25"/>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厂区内</w:t>
            </w:r>
          </w:p>
        </w:tc>
        <w:tc>
          <w:tcPr>
            <w:tcW w:w="1305" w:type="dxa"/>
            <w:noWrap w:val="0"/>
            <w:vAlign w:val="center"/>
          </w:tcPr>
          <w:p w14:paraId="686F7D69">
            <w:pPr>
              <w:pStyle w:val="2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1次/年</w:t>
            </w:r>
          </w:p>
        </w:tc>
        <w:tc>
          <w:tcPr>
            <w:tcW w:w="1138" w:type="dxa"/>
            <w:vMerge w:val="continue"/>
            <w:noWrap w:val="0"/>
            <w:vAlign w:val="center"/>
          </w:tcPr>
          <w:p w14:paraId="435413FC">
            <w:pPr>
              <w:pStyle w:val="25"/>
              <w:bidi w:val="0"/>
              <w:rPr>
                <w:rFonts w:hint="default" w:ascii="Times New Roman" w:hAnsi="Times New Roman" w:cs="Times New Roman"/>
                <w:color w:val="auto"/>
                <w:u w:val="none" w:color="auto"/>
              </w:rPr>
            </w:pPr>
          </w:p>
        </w:tc>
      </w:tr>
      <w:tr w14:paraId="72B06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2D4195C7">
            <w:pPr>
              <w:pStyle w:val="25"/>
              <w:bidi w:val="0"/>
              <w:rPr>
                <w:rFonts w:hint="default" w:ascii="Times New Roman" w:hAnsi="Times New Roman" w:cs="Times New Roman"/>
                <w:color w:val="auto"/>
                <w:u w:val="none" w:color="auto"/>
                <w:lang w:val="en-US" w:eastAsia="zh-CN"/>
              </w:rPr>
            </w:pPr>
          </w:p>
        </w:tc>
        <w:tc>
          <w:tcPr>
            <w:tcW w:w="3360" w:type="dxa"/>
            <w:noWrap w:val="0"/>
            <w:vAlign w:val="center"/>
          </w:tcPr>
          <w:p w14:paraId="7EA0BA9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标干流量、颗粒物、非甲烷总烃、酚类、甲醛</w:t>
            </w:r>
          </w:p>
        </w:tc>
        <w:tc>
          <w:tcPr>
            <w:tcW w:w="1530" w:type="dxa"/>
            <w:noWrap w:val="0"/>
            <w:vAlign w:val="center"/>
          </w:tcPr>
          <w:p w14:paraId="7528E5DC">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DA001排气筒出口</w:t>
            </w:r>
          </w:p>
        </w:tc>
        <w:tc>
          <w:tcPr>
            <w:tcW w:w="1305" w:type="dxa"/>
            <w:noWrap w:val="0"/>
            <w:vAlign w:val="center"/>
          </w:tcPr>
          <w:p w14:paraId="5108ADBF">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1次/半年</w:t>
            </w:r>
          </w:p>
        </w:tc>
        <w:tc>
          <w:tcPr>
            <w:tcW w:w="1138" w:type="dxa"/>
            <w:vMerge w:val="continue"/>
            <w:noWrap w:val="0"/>
            <w:vAlign w:val="center"/>
          </w:tcPr>
          <w:p w14:paraId="27FE7FCC">
            <w:pPr>
              <w:pStyle w:val="25"/>
              <w:rPr>
                <w:rFonts w:hint="default" w:ascii="Times New Roman" w:hAnsi="Times New Roman" w:cs="Times New Roman"/>
                <w:color w:val="auto"/>
                <w:u w:val="none" w:color="auto"/>
              </w:rPr>
            </w:pPr>
          </w:p>
        </w:tc>
      </w:tr>
      <w:tr w14:paraId="655E7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28625D75">
            <w:pPr>
              <w:pStyle w:val="25"/>
              <w:bidi w:val="0"/>
              <w:rPr>
                <w:rFonts w:hint="default" w:ascii="Times New Roman" w:hAnsi="Times New Roman" w:cs="Times New Roman"/>
                <w:color w:val="auto"/>
                <w:u w:val="none" w:color="auto"/>
                <w:lang w:val="en-US" w:eastAsia="zh-CN"/>
              </w:rPr>
            </w:pPr>
          </w:p>
        </w:tc>
        <w:tc>
          <w:tcPr>
            <w:tcW w:w="3360" w:type="dxa"/>
            <w:noWrap w:val="0"/>
            <w:vAlign w:val="center"/>
          </w:tcPr>
          <w:p w14:paraId="6001188E">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标杆流量、颗粒物、二氧化硫、氮氧化物</w:t>
            </w:r>
          </w:p>
        </w:tc>
        <w:tc>
          <w:tcPr>
            <w:tcW w:w="1530" w:type="dxa"/>
            <w:noWrap w:val="0"/>
            <w:vAlign w:val="center"/>
          </w:tcPr>
          <w:p w14:paraId="3A8C75AB">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DA002</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58A84911">
            <w:pPr>
              <w:pStyle w:val="25"/>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自动监测</w:t>
            </w:r>
          </w:p>
        </w:tc>
        <w:tc>
          <w:tcPr>
            <w:tcW w:w="1138" w:type="dxa"/>
            <w:vMerge w:val="continue"/>
            <w:noWrap w:val="0"/>
            <w:vAlign w:val="center"/>
          </w:tcPr>
          <w:p w14:paraId="71C22237">
            <w:pPr>
              <w:pStyle w:val="25"/>
              <w:rPr>
                <w:rFonts w:hint="default" w:ascii="Times New Roman" w:hAnsi="Times New Roman" w:cs="Times New Roman"/>
                <w:color w:val="auto"/>
                <w:u w:val="none" w:color="auto"/>
              </w:rPr>
            </w:pPr>
          </w:p>
        </w:tc>
      </w:tr>
      <w:tr w14:paraId="572A1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578F59CC">
            <w:pPr>
              <w:pStyle w:val="25"/>
              <w:bidi w:val="0"/>
              <w:rPr>
                <w:rFonts w:hint="default" w:ascii="Times New Roman" w:hAnsi="Times New Roman" w:cs="Times New Roman"/>
                <w:color w:val="auto"/>
                <w:u w:val="none" w:color="auto"/>
                <w:lang w:val="en-US" w:eastAsia="zh-CN"/>
              </w:rPr>
            </w:pPr>
          </w:p>
        </w:tc>
        <w:tc>
          <w:tcPr>
            <w:tcW w:w="3360" w:type="dxa"/>
            <w:noWrap w:val="0"/>
            <w:vAlign w:val="center"/>
          </w:tcPr>
          <w:p w14:paraId="06E8FC1D">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标干流量、非甲烷总烃</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酚类</w:t>
            </w:r>
          </w:p>
        </w:tc>
        <w:tc>
          <w:tcPr>
            <w:tcW w:w="1530" w:type="dxa"/>
            <w:noWrap w:val="0"/>
            <w:vAlign w:val="center"/>
          </w:tcPr>
          <w:p w14:paraId="64FF22C2">
            <w:pPr>
              <w:pStyle w:val="25"/>
              <w:bidi w:val="0"/>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DA002</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2E5C5B4E">
            <w:pPr>
              <w:pStyle w:val="25"/>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eastAsia" w:ascii="Times New Roman" w:hAnsi="Times New Roman" w:cs="Times New Roman"/>
                <w:color w:val="auto"/>
                <w:u w:val="none" w:color="auto"/>
                <w:lang w:val="en-US" w:eastAsia="zh-CN"/>
              </w:rPr>
              <w:t>半</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20BB7A5F">
            <w:pPr>
              <w:pStyle w:val="25"/>
              <w:rPr>
                <w:rFonts w:hint="default" w:ascii="Times New Roman" w:hAnsi="Times New Roman" w:cs="Times New Roman"/>
                <w:color w:val="auto"/>
                <w:u w:val="none" w:color="auto"/>
              </w:rPr>
            </w:pPr>
          </w:p>
        </w:tc>
      </w:tr>
      <w:tr w14:paraId="05823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35AC8104">
            <w:pPr>
              <w:pStyle w:val="25"/>
              <w:bidi w:val="0"/>
              <w:rPr>
                <w:rFonts w:hint="default" w:ascii="Times New Roman" w:hAnsi="Times New Roman" w:cs="Times New Roman"/>
                <w:color w:val="auto"/>
                <w:u w:val="none" w:color="auto"/>
                <w:lang w:val="en-US" w:eastAsia="zh-CN"/>
              </w:rPr>
            </w:pPr>
          </w:p>
        </w:tc>
        <w:tc>
          <w:tcPr>
            <w:tcW w:w="3360" w:type="dxa"/>
            <w:noWrap w:val="0"/>
            <w:vAlign w:val="center"/>
          </w:tcPr>
          <w:p w14:paraId="5624166A">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标杆流量、颗粒物、二氧化硫、氮氧化物、</w:t>
            </w:r>
          </w:p>
        </w:tc>
        <w:tc>
          <w:tcPr>
            <w:tcW w:w="1530" w:type="dxa"/>
            <w:noWrap w:val="0"/>
            <w:vAlign w:val="center"/>
          </w:tcPr>
          <w:p w14:paraId="7847E344">
            <w:pPr>
              <w:pStyle w:val="25"/>
              <w:bidi w:val="0"/>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DA003</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759BA8F7">
            <w:pPr>
              <w:pStyle w:val="25"/>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自动监测</w:t>
            </w:r>
          </w:p>
        </w:tc>
        <w:tc>
          <w:tcPr>
            <w:tcW w:w="1138" w:type="dxa"/>
            <w:vMerge w:val="continue"/>
            <w:noWrap w:val="0"/>
            <w:vAlign w:val="center"/>
          </w:tcPr>
          <w:p w14:paraId="117A8C3D">
            <w:pPr>
              <w:pStyle w:val="25"/>
              <w:rPr>
                <w:rFonts w:hint="default" w:ascii="Times New Roman" w:hAnsi="Times New Roman" w:cs="Times New Roman"/>
                <w:color w:val="auto"/>
                <w:u w:val="none" w:color="auto"/>
              </w:rPr>
            </w:pPr>
          </w:p>
        </w:tc>
      </w:tr>
      <w:tr w14:paraId="6432F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1116AD40">
            <w:pPr>
              <w:pStyle w:val="25"/>
              <w:bidi w:val="0"/>
              <w:rPr>
                <w:rFonts w:hint="default" w:ascii="Times New Roman" w:hAnsi="Times New Roman" w:cs="Times New Roman"/>
                <w:color w:val="auto"/>
                <w:u w:val="none" w:color="auto"/>
                <w:lang w:val="en-US" w:eastAsia="zh-CN"/>
              </w:rPr>
            </w:pPr>
          </w:p>
        </w:tc>
        <w:tc>
          <w:tcPr>
            <w:tcW w:w="3360" w:type="dxa"/>
            <w:noWrap w:val="0"/>
            <w:vAlign w:val="center"/>
          </w:tcPr>
          <w:p w14:paraId="2069735C">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标干流量、非甲烷总烃</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酚类</w:t>
            </w:r>
          </w:p>
        </w:tc>
        <w:tc>
          <w:tcPr>
            <w:tcW w:w="1530" w:type="dxa"/>
            <w:noWrap w:val="0"/>
            <w:vAlign w:val="center"/>
          </w:tcPr>
          <w:p w14:paraId="2FB24A28">
            <w:pPr>
              <w:pStyle w:val="25"/>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DA003</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2A6A87AE">
            <w:pPr>
              <w:pStyle w:val="25"/>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eastAsia" w:ascii="Times New Roman" w:hAnsi="Times New Roman" w:cs="Times New Roman"/>
                <w:color w:val="auto"/>
                <w:u w:val="none" w:color="auto"/>
                <w:lang w:val="en-US" w:eastAsia="zh-CN"/>
              </w:rPr>
              <w:t>半</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2C6EE70B">
            <w:pPr>
              <w:pStyle w:val="25"/>
              <w:rPr>
                <w:rFonts w:hint="default" w:ascii="Times New Roman" w:hAnsi="Times New Roman" w:cs="Times New Roman"/>
                <w:color w:val="auto"/>
                <w:u w:val="none" w:color="auto"/>
              </w:rPr>
            </w:pPr>
          </w:p>
        </w:tc>
      </w:tr>
      <w:tr w14:paraId="4CC220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noWrap w:val="0"/>
            <w:vAlign w:val="center"/>
          </w:tcPr>
          <w:p w14:paraId="72898ECE">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厂界噪声</w:t>
            </w:r>
          </w:p>
        </w:tc>
        <w:tc>
          <w:tcPr>
            <w:tcW w:w="3360" w:type="dxa"/>
            <w:noWrap w:val="0"/>
            <w:vAlign w:val="center"/>
          </w:tcPr>
          <w:p w14:paraId="122FF380">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Leq（A）</w:t>
            </w:r>
          </w:p>
        </w:tc>
        <w:tc>
          <w:tcPr>
            <w:tcW w:w="1530" w:type="dxa"/>
            <w:noWrap w:val="0"/>
            <w:vAlign w:val="center"/>
          </w:tcPr>
          <w:p w14:paraId="5BF66B74">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w:t>
            </w:r>
          </w:p>
        </w:tc>
        <w:tc>
          <w:tcPr>
            <w:tcW w:w="1305" w:type="dxa"/>
            <w:noWrap w:val="0"/>
            <w:vAlign w:val="center"/>
          </w:tcPr>
          <w:p w14:paraId="5D78B176">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1次/季度</w:t>
            </w:r>
          </w:p>
        </w:tc>
        <w:tc>
          <w:tcPr>
            <w:tcW w:w="1138" w:type="dxa"/>
            <w:vMerge w:val="continue"/>
            <w:noWrap w:val="0"/>
            <w:vAlign w:val="center"/>
          </w:tcPr>
          <w:p w14:paraId="7A539EAF">
            <w:pPr>
              <w:pStyle w:val="25"/>
              <w:rPr>
                <w:rFonts w:hint="default" w:ascii="Times New Roman" w:hAnsi="Times New Roman" w:cs="Times New Roman"/>
                <w:color w:val="auto"/>
                <w:u w:val="none" w:color="auto"/>
              </w:rPr>
            </w:pPr>
          </w:p>
        </w:tc>
      </w:tr>
      <w:tr w14:paraId="0C98B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noWrap w:val="0"/>
            <w:vAlign w:val="center"/>
          </w:tcPr>
          <w:p w14:paraId="484B5076">
            <w:pPr>
              <w:pStyle w:val="25"/>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地下水</w:t>
            </w:r>
          </w:p>
        </w:tc>
        <w:tc>
          <w:tcPr>
            <w:tcW w:w="3360" w:type="dxa"/>
            <w:noWrap w:val="0"/>
            <w:vAlign w:val="center"/>
          </w:tcPr>
          <w:p w14:paraId="1C80EBA3">
            <w:pPr>
              <w:pStyle w:val="25"/>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lang w:val="pt-BR"/>
              </w:rPr>
              <w:t>水位、K</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、Na</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、Ca</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、Mg</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、CO</w:t>
            </w:r>
            <w:r>
              <w:rPr>
                <w:rFonts w:hint="default" w:ascii="Times New Roman" w:hAnsi="Times New Roman" w:cs="Times New Roman"/>
                <w:color w:val="auto"/>
                <w:highlight w:val="none"/>
                <w:u w:val="none" w:color="auto"/>
                <w:vertAlign w:val="subscript"/>
                <w:lang w:val="pt-BR"/>
              </w:rPr>
              <w:t>3</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、HCO</w:t>
            </w:r>
            <w:r>
              <w:rPr>
                <w:rFonts w:hint="default" w:ascii="Times New Roman" w:hAnsi="Times New Roman" w:cs="Times New Roman"/>
                <w:color w:val="auto"/>
                <w:highlight w:val="none"/>
                <w:u w:val="none" w:color="auto"/>
                <w:vertAlign w:val="subscript"/>
                <w:lang w:val="pt-BR"/>
              </w:rPr>
              <w:t>3</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、氯化物（以Cl</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计）、硫酸盐（以SO</w:t>
            </w:r>
            <w:r>
              <w:rPr>
                <w:rFonts w:hint="default" w:ascii="Times New Roman" w:hAnsi="Times New Roman" w:cs="Times New Roman"/>
                <w:color w:val="auto"/>
                <w:highlight w:val="none"/>
                <w:u w:val="none" w:color="auto"/>
                <w:vertAlign w:val="subscript"/>
                <w:lang w:val="pt-BR"/>
              </w:rPr>
              <w:t>4</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计）、pH值、耗氧量（CODMn法）、氨氮、</w:t>
            </w:r>
            <w:r>
              <w:rPr>
                <w:rFonts w:hint="eastAsia" w:ascii="Times New Roman" w:hAnsi="Times New Roman" w:cs="Times New Roman"/>
                <w:color w:val="auto"/>
                <w:highlight w:val="none"/>
                <w:u w:val="none" w:color="auto"/>
                <w:lang w:val="pt-BR" w:eastAsia="zh-CN"/>
              </w:rPr>
              <w:t>铅、镉、砷、汞、</w:t>
            </w:r>
            <w:r>
              <w:rPr>
                <w:rFonts w:hint="default" w:ascii="Times New Roman" w:hAnsi="Times New Roman" w:cs="Times New Roman"/>
                <w:color w:val="auto"/>
                <w:highlight w:val="none"/>
                <w:u w:val="none" w:color="auto"/>
                <w:lang w:val="pt-BR"/>
              </w:rPr>
              <w:t>阴离子表面活性剂、总大肠菌群、菌落总数</w:t>
            </w:r>
          </w:p>
        </w:tc>
        <w:tc>
          <w:tcPr>
            <w:tcW w:w="1530" w:type="dxa"/>
            <w:noWrap w:val="0"/>
            <w:vAlign w:val="center"/>
          </w:tcPr>
          <w:p w14:paraId="009199A7">
            <w:pPr>
              <w:pStyle w:val="25"/>
              <w:rPr>
                <w:rFonts w:hint="default" w:ascii="Times New Roman" w:hAnsi="Times New Roman" w:cs="Times New Roman"/>
                <w:color w:val="auto"/>
                <w:u w:val="none" w:color="auto"/>
              </w:rPr>
            </w:pPr>
            <w:r>
              <w:rPr>
                <w:rFonts w:hint="default" w:ascii="Times New Roman" w:hAnsi="Times New Roman" w:eastAsia="宋体" w:cs="Times New Roman"/>
                <w:color w:val="auto"/>
                <w:sz w:val="21"/>
                <w:szCs w:val="21"/>
                <w:u w:val="none" w:color="auto"/>
              </w:rPr>
              <w:t>周边</w:t>
            </w:r>
            <w:r>
              <w:rPr>
                <w:rFonts w:hint="default" w:ascii="Times New Roman" w:hAnsi="Times New Roman" w:cs="Times New Roman"/>
                <w:color w:val="auto"/>
                <w:sz w:val="21"/>
                <w:szCs w:val="21"/>
                <w:u w:val="none" w:color="auto"/>
                <w:lang w:val="en-US" w:eastAsia="zh-CN"/>
              </w:rPr>
              <w:t>水井</w:t>
            </w:r>
          </w:p>
        </w:tc>
        <w:tc>
          <w:tcPr>
            <w:tcW w:w="1305" w:type="dxa"/>
            <w:noWrap w:val="0"/>
            <w:vAlign w:val="center"/>
          </w:tcPr>
          <w:p w14:paraId="0B97A9AF">
            <w:pPr>
              <w:pStyle w:val="25"/>
              <w:rPr>
                <w:rFonts w:hint="default" w:ascii="Times New Roman" w:hAnsi="Times New Roman" w:cs="Times New Roman"/>
                <w:color w:val="auto"/>
                <w:u w:val="none" w:color="auto"/>
              </w:rPr>
            </w:pPr>
            <w:r>
              <w:rPr>
                <w:rFonts w:hint="default" w:ascii="Times New Roman" w:hAnsi="Times New Roman" w:cs="Times New Roman"/>
                <w:color w:val="auto"/>
                <w:u w:val="none" w:color="auto"/>
              </w:rPr>
              <w:t>1次/</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36F933BF">
            <w:pPr>
              <w:pStyle w:val="25"/>
              <w:rPr>
                <w:rFonts w:hint="default" w:ascii="Times New Roman" w:hAnsi="Times New Roman" w:cs="Times New Roman"/>
                <w:color w:val="auto"/>
                <w:u w:val="none" w:color="auto"/>
              </w:rPr>
            </w:pPr>
          </w:p>
        </w:tc>
      </w:tr>
    </w:tbl>
    <w:p w14:paraId="4BE1DC6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（3）环境监测要为环境管理服务。环境监测中发现非正常情况应及时向公司领导汇报，并做好记录，以便为设施维护、生产管理等提供依据。</w:t>
      </w:r>
    </w:p>
    <w:p w14:paraId="4B5E6C9F">
      <w:pPr>
        <w:pStyle w:val="7"/>
        <w:bidi w:val="0"/>
        <w:rPr>
          <w:rFonts w:hint="default"/>
          <w:color w:val="auto"/>
          <w:u w:val="none" w:color="auto"/>
        </w:rPr>
      </w:pPr>
      <w:bookmarkStart w:id="1536" w:name="_Toc1751"/>
      <w:bookmarkStart w:id="1537" w:name="_Toc8601"/>
      <w:bookmarkStart w:id="1538" w:name="_Toc22807"/>
      <w:bookmarkStart w:id="1539" w:name="_Toc6348"/>
      <w:r>
        <w:rPr>
          <w:rFonts w:hint="eastAsia"/>
          <w:color w:val="auto"/>
          <w:u w:val="none" w:color="auto"/>
          <w:lang w:val="en-US" w:eastAsia="zh-CN"/>
        </w:rPr>
        <w:t>8</w:t>
      </w:r>
      <w:r>
        <w:rPr>
          <w:rFonts w:hint="default"/>
          <w:color w:val="auto"/>
          <w:u w:val="none" w:color="auto"/>
        </w:rPr>
        <w:t>.</w:t>
      </w:r>
      <w:r>
        <w:rPr>
          <w:rFonts w:hint="default"/>
          <w:color w:val="auto"/>
          <w:u w:val="none" w:color="auto"/>
          <w:lang w:val="en-US" w:eastAsia="zh-CN"/>
        </w:rPr>
        <w:t>3</w:t>
      </w:r>
      <w:r>
        <w:rPr>
          <w:rFonts w:hint="default"/>
          <w:color w:val="auto"/>
          <w:u w:val="none" w:color="auto"/>
        </w:rPr>
        <w:t>环保设施竣工验收</w:t>
      </w:r>
      <w:bookmarkEnd w:id="1536"/>
      <w:bookmarkEnd w:id="1537"/>
      <w:bookmarkEnd w:id="1538"/>
      <w:bookmarkEnd w:id="1539"/>
    </w:p>
    <w:p w14:paraId="04FAA8AE">
      <w:pPr>
        <w:pStyle w:val="21"/>
        <w:ind w:firstLine="480"/>
        <w:rPr>
          <w:rFonts w:hint="default" w:ascii="Times New Roman" w:hAnsi="Times New Roman" w:cs="Times New Roman"/>
          <w:color w:val="auto"/>
          <w:spacing w:val="4"/>
          <w:u w:val="none" w:color="auto"/>
        </w:rPr>
      </w:pPr>
      <w:r>
        <w:rPr>
          <w:rFonts w:hint="default" w:ascii="Times New Roman" w:hAnsi="Times New Roman" w:cs="Times New Roman"/>
          <w:color w:val="auto"/>
          <w:szCs w:val="28"/>
          <w:u w:val="none" w:color="auto"/>
        </w:rPr>
        <w:t>本建设项目环境保护设施竣工验收项目内容见下表</w:t>
      </w:r>
      <w:r>
        <w:rPr>
          <w:rFonts w:hint="default" w:ascii="Times New Roman" w:hAnsi="Times New Roman" w:cs="Times New Roman"/>
          <w:color w:val="auto"/>
          <w:spacing w:val="4"/>
          <w:u w:val="none" w:color="auto"/>
        </w:rPr>
        <w:t>。</w:t>
      </w:r>
    </w:p>
    <w:p w14:paraId="685C46D5">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w:t>
      </w:r>
      <w:r>
        <w:rPr>
          <w:rFonts w:hint="default"/>
          <w:color w:val="auto"/>
          <w:u w:val="none" w:color="auto"/>
          <w:lang w:val="en-US" w:eastAsia="zh-CN"/>
        </w:rPr>
        <w:t>.3</w:t>
      </w:r>
      <w:r>
        <w:rPr>
          <w:rFonts w:hint="default"/>
          <w:color w:val="auto"/>
          <w:u w:val="none" w:color="auto"/>
        </w:rPr>
        <w:t>-1项目环保竣工验收监测一览表</w:t>
      </w:r>
    </w:p>
    <w:tbl>
      <w:tblPr>
        <w:tblStyle w:val="16"/>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93"/>
        <w:gridCol w:w="1098"/>
        <w:gridCol w:w="749"/>
        <w:gridCol w:w="1087"/>
        <w:gridCol w:w="1830"/>
        <w:gridCol w:w="2947"/>
      </w:tblGrid>
      <w:tr w14:paraId="694D1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tcBorders>
              <w:tl2br w:val="nil"/>
              <w:tr2bl w:val="nil"/>
            </w:tcBorders>
            <w:noWrap w:val="0"/>
            <w:vAlign w:val="center"/>
          </w:tcPr>
          <w:p w14:paraId="2A8E7ECF">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污染类型</w:t>
            </w:r>
          </w:p>
        </w:tc>
        <w:tc>
          <w:tcPr>
            <w:tcW w:w="1098" w:type="dxa"/>
            <w:tcBorders>
              <w:tl2br w:val="nil"/>
              <w:tr2bl w:val="nil"/>
            </w:tcBorders>
            <w:noWrap w:val="0"/>
            <w:vAlign w:val="center"/>
          </w:tcPr>
          <w:p w14:paraId="0D58EC56">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排放源</w:t>
            </w:r>
          </w:p>
        </w:tc>
        <w:tc>
          <w:tcPr>
            <w:tcW w:w="1836" w:type="dxa"/>
            <w:gridSpan w:val="2"/>
            <w:tcBorders>
              <w:tl2br w:val="nil"/>
              <w:tr2bl w:val="nil"/>
            </w:tcBorders>
            <w:noWrap w:val="0"/>
            <w:vAlign w:val="center"/>
          </w:tcPr>
          <w:p w14:paraId="1A304A09">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监测因子</w:t>
            </w:r>
          </w:p>
        </w:tc>
        <w:tc>
          <w:tcPr>
            <w:tcW w:w="1830" w:type="dxa"/>
            <w:tcBorders>
              <w:tl2br w:val="nil"/>
              <w:tr2bl w:val="nil"/>
            </w:tcBorders>
            <w:noWrap w:val="0"/>
            <w:vAlign w:val="center"/>
          </w:tcPr>
          <w:p w14:paraId="1FDDC887">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防治措施</w:t>
            </w:r>
          </w:p>
        </w:tc>
        <w:tc>
          <w:tcPr>
            <w:tcW w:w="2947" w:type="dxa"/>
            <w:tcBorders>
              <w:tl2br w:val="nil"/>
              <w:tr2bl w:val="nil"/>
            </w:tcBorders>
            <w:noWrap w:val="0"/>
            <w:vAlign w:val="center"/>
          </w:tcPr>
          <w:p w14:paraId="19C2DE0F">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验收执行标准</w:t>
            </w:r>
          </w:p>
        </w:tc>
      </w:tr>
      <w:tr w14:paraId="0FD08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1BDC3B59">
            <w:pPr>
              <w:pStyle w:val="25"/>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大气</w:t>
            </w:r>
          </w:p>
        </w:tc>
        <w:tc>
          <w:tcPr>
            <w:tcW w:w="1098" w:type="dxa"/>
            <w:tcBorders>
              <w:tl2br w:val="nil"/>
              <w:tr2bl w:val="nil"/>
            </w:tcBorders>
            <w:noWrap w:val="0"/>
            <w:vAlign w:val="center"/>
          </w:tcPr>
          <w:p w14:paraId="28EC0F9C">
            <w:pPr>
              <w:pStyle w:val="25"/>
              <w:rPr>
                <w:rFonts w:hint="default" w:cs="Times New Roman"/>
                <w:color w:val="auto"/>
                <w:u w:val="none" w:color="auto"/>
                <w:lang w:val="en-US" w:eastAsia="zh-CN"/>
              </w:rPr>
            </w:pPr>
            <w:r>
              <w:rPr>
                <w:rFonts w:hint="eastAsia" w:cs="Times New Roman"/>
                <w:color w:val="auto"/>
                <w:u w:val="none" w:color="auto"/>
                <w:lang w:val="en-US" w:eastAsia="zh-CN"/>
              </w:rPr>
              <w:t>DA001排气筒</w:t>
            </w:r>
          </w:p>
        </w:tc>
        <w:tc>
          <w:tcPr>
            <w:tcW w:w="1836" w:type="dxa"/>
            <w:gridSpan w:val="2"/>
            <w:tcBorders>
              <w:tl2br w:val="nil"/>
              <w:tr2bl w:val="nil"/>
            </w:tcBorders>
            <w:noWrap w:val="0"/>
            <w:vAlign w:val="center"/>
          </w:tcPr>
          <w:p w14:paraId="69C87916">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颗粒物、非甲烷总烃、甲醛、酚类</w:t>
            </w:r>
          </w:p>
        </w:tc>
        <w:tc>
          <w:tcPr>
            <w:tcW w:w="1830" w:type="dxa"/>
            <w:tcBorders>
              <w:tl2br w:val="nil"/>
              <w:tr2bl w:val="nil"/>
            </w:tcBorders>
            <w:noWrap w:val="0"/>
            <w:vAlign w:val="center"/>
          </w:tcPr>
          <w:p w14:paraId="1F9C1183">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布袋除尘器+二级活性炭吸附装置+15m排气筒</w:t>
            </w:r>
          </w:p>
        </w:tc>
        <w:tc>
          <w:tcPr>
            <w:tcW w:w="2947" w:type="dxa"/>
            <w:vMerge w:val="restart"/>
            <w:tcBorders>
              <w:tl2br w:val="nil"/>
              <w:tr2bl w:val="nil"/>
            </w:tcBorders>
            <w:noWrap w:val="0"/>
            <w:vAlign w:val="center"/>
          </w:tcPr>
          <w:p w14:paraId="4C966252">
            <w:pPr>
              <w:pStyle w:val="25"/>
              <w:bidi w:val="0"/>
              <w:rPr>
                <w:rFonts w:hint="eastAsia" w:eastAsia="宋体"/>
                <w:color w:val="auto"/>
                <w:u w:val="none" w:color="auto"/>
                <w:lang w:val="en-US" w:eastAsia="zh-CN"/>
              </w:rPr>
            </w:pPr>
            <w:r>
              <w:rPr>
                <w:rFonts w:hint="eastAsia" w:eastAsia="宋体"/>
                <w:color w:val="auto"/>
                <w:u w:val="none" w:color="auto"/>
                <w:lang w:val="en-US" w:eastAsia="zh-CN"/>
              </w:rPr>
              <w:t>《大气污染物综合排放标准》（GB16297-1996）中表2中的二级标准和无组织排放监控浓度限值、《合成树脂工业污染物排放标准》（GB31572-2015）表4、表6的有组织排放限值和表9无组织排放限值。厂区内无组织非甲烷总烃执行《挥发性有机物无组织排放控制标准》（GB37822-2019）表A.1厂区内非甲烷总烃无组织排放限值。</w:t>
            </w:r>
          </w:p>
        </w:tc>
      </w:tr>
      <w:tr w14:paraId="23288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1969FB6E">
            <w:pPr>
              <w:pStyle w:val="25"/>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6598AB45">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DA002排气筒</w:t>
            </w:r>
          </w:p>
        </w:tc>
        <w:tc>
          <w:tcPr>
            <w:tcW w:w="1836" w:type="dxa"/>
            <w:gridSpan w:val="2"/>
            <w:tcBorders>
              <w:tl2br w:val="nil"/>
              <w:tr2bl w:val="nil"/>
            </w:tcBorders>
            <w:noWrap w:val="0"/>
            <w:vAlign w:val="center"/>
          </w:tcPr>
          <w:p w14:paraId="609EABBA">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非甲烷总烃、酚类、颗粒物、二氧化硫、氮氧化物</w:t>
            </w:r>
          </w:p>
        </w:tc>
        <w:tc>
          <w:tcPr>
            <w:tcW w:w="1830" w:type="dxa"/>
            <w:tcBorders>
              <w:tl2br w:val="nil"/>
              <w:tr2bl w:val="nil"/>
            </w:tcBorders>
            <w:noWrap w:val="0"/>
            <w:vAlign w:val="center"/>
          </w:tcPr>
          <w:p w14:paraId="5804EFB5">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焚烧炉1#</w:t>
            </w:r>
            <w:r>
              <w:rPr>
                <w:rFonts w:hint="eastAsia" w:cs="Times New Roman"/>
                <w:color w:val="auto"/>
                <w:u w:val="none" w:color="auto"/>
                <w:lang w:val="en-US" w:eastAsia="zh-CN"/>
              </w:rPr>
              <w:t>+15m排气筒</w:t>
            </w:r>
          </w:p>
        </w:tc>
        <w:tc>
          <w:tcPr>
            <w:tcW w:w="2947" w:type="dxa"/>
            <w:vMerge w:val="continue"/>
            <w:tcBorders>
              <w:tl2br w:val="nil"/>
              <w:tr2bl w:val="nil"/>
            </w:tcBorders>
            <w:noWrap w:val="0"/>
            <w:vAlign w:val="center"/>
          </w:tcPr>
          <w:p w14:paraId="476559F5">
            <w:pPr>
              <w:pStyle w:val="25"/>
              <w:bidi w:val="0"/>
              <w:rPr>
                <w:rFonts w:hint="eastAsia" w:eastAsia="宋体"/>
                <w:color w:val="auto"/>
                <w:u w:val="none" w:color="auto"/>
                <w:lang w:val="en-US" w:eastAsia="zh-CN"/>
              </w:rPr>
            </w:pPr>
          </w:p>
        </w:tc>
      </w:tr>
      <w:tr w14:paraId="6F9BE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733323E6">
            <w:pPr>
              <w:pStyle w:val="25"/>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1C8E98CD">
            <w:pPr>
              <w:pStyle w:val="25"/>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DA003排气筒</w:t>
            </w:r>
          </w:p>
        </w:tc>
        <w:tc>
          <w:tcPr>
            <w:tcW w:w="1836" w:type="dxa"/>
            <w:gridSpan w:val="2"/>
            <w:tcBorders>
              <w:tl2br w:val="nil"/>
              <w:tr2bl w:val="nil"/>
            </w:tcBorders>
            <w:noWrap w:val="0"/>
            <w:vAlign w:val="center"/>
          </w:tcPr>
          <w:p w14:paraId="694F5864">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非甲烷总烃、酚类、颗粒物、二氧化硫、氮氧化物</w:t>
            </w:r>
          </w:p>
        </w:tc>
        <w:tc>
          <w:tcPr>
            <w:tcW w:w="1830" w:type="dxa"/>
            <w:tcBorders>
              <w:tl2br w:val="nil"/>
              <w:tr2bl w:val="nil"/>
            </w:tcBorders>
            <w:noWrap w:val="0"/>
            <w:vAlign w:val="center"/>
          </w:tcPr>
          <w:p w14:paraId="4E088E42">
            <w:pPr>
              <w:pStyle w:val="2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焚烧炉2#</w:t>
            </w:r>
            <w:r>
              <w:rPr>
                <w:rFonts w:hint="eastAsia" w:cs="Times New Roman"/>
                <w:color w:val="auto"/>
                <w:u w:val="none" w:color="auto"/>
                <w:lang w:val="en-US" w:eastAsia="zh-CN"/>
              </w:rPr>
              <w:t>+15m排气筒</w:t>
            </w:r>
          </w:p>
        </w:tc>
        <w:tc>
          <w:tcPr>
            <w:tcW w:w="2947" w:type="dxa"/>
            <w:vMerge w:val="continue"/>
            <w:tcBorders>
              <w:tl2br w:val="nil"/>
              <w:tr2bl w:val="nil"/>
            </w:tcBorders>
            <w:noWrap w:val="0"/>
            <w:vAlign w:val="center"/>
          </w:tcPr>
          <w:p w14:paraId="37B450DF">
            <w:pPr>
              <w:pStyle w:val="25"/>
              <w:rPr>
                <w:rFonts w:hint="default" w:ascii="Times New Roman" w:hAnsi="Times New Roman" w:cs="Times New Roman"/>
                <w:color w:val="auto"/>
                <w:u w:val="none" w:color="auto"/>
                <w:lang w:val="en-US" w:eastAsia="zh-CN"/>
              </w:rPr>
            </w:pPr>
          </w:p>
        </w:tc>
      </w:tr>
      <w:tr w14:paraId="0DAB93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3E1C9820">
            <w:pPr>
              <w:pStyle w:val="25"/>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7ACFCE10">
            <w:pPr>
              <w:pStyle w:val="25"/>
              <w:rPr>
                <w:rFonts w:hint="default" w:cs="Times New Roman"/>
                <w:color w:val="auto"/>
                <w:u w:val="none" w:color="auto"/>
                <w:lang w:val="en-US" w:eastAsia="zh-CN"/>
              </w:rPr>
            </w:pPr>
            <w:r>
              <w:rPr>
                <w:rFonts w:hint="eastAsia" w:cs="Times New Roman"/>
                <w:color w:val="auto"/>
                <w:u w:val="none" w:color="auto"/>
                <w:lang w:val="en-US" w:eastAsia="zh-CN"/>
              </w:rPr>
              <w:t>厂界无组织</w:t>
            </w:r>
          </w:p>
        </w:tc>
        <w:tc>
          <w:tcPr>
            <w:tcW w:w="1836" w:type="dxa"/>
            <w:gridSpan w:val="2"/>
            <w:tcBorders>
              <w:tl2br w:val="nil"/>
              <w:tr2bl w:val="nil"/>
            </w:tcBorders>
            <w:noWrap w:val="0"/>
            <w:vAlign w:val="center"/>
          </w:tcPr>
          <w:p w14:paraId="51A89D1E">
            <w:pPr>
              <w:pStyle w:val="2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颗粒物、非甲烷总烃、甲醛、酚类</w:t>
            </w:r>
          </w:p>
        </w:tc>
        <w:tc>
          <w:tcPr>
            <w:tcW w:w="1830" w:type="dxa"/>
            <w:tcBorders>
              <w:tl2br w:val="nil"/>
              <w:tr2bl w:val="nil"/>
            </w:tcBorders>
            <w:noWrap w:val="0"/>
            <w:vAlign w:val="center"/>
          </w:tcPr>
          <w:p w14:paraId="432FFD6E">
            <w:pPr>
              <w:pStyle w:val="25"/>
              <w:rPr>
                <w:rFonts w:hint="default" w:cs="Times New Roman"/>
                <w:color w:val="auto"/>
                <w:u w:val="none" w:color="auto"/>
                <w:lang w:val="en-US" w:eastAsia="zh-CN"/>
              </w:rPr>
            </w:pPr>
            <w:r>
              <w:rPr>
                <w:rFonts w:hint="eastAsia" w:cs="Times New Roman"/>
                <w:color w:val="auto"/>
                <w:u w:val="none" w:color="auto"/>
                <w:lang w:val="en-US" w:eastAsia="zh-CN"/>
              </w:rPr>
              <w:t>严格生产操作，加强收集效率，减少无组织排放</w:t>
            </w:r>
          </w:p>
        </w:tc>
        <w:tc>
          <w:tcPr>
            <w:tcW w:w="2947" w:type="dxa"/>
            <w:vMerge w:val="continue"/>
            <w:tcBorders>
              <w:tl2br w:val="nil"/>
              <w:tr2bl w:val="nil"/>
            </w:tcBorders>
            <w:noWrap w:val="0"/>
            <w:vAlign w:val="center"/>
          </w:tcPr>
          <w:p w14:paraId="77BC5CFD">
            <w:pPr>
              <w:pStyle w:val="25"/>
              <w:rPr>
                <w:rFonts w:hint="default" w:ascii="Times New Roman" w:hAnsi="Times New Roman" w:cs="Times New Roman"/>
                <w:color w:val="auto"/>
                <w:u w:val="none" w:color="auto"/>
                <w:lang w:val="en-US" w:eastAsia="zh-CN"/>
              </w:rPr>
            </w:pPr>
          </w:p>
        </w:tc>
      </w:tr>
      <w:tr w14:paraId="25610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0D605A0A">
            <w:pPr>
              <w:pStyle w:val="25"/>
              <w:rPr>
                <w:color w:val="auto"/>
                <w:u w:val="none" w:color="auto"/>
              </w:rPr>
            </w:pPr>
          </w:p>
        </w:tc>
        <w:tc>
          <w:tcPr>
            <w:tcW w:w="1098" w:type="dxa"/>
            <w:tcBorders>
              <w:tl2br w:val="nil"/>
              <w:tr2bl w:val="nil"/>
            </w:tcBorders>
            <w:noWrap w:val="0"/>
            <w:vAlign w:val="center"/>
          </w:tcPr>
          <w:p w14:paraId="5057055A">
            <w:pPr>
              <w:pStyle w:val="25"/>
              <w:rPr>
                <w:rFonts w:hint="default" w:cs="Times New Roman"/>
                <w:color w:val="auto"/>
                <w:u w:val="none" w:color="auto"/>
                <w:lang w:val="en-US" w:eastAsia="zh-CN"/>
              </w:rPr>
            </w:pPr>
            <w:r>
              <w:rPr>
                <w:rFonts w:hint="eastAsia" w:cs="Times New Roman"/>
                <w:color w:val="auto"/>
                <w:u w:val="none" w:color="auto"/>
                <w:lang w:val="en-US" w:eastAsia="zh-CN"/>
              </w:rPr>
              <w:t>厂区内无组织</w:t>
            </w:r>
          </w:p>
        </w:tc>
        <w:tc>
          <w:tcPr>
            <w:tcW w:w="1836" w:type="dxa"/>
            <w:gridSpan w:val="2"/>
            <w:tcBorders>
              <w:tl2br w:val="nil"/>
              <w:tr2bl w:val="nil"/>
            </w:tcBorders>
            <w:noWrap w:val="0"/>
            <w:vAlign w:val="center"/>
          </w:tcPr>
          <w:p w14:paraId="2DB64E18">
            <w:pPr>
              <w:pStyle w:val="25"/>
              <w:rPr>
                <w:rFonts w:hint="default" w:cs="Times New Roman"/>
                <w:color w:val="auto"/>
                <w:u w:val="none" w:color="auto"/>
                <w:lang w:val="en-US" w:eastAsia="zh-CN"/>
              </w:rPr>
            </w:pPr>
            <w:r>
              <w:rPr>
                <w:rFonts w:hint="eastAsia" w:cs="Times New Roman"/>
                <w:color w:val="auto"/>
                <w:u w:val="none" w:color="auto"/>
                <w:lang w:val="en-US" w:eastAsia="zh-CN"/>
              </w:rPr>
              <w:t>非甲烷总烃</w:t>
            </w:r>
          </w:p>
        </w:tc>
        <w:tc>
          <w:tcPr>
            <w:tcW w:w="1830" w:type="dxa"/>
            <w:tcBorders>
              <w:tl2br w:val="nil"/>
              <w:tr2bl w:val="nil"/>
            </w:tcBorders>
            <w:noWrap w:val="0"/>
            <w:vAlign w:val="center"/>
          </w:tcPr>
          <w:p w14:paraId="62209405">
            <w:pPr>
              <w:pStyle w:val="25"/>
              <w:rPr>
                <w:rFonts w:hint="eastAsia" w:cs="Times New Roman"/>
                <w:color w:val="auto"/>
                <w:u w:val="none" w:color="auto"/>
                <w:lang w:val="en-US" w:eastAsia="zh-CN"/>
              </w:rPr>
            </w:pPr>
            <w:r>
              <w:rPr>
                <w:rFonts w:hint="eastAsia" w:cs="Times New Roman"/>
                <w:color w:val="auto"/>
                <w:u w:val="none" w:color="auto"/>
                <w:lang w:val="en-US" w:eastAsia="zh-CN"/>
              </w:rPr>
              <w:t>加强收集效率，减少无组织排放</w:t>
            </w:r>
          </w:p>
        </w:tc>
        <w:tc>
          <w:tcPr>
            <w:tcW w:w="2947" w:type="dxa"/>
            <w:vMerge w:val="continue"/>
            <w:tcBorders>
              <w:tl2br w:val="nil"/>
              <w:tr2bl w:val="nil"/>
            </w:tcBorders>
            <w:noWrap w:val="0"/>
            <w:vAlign w:val="center"/>
          </w:tcPr>
          <w:p w14:paraId="2E2C2E48">
            <w:pPr>
              <w:pStyle w:val="25"/>
              <w:rPr>
                <w:rFonts w:hint="eastAsia" w:cs="Times New Roman"/>
                <w:color w:val="auto"/>
                <w:u w:val="none" w:color="auto"/>
                <w:lang w:val="en-US" w:eastAsia="zh-CN"/>
              </w:rPr>
            </w:pPr>
          </w:p>
        </w:tc>
      </w:tr>
      <w:tr w14:paraId="2339F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tcBorders>
              <w:tl2br w:val="nil"/>
              <w:tr2bl w:val="nil"/>
            </w:tcBorders>
            <w:noWrap w:val="0"/>
            <w:vAlign w:val="center"/>
          </w:tcPr>
          <w:p w14:paraId="0332A800">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废水</w:t>
            </w:r>
          </w:p>
        </w:tc>
        <w:tc>
          <w:tcPr>
            <w:tcW w:w="1098" w:type="dxa"/>
            <w:tcBorders>
              <w:tl2br w:val="nil"/>
              <w:tr2bl w:val="nil"/>
            </w:tcBorders>
            <w:noWrap w:val="0"/>
            <w:vAlign w:val="center"/>
          </w:tcPr>
          <w:p w14:paraId="20D20441">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生活污水</w:t>
            </w:r>
          </w:p>
        </w:tc>
        <w:tc>
          <w:tcPr>
            <w:tcW w:w="1836" w:type="dxa"/>
            <w:gridSpan w:val="2"/>
            <w:tcBorders>
              <w:tl2br w:val="nil"/>
              <w:tr2bl w:val="nil"/>
            </w:tcBorders>
            <w:noWrap w:val="0"/>
            <w:vAlign w:val="center"/>
          </w:tcPr>
          <w:p w14:paraId="02BEC0D8">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s-ES" w:eastAsia="zh-CN"/>
              </w:rPr>
              <w:t>COD</w:t>
            </w:r>
            <w:r>
              <w:rPr>
                <w:rFonts w:hint="default" w:ascii="Times New Roman" w:hAnsi="Times New Roman" w:cs="Times New Roman"/>
                <w:color w:val="auto"/>
                <w:u w:val="none" w:color="auto"/>
                <w:lang w:val="en-US" w:eastAsia="zh-CN"/>
              </w:rPr>
              <w:t>cr</w:t>
            </w:r>
            <w:r>
              <w:rPr>
                <w:rFonts w:hint="default" w:ascii="Times New Roman" w:hAnsi="Times New Roman" w:cs="Times New Roman"/>
                <w:color w:val="auto"/>
                <w:u w:val="none" w:color="auto"/>
                <w:lang w:val="es-ES" w:eastAsia="zh-CN"/>
              </w:rPr>
              <w:t>、氨氮</w:t>
            </w:r>
            <w:r>
              <w:rPr>
                <w:rFonts w:hint="eastAsia" w:ascii="Times New Roman" w:hAnsi="Times New Roman" w:cs="Times New Roman"/>
                <w:color w:val="auto"/>
                <w:u w:val="none" w:color="auto"/>
                <w:lang w:val="es-ES" w:eastAsia="zh-CN"/>
              </w:rPr>
              <w:t>、</w:t>
            </w:r>
            <w:r>
              <w:rPr>
                <w:rFonts w:hint="eastAsia" w:ascii="Times New Roman" w:hAnsi="Times New Roman" w:cs="Times New Roman"/>
                <w:color w:val="auto"/>
                <w:u w:val="none" w:color="auto"/>
                <w:lang w:val="en-US" w:eastAsia="zh-CN"/>
              </w:rPr>
              <w:t>SS、BOD</w:t>
            </w:r>
            <w:r>
              <w:rPr>
                <w:rFonts w:hint="eastAsia" w:ascii="Times New Roman" w:hAnsi="Times New Roman" w:cs="Times New Roman"/>
                <w:color w:val="auto"/>
                <w:u w:val="none" w:color="auto"/>
                <w:vertAlign w:val="subscript"/>
                <w:lang w:val="en-US" w:eastAsia="zh-CN"/>
              </w:rPr>
              <w:t>5</w:t>
            </w:r>
          </w:p>
        </w:tc>
        <w:tc>
          <w:tcPr>
            <w:tcW w:w="1830" w:type="dxa"/>
            <w:tcBorders>
              <w:tl2br w:val="nil"/>
              <w:tr2bl w:val="nil"/>
            </w:tcBorders>
            <w:noWrap w:val="0"/>
            <w:vAlign w:val="center"/>
          </w:tcPr>
          <w:p w14:paraId="1551DAFE">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化粪池</w:t>
            </w:r>
          </w:p>
        </w:tc>
        <w:tc>
          <w:tcPr>
            <w:tcW w:w="2947" w:type="dxa"/>
            <w:tcBorders>
              <w:tl2br w:val="nil"/>
              <w:tr2bl w:val="nil"/>
            </w:tcBorders>
            <w:noWrap w:val="0"/>
            <w:vAlign w:val="center"/>
          </w:tcPr>
          <w:p w14:paraId="4E77FE19">
            <w:pPr>
              <w:pStyle w:val="25"/>
              <w:bidi w:val="0"/>
              <w:rPr>
                <w:rFonts w:hint="eastAsia" w:ascii="Times New Roman" w:hAnsi="Times New Roman" w:eastAsia="宋体" w:cs="Times New Roman"/>
                <w:color w:val="auto"/>
                <w:u w:val="none" w:color="auto"/>
                <w:lang w:val="en-US" w:eastAsia="zh-CN"/>
              </w:rPr>
            </w:pPr>
            <w:r>
              <w:rPr>
                <w:rFonts w:hint="eastAsia"/>
                <w:color w:val="auto"/>
                <w:u w:val="none" w:color="auto"/>
                <w:lang w:val="en-US" w:eastAsia="zh-CN"/>
              </w:rPr>
              <w:t>长沙经开区汨罗产业园</w:t>
            </w:r>
            <w:r>
              <w:rPr>
                <w:rFonts w:hint="eastAsia"/>
                <w:color w:val="auto"/>
                <w:u w:val="none" w:color="auto"/>
              </w:rPr>
              <w:t>污水处理厂进水水质标准</w:t>
            </w:r>
          </w:p>
        </w:tc>
      </w:tr>
      <w:tr w14:paraId="66583A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78B24771">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固体废物</w:t>
            </w:r>
          </w:p>
        </w:tc>
        <w:tc>
          <w:tcPr>
            <w:tcW w:w="1098" w:type="dxa"/>
            <w:tcBorders>
              <w:tl2br w:val="nil"/>
              <w:tr2bl w:val="nil"/>
            </w:tcBorders>
            <w:noWrap w:val="0"/>
            <w:vAlign w:val="center"/>
          </w:tcPr>
          <w:p w14:paraId="5B542B49">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办公生活</w:t>
            </w:r>
          </w:p>
        </w:tc>
        <w:tc>
          <w:tcPr>
            <w:tcW w:w="1836" w:type="dxa"/>
            <w:gridSpan w:val="2"/>
            <w:tcBorders>
              <w:tl2br w:val="nil"/>
              <w:tr2bl w:val="nil"/>
            </w:tcBorders>
            <w:noWrap w:val="0"/>
            <w:vAlign w:val="center"/>
          </w:tcPr>
          <w:p w14:paraId="2E067A1B">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生活垃圾</w:t>
            </w:r>
          </w:p>
        </w:tc>
        <w:tc>
          <w:tcPr>
            <w:tcW w:w="1830" w:type="dxa"/>
            <w:tcBorders>
              <w:tl2br w:val="nil"/>
              <w:tr2bl w:val="nil"/>
            </w:tcBorders>
            <w:noWrap w:val="0"/>
            <w:vAlign w:val="center"/>
          </w:tcPr>
          <w:p w14:paraId="6D872C7E">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垃圾收集桶、环卫定期清运</w:t>
            </w:r>
          </w:p>
        </w:tc>
        <w:tc>
          <w:tcPr>
            <w:tcW w:w="2947" w:type="dxa"/>
            <w:vMerge w:val="restart"/>
            <w:tcBorders>
              <w:tl2br w:val="nil"/>
              <w:tr2bl w:val="nil"/>
            </w:tcBorders>
            <w:noWrap w:val="0"/>
            <w:vAlign w:val="center"/>
          </w:tcPr>
          <w:p w14:paraId="304E62C8">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综合利用，合理处置、达到环保要求</w:t>
            </w:r>
          </w:p>
        </w:tc>
      </w:tr>
      <w:tr w14:paraId="6B07F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112510CC">
            <w:pPr>
              <w:pStyle w:val="25"/>
              <w:rPr>
                <w:rFonts w:hint="default" w:ascii="Times New Roman" w:hAnsi="Times New Roman" w:cs="Times New Roman"/>
                <w:color w:val="auto"/>
                <w:u w:val="none" w:color="auto"/>
                <w:lang w:val="en-US" w:eastAsia="zh-CN"/>
              </w:rPr>
            </w:pPr>
          </w:p>
        </w:tc>
        <w:tc>
          <w:tcPr>
            <w:tcW w:w="1098" w:type="dxa"/>
            <w:vMerge w:val="restart"/>
            <w:tcBorders>
              <w:tl2br w:val="nil"/>
              <w:tr2bl w:val="nil"/>
            </w:tcBorders>
            <w:noWrap w:val="0"/>
            <w:vAlign w:val="center"/>
          </w:tcPr>
          <w:p w14:paraId="3997AC34">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生产区域</w:t>
            </w:r>
          </w:p>
        </w:tc>
        <w:tc>
          <w:tcPr>
            <w:tcW w:w="749" w:type="dxa"/>
            <w:vMerge w:val="restart"/>
            <w:tcBorders>
              <w:tl2br w:val="nil"/>
              <w:tr2bl w:val="nil"/>
            </w:tcBorders>
            <w:noWrap w:val="0"/>
            <w:vAlign w:val="center"/>
          </w:tcPr>
          <w:p w14:paraId="530BB90F">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一般固废</w:t>
            </w:r>
          </w:p>
        </w:tc>
        <w:tc>
          <w:tcPr>
            <w:tcW w:w="1087" w:type="dxa"/>
            <w:tcBorders>
              <w:tl2br w:val="nil"/>
              <w:tr2bl w:val="nil"/>
            </w:tcBorders>
            <w:noWrap w:val="0"/>
            <w:vAlign w:val="center"/>
          </w:tcPr>
          <w:p w14:paraId="2FE47BF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收集的粉尘</w:t>
            </w:r>
          </w:p>
        </w:tc>
        <w:tc>
          <w:tcPr>
            <w:tcW w:w="1830" w:type="dxa"/>
            <w:tcBorders>
              <w:tl2br w:val="nil"/>
              <w:tr2bl w:val="nil"/>
            </w:tcBorders>
            <w:noWrap w:val="0"/>
            <w:vAlign w:val="center"/>
          </w:tcPr>
          <w:p w14:paraId="14E26C3E">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收集后回用</w:t>
            </w:r>
          </w:p>
        </w:tc>
        <w:tc>
          <w:tcPr>
            <w:tcW w:w="2947" w:type="dxa"/>
            <w:vMerge w:val="continue"/>
            <w:tcBorders>
              <w:tl2br w:val="nil"/>
              <w:tr2bl w:val="nil"/>
            </w:tcBorders>
            <w:noWrap w:val="0"/>
            <w:vAlign w:val="center"/>
          </w:tcPr>
          <w:p w14:paraId="15CBD899">
            <w:pPr>
              <w:pStyle w:val="25"/>
              <w:rPr>
                <w:rFonts w:hint="default" w:ascii="Times New Roman" w:hAnsi="Times New Roman" w:cs="Times New Roman"/>
                <w:color w:val="auto"/>
                <w:u w:val="none" w:color="auto"/>
                <w:lang w:val="en-US" w:eastAsia="zh-CN"/>
              </w:rPr>
            </w:pPr>
          </w:p>
        </w:tc>
      </w:tr>
      <w:tr w14:paraId="4981B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077CD5E5">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0ABC07EB">
            <w:pPr>
              <w:pStyle w:val="25"/>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449B796C">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42AA6D20">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不合格品</w:t>
            </w:r>
          </w:p>
        </w:tc>
        <w:tc>
          <w:tcPr>
            <w:tcW w:w="1830" w:type="dxa"/>
            <w:tcBorders>
              <w:tl2br w:val="nil"/>
              <w:tr2bl w:val="nil"/>
            </w:tcBorders>
            <w:noWrap w:val="0"/>
            <w:vAlign w:val="center"/>
          </w:tcPr>
          <w:p w14:paraId="5C5C4A13">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外售给原材料供应商加工</w:t>
            </w:r>
          </w:p>
        </w:tc>
        <w:tc>
          <w:tcPr>
            <w:tcW w:w="2947" w:type="dxa"/>
            <w:vMerge w:val="continue"/>
            <w:tcBorders>
              <w:tl2br w:val="nil"/>
              <w:tr2bl w:val="nil"/>
            </w:tcBorders>
            <w:noWrap w:val="0"/>
            <w:vAlign w:val="center"/>
          </w:tcPr>
          <w:p w14:paraId="1A16C757">
            <w:pPr>
              <w:pStyle w:val="25"/>
              <w:rPr>
                <w:rFonts w:hint="default" w:ascii="Times New Roman" w:hAnsi="Times New Roman" w:cs="Times New Roman"/>
                <w:color w:val="auto"/>
                <w:u w:val="none" w:color="auto"/>
                <w:lang w:val="en-US" w:eastAsia="zh-CN"/>
              </w:rPr>
            </w:pPr>
          </w:p>
        </w:tc>
      </w:tr>
      <w:tr w14:paraId="27D30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615E424">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5FC08660">
            <w:pPr>
              <w:pStyle w:val="25"/>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74066530">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3224A036">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一般性废包装材料</w:t>
            </w:r>
          </w:p>
        </w:tc>
        <w:tc>
          <w:tcPr>
            <w:tcW w:w="1830" w:type="dxa"/>
            <w:tcBorders>
              <w:tl2br w:val="nil"/>
              <w:tr2bl w:val="nil"/>
            </w:tcBorders>
            <w:noWrap w:val="0"/>
            <w:vAlign w:val="center"/>
          </w:tcPr>
          <w:p w14:paraId="7B2C7A63">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其他包装材料收集后外售综合利用、</w:t>
            </w:r>
            <w:r>
              <w:rPr>
                <w:rFonts w:hint="eastAsia" w:ascii="Times New Roman" w:hAnsi="Times New Roman" w:cs="Times New Roman"/>
                <w:color w:val="auto"/>
                <w:u w:val="none" w:color="auto"/>
                <w:lang w:val="en-US" w:eastAsia="zh-CN"/>
              </w:rPr>
              <w:t>树脂</w:t>
            </w:r>
            <w:r>
              <w:rPr>
                <w:rFonts w:hint="default" w:ascii="Times New Roman" w:hAnsi="Times New Roman" w:cs="Times New Roman"/>
                <w:color w:val="auto"/>
                <w:u w:val="none" w:color="auto"/>
                <w:lang w:val="en-US" w:eastAsia="zh-CN"/>
              </w:rPr>
              <w:t>包装桶收集后由</w:t>
            </w:r>
            <w:r>
              <w:rPr>
                <w:rFonts w:hint="eastAsia" w:ascii="Times New Roman" w:hAnsi="Times New Roman" w:cs="Times New Roman"/>
                <w:color w:val="auto"/>
                <w:u w:val="none" w:color="auto"/>
                <w:lang w:val="en-US" w:eastAsia="zh-CN"/>
              </w:rPr>
              <w:t>厂</w:t>
            </w:r>
            <w:r>
              <w:rPr>
                <w:rFonts w:hint="default" w:ascii="Times New Roman" w:hAnsi="Times New Roman" w:cs="Times New Roman"/>
                <w:color w:val="auto"/>
                <w:u w:val="none" w:color="auto"/>
                <w:lang w:val="en-US" w:eastAsia="zh-CN"/>
              </w:rPr>
              <w:t>家回收利用</w:t>
            </w:r>
          </w:p>
        </w:tc>
        <w:tc>
          <w:tcPr>
            <w:tcW w:w="2947" w:type="dxa"/>
            <w:vMerge w:val="continue"/>
            <w:tcBorders>
              <w:tl2br w:val="nil"/>
              <w:tr2bl w:val="nil"/>
            </w:tcBorders>
            <w:noWrap w:val="0"/>
            <w:vAlign w:val="center"/>
          </w:tcPr>
          <w:p w14:paraId="50452D77">
            <w:pPr>
              <w:pStyle w:val="25"/>
              <w:rPr>
                <w:rFonts w:hint="default" w:ascii="Times New Roman" w:hAnsi="Times New Roman" w:cs="Times New Roman"/>
                <w:color w:val="auto"/>
                <w:u w:val="none" w:color="auto"/>
                <w:lang w:val="en-US" w:eastAsia="zh-CN"/>
              </w:rPr>
            </w:pPr>
          </w:p>
        </w:tc>
      </w:tr>
      <w:tr w14:paraId="25CC4F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5B70FDC1">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38F1F7DE">
            <w:pPr>
              <w:pStyle w:val="25"/>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5E9E3BD3">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7E9D8209">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废耐火砖</w:t>
            </w:r>
          </w:p>
        </w:tc>
        <w:tc>
          <w:tcPr>
            <w:tcW w:w="1830" w:type="dxa"/>
            <w:tcBorders>
              <w:tl2br w:val="nil"/>
              <w:tr2bl w:val="nil"/>
            </w:tcBorders>
            <w:noWrap w:val="0"/>
            <w:vAlign w:val="center"/>
          </w:tcPr>
          <w:p w14:paraId="411D95B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收集后外售综合利用</w:t>
            </w:r>
          </w:p>
        </w:tc>
        <w:tc>
          <w:tcPr>
            <w:tcW w:w="2947" w:type="dxa"/>
            <w:vMerge w:val="continue"/>
            <w:tcBorders>
              <w:tl2br w:val="nil"/>
              <w:tr2bl w:val="nil"/>
            </w:tcBorders>
            <w:noWrap w:val="0"/>
            <w:vAlign w:val="center"/>
          </w:tcPr>
          <w:p w14:paraId="6626F200">
            <w:pPr>
              <w:pStyle w:val="25"/>
              <w:rPr>
                <w:rFonts w:hint="default" w:ascii="Times New Roman" w:hAnsi="Times New Roman" w:cs="Times New Roman"/>
                <w:color w:val="auto"/>
                <w:u w:val="none" w:color="auto"/>
                <w:lang w:val="en-US" w:eastAsia="zh-CN"/>
              </w:rPr>
            </w:pPr>
          </w:p>
        </w:tc>
      </w:tr>
      <w:tr w14:paraId="1E391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5CD2B458">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33102042">
            <w:pPr>
              <w:pStyle w:val="25"/>
              <w:rPr>
                <w:rFonts w:hint="default" w:ascii="Times New Roman" w:hAnsi="Times New Roman" w:cs="Times New Roman"/>
                <w:color w:val="auto"/>
                <w:u w:val="none" w:color="auto"/>
                <w:lang w:val="en-US" w:eastAsia="zh-CN"/>
              </w:rPr>
            </w:pPr>
          </w:p>
        </w:tc>
        <w:tc>
          <w:tcPr>
            <w:tcW w:w="749" w:type="dxa"/>
            <w:vMerge w:val="restart"/>
            <w:tcBorders>
              <w:tl2br w:val="nil"/>
              <w:tr2bl w:val="nil"/>
            </w:tcBorders>
            <w:noWrap w:val="0"/>
            <w:vAlign w:val="center"/>
          </w:tcPr>
          <w:p w14:paraId="373C0FED">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危险废物</w:t>
            </w:r>
          </w:p>
        </w:tc>
        <w:tc>
          <w:tcPr>
            <w:tcW w:w="1087" w:type="dxa"/>
            <w:tcBorders>
              <w:tl2br w:val="nil"/>
              <w:tr2bl w:val="nil"/>
            </w:tcBorders>
            <w:noWrap w:val="0"/>
            <w:vAlign w:val="center"/>
          </w:tcPr>
          <w:p w14:paraId="426D140D">
            <w:pPr>
              <w:pStyle w:val="25"/>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废矿物油</w:t>
            </w:r>
          </w:p>
        </w:tc>
        <w:tc>
          <w:tcPr>
            <w:tcW w:w="1830" w:type="dxa"/>
            <w:vMerge w:val="restart"/>
            <w:tcBorders>
              <w:tl2br w:val="nil"/>
              <w:tr2bl w:val="nil"/>
            </w:tcBorders>
            <w:noWrap w:val="0"/>
            <w:vAlign w:val="center"/>
          </w:tcPr>
          <w:p w14:paraId="723BB17E">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暂存于危废暂存间后交由资质单位处理</w:t>
            </w:r>
          </w:p>
        </w:tc>
        <w:tc>
          <w:tcPr>
            <w:tcW w:w="2947" w:type="dxa"/>
            <w:vMerge w:val="continue"/>
            <w:tcBorders>
              <w:tl2br w:val="nil"/>
              <w:tr2bl w:val="nil"/>
            </w:tcBorders>
            <w:noWrap w:val="0"/>
            <w:vAlign w:val="center"/>
          </w:tcPr>
          <w:p w14:paraId="34C318DB">
            <w:pPr>
              <w:pStyle w:val="25"/>
              <w:rPr>
                <w:rFonts w:hint="default" w:ascii="Times New Roman" w:hAnsi="Times New Roman" w:cs="Times New Roman"/>
                <w:color w:val="auto"/>
                <w:u w:val="none" w:color="auto"/>
                <w:lang w:val="en-US" w:eastAsia="zh-CN"/>
              </w:rPr>
            </w:pPr>
          </w:p>
        </w:tc>
      </w:tr>
      <w:tr w14:paraId="60D20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29C23AB2">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23180C16">
            <w:pPr>
              <w:pStyle w:val="25"/>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69B8DB2A">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68EE27FC">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废液压油</w:t>
            </w:r>
          </w:p>
        </w:tc>
        <w:tc>
          <w:tcPr>
            <w:tcW w:w="1830" w:type="dxa"/>
            <w:vMerge w:val="continue"/>
            <w:tcBorders>
              <w:tl2br w:val="nil"/>
              <w:tr2bl w:val="nil"/>
            </w:tcBorders>
            <w:noWrap w:val="0"/>
            <w:vAlign w:val="center"/>
          </w:tcPr>
          <w:p w14:paraId="59D3BDFF">
            <w:pPr>
              <w:pStyle w:val="25"/>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299D15CA">
            <w:pPr>
              <w:pStyle w:val="25"/>
              <w:rPr>
                <w:rFonts w:hint="default" w:ascii="Times New Roman" w:hAnsi="Times New Roman" w:cs="Times New Roman"/>
                <w:color w:val="auto"/>
                <w:u w:val="none" w:color="auto"/>
                <w:lang w:val="en-US" w:eastAsia="zh-CN"/>
              </w:rPr>
            </w:pPr>
          </w:p>
        </w:tc>
      </w:tr>
      <w:tr w14:paraId="1321D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48C79AB">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38B11501">
            <w:pPr>
              <w:pStyle w:val="25"/>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02DD7DBF">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4496900F">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废导热油</w:t>
            </w:r>
          </w:p>
        </w:tc>
        <w:tc>
          <w:tcPr>
            <w:tcW w:w="1830" w:type="dxa"/>
            <w:vMerge w:val="continue"/>
            <w:tcBorders>
              <w:tl2br w:val="nil"/>
              <w:tr2bl w:val="nil"/>
            </w:tcBorders>
            <w:noWrap w:val="0"/>
            <w:vAlign w:val="center"/>
          </w:tcPr>
          <w:p w14:paraId="5A66B13C">
            <w:pPr>
              <w:pStyle w:val="25"/>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7B09F0C6">
            <w:pPr>
              <w:pStyle w:val="25"/>
              <w:rPr>
                <w:rFonts w:hint="default" w:ascii="Times New Roman" w:hAnsi="Times New Roman" w:cs="Times New Roman"/>
                <w:color w:val="auto"/>
                <w:u w:val="none" w:color="auto"/>
                <w:lang w:val="en-US" w:eastAsia="zh-CN"/>
              </w:rPr>
            </w:pPr>
          </w:p>
        </w:tc>
      </w:tr>
      <w:tr w14:paraId="2BDB6C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3841C8A">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23DDD288">
            <w:pPr>
              <w:pStyle w:val="25"/>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3DCC2285">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4F25D06E">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废含油抹布及手套</w:t>
            </w:r>
          </w:p>
        </w:tc>
        <w:tc>
          <w:tcPr>
            <w:tcW w:w="1830" w:type="dxa"/>
            <w:vMerge w:val="continue"/>
            <w:tcBorders>
              <w:tl2br w:val="nil"/>
              <w:tr2bl w:val="nil"/>
            </w:tcBorders>
            <w:noWrap w:val="0"/>
            <w:vAlign w:val="center"/>
          </w:tcPr>
          <w:p w14:paraId="7F9354F5">
            <w:pPr>
              <w:pStyle w:val="25"/>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4BCD2693">
            <w:pPr>
              <w:pStyle w:val="25"/>
              <w:rPr>
                <w:rFonts w:hint="default" w:ascii="Times New Roman" w:hAnsi="Times New Roman" w:cs="Times New Roman"/>
                <w:color w:val="auto"/>
                <w:u w:val="none" w:color="auto"/>
                <w:lang w:val="en-US" w:eastAsia="zh-CN"/>
              </w:rPr>
            </w:pPr>
          </w:p>
        </w:tc>
      </w:tr>
      <w:tr w14:paraId="7BAC3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57D6BE8F">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5B62F54B">
            <w:pPr>
              <w:pStyle w:val="25"/>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650B437C">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20BB54B6">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废油桶</w:t>
            </w:r>
          </w:p>
        </w:tc>
        <w:tc>
          <w:tcPr>
            <w:tcW w:w="1830" w:type="dxa"/>
            <w:vMerge w:val="continue"/>
            <w:tcBorders>
              <w:tl2br w:val="nil"/>
              <w:tr2bl w:val="nil"/>
            </w:tcBorders>
            <w:noWrap w:val="0"/>
            <w:vAlign w:val="center"/>
          </w:tcPr>
          <w:p w14:paraId="25F62E2F">
            <w:pPr>
              <w:pStyle w:val="25"/>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353D092C">
            <w:pPr>
              <w:pStyle w:val="25"/>
              <w:rPr>
                <w:rFonts w:hint="default" w:ascii="Times New Roman" w:hAnsi="Times New Roman" w:cs="Times New Roman"/>
                <w:color w:val="auto"/>
                <w:u w:val="none" w:color="auto"/>
                <w:lang w:val="en-US" w:eastAsia="zh-CN"/>
              </w:rPr>
            </w:pPr>
          </w:p>
        </w:tc>
      </w:tr>
      <w:tr w14:paraId="676CA5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350D206F">
            <w:pPr>
              <w:pStyle w:val="25"/>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17185197">
            <w:pPr>
              <w:pStyle w:val="25"/>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72D0BF25">
            <w:pPr>
              <w:pStyle w:val="25"/>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33FFD309">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废活性炭</w:t>
            </w:r>
          </w:p>
        </w:tc>
        <w:tc>
          <w:tcPr>
            <w:tcW w:w="1830" w:type="dxa"/>
            <w:vMerge w:val="continue"/>
            <w:tcBorders>
              <w:tl2br w:val="nil"/>
              <w:tr2bl w:val="nil"/>
            </w:tcBorders>
            <w:noWrap w:val="0"/>
            <w:vAlign w:val="center"/>
          </w:tcPr>
          <w:p w14:paraId="419FAA98">
            <w:pPr>
              <w:pStyle w:val="25"/>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4D3D78FB">
            <w:pPr>
              <w:pStyle w:val="25"/>
              <w:rPr>
                <w:rFonts w:hint="default" w:ascii="Times New Roman" w:hAnsi="Times New Roman" w:cs="Times New Roman"/>
                <w:color w:val="auto"/>
                <w:u w:val="none" w:color="auto"/>
                <w:lang w:val="en-US" w:eastAsia="zh-CN"/>
              </w:rPr>
            </w:pPr>
          </w:p>
        </w:tc>
      </w:tr>
      <w:tr w14:paraId="60CA66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tcBorders>
              <w:tl2br w:val="nil"/>
              <w:tr2bl w:val="nil"/>
            </w:tcBorders>
            <w:noWrap w:val="0"/>
            <w:vAlign w:val="center"/>
          </w:tcPr>
          <w:p w14:paraId="68EC127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噪声</w:t>
            </w:r>
          </w:p>
        </w:tc>
        <w:tc>
          <w:tcPr>
            <w:tcW w:w="1098" w:type="dxa"/>
            <w:tcBorders>
              <w:tl2br w:val="nil"/>
              <w:tr2bl w:val="nil"/>
            </w:tcBorders>
            <w:noWrap w:val="0"/>
            <w:vAlign w:val="center"/>
          </w:tcPr>
          <w:p w14:paraId="3A389DA4">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生产区域</w:t>
            </w:r>
          </w:p>
        </w:tc>
        <w:tc>
          <w:tcPr>
            <w:tcW w:w="1836" w:type="dxa"/>
            <w:gridSpan w:val="2"/>
            <w:tcBorders>
              <w:tl2br w:val="nil"/>
              <w:tr2bl w:val="nil"/>
            </w:tcBorders>
            <w:noWrap w:val="0"/>
            <w:vAlign w:val="center"/>
          </w:tcPr>
          <w:p w14:paraId="342C5074">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LeqA</w:t>
            </w:r>
          </w:p>
        </w:tc>
        <w:tc>
          <w:tcPr>
            <w:tcW w:w="1830" w:type="dxa"/>
            <w:tcBorders>
              <w:tl2br w:val="nil"/>
              <w:tr2bl w:val="nil"/>
            </w:tcBorders>
            <w:noWrap w:val="0"/>
            <w:vAlign w:val="center"/>
          </w:tcPr>
          <w:p w14:paraId="6C80411C">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设备减振底座、加强绿化</w:t>
            </w:r>
          </w:p>
        </w:tc>
        <w:tc>
          <w:tcPr>
            <w:tcW w:w="2947" w:type="dxa"/>
            <w:tcBorders>
              <w:tl2br w:val="nil"/>
              <w:tr2bl w:val="nil"/>
            </w:tcBorders>
            <w:noWrap w:val="0"/>
            <w:vAlign w:val="center"/>
          </w:tcPr>
          <w:p w14:paraId="4AB31935">
            <w:pPr>
              <w:pStyle w:val="2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《工业企业厂界环境噪声排放标准》（GB12348-2008）</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类标准</w:t>
            </w:r>
          </w:p>
        </w:tc>
      </w:tr>
      <w:tr w14:paraId="2FFA2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7B74AAF8">
            <w:pPr>
              <w:pStyle w:val="25"/>
              <w:bidi w:val="0"/>
              <w:rPr>
                <w:rFonts w:hint="default" w:ascii="Times New Roman" w:hAnsi="Times New Roman" w:cs="Times New Roman"/>
                <w:color w:val="auto"/>
                <w:u w:val="none" w:color="auto"/>
                <w:lang w:val="en-US" w:eastAsia="zh-CN"/>
              </w:rPr>
            </w:pPr>
            <w:bookmarkStart w:id="1540" w:name="_Toc3875"/>
            <w:r>
              <w:rPr>
                <w:rFonts w:hint="eastAsia" w:cs="Times New Roman"/>
                <w:color w:val="auto"/>
                <w:u w:val="none" w:color="auto"/>
                <w:lang w:val="en-US" w:eastAsia="zh-CN"/>
              </w:rPr>
              <w:t>地下水</w:t>
            </w:r>
          </w:p>
        </w:tc>
        <w:tc>
          <w:tcPr>
            <w:tcW w:w="1098" w:type="dxa"/>
            <w:vMerge w:val="restart"/>
            <w:tcBorders>
              <w:tl2br w:val="nil"/>
              <w:tr2bl w:val="nil"/>
            </w:tcBorders>
            <w:noWrap w:val="0"/>
            <w:vAlign w:val="center"/>
          </w:tcPr>
          <w:p w14:paraId="739FCB41">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分区防渗</w:t>
            </w:r>
          </w:p>
        </w:tc>
        <w:tc>
          <w:tcPr>
            <w:tcW w:w="1836" w:type="dxa"/>
            <w:gridSpan w:val="2"/>
            <w:tcBorders>
              <w:tl2br w:val="nil"/>
              <w:tr2bl w:val="nil"/>
            </w:tcBorders>
            <w:noWrap w:val="0"/>
            <w:vAlign w:val="center"/>
          </w:tcPr>
          <w:p w14:paraId="2CE5A872">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危废暂存间、原料区、导热油炉区域、压机区域地面</w:t>
            </w:r>
          </w:p>
        </w:tc>
        <w:tc>
          <w:tcPr>
            <w:tcW w:w="1830" w:type="dxa"/>
            <w:tcBorders>
              <w:tl2br w:val="nil"/>
              <w:tr2bl w:val="nil"/>
            </w:tcBorders>
            <w:noWrap w:val="0"/>
            <w:vAlign w:val="center"/>
          </w:tcPr>
          <w:p w14:paraId="1F3E732A">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重点防渗区</w:t>
            </w:r>
          </w:p>
        </w:tc>
        <w:tc>
          <w:tcPr>
            <w:tcW w:w="2947" w:type="dxa"/>
            <w:tcBorders>
              <w:tl2br w:val="nil"/>
              <w:tr2bl w:val="nil"/>
            </w:tcBorders>
            <w:noWrap w:val="0"/>
            <w:vAlign w:val="center"/>
          </w:tcPr>
          <w:p w14:paraId="7A2B3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参照</w:t>
            </w:r>
            <w:r>
              <w:rPr>
                <w:rFonts w:hint="default" w:ascii="Times New Roman" w:hAnsi="Times New Roman" w:cs="Times New Roman"/>
                <w:color w:val="auto"/>
                <w:u w:val="none" w:color="auto"/>
              </w:rPr>
              <w:t>《危险废物贮存污染控制标准》（GB18597</w:t>
            </w:r>
            <w:r>
              <w:rPr>
                <w:rFonts w:hint="eastAsia" w:ascii="Times New Roman" w:hAnsi="Times New Roman" w:cs="Times New Roman"/>
                <w:color w:val="auto"/>
                <w:u w:val="none" w:color="auto"/>
                <w:lang w:val="en-US" w:eastAsia="zh-CN"/>
              </w:rPr>
              <w:t>-2023</w:t>
            </w:r>
            <w:r>
              <w:rPr>
                <w:rFonts w:hint="default" w:ascii="Times New Roman" w:hAnsi="Times New Roman" w:cs="Times New Roman"/>
                <w:color w:val="auto"/>
                <w:u w:val="none" w:color="auto"/>
              </w:rPr>
              <w:t>）</w:t>
            </w:r>
          </w:p>
        </w:tc>
      </w:tr>
      <w:tr w14:paraId="338E8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24CF3D0">
            <w:pPr>
              <w:pStyle w:val="25"/>
              <w:bidi w:val="0"/>
              <w:rPr>
                <w:rFonts w:hint="eastAsia" w:cs="Times New Roman"/>
                <w:color w:val="auto"/>
                <w:u w:val="none" w:color="auto"/>
                <w:lang w:val="en-US" w:eastAsia="zh-CN"/>
              </w:rPr>
            </w:pPr>
          </w:p>
        </w:tc>
        <w:tc>
          <w:tcPr>
            <w:tcW w:w="1098" w:type="dxa"/>
            <w:vMerge w:val="continue"/>
            <w:tcBorders>
              <w:tl2br w:val="nil"/>
              <w:tr2bl w:val="nil"/>
            </w:tcBorders>
            <w:noWrap w:val="0"/>
            <w:vAlign w:val="center"/>
          </w:tcPr>
          <w:p w14:paraId="0EE2D656">
            <w:pPr>
              <w:pStyle w:val="25"/>
              <w:bidi w:val="0"/>
              <w:rPr>
                <w:rFonts w:hint="eastAsia" w:cs="Times New Roman"/>
                <w:color w:val="auto"/>
                <w:u w:val="none" w:color="auto"/>
                <w:lang w:val="en-US" w:eastAsia="zh-CN"/>
              </w:rPr>
            </w:pPr>
          </w:p>
        </w:tc>
        <w:tc>
          <w:tcPr>
            <w:tcW w:w="1836" w:type="dxa"/>
            <w:gridSpan w:val="2"/>
            <w:tcBorders>
              <w:tl2br w:val="nil"/>
              <w:tr2bl w:val="nil"/>
            </w:tcBorders>
            <w:noWrap w:val="0"/>
            <w:vAlign w:val="center"/>
          </w:tcPr>
          <w:p w14:paraId="36FE1F20">
            <w:pPr>
              <w:pStyle w:val="25"/>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生产车间地面、一般固废暂存间、</w:t>
            </w:r>
            <w:r>
              <w:rPr>
                <w:rFonts w:hint="default"/>
                <w:color w:val="auto"/>
                <w:u w:val="none" w:color="auto"/>
                <w:lang w:val="en-US" w:eastAsia="zh-CN"/>
              </w:rPr>
              <w:t>其他公用单元</w:t>
            </w:r>
            <w:r>
              <w:rPr>
                <w:rFonts w:hint="default"/>
                <w:color w:val="auto"/>
                <w:u w:val="none" w:color="auto"/>
                <w:lang w:eastAsia="zh-CN"/>
              </w:rPr>
              <w:t>等</w:t>
            </w:r>
          </w:p>
        </w:tc>
        <w:tc>
          <w:tcPr>
            <w:tcW w:w="1830" w:type="dxa"/>
            <w:tcBorders>
              <w:tl2br w:val="nil"/>
              <w:tr2bl w:val="nil"/>
            </w:tcBorders>
            <w:noWrap w:val="0"/>
            <w:vAlign w:val="center"/>
          </w:tcPr>
          <w:p w14:paraId="3896FD8C">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一般防渗区</w:t>
            </w:r>
          </w:p>
        </w:tc>
        <w:tc>
          <w:tcPr>
            <w:tcW w:w="2947" w:type="dxa"/>
            <w:tcBorders>
              <w:tl2br w:val="nil"/>
              <w:tr2bl w:val="nil"/>
            </w:tcBorders>
            <w:noWrap w:val="0"/>
            <w:vAlign w:val="center"/>
          </w:tcPr>
          <w:p w14:paraId="030AC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eastAsia="zh-CN"/>
              </w:rPr>
              <w:t>参照</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fldChar w:fldCharType="begin"/>
            </w:r>
            <w:r>
              <w:rPr>
                <w:rFonts w:hint="default" w:ascii="Times New Roman" w:hAnsi="Times New Roman" w:eastAsia="宋体" w:cs="Times New Roman"/>
                <w:color w:val="auto"/>
                <w:sz w:val="21"/>
                <w:szCs w:val="21"/>
                <w:highlight w:val="none"/>
                <w:u w:val="none" w:color="auto"/>
              </w:rPr>
              <w:instrText xml:space="preserve"> HYPERLINK "https://www.so.com/link?m=bSEGDpAPKbIJO16jN16WzmXrPE8T0D/T9B/xlJQZDUW3yrvVDlFZroRd6YmlQY+LMMBUFx/35JHk2dlyYG13EjkW0rUvPMMMwhfpRRJLhWwyR+oEUgq+kmnuKQi30YbB4BT+t6g==" \t "https://www.so.com/_blank" </w:instrText>
            </w:r>
            <w:r>
              <w:rPr>
                <w:rFonts w:hint="default" w:ascii="Times New Roman" w:hAnsi="Times New Roman" w:eastAsia="宋体" w:cs="Times New Roman"/>
                <w:color w:val="auto"/>
                <w:sz w:val="21"/>
                <w:szCs w:val="21"/>
                <w:highlight w:val="none"/>
                <w:u w:val="none" w:color="auto"/>
              </w:rPr>
              <w:fldChar w:fldCharType="separate"/>
            </w:r>
            <w:r>
              <w:rPr>
                <w:rFonts w:hint="default" w:ascii="Times New Roman" w:hAnsi="Times New Roman" w:eastAsia="宋体" w:cs="Times New Roman"/>
                <w:color w:val="auto"/>
                <w:sz w:val="21"/>
                <w:szCs w:val="21"/>
                <w:highlight w:val="none"/>
                <w:u w:val="none" w:color="auto"/>
              </w:rPr>
              <w:t>一般工业固体废物贮存和填埋污染控制标准</w:t>
            </w:r>
            <w:r>
              <w:rPr>
                <w:rFonts w:hint="default" w:ascii="Times New Roman" w:hAnsi="Times New Roman" w:eastAsia="宋体" w:cs="Times New Roman"/>
                <w:color w:val="auto"/>
                <w:sz w:val="21"/>
                <w:szCs w:val="21"/>
                <w:highlight w:val="none"/>
                <w:u w:val="none" w:color="auto"/>
              </w:rPr>
              <w:fldChar w:fldCharType="end"/>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GB 18599-2020</w:t>
            </w:r>
            <w:r>
              <w:rPr>
                <w:rFonts w:hint="default" w:ascii="Times New Roman" w:hAnsi="Times New Roman" w:eastAsia="宋体" w:cs="Times New Roman"/>
                <w:color w:val="auto"/>
                <w:sz w:val="21"/>
                <w:szCs w:val="21"/>
                <w:highlight w:val="none"/>
                <w:u w:val="none" w:color="auto"/>
                <w:lang w:eastAsia="zh-CN"/>
              </w:rPr>
              <w:t>）</w:t>
            </w:r>
          </w:p>
        </w:tc>
      </w:tr>
      <w:tr w14:paraId="12490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7D01962A">
            <w:pPr>
              <w:pStyle w:val="25"/>
              <w:bidi w:val="0"/>
              <w:rPr>
                <w:rFonts w:hint="eastAsia" w:cs="Times New Roman"/>
                <w:color w:val="auto"/>
                <w:u w:val="none" w:color="auto"/>
                <w:lang w:val="en-US" w:eastAsia="zh-CN"/>
              </w:rPr>
            </w:pPr>
          </w:p>
        </w:tc>
        <w:tc>
          <w:tcPr>
            <w:tcW w:w="1098" w:type="dxa"/>
            <w:vMerge w:val="continue"/>
            <w:tcBorders>
              <w:tl2br w:val="nil"/>
              <w:tr2bl w:val="nil"/>
            </w:tcBorders>
            <w:noWrap w:val="0"/>
            <w:vAlign w:val="center"/>
          </w:tcPr>
          <w:p w14:paraId="34962F54">
            <w:pPr>
              <w:pStyle w:val="25"/>
              <w:bidi w:val="0"/>
              <w:rPr>
                <w:rFonts w:hint="eastAsia" w:cs="Times New Roman"/>
                <w:color w:val="auto"/>
                <w:u w:val="none" w:color="auto"/>
                <w:lang w:val="en-US" w:eastAsia="zh-CN"/>
              </w:rPr>
            </w:pPr>
          </w:p>
        </w:tc>
        <w:tc>
          <w:tcPr>
            <w:tcW w:w="1836" w:type="dxa"/>
            <w:gridSpan w:val="2"/>
            <w:tcBorders>
              <w:tl2br w:val="nil"/>
              <w:tr2bl w:val="nil"/>
            </w:tcBorders>
            <w:noWrap w:val="0"/>
            <w:vAlign w:val="center"/>
          </w:tcPr>
          <w:p w14:paraId="19EE8ED2">
            <w:pPr>
              <w:pStyle w:val="25"/>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厂区道路、空闲场地</w:t>
            </w:r>
          </w:p>
        </w:tc>
        <w:tc>
          <w:tcPr>
            <w:tcW w:w="1830" w:type="dxa"/>
            <w:tcBorders>
              <w:tl2br w:val="nil"/>
              <w:tr2bl w:val="nil"/>
            </w:tcBorders>
            <w:noWrap w:val="0"/>
            <w:vAlign w:val="center"/>
          </w:tcPr>
          <w:p w14:paraId="2BD8BAA6">
            <w:pPr>
              <w:pStyle w:val="25"/>
              <w:bidi w:val="0"/>
              <w:rPr>
                <w:rFonts w:hint="default" w:cs="Times New Roman"/>
                <w:color w:val="auto"/>
                <w:u w:val="none" w:color="auto"/>
                <w:lang w:val="en-US" w:eastAsia="zh-CN"/>
              </w:rPr>
            </w:pPr>
            <w:r>
              <w:rPr>
                <w:rFonts w:hint="eastAsia" w:cs="Times New Roman"/>
                <w:color w:val="auto"/>
                <w:u w:val="none" w:color="auto"/>
                <w:lang w:val="en-US" w:eastAsia="zh-CN"/>
              </w:rPr>
              <w:t>简单防渗区</w:t>
            </w:r>
          </w:p>
        </w:tc>
        <w:tc>
          <w:tcPr>
            <w:tcW w:w="2947" w:type="dxa"/>
            <w:tcBorders>
              <w:tl2br w:val="nil"/>
              <w:tr2bl w:val="nil"/>
            </w:tcBorders>
            <w:noWrap w:val="0"/>
            <w:vAlign w:val="center"/>
          </w:tcPr>
          <w:p w14:paraId="5EC790A7">
            <w:pPr>
              <w:pStyle w:val="25"/>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w:t>
            </w:r>
          </w:p>
        </w:tc>
      </w:tr>
    </w:tbl>
    <w:p w14:paraId="5C70565E">
      <w:pPr>
        <w:pStyle w:val="7"/>
        <w:bidi w:val="0"/>
        <w:rPr>
          <w:rFonts w:hint="default"/>
          <w:color w:val="auto"/>
          <w:u w:val="none" w:color="auto"/>
        </w:rPr>
      </w:pPr>
      <w:bookmarkStart w:id="1541" w:name="_Toc2711"/>
      <w:bookmarkStart w:id="1542" w:name="_Toc15985"/>
      <w:bookmarkStart w:id="1543" w:name="_Toc24734"/>
      <w:r>
        <w:rPr>
          <w:rFonts w:hint="eastAsia"/>
          <w:color w:val="auto"/>
          <w:u w:val="none" w:color="auto"/>
          <w:lang w:val="en-US" w:eastAsia="zh-CN"/>
        </w:rPr>
        <w:t>8</w:t>
      </w:r>
      <w:r>
        <w:rPr>
          <w:rFonts w:hint="default"/>
          <w:color w:val="auto"/>
          <w:u w:val="none" w:color="auto"/>
          <w:lang w:val="en-US" w:eastAsia="zh-CN"/>
        </w:rPr>
        <w:t>.4</w:t>
      </w:r>
      <w:r>
        <w:rPr>
          <w:rFonts w:hint="default"/>
          <w:color w:val="auto"/>
          <w:u w:val="none" w:color="auto"/>
        </w:rPr>
        <w:t>总量控制</w:t>
      </w:r>
      <w:bookmarkEnd w:id="1540"/>
      <w:bookmarkEnd w:id="1541"/>
      <w:bookmarkEnd w:id="1542"/>
      <w:bookmarkEnd w:id="1543"/>
    </w:p>
    <w:p w14:paraId="5E450545">
      <w:pPr>
        <w:pStyle w:val="8"/>
        <w:bidi w:val="0"/>
        <w:rPr>
          <w:rFonts w:hint="default" w:ascii="Times New Roman" w:hAnsi="Times New Roman" w:cs="Times New Roman"/>
          <w:color w:val="auto"/>
          <w:u w:val="none" w:color="auto"/>
        </w:rPr>
      </w:pPr>
      <w:bookmarkStart w:id="1544" w:name="_Toc18886"/>
      <w:bookmarkStart w:id="1545" w:name="_Toc305826785"/>
      <w:bookmarkStart w:id="1546" w:name="_Toc18958"/>
      <w:bookmarkStart w:id="1547" w:name="_Toc243124331"/>
      <w:bookmarkStart w:id="1548" w:name="_Toc12540"/>
      <w:bookmarkStart w:id="1549" w:name="_Toc232414623"/>
      <w:bookmarkStart w:id="1550" w:name="_Toc46736876"/>
      <w:bookmarkStart w:id="1551" w:name="_Toc305828067"/>
      <w:bookmarkStart w:id="1552" w:name="_Toc54491315"/>
      <w:bookmarkStart w:id="1553" w:name="_Toc15937_WPSOffice_Level2"/>
      <w:bookmarkStart w:id="1554" w:name="_Toc29348_WPSOffice_Level2"/>
      <w:bookmarkStart w:id="1555" w:name="_Toc305826962"/>
      <w:bookmarkStart w:id="1556" w:name="_Toc15605"/>
      <w:bookmarkStart w:id="1557" w:name="_Toc307236482"/>
      <w:bookmarkStart w:id="1558" w:name="_Toc38377275"/>
      <w:bookmarkStart w:id="1559" w:name="_Toc232225583"/>
      <w:bookmarkStart w:id="1560" w:name="_Toc27093_WPSOffice_Level2"/>
      <w:bookmarkStart w:id="1561" w:name="_Toc305828164"/>
      <w:bookmarkStart w:id="1562" w:name="_Toc307293893"/>
      <w:bookmarkStart w:id="1563" w:name="_Toc3462"/>
      <w:bookmarkStart w:id="1564" w:name="_Toc232414517"/>
      <w:bookmarkStart w:id="1565" w:name="_Toc26017"/>
      <w:bookmarkStart w:id="1566" w:name="_Toc305827399"/>
      <w:bookmarkStart w:id="1567" w:name="_Toc304349321"/>
      <w:bookmarkStart w:id="1568" w:name="_Toc305827568"/>
      <w:bookmarkStart w:id="1569" w:name="_Toc11825_WPSOffice_Level2"/>
      <w:bookmarkStart w:id="1570" w:name="_Toc4726_WPSOffice_Level2"/>
      <w:bookmarkStart w:id="1571" w:name="_Toc305827799"/>
      <w:bookmarkStart w:id="1572" w:name="_Toc305827704"/>
      <w:bookmarkStart w:id="1573" w:name="_Toc305827057"/>
      <w:bookmarkStart w:id="1574" w:name="_Toc13296"/>
      <w:bookmarkStart w:id="1575" w:name="_Toc14375"/>
      <w:bookmarkStart w:id="1576" w:name="_Toc31677"/>
      <w:bookmarkStart w:id="1577" w:name="_Toc4306"/>
      <w:bookmarkStart w:id="1578" w:name="_Toc8453"/>
      <w:bookmarkStart w:id="1579" w:name="_Toc25705"/>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.4.1</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Pr>
          <w:rFonts w:hint="default" w:ascii="Times New Roman" w:hAnsi="Times New Roman" w:cs="Times New Roman"/>
          <w:color w:val="auto"/>
          <w:u w:val="none" w:color="auto"/>
        </w:rPr>
        <w:t>总量控制指标的确定</w:t>
      </w:r>
      <w:bookmarkEnd w:id="1576"/>
      <w:bookmarkEnd w:id="1577"/>
      <w:bookmarkEnd w:id="1578"/>
      <w:bookmarkEnd w:id="1579"/>
    </w:p>
    <w:p w14:paraId="2049A661">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在一定的区域内，环境对污染物的自净能力（即环境容量）是有限度的。在经济发展期间，排污单位增加，向大气和水体排放的污染物即使是达标排放，污染物的数量仍是增加的。如这个数量超过环境容量，所造成的污染导致生态破坏，难以恢复。要使这一区域的环境不被污染，达到所处功能区环境质量标准，就必须控制污染物的排放总量在环境容量的限度以下，从而从根本上消除污染的发生。因此对主要污染物排放实施总量控制是改善环境质量的必然之路，是我国环境保护工作的一项重大举措。</w:t>
      </w:r>
    </w:p>
    <w:p w14:paraId="3387C908">
      <w:pPr>
        <w:pStyle w:val="8"/>
        <w:bidi w:val="0"/>
        <w:rPr>
          <w:rFonts w:hint="default" w:ascii="Times New Roman" w:hAnsi="Times New Roman" w:cs="Times New Roman"/>
          <w:color w:val="auto"/>
          <w:u w:val="none" w:color="auto"/>
          <w:lang w:val="en-US" w:eastAsia="zh-CN"/>
        </w:rPr>
      </w:pPr>
      <w:bookmarkStart w:id="1580" w:name="_Toc18767"/>
      <w:bookmarkStart w:id="1581" w:name="_Toc83"/>
      <w:bookmarkStart w:id="1582" w:name="_Toc22860"/>
      <w:bookmarkStart w:id="1583" w:name="_Toc4214"/>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.4.2总量控制因子筛选</w:t>
      </w:r>
      <w:bookmarkEnd w:id="1580"/>
      <w:bookmarkEnd w:id="1581"/>
      <w:bookmarkEnd w:id="1582"/>
      <w:bookmarkEnd w:id="1583"/>
    </w:p>
    <w:p w14:paraId="5DB2ABF6">
      <w:pPr>
        <w:pStyle w:val="21"/>
        <w:bidi w:val="0"/>
        <w:rPr>
          <w:rFonts w:hint="default" w:ascii="Times New Roman" w:hAnsi="Times New Roman" w:cs="Times New Roman"/>
          <w:color w:val="auto"/>
          <w:u w:val="none" w:color="auto"/>
          <w:lang w:eastAsia="zh-CN"/>
        </w:rPr>
      </w:pPr>
      <w:r>
        <w:rPr>
          <w:rFonts w:hint="default" w:ascii="Times New Roman" w:hAnsi="Times New Roman" w:eastAsia="宋体" w:cs="Times New Roman"/>
          <w:color w:val="auto"/>
          <w:kern w:val="2"/>
          <w:sz w:val="24"/>
          <w:szCs w:val="24"/>
          <w:highlight w:val="none"/>
          <w:u w:val="none" w:color="auto"/>
          <w:lang w:val="en-US" w:eastAsia="zh-CN" w:bidi="ar-SA"/>
        </w:rPr>
        <w:t>根据国家环境保护部对实施污染物排放总量控制的要求、《中华人民共和国国民经济和社会发展第十四个五年规划纲要》环保规划要求和《湖南省“十四五”节能减排综合工作实施方案》，根据国家总量控制有关规定，结合公司生产实际情况</w:t>
      </w:r>
      <w:r>
        <w:rPr>
          <w:rFonts w:hint="eastAsia" w:ascii="Times New Roman" w:hAnsi="Times New Roman" w:eastAsia="宋体" w:cs="Times New Roman"/>
          <w:color w:val="auto"/>
          <w:kern w:val="2"/>
          <w:sz w:val="24"/>
          <w:szCs w:val="24"/>
          <w:highlight w:val="none"/>
          <w:u w:val="none" w:color="auto"/>
          <w:lang w:val="en-US" w:eastAsia="zh-CN" w:bidi="ar-SA"/>
        </w:rPr>
        <w:t>。项目主要外排废水为生活污水</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生活污水经化粪池预处理</w:t>
      </w:r>
      <w:r>
        <w:rPr>
          <w:rFonts w:hint="default" w:ascii="Times New Roman" w:hAnsi="Times New Roman" w:eastAsia="宋体" w:cs="Times New Roman"/>
          <w:color w:val="auto"/>
          <w:kern w:val="2"/>
          <w:sz w:val="24"/>
          <w:szCs w:val="24"/>
          <w:highlight w:val="none"/>
          <w:u w:val="none" w:color="auto"/>
          <w:lang w:val="en-US" w:eastAsia="zh-CN" w:bidi="ar-SA"/>
        </w:rPr>
        <w:t>后进入</w:t>
      </w:r>
      <w:r>
        <w:rPr>
          <w:rFonts w:hint="eastAsia" w:ascii="Times New Roman" w:hAnsi="Times New Roman" w:eastAsia="宋体" w:cs="Times New Roman"/>
          <w:color w:val="auto"/>
          <w:kern w:val="2"/>
          <w:sz w:val="24"/>
          <w:szCs w:val="24"/>
          <w:highlight w:val="none"/>
          <w:u w:val="none" w:color="auto"/>
          <w:lang w:val="en-US" w:eastAsia="zh-CN" w:bidi="ar-SA"/>
        </w:rPr>
        <w:t>长沙经开区汨罗产业园污水处理厂</w:t>
      </w:r>
      <w:r>
        <w:rPr>
          <w:rFonts w:hint="default" w:ascii="Times New Roman" w:hAnsi="Times New Roman" w:eastAsia="宋体" w:cs="Times New Roman"/>
          <w:color w:val="auto"/>
          <w:kern w:val="2"/>
          <w:sz w:val="24"/>
          <w:szCs w:val="24"/>
          <w:highlight w:val="none"/>
          <w:u w:val="none" w:color="auto"/>
          <w:lang w:val="en-US" w:eastAsia="zh-CN" w:bidi="ar-SA"/>
        </w:rPr>
        <w:t>进一步处理，</w:t>
      </w:r>
      <w:r>
        <w:rPr>
          <w:rFonts w:hint="eastAsia" w:ascii="Times New Roman" w:hAnsi="Times New Roman" w:eastAsia="宋体" w:cs="Times New Roman"/>
          <w:color w:val="auto"/>
          <w:kern w:val="2"/>
          <w:sz w:val="24"/>
          <w:szCs w:val="24"/>
          <w:highlight w:val="none"/>
          <w:u w:val="none" w:color="auto"/>
          <w:lang w:val="en-US" w:eastAsia="zh-CN" w:bidi="ar-SA"/>
        </w:rPr>
        <w:t>废水</w:t>
      </w:r>
      <w:r>
        <w:rPr>
          <w:rFonts w:hint="default" w:ascii="Times New Roman" w:hAnsi="Times New Roman" w:eastAsia="宋体" w:cs="Times New Roman"/>
          <w:color w:val="auto"/>
          <w:kern w:val="2"/>
          <w:sz w:val="24"/>
          <w:szCs w:val="24"/>
          <w:highlight w:val="none"/>
          <w:u w:val="none" w:color="auto"/>
          <w:lang w:val="en-US" w:eastAsia="zh-CN" w:bidi="ar-SA"/>
        </w:rPr>
        <w:t>污染物排放总量控制纳入</w:t>
      </w:r>
      <w:r>
        <w:rPr>
          <w:rFonts w:hint="eastAsia" w:ascii="Times New Roman" w:hAnsi="Times New Roman" w:eastAsia="宋体" w:cs="Times New Roman"/>
          <w:color w:val="auto"/>
          <w:kern w:val="2"/>
          <w:sz w:val="24"/>
          <w:szCs w:val="24"/>
          <w:highlight w:val="none"/>
          <w:u w:val="none" w:color="auto"/>
          <w:lang w:val="en-US" w:eastAsia="zh-CN" w:bidi="ar-SA"/>
        </w:rPr>
        <w:t>长沙经开区汨罗产业园污水处理厂</w:t>
      </w:r>
      <w:r>
        <w:rPr>
          <w:rFonts w:hint="default" w:ascii="Times New Roman" w:hAnsi="Times New Roman" w:eastAsia="宋体" w:cs="Times New Roman"/>
          <w:color w:val="auto"/>
          <w:kern w:val="2"/>
          <w:sz w:val="24"/>
          <w:szCs w:val="24"/>
          <w:highlight w:val="none"/>
          <w:u w:val="none" w:color="auto"/>
          <w:lang w:val="en-US" w:eastAsia="zh-CN" w:bidi="ar-SA"/>
        </w:rPr>
        <w:t>管理，无需另行单独申请污染物总量控制指标。项目主要废气污染物为颗粒物、VOCs</w:t>
      </w:r>
      <w:r>
        <w:rPr>
          <w:rFonts w:hint="eastAsia" w:ascii="Times New Roman" w:hAnsi="Times New Roman" w:eastAsia="宋体" w:cs="Times New Roman"/>
          <w:color w:val="auto"/>
          <w:kern w:val="2"/>
          <w:sz w:val="24"/>
          <w:szCs w:val="24"/>
          <w:highlight w:val="none"/>
          <w:u w:val="none" w:color="auto"/>
          <w:lang w:val="en-US" w:eastAsia="zh-CN" w:bidi="ar-SA"/>
        </w:rPr>
        <w:t>、二氧化硫、氮氧化物、甲醛、酚类</w:t>
      </w:r>
      <w:r>
        <w:rPr>
          <w:rFonts w:hint="default" w:ascii="Times New Roman" w:hAnsi="Times New Roman" w:eastAsia="宋体" w:cs="Times New Roman"/>
          <w:color w:val="auto"/>
          <w:kern w:val="2"/>
          <w:sz w:val="24"/>
          <w:szCs w:val="24"/>
          <w:highlight w:val="none"/>
          <w:u w:val="none" w:color="auto"/>
          <w:lang w:val="en-US" w:eastAsia="zh-CN" w:bidi="ar-SA"/>
        </w:rPr>
        <w:t>，需要进行总量控制的污染物为VOCs</w:t>
      </w:r>
      <w:r>
        <w:rPr>
          <w:rFonts w:hint="eastAsia" w:ascii="Times New Roman" w:hAnsi="Times New Roman" w:eastAsia="宋体" w:cs="Times New Roman"/>
          <w:color w:val="auto"/>
          <w:kern w:val="2"/>
          <w:sz w:val="24"/>
          <w:szCs w:val="24"/>
          <w:highlight w:val="none"/>
          <w:u w:val="none" w:color="auto"/>
          <w:lang w:val="en-US" w:eastAsia="zh-CN" w:bidi="ar-SA"/>
        </w:rPr>
        <w:t>、二氧化硫、氮氧化物</w:t>
      </w:r>
      <w:r>
        <w:rPr>
          <w:rFonts w:hint="default" w:ascii="Times New Roman" w:hAnsi="Times New Roman" w:eastAsia="宋体" w:cs="Times New Roman"/>
          <w:color w:val="auto"/>
          <w:kern w:val="2"/>
          <w:sz w:val="24"/>
          <w:szCs w:val="24"/>
          <w:highlight w:val="none"/>
          <w:u w:val="none" w:color="auto"/>
          <w:lang w:val="en-US" w:eastAsia="zh-CN" w:bidi="ar-SA"/>
        </w:rPr>
        <w:t>。综上所述，确定本工程总量控制因子为：废气污染物总量控制因子：VOCs</w:t>
      </w:r>
      <w:r>
        <w:rPr>
          <w:rFonts w:hint="eastAsia" w:ascii="Times New Roman" w:hAnsi="Times New Roman" w:eastAsia="宋体" w:cs="Times New Roman"/>
          <w:color w:val="auto"/>
          <w:kern w:val="2"/>
          <w:sz w:val="24"/>
          <w:szCs w:val="24"/>
          <w:highlight w:val="none"/>
          <w:u w:val="none" w:color="auto"/>
          <w:lang w:val="en-US" w:eastAsia="zh-CN" w:bidi="ar-SA"/>
        </w:rPr>
        <w:t>、二氧化硫、氮氧化物</w:t>
      </w:r>
      <w:r>
        <w:rPr>
          <w:rFonts w:hint="default" w:ascii="Times New Roman" w:hAnsi="Times New Roman" w:eastAsia="宋体" w:cs="Times New Roman"/>
          <w:color w:val="auto"/>
          <w:kern w:val="2"/>
          <w:sz w:val="24"/>
          <w:szCs w:val="24"/>
          <w:highlight w:val="none"/>
          <w:u w:val="none" w:color="auto"/>
          <w:lang w:val="en-US" w:eastAsia="zh-CN" w:bidi="ar-SA"/>
        </w:rPr>
        <w:t>。</w:t>
      </w:r>
    </w:p>
    <w:p w14:paraId="49EE1ECB">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本项目</w:t>
      </w:r>
      <w:r>
        <w:rPr>
          <w:rFonts w:hint="default" w:ascii="Times New Roman" w:hAnsi="Times New Roman" w:cs="Times New Roman"/>
          <w:color w:val="auto"/>
          <w:u w:val="none" w:color="auto"/>
        </w:rPr>
        <w:t>总量控制指标如下：</w:t>
      </w:r>
    </w:p>
    <w:p w14:paraId="34A59724">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8</w:t>
      </w:r>
      <w:r>
        <w:rPr>
          <w:rFonts w:hint="default"/>
          <w:color w:val="auto"/>
          <w:u w:val="none" w:color="auto"/>
        </w:rPr>
        <w:t>.</w:t>
      </w:r>
      <w:r>
        <w:rPr>
          <w:rFonts w:hint="default"/>
          <w:color w:val="auto"/>
          <w:u w:val="none" w:color="auto"/>
          <w:lang w:val="en-US" w:eastAsia="zh-CN"/>
        </w:rPr>
        <w:t>4</w:t>
      </w:r>
      <w:r>
        <w:rPr>
          <w:rFonts w:hint="default"/>
          <w:color w:val="auto"/>
          <w:u w:val="none" w:color="auto"/>
        </w:rPr>
        <w:t>-1污染物排放总量指标 单位：t/a</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3087"/>
        <w:gridCol w:w="3036"/>
      </w:tblGrid>
      <w:tr w14:paraId="00D1F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6C77DE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1815" w:type="dxa"/>
            <w:noWrap w:val="0"/>
            <w:vAlign w:val="center"/>
          </w:tcPr>
          <w:p w14:paraId="2A68DD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总</w:t>
            </w:r>
            <w:r>
              <w:rPr>
                <w:rFonts w:hint="default" w:ascii="Times New Roman" w:hAnsi="Times New Roman" w:cs="Times New Roman"/>
                <w:color w:val="auto"/>
                <w:sz w:val="21"/>
                <w:szCs w:val="21"/>
                <w:u w:val="none" w:color="auto"/>
              </w:rPr>
              <w:t>排放量（t/a）</w:t>
            </w:r>
          </w:p>
        </w:tc>
        <w:tc>
          <w:tcPr>
            <w:tcW w:w="1785" w:type="dxa"/>
            <w:noWrap w:val="0"/>
            <w:vAlign w:val="center"/>
          </w:tcPr>
          <w:p w14:paraId="021E2A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建议总量控制指标（t）</w:t>
            </w:r>
          </w:p>
        </w:tc>
      </w:tr>
      <w:tr w14:paraId="6755B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23F7C422">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u w:val="none" w:color="auto"/>
              </w:rPr>
              <w:t>VOCs</w:t>
            </w:r>
          </w:p>
        </w:tc>
        <w:tc>
          <w:tcPr>
            <w:tcW w:w="1815" w:type="dxa"/>
            <w:noWrap w:val="0"/>
            <w:vAlign w:val="center"/>
          </w:tcPr>
          <w:p w14:paraId="3A690D19">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4.502</w:t>
            </w:r>
          </w:p>
        </w:tc>
        <w:tc>
          <w:tcPr>
            <w:tcW w:w="1785" w:type="dxa"/>
            <w:noWrap w:val="0"/>
            <w:vAlign w:val="center"/>
          </w:tcPr>
          <w:p w14:paraId="7FFF36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4.6</w:t>
            </w:r>
          </w:p>
        </w:tc>
      </w:tr>
      <w:tr w14:paraId="02DB6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454F1E30">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二氧化硫</w:t>
            </w:r>
          </w:p>
        </w:tc>
        <w:tc>
          <w:tcPr>
            <w:tcW w:w="1815" w:type="dxa"/>
            <w:noWrap w:val="0"/>
            <w:vAlign w:val="center"/>
          </w:tcPr>
          <w:p w14:paraId="3ACD7C11">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0.18</w:t>
            </w:r>
          </w:p>
        </w:tc>
        <w:tc>
          <w:tcPr>
            <w:tcW w:w="1785" w:type="dxa"/>
            <w:noWrap w:val="0"/>
            <w:vAlign w:val="center"/>
          </w:tcPr>
          <w:p w14:paraId="3DFAC9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0.2</w:t>
            </w:r>
          </w:p>
        </w:tc>
      </w:tr>
      <w:tr w14:paraId="733F2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6567ECC6">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氮氧化物</w:t>
            </w:r>
          </w:p>
        </w:tc>
        <w:tc>
          <w:tcPr>
            <w:tcW w:w="1815" w:type="dxa"/>
            <w:noWrap w:val="0"/>
            <w:vAlign w:val="center"/>
          </w:tcPr>
          <w:p w14:paraId="78B9198D">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2.714</w:t>
            </w:r>
          </w:p>
        </w:tc>
        <w:tc>
          <w:tcPr>
            <w:tcW w:w="1785" w:type="dxa"/>
            <w:noWrap w:val="0"/>
            <w:vAlign w:val="center"/>
          </w:tcPr>
          <w:p w14:paraId="666F4C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2.8</w:t>
            </w:r>
          </w:p>
        </w:tc>
      </w:tr>
    </w:tbl>
    <w:p w14:paraId="371FCC62">
      <w:pPr>
        <w:pStyle w:val="29"/>
        <w:rPr>
          <w:rFonts w:hint="default" w:ascii="Times New Roman" w:hAnsi="Times New Roman" w:cs="Times New Roman"/>
          <w:color w:val="auto"/>
          <w:u w:val="none" w:color="auto"/>
        </w:rPr>
      </w:pPr>
    </w:p>
    <w:p w14:paraId="199B60DA">
      <w:pPr>
        <w:rPr>
          <w:rFonts w:hint="default" w:ascii="Times New Roman" w:hAnsi="Times New Roman" w:cs="Times New Roman"/>
          <w:color w:val="auto"/>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0F22989">
      <w:pPr>
        <w:pStyle w:val="6"/>
        <w:bidi w:val="0"/>
        <w:rPr>
          <w:rFonts w:hint="default" w:eastAsia="宋体"/>
          <w:color w:val="auto"/>
          <w:u w:val="none" w:color="auto"/>
          <w:lang w:val="en-US" w:eastAsia="zh-CN"/>
        </w:rPr>
      </w:pPr>
      <w:bookmarkStart w:id="1584" w:name="_Toc32651_WPSOffice_Level1"/>
      <w:bookmarkStart w:id="1585" w:name="_Toc31080_WPSOffice_Level1"/>
      <w:bookmarkStart w:id="1586" w:name="_Toc18260"/>
      <w:bookmarkStart w:id="1587" w:name="_Toc10169"/>
      <w:bookmarkStart w:id="1588" w:name="_Toc23563_WPSOffice_Level1"/>
      <w:bookmarkStart w:id="1589" w:name="_Toc3855"/>
      <w:bookmarkStart w:id="1590" w:name="_Toc29078_WPSOffice_Level1"/>
      <w:bookmarkStart w:id="1591" w:name="_Toc19059"/>
      <w:r>
        <w:rPr>
          <w:rFonts w:hint="eastAsia"/>
          <w:color w:val="auto"/>
          <w:u w:val="none" w:color="auto"/>
          <w:lang w:val="en-US" w:eastAsia="zh-CN"/>
        </w:rPr>
        <w:t>9</w:t>
      </w:r>
      <w:r>
        <w:rPr>
          <w:rFonts w:hint="default"/>
          <w:color w:val="auto"/>
          <w:u w:val="none" w:color="auto"/>
        </w:rPr>
        <w:t>、结论</w:t>
      </w:r>
      <w:bookmarkEnd w:id="1513"/>
      <w:bookmarkEnd w:id="1514"/>
      <w:bookmarkEnd w:id="1515"/>
      <w:bookmarkEnd w:id="1584"/>
      <w:bookmarkEnd w:id="1585"/>
      <w:bookmarkEnd w:id="1586"/>
      <w:bookmarkEnd w:id="1587"/>
      <w:bookmarkEnd w:id="1588"/>
      <w:bookmarkEnd w:id="1589"/>
      <w:bookmarkEnd w:id="1590"/>
      <w:r>
        <w:rPr>
          <w:rFonts w:hint="eastAsia"/>
          <w:color w:val="auto"/>
          <w:u w:val="none" w:color="auto"/>
          <w:lang w:val="en-US" w:eastAsia="zh-CN"/>
        </w:rPr>
        <w:t>及建议</w:t>
      </w:r>
      <w:bookmarkEnd w:id="1591"/>
    </w:p>
    <w:p w14:paraId="64888D13">
      <w:pPr>
        <w:pStyle w:val="7"/>
        <w:bidi w:val="0"/>
        <w:rPr>
          <w:rFonts w:hint="default"/>
          <w:color w:val="auto"/>
          <w:u w:val="none" w:color="auto"/>
        </w:rPr>
      </w:pPr>
      <w:bookmarkStart w:id="1592" w:name="_Toc5490"/>
      <w:bookmarkStart w:id="1593" w:name="_Toc27173_WPSOffice_Level2"/>
      <w:bookmarkStart w:id="1594" w:name="_Toc30856"/>
      <w:bookmarkStart w:id="1595" w:name="_Toc15529"/>
      <w:bookmarkStart w:id="1596" w:name="_Toc30380_WPSOffice_Level2"/>
      <w:bookmarkStart w:id="1597" w:name="_Toc25235"/>
      <w:bookmarkStart w:id="1598" w:name="_Toc393721005"/>
      <w:bookmarkStart w:id="1599" w:name="_Toc27536_WPSOffice_Level2"/>
      <w:bookmarkStart w:id="1600" w:name="_Toc32253_WPSOffice_Level2"/>
      <w:bookmarkStart w:id="1601" w:name="_Toc23457"/>
      <w:bookmarkStart w:id="1602" w:name="_Toc11835_WPSOffice_Level2"/>
      <w:bookmarkStart w:id="1603" w:name="_Toc29887"/>
      <w:r>
        <w:rPr>
          <w:rFonts w:hint="eastAsia"/>
          <w:color w:val="auto"/>
          <w:u w:val="none" w:color="auto"/>
          <w:lang w:val="en-US" w:eastAsia="zh-CN"/>
        </w:rPr>
        <w:t>9</w:t>
      </w:r>
      <w:r>
        <w:rPr>
          <w:rFonts w:hint="default"/>
          <w:color w:val="auto"/>
          <w:u w:val="none" w:color="auto"/>
        </w:rPr>
        <w:t>.1项目概况</w:t>
      </w:r>
      <w:bookmarkEnd w:id="1592"/>
      <w:bookmarkEnd w:id="1593"/>
      <w:bookmarkEnd w:id="1594"/>
      <w:bookmarkEnd w:id="1595"/>
      <w:bookmarkEnd w:id="1596"/>
      <w:bookmarkEnd w:id="1597"/>
      <w:bookmarkEnd w:id="1598"/>
      <w:bookmarkEnd w:id="1599"/>
      <w:bookmarkEnd w:id="1600"/>
      <w:bookmarkEnd w:id="1601"/>
      <w:bookmarkEnd w:id="1602"/>
      <w:bookmarkEnd w:id="1603"/>
    </w:p>
    <w:p w14:paraId="4AC9855E">
      <w:pPr>
        <w:pStyle w:val="21"/>
        <w:bidi w:val="0"/>
        <w:rPr>
          <w:rFonts w:hint="eastAsia" w:cs="Times New Roman"/>
          <w:color w:val="auto"/>
          <w:sz w:val="24"/>
          <w:u w:val="none" w:color="auto"/>
          <w:lang w:eastAsia="zh-CN"/>
        </w:rPr>
      </w:pPr>
      <w:bookmarkStart w:id="1604" w:name="_Toc19630_WPSOffice_Level2"/>
      <w:bookmarkStart w:id="1605" w:name="_Toc5096"/>
      <w:bookmarkStart w:id="1606" w:name="_Toc3233_WPSOffice_Level2"/>
      <w:bookmarkStart w:id="1607" w:name="_Toc20680"/>
      <w:bookmarkStart w:id="1608" w:name="_Toc18091"/>
      <w:bookmarkStart w:id="1609" w:name="_Toc1985_WPSOffice_Level2"/>
      <w:bookmarkStart w:id="1610" w:name="_Toc14347"/>
      <w:bookmarkStart w:id="1611" w:name="_Toc5883_WPSOffice_Level2"/>
      <w:bookmarkStart w:id="1612" w:name="_Toc5285_WPSOffice_Level2"/>
      <w:r>
        <w:rPr>
          <w:rFonts w:hint="eastAsia"/>
          <w:b/>
          <w:bCs/>
          <w:color w:val="auto"/>
          <w:u w:val="none" w:color="auto"/>
          <w:lang w:val="en-US" w:eastAsia="zh-CN"/>
        </w:rPr>
        <w:t>项目名称：</w:t>
      </w:r>
      <w:r>
        <w:rPr>
          <w:rFonts w:hint="eastAsia" w:cs="Times New Roman"/>
          <w:color w:val="auto"/>
          <w:sz w:val="24"/>
          <w:u w:val="none" w:color="auto"/>
          <w:lang w:eastAsia="zh-CN"/>
        </w:rPr>
        <w:t>湖南宏翰新能源科技有限公司年产20万套锂电池石墨匣钵建设项目；</w:t>
      </w:r>
    </w:p>
    <w:p w14:paraId="3636EEEA">
      <w:pPr>
        <w:pStyle w:val="21"/>
        <w:bidi w:val="0"/>
        <w:rPr>
          <w:rFonts w:hint="eastAsia" w:cs="Times New Roman"/>
          <w:color w:val="auto"/>
          <w:sz w:val="24"/>
          <w:u w:val="none" w:color="auto"/>
          <w:lang w:val="en-US" w:eastAsia="zh-CN"/>
        </w:rPr>
      </w:pPr>
      <w:r>
        <w:rPr>
          <w:rFonts w:hint="eastAsia" w:cs="Times New Roman"/>
          <w:b/>
          <w:bCs/>
          <w:color w:val="auto"/>
          <w:sz w:val="24"/>
          <w:u w:val="none" w:color="auto"/>
          <w:lang w:val="en-US" w:eastAsia="zh-CN"/>
        </w:rPr>
        <w:t>建设单位：</w:t>
      </w:r>
      <w:r>
        <w:rPr>
          <w:rFonts w:hint="eastAsia" w:cs="Times New Roman"/>
          <w:color w:val="auto"/>
          <w:sz w:val="24"/>
          <w:u w:val="none" w:color="auto"/>
          <w:lang w:eastAsia="zh-CN"/>
        </w:rPr>
        <w:t>湖南宏翰新能源科技有限公司</w:t>
      </w:r>
      <w:r>
        <w:rPr>
          <w:rFonts w:hint="eastAsia" w:cs="Times New Roman"/>
          <w:color w:val="auto"/>
          <w:sz w:val="24"/>
          <w:u w:val="none" w:color="auto"/>
          <w:lang w:val="en-US" w:eastAsia="zh-CN"/>
        </w:rPr>
        <w:t>；</w:t>
      </w:r>
    </w:p>
    <w:p w14:paraId="5AF5CB97">
      <w:pPr>
        <w:pStyle w:val="21"/>
        <w:bidi w:val="0"/>
        <w:rPr>
          <w:rFonts w:hint="eastAsia"/>
          <w:color w:val="auto"/>
          <w:u w:val="none" w:color="auto"/>
          <w:lang w:val="en-US" w:eastAsia="zh-CN"/>
        </w:rPr>
      </w:pPr>
      <w:r>
        <w:rPr>
          <w:rFonts w:hint="eastAsia" w:cs="Times New Roman"/>
          <w:b/>
          <w:bCs/>
          <w:color w:val="auto"/>
          <w:sz w:val="24"/>
          <w:u w:val="none" w:color="auto"/>
          <w:lang w:val="en-US" w:eastAsia="zh-CN"/>
        </w:rPr>
        <w:t>建设地点：</w:t>
      </w:r>
      <w:r>
        <w:rPr>
          <w:rFonts w:hint="eastAsia"/>
          <w:color w:val="auto"/>
          <w:u w:val="none" w:color="auto"/>
          <w:lang w:val="en-US" w:eastAsia="zh-CN"/>
        </w:rPr>
        <w:t>湖南省岳阳市汨罗市湖南汨罗高新技术产业开发区弼时片区大里塘村立新南路（</w:t>
      </w:r>
      <w:r>
        <w:rPr>
          <w:rFonts w:hAnsi="宋体"/>
          <w:color w:val="auto"/>
          <w:sz w:val="24"/>
          <w:u w:val="none" w:color="auto"/>
        </w:rPr>
        <w:t>东经</w:t>
      </w:r>
      <w:r>
        <w:rPr>
          <w:rFonts w:hint="eastAsia"/>
          <w:color w:val="auto"/>
          <w:sz w:val="24"/>
          <w:u w:val="none" w:color="auto"/>
        </w:rPr>
        <w:t>113.150629</w:t>
      </w:r>
      <w:r>
        <w:rPr>
          <w:rFonts w:hAnsi="宋体"/>
          <w:color w:val="auto"/>
          <w:sz w:val="24"/>
          <w:u w:val="none" w:color="auto"/>
        </w:rPr>
        <w:t>、北纬</w:t>
      </w:r>
      <w:r>
        <w:rPr>
          <w:rFonts w:hint="eastAsia"/>
          <w:color w:val="auto"/>
          <w:sz w:val="24"/>
          <w:u w:val="none" w:color="auto"/>
        </w:rPr>
        <w:t>28.484262</w:t>
      </w:r>
      <w:r>
        <w:rPr>
          <w:rFonts w:hint="eastAsia"/>
          <w:color w:val="auto"/>
          <w:u w:val="none" w:color="auto"/>
          <w:lang w:val="en-US" w:eastAsia="zh-CN"/>
        </w:rPr>
        <w:t>）；</w:t>
      </w:r>
    </w:p>
    <w:p w14:paraId="6215DFD6">
      <w:pPr>
        <w:pStyle w:val="21"/>
        <w:bidi w:val="0"/>
        <w:rPr>
          <w:rFonts w:hint="eastAsia"/>
          <w:color w:val="auto"/>
          <w:u w:val="none" w:color="auto"/>
          <w:lang w:val="en-US" w:eastAsia="zh-CN"/>
        </w:rPr>
      </w:pPr>
      <w:r>
        <w:rPr>
          <w:rFonts w:hint="eastAsia"/>
          <w:b/>
          <w:bCs/>
          <w:color w:val="auto"/>
          <w:u w:val="none" w:color="auto"/>
          <w:lang w:val="en-US" w:eastAsia="zh-CN"/>
        </w:rPr>
        <w:t>建设性质：</w:t>
      </w:r>
      <w:r>
        <w:rPr>
          <w:rFonts w:hint="eastAsia"/>
          <w:b w:val="0"/>
          <w:bCs w:val="0"/>
          <w:color w:val="auto"/>
          <w:u w:val="none" w:color="auto"/>
          <w:lang w:val="en-US" w:eastAsia="zh-CN"/>
        </w:rPr>
        <w:t>新建</w:t>
      </w:r>
      <w:r>
        <w:rPr>
          <w:rFonts w:hint="eastAsia"/>
          <w:color w:val="auto"/>
          <w:u w:val="none" w:color="auto"/>
          <w:lang w:val="en-US" w:eastAsia="zh-CN"/>
        </w:rPr>
        <w:t>；</w:t>
      </w:r>
    </w:p>
    <w:p w14:paraId="0D3D8612">
      <w:pPr>
        <w:pStyle w:val="21"/>
        <w:bidi w:val="0"/>
        <w:rPr>
          <w:rFonts w:hint="default"/>
          <w:color w:val="auto"/>
          <w:u w:val="none" w:color="auto"/>
          <w:lang w:val="en-US" w:eastAsia="zh-CN"/>
        </w:rPr>
      </w:pPr>
      <w:r>
        <w:rPr>
          <w:rFonts w:hint="eastAsia"/>
          <w:b/>
          <w:bCs/>
          <w:color w:val="auto"/>
          <w:u w:val="none" w:color="auto"/>
          <w:lang w:val="en-US" w:eastAsia="zh-CN"/>
        </w:rPr>
        <w:t>主要建设内容及规模：</w:t>
      </w:r>
      <w:r>
        <w:rPr>
          <w:rFonts w:hint="eastAsia"/>
          <w:b w:val="0"/>
          <w:bCs w:val="0"/>
          <w:color w:val="auto"/>
          <w:u w:val="none" w:color="auto"/>
          <w:lang w:val="en-US" w:eastAsia="zh-CN"/>
        </w:rPr>
        <w:t>项目租赁汨罗市乾源碳素材料有限公司场地进行生产，租赁面积约4000m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，建筑面积约3500m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，建设2条生产线及相关配套环保设施，年产</w:t>
      </w:r>
      <w:r>
        <w:rPr>
          <w:rFonts w:hint="eastAsia" w:cs="Times New Roman"/>
          <w:color w:val="auto"/>
          <w:sz w:val="24"/>
          <w:u w:val="none" w:color="auto"/>
          <w:lang w:eastAsia="zh-CN"/>
        </w:rPr>
        <w:t>20万套锂电池石墨匣钵</w:t>
      </w:r>
      <w:r>
        <w:rPr>
          <w:rFonts w:hint="eastAsia"/>
          <w:color w:val="auto"/>
          <w:u w:val="none" w:color="auto"/>
          <w:lang w:val="en-US" w:eastAsia="zh-CN"/>
        </w:rPr>
        <w:t>；</w:t>
      </w:r>
    </w:p>
    <w:p w14:paraId="35D196A8">
      <w:pPr>
        <w:widowControl/>
        <w:spacing w:line="360" w:lineRule="auto"/>
        <w:ind w:firstLine="480"/>
        <w:rPr>
          <w:rFonts w:hint="default" w:ascii="Times New Roman" w:hAnsi="Times New Roman" w:cs="Times New Roman"/>
          <w:bCs/>
          <w:color w:val="auto"/>
          <w:sz w:val="24"/>
          <w:szCs w:val="24"/>
          <w:u w:val="none" w:color="auto"/>
        </w:rPr>
      </w:pPr>
      <w:r>
        <w:rPr>
          <w:rFonts w:hint="eastAsia"/>
          <w:b/>
          <w:bCs/>
          <w:i w:val="0"/>
          <w:iCs w:val="0"/>
          <w:color w:val="auto"/>
          <w:sz w:val="24"/>
          <w:szCs w:val="24"/>
          <w:highlight w:val="none"/>
          <w:u w:val="none" w:color="auto"/>
          <w:lang w:val="en-US" w:eastAsia="zh-CN"/>
        </w:rPr>
        <w:t>项目投资：</w:t>
      </w:r>
      <w:r>
        <w:rPr>
          <w:rFonts w:hint="eastAsia"/>
          <w:color w:val="auto"/>
          <w:sz w:val="24"/>
          <w:szCs w:val="24"/>
          <w:highlight w:val="none"/>
          <w:u w:val="none" w:color="auto"/>
          <w:lang w:val="en-US" w:eastAsia="zh-CN"/>
        </w:rPr>
        <w:t>项目总投资1000万元，其中环保投资52万元，占项目总投资的5.2%</w:t>
      </w:r>
    </w:p>
    <w:p w14:paraId="08C3946D">
      <w:pPr>
        <w:widowControl/>
        <w:spacing w:line="360" w:lineRule="auto"/>
        <w:ind w:firstLine="482" w:firstLineChars="200"/>
        <w:rPr>
          <w:rFonts w:hint="default" w:ascii="Times New Roman" w:hAnsi="Times New Roman" w:cs="Times New Roman"/>
          <w:color w:val="auto"/>
          <w:sz w:val="24"/>
          <w:u w:val="none" w:color="auto"/>
          <w:lang w:eastAsia="zh-CN"/>
        </w:rPr>
      </w:pPr>
      <w:r>
        <w:rPr>
          <w:rFonts w:hint="default" w:ascii="Times New Roman" w:hAnsi="Times New Roman" w:cs="Times New Roman"/>
          <w:b/>
          <w:bCs/>
          <w:color w:val="auto"/>
          <w:sz w:val="24"/>
          <w:u w:val="none" w:color="auto"/>
          <w:lang w:eastAsia="zh-CN"/>
        </w:rPr>
        <w:t>项目建设周期：</w:t>
      </w:r>
      <w:r>
        <w:rPr>
          <w:rFonts w:hint="default" w:ascii="Times New Roman" w:hAnsi="Times New Roman" w:cs="Times New Roman"/>
          <w:color w:val="auto"/>
          <w:sz w:val="24"/>
          <w:u w:val="none" w:color="auto"/>
          <w:lang w:eastAsia="zh-CN"/>
        </w:rPr>
        <w:t>本项目计划总工期</w:t>
      </w:r>
      <w:r>
        <w:rPr>
          <w:rFonts w:hint="eastAsia" w:ascii="Times New Roman" w:hAnsi="Times New Roman" w:cs="Times New Roman"/>
          <w:color w:val="auto"/>
          <w:sz w:val="24"/>
          <w:u w:val="none" w:color="auto"/>
          <w:lang w:val="en-US" w:eastAsia="zh-CN"/>
        </w:rPr>
        <w:t>6</w:t>
      </w:r>
      <w:r>
        <w:rPr>
          <w:rFonts w:hint="default" w:ascii="Times New Roman" w:hAnsi="Times New Roman" w:cs="Times New Roman"/>
          <w:color w:val="auto"/>
          <w:sz w:val="24"/>
          <w:u w:val="none" w:color="auto"/>
          <w:lang w:eastAsia="zh-CN"/>
        </w:rPr>
        <w:t>个月</w:t>
      </w:r>
      <w:r>
        <w:rPr>
          <w:rFonts w:hint="eastAsia" w:ascii="Times New Roman" w:hAnsi="Times New Roman" w:cs="Times New Roman"/>
          <w:color w:val="auto"/>
          <w:sz w:val="24"/>
          <w:u w:val="none" w:color="auto"/>
          <w:lang w:eastAsia="zh-CN"/>
        </w:rPr>
        <w:t>。</w:t>
      </w:r>
    </w:p>
    <w:p w14:paraId="3978B0DF">
      <w:pPr>
        <w:pStyle w:val="7"/>
        <w:bidi w:val="0"/>
        <w:rPr>
          <w:rFonts w:hint="default"/>
          <w:color w:val="auto"/>
          <w:u w:val="none" w:color="auto"/>
        </w:rPr>
      </w:pPr>
      <w:bookmarkStart w:id="1613" w:name="_Toc15785"/>
      <w:bookmarkStart w:id="1614" w:name="_Toc22183"/>
      <w:bookmarkStart w:id="1615" w:name="_Toc29958"/>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2</w:t>
      </w:r>
      <w:r>
        <w:rPr>
          <w:rFonts w:hint="default"/>
          <w:color w:val="auto"/>
          <w:u w:val="none" w:color="auto"/>
        </w:rPr>
        <w:t>环境</w:t>
      </w:r>
      <w:bookmarkStart w:id="1616" w:name="_Toc331278443"/>
      <w:r>
        <w:rPr>
          <w:rFonts w:hint="default"/>
          <w:color w:val="auto"/>
          <w:u w:val="none" w:color="auto"/>
        </w:rPr>
        <w:t>质量现状</w:t>
      </w:r>
      <w:bookmarkEnd w:id="1604"/>
      <w:bookmarkEnd w:id="1605"/>
      <w:bookmarkEnd w:id="1606"/>
      <w:bookmarkEnd w:id="1607"/>
      <w:bookmarkEnd w:id="1608"/>
      <w:bookmarkEnd w:id="1609"/>
      <w:bookmarkEnd w:id="1610"/>
      <w:bookmarkEnd w:id="1611"/>
      <w:bookmarkEnd w:id="1612"/>
      <w:bookmarkEnd w:id="1613"/>
      <w:bookmarkEnd w:id="1614"/>
      <w:bookmarkEnd w:id="1615"/>
    </w:p>
    <w:bookmarkEnd w:id="1616"/>
    <w:p w14:paraId="1A12C598">
      <w:pPr>
        <w:pStyle w:val="21"/>
        <w:ind w:firstLine="480"/>
        <w:rPr>
          <w:rFonts w:hint="default" w:ascii="Times New Roman" w:hAnsi="Times New Roman" w:cs="Times New Roman"/>
          <w:color w:val="auto"/>
          <w:u w:val="none" w:color="auto"/>
        </w:rPr>
      </w:pPr>
      <w:bookmarkStart w:id="1617" w:name="_Toc6218_WPSOffice_Level3"/>
      <w:bookmarkStart w:id="1618" w:name="_Toc1254_WPSOffice_Level3"/>
      <w:r>
        <w:rPr>
          <w:rFonts w:hint="default" w:ascii="Times New Roman" w:hAnsi="Times New Roman" w:cs="Times New Roman"/>
          <w:color w:val="auto"/>
          <w:u w:val="none" w:color="auto"/>
        </w:rPr>
        <w:t>（1）地表水环境</w:t>
      </w:r>
      <w:bookmarkEnd w:id="1617"/>
      <w:bookmarkEnd w:id="1618"/>
    </w:p>
    <w:p w14:paraId="5EC9197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根据引用的《汨罗高新技术产业开发区扩区规划环境影响报告书》中湖南桓泓检测技术有限公司对区域地表水环境质量的补充监测结果，</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各监测断面的所有监测因子均符合《地表水环境质量标准》（GB3838-2002）中的Ⅲ类标准，表明</w:t>
      </w:r>
      <w:r>
        <w:rPr>
          <w:rFonts w:hint="eastAsia" w:ascii="Times New Roman" w:hAnsi="Times New Roman" w:cs="Times New Roman"/>
          <w:color w:val="auto"/>
          <w:u w:val="none" w:color="auto"/>
          <w:lang w:val="en-US" w:eastAsia="zh-CN"/>
        </w:rPr>
        <w:t>白沙河</w:t>
      </w:r>
      <w:r>
        <w:rPr>
          <w:rFonts w:hint="default" w:ascii="Times New Roman" w:hAnsi="Times New Roman" w:cs="Times New Roman"/>
          <w:color w:val="auto"/>
          <w:u w:val="none" w:color="auto"/>
        </w:rPr>
        <w:t>本项目纳污河段水质良好。</w:t>
      </w:r>
    </w:p>
    <w:p w14:paraId="0DDD441B">
      <w:pPr>
        <w:pStyle w:val="21"/>
        <w:ind w:firstLine="480"/>
        <w:rPr>
          <w:rFonts w:hint="default" w:ascii="Times New Roman" w:hAnsi="Times New Roman" w:cs="Times New Roman"/>
          <w:color w:val="auto"/>
          <w:u w:val="none" w:color="auto"/>
        </w:rPr>
      </w:pPr>
      <w:bookmarkStart w:id="1619" w:name="_Toc25149_WPSOffice_Level3"/>
      <w:bookmarkStart w:id="1620" w:name="_Toc23410_WPSOffice_Level3"/>
      <w:r>
        <w:rPr>
          <w:rFonts w:hint="default" w:ascii="Times New Roman" w:hAnsi="Times New Roman" w:cs="Times New Roman"/>
          <w:color w:val="auto"/>
          <w:u w:val="none" w:color="auto"/>
        </w:rPr>
        <w:t>（2）大气环境</w:t>
      </w:r>
      <w:bookmarkEnd w:id="1619"/>
      <w:bookmarkEnd w:id="1620"/>
    </w:p>
    <w:p w14:paraId="0B6F2BFA">
      <w:pPr>
        <w:pStyle w:val="21"/>
        <w:ind w:firstLine="480"/>
        <w:rPr>
          <w:rFonts w:hint="eastAsia" w:ascii="Times New Roman" w:hAnsi="Times New Roman" w:eastAsia="宋体" w:cs="Times New Roman"/>
          <w:color w:val="auto"/>
          <w:u w:val="none" w:color="auto"/>
          <w:lang w:eastAsia="zh-CN"/>
        </w:rPr>
      </w:pPr>
      <w:r>
        <w:rPr>
          <w:color w:val="auto"/>
          <w:sz w:val="24"/>
          <w:szCs w:val="24"/>
          <w:u w:val="none" w:color="auto"/>
        </w:rPr>
        <w:t>根据汨罗市202</w:t>
      </w:r>
      <w:r>
        <w:rPr>
          <w:rFonts w:hint="eastAsia"/>
          <w:color w:val="auto"/>
          <w:sz w:val="24"/>
          <w:szCs w:val="24"/>
          <w:u w:val="none" w:color="auto"/>
          <w:lang w:val="en-US" w:eastAsia="zh-CN"/>
        </w:rPr>
        <w:t>4</w:t>
      </w:r>
      <w:r>
        <w:rPr>
          <w:color w:val="auto"/>
          <w:sz w:val="24"/>
          <w:szCs w:val="24"/>
          <w:u w:val="none" w:color="auto"/>
        </w:rPr>
        <w:t>年度环境空气质量统计数据，</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汨罗市环境空气质量六项基本污染物PM</w:t>
      </w:r>
      <w:r>
        <w:rPr>
          <w:rFonts w:hint="default" w:ascii="Times New Roman" w:hAnsi="Times New Roman" w:eastAsia="宋体" w:cs="Times New Roman"/>
          <w:color w:val="auto"/>
          <w:kern w:val="0"/>
          <w:sz w:val="15"/>
          <w:szCs w:val="15"/>
          <w:u w:val="none" w:color="auto"/>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15"/>
          <w:szCs w:val="15"/>
          <w:u w:val="none" w:color="auto"/>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、SO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、NO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、CO、O</w:t>
      </w:r>
      <w:r>
        <w:rPr>
          <w:rFonts w:hint="default" w:ascii="Times New Roman" w:hAnsi="Times New Roman" w:eastAsia="宋体" w:cs="Times New Roman"/>
          <w:color w:val="auto"/>
          <w:kern w:val="0"/>
          <w:sz w:val="15"/>
          <w:szCs w:val="15"/>
          <w:u w:val="none" w:color="auto"/>
          <w:lang w:val="en-US" w:eastAsia="zh-CN" w:bidi="ar"/>
        </w:rPr>
        <w:t>3</w:t>
      </w:r>
      <w:r>
        <w:rPr>
          <w:rFonts w:hint="eastAsia" w:eastAsia="宋体" w:cs="Times New Roman"/>
          <w:color w:val="auto"/>
          <w:kern w:val="0"/>
          <w:sz w:val="24"/>
          <w:szCs w:val="24"/>
          <w:u w:val="none" w:color="auto"/>
          <w:vertAlign w:val="baseline"/>
          <w:lang w:val="en-US" w:eastAsia="zh-CN" w:bidi="ar"/>
        </w:rPr>
        <w:t>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项目区域大气环境质量为达标区。</w:t>
      </w:r>
      <w:r>
        <w:rPr>
          <w:rFonts w:hint="eastAsia"/>
          <w:color w:val="auto"/>
          <w:u w:val="none" w:color="auto"/>
        </w:rPr>
        <w:t>根据引用的环境空气质量补充监测数据，TSP符合《环境空气质量标准》（GB3095-2012）及其修改单中的二级标准；</w:t>
      </w:r>
      <w:r>
        <w:rPr>
          <w:color w:val="auto"/>
          <w:u w:val="none" w:color="auto"/>
        </w:rPr>
        <w:t>TVOC</w:t>
      </w:r>
      <w:r>
        <w:rPr>
          <w:rFonts w:hint="eastAsia"/>
          <w:color w:val="auto"/>
          <w:u w:val="none" w:color="auto"/>
          <w:lang w:eastAsia="zh-CN"/>
        </w:rPr>
        <w:t>、</w:t>
      </w:r>
      <w:r>
        <w:rPr>
          <w:rFonts w:hint="eastAsia"/>
          <w:color w:val="auto"/>
          <w:u w:val="none" w:color="auto"/>
          <w:lang w:val="en-US" w:eastAsia="zh-CN"/>
        </w:rPr>
        <w:t>甲醛</w:t>
      </w:r>
      <w:r>
        <w:rPr>
          <w:color w:val="auto"/>
          <w:u w:val="none" w:color="auto"/>
        </w:rPr>
        <w:t>能满足《环境影响评价技术导则 大气环境》(HJ2.2-2018)中的附录D标准中的相应的标准</w:t>
      </w:r>
      <w:r>
        <w:rPr>
          <w:rFonts w:hint="eastAsia"/>
          <w:color w:val="auto"/>
          <w:u w:val="none" w:color="auto"/>
          <w:lang w:eastAsia="zh-CN"/>
        </w:rPr>
        <w:t>；</w:t>
      </w:r>
      <w:r>
        <w:rPr>
          <w:rFonts w:hint="default" w:ascii="Times New Roman" w:hAnsi="Times New Roman" w:eastAsia="宋体" w:cs="Times New Roman"/>
          <w:color w:val="auto"/>
          <w:u w:val="none" w:color="auto"/>
        </w:rPr>
        <w:t>非甲烷总烃满足《大气污染物综合排放标准详解》中的环境质量标准一次浓度</w:t>
      </w:r>
      <w:r>
        <w:rPr>
          <w:rFonts w:hint="eastAsia"/>
          <w:color w:val="auto"/>
          <w:u w:val="none" w:color="auto"/>
          <w:lang w:eastAsia="zh-CN"/>
        </w:rPr>
        <w:t>。</w:t>
      </w:r>
    </w:p>
    <w:p w14:paraId="04DBBE59">
      <w:pPr>
        <w:pStyle w:val="21"/>
        <w:ind w:firstLine="480"/>
        <w:rPr>
          <w:rFonts w:hint="default" w:ascii="Times New Roman" w:hAnsi="Times New Roman" w:cs="Times New Roman"/>
          <w:color w:val="auto"/>
          <w:u w:val="none" w:color="auto"/>
        </w:rPr>
      </w:pPr>
      <w:bookmarkStart w:id="1621" w:name="_Toc16020_WPSOffice_Level3"/>
      <w:bookmarkStart w:id="1622" w:name="_Toc13549_WPSOffice_Level3"/>
      <w:r>
        <w:rPr>
          <w:rFonts w:hint="default" w:ascii="Times New Roman" w:hAnsi="Times New Roman" w:cs="Times New Roman"/>
          <w:color w:val="auto"/>
          <w:u w:val="none" w:color="auto"/>
        </w:rPr>
        <w:t>（3）声环境</w:t>
      </w:r>
      <w:bookmarkEnd w:id="1621"/>
      <w:bookmarkEnd w:id="1622"/>
    </w:p>
    <w:p w14:paraId="48C3A94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从噪声现场监测数据与评价标准对比可知：项目所在地厂界的声环境噪声满足《声环境质量标准》（GB3096-2008）中的3类标准，</w:t>
      </w:r>
      <w:r>
        <w:rPr>
          <w:rFonts w:hint="eastAsia" w:ascii="Times New Roman" w:hAnsi="Times New Roman" w:cs="Times New Roman"/>
          <w:color w:val="auto"/>
          <w:u w:val="none" w:color="auto"/>
          <w:lang w:val="en-US" w:eastAsia="zh-CN"/>
        </w:rPr>
        <w:t>东</w:t>
      </w:r>
      <w:r>
        <w:rPr>
          <w:rFonts w:hint="default" w:ascii="Times New Roman" w:hAnsi="Times New Roman" w:cs="Times New Roman"/>
          <w:color w:val="auto"/>
          <w:u w:val="none" w:color="auto"/>
        </w:rPr>
        <w:t>侧敏感点居民的声环境噪声满足《声环境质量标准》（GB3096-2008）表1中的</w:t>
      </w:r>
      <w:r>
        <w:rPr>
          <w:rFonts w:hint="eastAsia" w:ascii="Times New Roman" w:hAnsi="Times New Roman" w:cs="Times New Roman"/>
          <w:color w:val="auto"/>
          <w:u w:val="none" w:color="auto"/>
          <w:lang w:val="en-US" w:eastAsia="zh-CN"/>
        </w:rPr>
        <w:t>4a</w:t>
      </w:r>
      <w:r>
        <w:rPr>
          <w:rFonts w:hint="default" w:ascii="Times New Roman" w:hAnsi="Times New Roman" w:cs="Times New Roman"/>
          <w:color w:val="auto"/>
          <w:u w:val="none" w:color="auto"/>
        </w:rPr>
        <w:t>类标准</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项目</w:t>
      </w:r>
      <w:r>
        <w:rPr>
          <w:rFonts w:hint="default" w:ascii="Times New Roman" w:hAnsi="Times New Roman" w:cs="Times New Roman"/>
          <w:color w:val="auto"/>
          <w:u w:val="none" w:color="auto"/>
        </w:rPr>
        <w:t>所在区域声环境质量较好。</w:t>
      </w:r>
    </w:p>
    <w:p w14:paraId="72D849C0">
      <w:pPr>
        <w:pStyle w:val="21"/>
        <w:ind w:firstLine="480"/>
        <w:rPr>
          <w:rFonts w:hint="default" w:ascii="Times New Roman" w:hAnsi="Times New Roman" w:cs="Times New Roman"/>
          <w:color w:val="auto"/>
          <w:u w:val="none" w:color="auto"/>
        </w:rPr>
      </w:pPr>
      <w:bookmarkStart w:id="1623" w:name="_Toc18892_WPSOffice_Level3"/>
      <w:bookmarkStart w:id="1624" w:name="_Toc23985_WPSOffice_Level3"/>
      <w:r>
        <w:rPr>
          <w:rFonts w:hint="default" w:ascii="Times New Roman" w:hAnsi="Times New Roman" w:cs="Times New Roman"/>
          <w:color w:val="auto"/>
          <w:u w:val="none" w:color="auto"/>
        </w:rPr>
        <w:t>（4）地下水环境现状</w:t>
      </w:r>
      <w:bookmarkEnd w:id="1623"/>
      <w:bookmarkEnd w:id="1624"/>
    </w:p>
    <w:p w14:paraId="4110E3C6">
      <w:pPr>
        <w:pStyle w:val="21"/>
        <w:ind w:firstLine="480"/>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根据区域地下水质量补充监测结果，评价区域内地下水监测点的各监测因子均能达到《地下水质量标准》（GB/T14848-2017）Ⅲ类水质标准</w:t>
      </w:r>
      <w:r>
        <w:rPr>
          <w:rFonts w:hint="eastAsia" w:ascii="Times New Roman" w:hAnsi="Times New Roman" w:cs="Times New Roman"/>
          <w:color w:val="auto"/>
          <w:u w:val="none" w:color="auto"/>
          <w:lang w:eastAsia="zh-CN"/>
        </w:rPr>
        <w:t>。</w:t>
      </w:r>
    </w:p>
    <w:p w14:paraId="354DC5A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土壤</w:t>
      </w:r>
      <w:r>
        <w:rPr>
          <w:rFonts w:hint="default" w:ascii="Times New Roman" w:hAnsi="Times New Roman" w:cs="Times New Roman"/>
          <w:color w:val="auto"/>
          <w:u w:val="none" w:color="auto"/>
        </w:rPr>
        <w:t>环境现状</w:t>
      </w:r>
    </w:p>
    <w:p w14:paraId="5F34E5FF">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w:t>
      </w:r>
      <w:r>
        <w:rPr>
          <w:rFonts w:hint="eastAsia" w:ascii="Times New Roman" w:hAnsi="Times New Roman" w:cs="Times New Roman"/>
          <w:color w:val="auto"/>
          <w:u w:val="none" w:color="auto"/>
          <w:lang w:val="en-US" w:eastAsia="zh-CN"/>
        </w:rPr>
        <w:t>土壤</w:t>
      </w:r>
      <w:r>
        <w:rPr>
          <w:rFonts w:hint="default" w:ascii="Times New Roman" w:hAnsi="Times New Roman" w:cs="Times New Roman"/>
          <w:color w:val="auto"/>
          <w:u w:val="none" w:color="auto"/>
        </w:rPr>
        <w:t>补充监测结果，各监测点监测因子浓度均未超过《土壤环境质量 建设用地土壤污染风险管控标准（试行）》（GB36600-2018）第二类用地标准中筛选值，</w:t>
      </w:r>
      <w:r>
        <w:rPr>
          <w:rFonts w:hint="eastAsia" w:ascii="Times New Roman" w:hAnsi="Times New Roman" w:cs="Times New Roman"/>
          <w:color w:val="auto"/>
          <w:u w:val="none" w:color="auto"/>
          <w:lang w:val="en-US" w:eastAsia="zh-CN"/>
        </w:rPr>
        <w:t>区域</w:t>
      </w:r>
      <w:r>
        <w:rPr>
          <w:rFonts w:hint="default" w:ascii="Times New Roman" w:hAnsi="Times New Roman" w:cs="Times New Roman"/>
          <w:color w:val="auto"/>
          <w:u w:val="none" w:color="auto"/>
        </w:rPr>
        <w:t>土壤环境质量较好。</w:t>
      </w:r>
    </w:p>
    <w:p w14:paraId="5D8BBB57">
      <w:pPr>
        <w:pStyle w:val="7"/>
        <w:bidi w:val="0"/>
        <w:rPr>
          <w:rFonts w:hint="default"/>
          <w:color w:val="auto"/>
          <w:u w:val="none" w:color="auto"/>
        </w:rPr>
      </w:pPr>
      <w:bookmarkStart w:id="1625" w:name="_Toc31876_WPSOffice_Level2"/>
      <w:bookmarkStart w:id="1626" w:name="_Toc14579_WPSOffice_Level2"/>
      <w:bookmarkStart w:id="1627" w:name="_Toc15003"/>
      <w:bookmarkStart w:id="1628" w:name="_Toc5259"/>
      <w:bookmarkStart w:id="1629" w:name="_Toc4491"/>
      <w:bookmarkStart w:id="1630" w:name="_Toc8255"/>
      <w:bookmarkStart w:id="1631" w:name="_Toc27791_WPSOffice_Level2"/>
      <w:bookmarkStart w:id="1632" w:name="_Toc13710"/>
      <w:bookmarkStart w:id="1633" w:name="_Toc14624_WPSOffice_Level2"/>
      <w:bookmarkStart w:id="1634" w:name="_Toc25353"/>
      <w:bookmarkStart w:id="1635" w:name="_Toc30089_WPSOffice_Level2"/>
      <w:bookmarkStart w:id="1636" w:name="_Toc7900"/>
      <w:bookmarkStart w:id="1637" w:name="_Toc331278444"/>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3</w:t>
      </w:r>
      <w:r>
        <w:rPr>
          <w:rFonts w:hint="default"/>
          <w:color w:val="auto"/>
          <w:u w:val="none" w:color="auto"/>
        </w:rPr>
        <w:t>环境影响结论</w:t>
      </w:r>
      <w:bookmarkEnd w:id="1625"/>
      <w:bookmarkEnd w:id="1626"/>
      <w:bookmarkEnd w:id="1627"/>
      <w:bookmarkEnd w:id="1628"/>
      <w:bookmarkEnd w:id="1629"/>
      <w:bookmarkEnd w:id="1630"/>
      <w:bookmarkEnd w:id="1631"/>
      <w:bookmarkEnd w:id="1632"/>
      <w:bookmarkEnd w:id="1633"/>
      <w:bookmarkEnd w:id="1634"/>
      <w:bookmarkEnd w:id="1635"/>
      <w:bookmarkEnd w:id="1636"/>
    </w:p>
    <w:p w14:paraId="4512F71D">
      <w:pPr>
        <w:pStyle w:val="21"/>
        <w:ind w:firstLine="480"/>
        <w:rPr>
          <w:rFonts w:hint="default" w:ascii="Times New Roman" w:hAnsi="Times New Roman" w:cs="Times New Roman"/>
          <w:color w:val="auto"/>
          <w:u w:val="none" w:color="auto"/>
        </w:rPr>
      </w:pPr>
      <w:bookmarkStart w:id="1638" w:name="_Toc7926_WPSOffice_Level3"/>
      <w:bookmarkStart w:id="1639" w:name="_Toc31675_WPSOffice_Level3"/>
      <w:r>
        <w:rPr>
          <w:rFonts w:hint="default" w:ascii="Times New Roman" w:hAnsi="Times New Roman" w:cs="Times New Roman"/>
          <w:color w:val="auto"/>
          <w:u w:val="none" w:color="auto"/>
        </w:rPr>
        <w:t>1、施工期</w:t>
      </w:r>
      <w:bookmarkEnd w:id="1638"/>
      <w:bookmarkEnd w:id="1639"/>
    </w:p>
    <w:p w14:paraId="66A3287F">
      <w:pPr>
        <w:pStyle w:val="21"/>
        <w:rPr>
          <w:rFonts w:hint="default" w:ascii="Times New Roman" w:hAnsi="Times New Roman" w:eastAsia="宋体" w:cs="Times New Roman"/>
          <w:color w:val="auto"/>
          <w:u w:val="none"/>
        </w:rPr>
      </w:pPr>
      <w:bookmarkStart w:id="1640" w:name="_Toc10652_WPSOffice_Level3"/>
      <w:bookmarkStart w:id="1641" w:name="_Toc9672_WPSOffice_Level3"/>
      <w:r>
        <w:rPr>
          <w:rFonts w:hint="default" w:ascii="Times New Roman" w:hAnsi="Times New Roman" w:eastAsia="宋体" w:cs="Times New Roman"/>
          <w:color w:val="auto"/>
          <w:u w:val="none"/>
        </w:rPr>
        <w:t>（1）大气环境影响分析结论</w:t>
      </w:r>
    </w:p>
    <w:p w14:paraId="0F501BDC">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建设施工过程中的大气污染主要来自于施工场地的扬尘。采取抑尘措施：施工场地洒水抑尘、配置工地细目滞尘防护网，采用商品混凝土，做到施工现场及场外道路泥土及时清理，减少二次扬尘。建筑材料运输过程中用蓬布遮盖，对途径道路两侧的空气环境影响相对较小。项目施工阶段挖掘机、装载机等燃油机械运行将产生一定量燃油废气，考虑其排放量不大，对周边环境空气质量影响范围及程度较小。</w:t>
      </w:r>
    </w:p>
    <w:p w14:paraId="124C4EBC">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（2）水环境影响分析结论</w:t>
      </w:r>
    </w:p>
    <w:p w14:paraId="37A3BE90">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项目施工期废水主要是施工人员的生活污水和施工废水，施工期生活污水</w:t>
      </w:r>
      <w:r>
        <w:rPr>
          <w:rFonts w:hint="eastAsia" w:cs="Times New Roman"/>
          <w:color w:val="auto"/>
          <w:u w:val="none" w:color="auto"/>
          <w:lang w:val="en-US" w:eastAsia="zh-CN"/>
        </w:rPr>
        <w:t>经</w:t>
      </w:r>
      <w:r>
        <w:rPr>
          <w:rFonts w:hint="default" w:ascii="Times New Roman" w:hAnsi="Times New Roman" w:eastAsia="宋体" w:cs="Times New Roman"/>
          <w:color w:val="auto"/>
          <w:u w:val="none" w:color="auto"/>
          <w:lang w:eastAsia="zh-CN"/>
        </w:rPr>
        <w:t>化粪池处理后进入</w:t>
      </w:r>
      <w:r>
        <w:rPr>
          <w:rFonts w:hint="eastAsia" w:ascii="Times New Roman" w:hAnsi="Times New Roman" w:eastAsia="宋体" w:cs="Times New Roman"/>
          <w:color w:val="auto"/>
          <w:kern w:val="2"/>
          <w:sz w:val="24"/>
          <w:szCs w:val="24"/>
          <w:highlight w:val="none"/>
          <w:u w:val="none" w:color="auto"/>
          <w:lang w:val="en-US" w:eastAsia="zh-CN" w:bidi="ar-SA"/>
        </w:rPr>
        <w:t>长沙经开区汨罗产业园污水处理厂</w:t>
      </w:r>
      <w:r>
        <w:rPr>
          <w:rFonts w:hint="eastAsia" w:cs="Times New Roman"/>
          <w:color w:val="auto"/>
          <w:u w:val="none" w:color="auto"/>
          <w:lang w:val="en-US" w:eastAsia="zh-CN"/>
        </w:rPr>
        <w:t>处理</w:t>
      </w:r>
      <w:r>
        <w:rPr>
          <w:rFonts w:hint="default" w:ascii="Times New Roman" w:hAnsi="Times New Roman" w:eastAsia="宋体" w:cs="Times New Roman"/>
          <w:color w:val="auto"/>
          <w:u w:val="none"/>
        </w:rPr>
        <w:t>，施工废水经沉淀后回用</w:t>
      </w:r>
      <w:r>
        <w:rPr>
          <w:rFonts w:hint="eastAsia" w:cs="Times New Roman"/>
          <w:color w:val="auto"/>
          <w:u w:val="none"/>
          <w:lang w:eastAsia="zh-CN"/>
        </w:rPr>
        <w:t>，</w:t>
      </w:r>
      <w:r>
        <w:rPr>
          <w:rFonts w:hint="eastAsia" w:cs="Times New Roman"/>
          <w:color w:val="auto"/>
          <w:u w:val="none"/>
          <w:lang w:val="en-US" w:eastAsia="zh-CN"/>
        </w:rPr>
        <w:t>不外排</w:t>
      </w:r>
      <w:r>
        <w:rPr>
          <w:rFonts w:hint="default" w:ascii="Times New Roman" w:hAnsi="Times New Roman" w:eastAsia="宋体" w:cs="Times New Roman"/>
          <w:color w:val="auto"/>
          <w:u w:val="none"/>
        </w:rPr>
        <w:t>，对水环境的影响较小。</w:t>
      </w:r>
    </w:p>
    <w:p w14:paraId="238625AC">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（3）噪声影响分析结论</w:t>
      </w:r>
    </w:p>
    <w:p w14:paraId="3A03E4CB">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期的噪声主要为机械噪声、施工作业噪声和施工车辆噪声。在施工期间，建设单位选用低噪声的施工机械，合理安排施工时间，避免在同一时间集中使用大量的动力机械设备，除必须连续作业的工序外，晚上不得施工。日常必须加强对施工人员的管理，减少人为原因产生的高噪声。在采取适当的工程和管理措施后，可缓解</w:t>
      </w:r>
      <w:r>
        <w:rPr>
          <w:rFonts w:hint="eastAsia" w:cs="Times New Roman"/>
          <w:color w:val="auto"/>
          <w:u w:val="none"/>
          <w:lang w:val="en-US" w:eastAsia="zh-CN"/>
        </w:rPr>
        <w:t>施工</w:t>
      </w:r>
      <w:r>
        <w:rPr>
          <w:rFonts w:hint="default" w:ascii="Times New Roman" w:hAnsi="Times New Roman" w:eastAsia="宋体" w:cs="Times New Roman"/>
          <w:color w:val="auto"/>
          <w:u w:val="none"/>
        </w:rPr>
        <w:t>噪声对区域</w:t>
      </w:r>
      <w:r>
        <w:rPr>
          <w:rFonts w:hint="eastAsia" w:cs="Times New Roman"/>
          <w:color w:val="auto"/>
          <w:u w:val="none"/>
          <w:lang w:val="en-US" w:eastAsia="zh-CN"/>
        </w:rPr>
        <w:t>声</w:t>
      </w:r>
      <w:r>
        <w:rPr>
          <w:rFonts w:hint="default" w:ascii="Times New Roman" w:hAnsi="Times New Roman" w:eastAsia="宋体" w:cs="Times New Roman"/>
          <w:color w:val="auto"/>
          <w:u w:val="none"/>
        </w:rPr>
        <w:t>环境的影响。</w:t>
      </w:r>
    </w:p>
    <w:p w14:paraId="7FC792C3">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（4）固体废物影响分析结论</w:t>
      </w:r>
    </w:p>
    <w:p w14:paraId="761C401D">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对建筑垃圾，尽量做到废物的回收利用，对其中的钢筋回收利用，多余建筑垃圾</w:t>
      </w:r>
      <w:r>
        <w:rPr>
          <w:rFonts w:hint="default" w:ascii="Times New Roman" w:hAnsi="Times New Roman" w:eastAsia="宋体" w:cs="Times New Roman"/>
          <w:color w:val="auto"/>
          <w:u w:val="none" w:color="auto"/>
        </w:rPr>
        <w:t>要定点堆放，由专业建筑垃圾回收公司清运统一处理，严禁擅自堆放和倾倒到附近的水</w:t>
      </w:r>
      <w:r>
        <w:rPr>
          <w:rFonts w:hint="default" w:ascii="Times New Roman" w:hAnsi="Times New Roman" w:eastAsia="宋体" w:cs="Times New Roman"/>
          <w:color w:val="auto"/>
          <w:u w:val="none" w:color="auto"/>
          <w:lang w:eastAsia="zh-CN"/>
        </w:rPr>
        <w:t>体</w:t>
      </w:r>
      <w:r>
        <w:rPr>
          <w:rFonts w:hint="default" w:ascii="Times New Roman" w:hAnsi="Times New Roman" w:eastAsia="宋体" w:cs="Times New Roman"/>
          <w:color w:val="auto"/>
          <w:u w:val="none" w:color="auto"/>
        </w:rPr>
        <w:t>。施工</w:t>
      </w:r>
      <w:r>
        <w:rPr>
          <w:rFonts w:hint="eastAsia" w:cs="Times New Roman"/>
          <w:color w:val="auto"/>
          <w:u w:val="none" w:color="auto"/>
          <w:lang w:val="en-US" w:eastAsia="zh-CN"/>
        </w:rPr>
        <w:t>人员</w:t>
      </w:r>
      <w:r>
        <w:rPr>
          <w:rFonts w:hint="default" w:ascii="Times New Roman" w:hAnsi="Times New Roman" w:eastAsia="宋体" w:cs="Times New Roman"/>
          <w:color w:val="auto"/>
          <w:u w:val="none" w:color="auto"/>
        </w:rPr>
        <w:t>生活垃圾要及时组织清运，交当地环卫</w:t>
      </w:r>
      <w:r>
        <w:rPr>
          <w:rFonts w:hint="eastAsia" w:cs="Times New Roman"/>
          <w:color w:val="auto"/>
          <w:u w:val="none" w:color="auto"/>
          <w:lang w:val="en-US" w:eastAsia="zh-CN"/>
        </w:rPr>
        <w:t>部门</w:t>
      </w:r>
      <w:r>
        <w:rPr>
          <w:rFonts w:hint="default" w:ascii="Times New Roman" w:hAnsi="Times New Roman" w:eastAsia="宋体" w:cs="Times New Roman"/>
          <w:color w:val="auto"/>
          <w:u w:val="none" w:color="auto"/>
        </w:rPr>
        <w:t>处理</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禁止随地堆放。采用有效措施后</w:t>
      </w:r>
      <w:r>
        <w:rPr>
          <w:rFonts w:hint="default" w:ascii="Times New Roman" w:hAnsi="Times New Roman" w:eastAsia="宋体" w:cs="Times New Roman"/>
          <w:color w:val="auto"/>
          <w:u w:val="none" w:color="auto"/>
          <w:lang w:eastAsia="zh-CN"/>
        </w:rPr>
        <w:t>固体废物能得到合理处置，</w:t>
      </w:r>
      <w:r>
        <w:rPr>
          <w:rFonts w:hint="default" w:ascii="Times New Roman" w:hAnsi="Times New Roman" w:eastAsia="宋体" w:cs="Times New Roman"/>
          <w:color w:val="auto"/>
          <w:u w:val="none" w:color="auto"/>
        </w:rPr>
        <w:t>其环境影响不大</w:t>
      </w:r>
      <w:r>
        <w:rPr>
          <w:rFonts w:hint="default" w:ascii="Times New Roman" w:hAnsi="Times New Roman" w:eastAsia="宋体" w:cs="Times New Roman"/>
          <w:color w:val="auto"/>
          <w:u w:val="none"/>
        </w:rPr>
        <w:t>。</w:t>
      </w:r>
    </w:p>
    <w:p w14:paraId="6FA6F5A8">
      <w:pPr>
        <w:pStyle w:val="21"/>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（5）施工期生态影响分析结论</w:t>
      </w:r>
    </w:p>
    <w:p w14:paraId="0A8640DA">
      <w:pPr>
        <w:pStyle w:val="21"/>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u w:val="none"/>
        </w:rPr>
        <w:t>施工过程中采取设围栏，尽量避开雨季施工，减少下雨过程中造成的水土流失，并及时进行厂区绿化。采取以上措施后，项目施工期水土流失将有所降低，项目建设对环境的影响也将有所减小</w:t>
      </w:r>
      <w:r>
        <w:rPr>
          <w:rFonts w:hint="default" w:ascii="Times New Roman" w:hAnsi="Times New Roman" w:cs="Times New Roman"/>
          <w:color w:val="auto"/>
          <w:u w:val="none" w:color="auto"/>
          <w:lang w:val="en-US" w:eastAsia="zh-CN"/>
        </w:rPr>
        <w:t>。</w:t>
      </w:r>
    </w:p>
    <w:p w14:paraId="49D3665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2、运营期</w:t>
      </w:r>
      <w:bookmarkEnd w:id="1640"/>
      <w:bookmarkEnd w:id="1641"/>
    </w:p>
    <w:bookmarkEnd w:id="1637"/>
    <w:p w14:paraId="6C631E65">
      <w:pPr>
        <w:pStyle w:val="21"/>
        <w:ind w:firstLine="480"/>
        <w:rPr>
          <w:rFonts w:hint="default" w:ascii="Times New Roman" w:hAnsi="Times New Roman" w:cs="Times New Roman"/>
          <w:color w:val="auto"/>
          <w:u w:val="none" w:color="auto"/>
        </w:rPr>
      </w:pPr>
      <w:bookmarkStart w:id="1642" w:name="_Toc5421"/>
      <w:bookmarkStart w:id="1643" w:name="_Toc21544_WPSOffice_Level2"/>
      <w:bookmarkStart w:id="1644" w:name="_Toc24952_WPSOffice_Level2"/>
      <w:bookmarkStart w:id="1645" w:name="_Toc20269"/>
      <w:bookmarkStart w:id="1646" w:name="_Toc25176_WPSOffice_Level2"/>
      <w:bookmarkStart w:id="1647" w:name="_Toc16721_WPSOffice_Level2"/>
      <w:bookmarkStart w:id="1648" w:name="_Toc30160"/>
      <w:bookmarkStart w:id="1649" w:name="_Toc9300"/>
      <w:bookmarkStart w:id="1650" w:name="_Toc18436_WPSOffice_Level2"/>
      <w:r>
        <w:rPr>
          <w:rFonts w:hint="default" w:ascii="Times New Roman" w:hAnsi="Times New Roman" w:cs="Times New Roman"/>
          <w:color w:val="auto"/>
          <w:u w:val="none" w:color="auto"/>
        </w:rPr>
        <w:t>（1）废水：项目建成后，</w:t>
      </w:r>
      <w:r>
        <w:rPr>
          <w:rStyle w:val="52"/>
          <w:rFonts w:hint="eastAsia" w:ascii="Times New Roman" w:hAnsi="Times New Roman" w:cs="Times New Roman"/>
          <w:color w:val="auto"/>
          <w:u w:val="none" w:color="auto"/>
          <w:lang w:val="en-US" w:eastAsia="zh-CN"/>
        </w:rPr>
        <w:t>无生产废水产生及外排；生活污水经化粪池处理后排入长沙经开区汨罗产业园污水处理厂。</w:t>
      </w:r>
    </w:p>
    <w:p w14:paraId="79E5C476">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（2）废气：本项目营运期排放的废气包括</w:t>
      </w:r>
      <w:r>
        <w:rPr>
          <w:rFonts w:hint="eastAsia"/>
          <w:color w:val="auto"/>
          <w:u w:val="none" w:color="auto"/>
          <w:lang w:eastAsia="zh-CN"/>
        </w:rPr>
        <w:t>颗粒物</w:t>
      </w:r>
      <w:r>
        <w:rPr>
          <w:rFonts w:hint="eastAsia"/>
          <w:color w:val="auto"/>
          <w:u w:val="none" w:color="auto"/>
        </w:rPr>
        <w:t>、</w:t>
      </w:r>
      <w:r>
        <w:rPr>
          <w:rFonts w:hint="eastAsia"/>
          <w:color w:val="auto"/>
          <w:u w:val="none" w:color="auto"/>
          <w:lang w:val="en-US" w:eastAsia="zh-CN"/>
        </w:rPr>
        <w:t>非甲烷总烃、二氧化硫、氮氧化物、甲醛、酚类</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配料投料工序产生的颗粒物、热压工序产生的酚类拟采用车间无组织排放；加热混捏、冷却、磨粉、混合废气拟采用管道+布袋除尘器+二级活性炭吸附装置+15m高DA001排气筒排放；1#厂房焙烧废气拟采用管道+焚烧炉1#+15m高DA002排气筒排放；2#厂房焙烧废气拟采用管道+焚烧炉2#+15m高DA003排气筒排放。经上述措施处理后，</w:t>
      </w:r>
      <w:r>
        <w:rPr>
          <w:rFonts w:hint="eastAsia" w:ascii="Times New Roman" w:hAnsi="Times New Roman" w:cs="Times New Roman"/>
          <w:color w:val="auto"/>
          <w:sz w:val="24"/>
          <w:u w:val="none" w:color="auto"/>
          <w:lang w:val="en-US" w:eastAsia="zh-CN"/>
        </w:rPr>
        <w:t>有组织颗粒物、非甲烷总烃、二氧化硫、氮氧化物、甲醛、酚类执行</w:t>
      </w:r>
      <w:r>
        <w:rPr>
          <w:rFonts w:hint="default" w:ascii="Times New Roman" w:hAnsi="Times New Roman" w:cs="Times New Roman"/>
          <w:color w:val="auto"/>
          <w:u w:val="none"/>
          <w:lang w:eastAsia="zh-CN"/>
        </w:rPr>
        <w:t>《合成树脂工业污染物排放标准》（GB31572-2015）</w:t>
      </w:r>
      <w:r>
        <w:rPr>
          <w:rFonts w:hint="eastAsia" w:ascii="Times New Roman" w:hAnsi="Times New Roman" w:cs="Times New Roman"/>
          <w:color w:val="auto"/>
          <w:u w:val="none"/>
          <w:lang w:val="en-US" w:eastAsia="zh-CN"/>
        </w:rPr>
        <w:t>及</w:t>
      </w:r>
      <w:r>
        <w:rPr>
          <w:rFonts w:hint="default" w:ascii="Times New Roman" w:hAnsi="Times New Roman" w:cs="Times New Roman"/>
          <w:color w:val="auto"/>
          <w:u w:val="none"/>
          <w:lang w:eastAsia="zh-CN"/>
        </w:rPr>
        <w:t>《大气污染物综合排放标准》（GB16297-1996）标准中较严者</w:t>
      </w:r>
      <w:r>
        <w:rPr>
          <w:rFonts w:hint="eastAsia" w:ascii="Times New Roman" w:hAnsi="Times New Roman" w:cs="Times New Roman"/>
          <w:color w:val="auto"/>
          <w:sz w:val="24"/>
          <w:u w:val="none" w:color="auto"/>
          <w:lang w:val="en-US" w:eastAsia="zh-CN"/>
        </w:rPr>
        <w:t>。厂区内无组织非甲烷总烃执行《挥发性有机物无组织排放控制标准》（GB37822-2019）表A.1厂区内非甲烷总烃无组织排放限值。</w:t>
      </w:r>
    </w:p>
    <w:p w14:paraId="1F311D18">
      <w:pPr>
        <w:pStyle w:val="21"/>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（3）地下水环境影响</w:t>
      </w:r>
    </w:p>
    <w:p w14:paraId="4BC30E3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本项目已从工艺装置的设计、地面硬化等各方面对本项目所在装置区域进行了较为全面的防渗措施，不会发生废水对地下水渗漏，影响地下水。在规范排污及加强监管等前提下，本项目对项目区地下水影响不大。</w:t>
      </w:r>
    </w:p>
    <w:p w14:paraId="4A52392C">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（4）声环境影响</w:t>
      </w:r>
    </w:p>
    <w:p w14:paraId="753E0798">
      <w:pPr>
        <w:pStyle w:val="21"/>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根据预测评价结果可知，项目建成后全厂噪声源对项目</w:t>
      </w:r>
      <w:r>
        <w:rPr>
          <w:rFonts w:hint="eastAsia" w:ascii="Times New Roman" w:hAnsi="Times New Roman" w:cs="Times New Roman"/>
          <w:color w:val="auto"/>
          <w:u w:val="none" w:color="auto"/>
          <w:lang w:val="en-US" w:eastAsia="zh-CN"/>
        </w:rPr>
        <w:t>各</w:t>
      </w:r>
      <w:r>
        <w:rPr>
          <w:rFonts w:hint="default" w:ascii="Times New Roman" w:hAnsi="Times New Roman" w:cs="Times New Roman"/>
          <w:color w:val="auto"/>
          <w:u w:val="none" w:color="auto"/>
        </w:rPr>
        <w:t>厂界噪声</w:t>
      </w:r>
      <w:r>
        <w:rPr>
          <w:rFonts w:hint="eastAsia" w:ascii="Times New Roman" w:hAnsi="Times New Roman" w:cs="Times New Roman"/>
          <w:color w:val="auto"/>
          <w:u w:val="none" w:color="auto"/>
          <w:lang w:val="en-US" w:eastAsia="zh-CN"/>
        </w:rPr>
        <w:t>预测</w:t>
      </w:r>
      <w:r>
        <w:rPr>
          <w:rFonts w:hint="default" w:ascii="Times New Roman" w:hAnsi="Times New Roman" w:cs="Times New Roman"/>
          <w:color w:val="auto"/>
          <w:u w:val="none" w:color="auto"/>
        </w:rPr>
        <w:t>值昼间均小于65dB(A)，夜间均小于55dB(A)，符合《工业企业厂界环境噪声排放标准》（GB12348-2008）中的3类标准要求</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故本项目厂界环境噪声能够达标，项目运营对周围的声环境质量不会产生明显影响。</w:t>
      </w:r>
    </w:p>
    <w:p w14:paraId="0FDD62A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（5）固体废物环境影响</w:t>
      </w:r>
    </w:p>
    <w:p w14:paraId="7AB5B122">
      <w:pPr>
        <w:pStyle w:val="21"/>
        <w:ind w:firstLine="480"/>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本项目固体废物分类收集，其中生活垃圾由环卫部门及时收集和清运，一般工业废物可以回收利用的，回用于生产，其余分类收集后</w:t>
      </w:r>
      <w:r>
        <w:rPr>
          <w:rFonts w:hint="eastAsia" w:ascii="Times New Roman" w:hAnsi="Times New Roman" w:cs="Times New Roman"/>
          <w:color w:val="auto"/>
          <w:u w:val="none" w:color="auto"/>
          <w:lang w:val="en-US" w:eastAsia="zh-CN"/>
        </w:rPr>
        <w:t>综合</w:t>
      </w:r>
      <w:r>
        <w:rPr>
          <w:rFonts w:hint="default" w:ascii="Times New Roman" w:hAnsi="Times New Roman" w:cs="Times New Roman"/>
          <w:color w:val="auto"/>
          <w:u w:val="none" w:color="auto"/>
        </w:rPr>
        <w:t>处理，危险废物在</w:t>
      </w:r>
      <w:r>
        <w:rPr>
          <w:rFonts w:hint="default" w:ascii="Times New Roman" w:hAnsi="Times New Roman" w:cs="Times New Roman"/>
          <w:color w:val="auto"/>
          <w:u w:val="none" w:color="auto"/>
          <w:lang w:eastAsia="zh-CN"/>
        </w:rPr>
        <w:t>危险废物暂存间</w:t>
      </w:r>
      <w:r>
        <w:rPr>
          <w:rFonts w:hint="default" w:ascii="Times New Roman" w:hAnsi="Times New Roman" w:cs="Times New Roman"/>
          <w:color w:val="auto"/>
          <w:u w:val="none" w:color="auto"/>
        </w:rPr>
        <w:t>内分类暂存后委托有资质的专门单位收集处理。各类固体废物均有成熟可靠的处理措施，企业能够实施有效管理，不会对区域环境产生影响，可做到安全处置</w:t>
      </w:r>
      <w:r>
        <w:rPr>
          <w:rFonts w:hint="eastAsia" w:ascii="Times New Roman" w:hAnsi="Times New Roman" w:cs="Times New Roman"/>
          <w:color w:val="auto"/>
          <w:u w:val="none" w:color="auto"/>
          <w:lang w:eastAsia="zh-CN"/>
        </w:rPr>
        <w:t>。</w:t>
      </w:r>
    </w:p>
    <w:p w14:paraId="0CC13A33">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6</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土壤环境影响</w:t>
      </w:r>
    </w:p>
    <w:p w14:paraId="73D64F86">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项目针对污染物采取了对应的污染治理措施，可确保污染物的达标排放及防止渗漏发生，可从源头上控制项目对周边土壤环境的污染源强，确保车间对周边土壤环境的影响处于可接受水平，因此，只要企业严格落实本报告提出的污染防治措施，项目对周边土壤环境影响是可接受的。</w:t>
      </w:r>
    </w:p>
    <w:p w14:paraId="77F8622F">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7</w:t>
      </w:r>
      <w:r>
        <w:rPr>
          <w:rFonts w:hint="eastAsia" w:ascii="Times New Roman" w:hAnsi="Times New Roman" w:eastAsia="宋体" w:cs="Times New Roman"/>
          <w:color w:val="auto"/>
          <w:u w:val="none" w:color="auto"/>
          <w:lang w:eastAsia="zh-CN"/>
        </w:rPr>
        <w:t>）生态环境影响</w:t>
      </w:r>
    </w:p>
    <w:p w14:paraId="035E6705">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项目属于污染影响型建设项目，生态影响主要体现在建设期，项目占地范围内已由园区进行开发平整，项目建设开发前植被均已破坏，目前项目场址区域为空地，建设过程对生态的破坏和影响较小。项目营运期不直接产生生态影响和破坏，项目营运期虽有一定污染物排放，但经采取相应的污染防治措施后，污染物能够实现稳定达标排放，项目对区域地表水环境质量、大气环境质量均不会产生大的影响，因此，项目营运期不会产生大的不利生态环境影响。</w:t>
      </w:r>
    </w:p>
    <w:p w14:paraId="2F317E72">
      <w:pPr>
        <w:pStyle w:val="21"/>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8</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eastAsia="zh-CN"/>
        </w:rPr>
        <w:t>环境风险影响结论</w:t>
      </w:r>
    </w:p>
    <w:p w14:paraId="03098375">
      <w:pPr>
        <w:pStyle w:val="21"/>
        <w:ind w:firstLine="480"/>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lang w:eastAsia="zh-CN"/>
        </w:rPr>
        <w:t>在严格落实各项</w:t>
      </w:r>
      <w:r>
        <w:rPr>
          <w:rFonts w:hint="default" w:ascii="Times New Roman" w:hAnsi="Times New Roman" w:eastAsia="宋体" w:cs="Times New Roman"/>
          <w:color w:val="auto"/>
          <w:u w:val="none" w:color="auto"/>
          <w:lang w:val="en-US" w:eastAsia="zh-CN"/>
        </w:rPr>
        <w:t>环境风险</w:t>
      </w:r>
      <w:r>
        <w:rPr>
          <w:rFonts w:hint="default" w:ascii="Times New Roman" w:hAnsi="Times New Roman" w:eastAsia="宋体" w:cs="Times New Roman"/>
          <w:color w:val="auto"/>
          <w:u w:val="none" w:color="auto"/>
          <w:lang w:eastAsia="zh-CN"/>
        </w:rPr>
        <w:t>事故防范和应急措施，加强管理，可最大限度地减少可能发生的环境风险。且一旦发生事故，也可将影响范围控制在较小程度之内，减轻对环境的影响。本项目建设营运的环境风险可控</w:t>
      </w:r>
      <w:r>
        <w:rPr>
          <w:rFonts w:hint="default" w:ascii="Times New Roman" w:hAnsi="Times New Roman" w:cs="Times New Roman"/>
          <w:color w:val="auto"/>
          <w:u w:val="none" w:color="auto"/>
        </w:rPr>
        <w:t>。</w:t>
      </w:r>
    </w:p>
    <w:p w14:paraId="09927286">
      <w:pPr>
        <w:pStyle w:val="7"/>
        <w:bidi w:val="0"/>
        <w:rPr>
          <w:rFonts w:hint="default"/>
          <w:color w:val="auto"/>
          <w:u w:val="none" w:color="auto"/>
        </w:rPr>
      </w:pPr>
      <w:bookmarkStart w:id="1651" w:name="_Toc30279"/>
      <w:bookmarkStart w:id="1652" w:name="_Toc8644"/>
      <w:bookmarkStart w:id="1653" w:name="_Toc26825"/>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4</w:t>
      </w:r>
      <w:r>
        <w:rPr>
          <w:rFonts w:hint="default"/>
          <w:color w:val="auto"/>
          <w:u w:val="none" w:color="auto"/>
        </w:rPr>
        <w:t>项目</w:t>
      </w:r>
      <w:bookmarkStart w:id="1654" w:name="_Toc331278445"/>
      <w:r>
        <w:rPr>
          <w:rFonts w:hint="default"/>
          <w:color w:val="auto"/>
          <w:u w:val="none" w:color="auto"/>
        </w:rPr>
        <w:t>环境可行性</w:t>
      </w:r>
      <w:bookmarkEnd w:id="1642"/>
      <w:bookmarkEnd w:id="1643"/>
      <w:bookmarkEnd w:id="1644"/>
      <w:bookmarkEnd w:id="1645"/>
      <w:bookmarkEnd w:id="1646"/>
      <w:bookmarkEnd w:id="1647"/>
      <w:bookmarkEnd w:id="1648"/>
      <w:bookmarkEnd w:id="1649"/>
      <w:bookmarkEnd w:id="1650"/>
      <w:bookmarkEnd w:id="1651"/>
      <w:bookmarkEnd w:id="1652"/>
      <w:bookmarkEnd w:id="1653"/>
    </w:p>
    <w:bookmarkEnd w:id="1654"/>
    <w:p w14:paraId="4186D224">
      <w:pPr>
        <w:pStyle w:val="21"/>
        <w:ind w:firstLine="480"/>
        <w:rPr>
          <w:rFonts w:hint="default" w:ascii="Times New Roman" w:hAnsi="Times New Roman" w:cs="Times New Roman"/>
          <w:color w:val="auto"/>
          <w:u w:val="none" w:color="auto"/>
        </w:rPr>
      </w:pPr>
      <w:bookmarkStart w:id="1655" w:name="_Toc16821"/>
      <w:bookmarkStart w:id="1656" w:name="_Toc24103_WPSOffice_Level3"/>
      <w:bookmarkStart w:id="1657" w:name="_Toc18650_WPSOffice_Level3"/>
      <w:r>
        <w:rPr>
          <w:rFonts w:hint="default" w:ascii="Times New Roman" w:hAnsi="Times New Roman" w:cs="Times New Roman"/>
          <w:color w:val="auto"/>
          <w:u w:val="none" w:color="auto"/>
        </w:rPr>
        <w:t>1、产业政策符合性</w:t>
      </w:r>
    </w:p>
    <w:p w14:paraId="5E3A8875">
      <w:pPr>
        <w:pStyle w:val="21"/>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根据《产业结构调整指导目录》（20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rPr>
        <w:t>年本）的相关规定</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本项目不属于国家限制及淘汰类中提及的内容</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因此项目建设符合国家现行产业政策。</w:t>
      </w:r>
    </w:p>
    <w:p w14:paraId="590FC8AA">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2、项目选址和总图布置合理性</w:t>
      </w:r>
    </w:p>
    <w:bookmarkEnd w:id="1655"/>
    <w:bookmarkEnd w:id="1656"/>
    <w:bookmarkEnd w:id="1657"/>
    <w:p w14:paraId="68AAD622">
      <w:pPr>
        <w:pStyle w:val="21"/>
        <w:ind w:firstLine="480"/>
        <w:rPr>
          <w:color w:val="auto"/>
          <w:u w:val="none" w:color="auto"/>
        </w:rPr>
      </w:pPr>
      <w:r>
        <w:rPr>
          <w:color w:val="auto"/>
          <w:u w:val="none" w:color="auto"/>
        </w:rPr>
        <w:t>（1）与</w:t>
      </w:r>
      <w:r>
        <w:rPr>
          <w:rFonts w:hint="eastAsia"/>
          <w:color w:val="auto"/>
          <w:u w:val="none" w:color="auto"/>
          <w:lang w:eastAsia="zh-CN"/>
        </w:rPr>
        <w:t>规划</w:t>
      </w:r>
      <w:r>
        <w:rPr>
          <w:color w:val="auto"/>
          <w:u w:val="none" w:color="auto"/>
        </w:rPr>
        <w:t>的符合性分析</w:t>
      </w:r>
    </w:p>
    <w:p w14:paraId="5D5CE506">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根据《湖南汨罗高新技术产业开发区产业发展规划（2022-2027）》及其批复（汨政函[2023]90号），汨罗高新技术产业开发区将通过打</w:t>
      </w:r>
      <w:r>
        <w:rPr>
          <w:rFonts w:hint="eastAsia" w:ascii="宋体" w:hAnsi="宋体" w:eastAsia="宋体" w:cs="宋体"/>
          <w:color w:val="auto"/>
          <w:sz w:val="24"/>
          <w:szCs w:val="24"/>
          <w:u w:val="none" w:color="auto"/>
        </w:rPr>
        <w:t>造“一园一主一特” 和新兴产业，即新市片（湖南汨罗循环经济产业园）以“废弃资源综合利用产业”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w:t>
      </w:r>
      <w:r>
        <w:rPr>
          <w:rFonts w:hint="default" w:ascii="Times New Roman" w:hAnsi="Times New Roman" w:eastAsia="宋体" w:cs="Times New Roman"/>
          <w:color w:val="auto"/>
          <w:sz w:val="24"/>
          <w:szCs w:val="24"/>
          <w:u w:val="none" w:color="auto"/>
        </w:rPr>
        <w:t>、层次分明、科学合理的产业定位组合，以绿色循环经济推动该地区的可持续高质量增长。</w:t>
      </w:r>
    </w:p>
    <w:p w14:paraId="43357716">
      <w:pPr>
        <w:pStyle w:val="21"/>
        <w:ind w:firstLine="480"/>
        <w:rPr>
          <w:rFonts w:hint="default" w:eastAsia="宋体"/>
          <w:color w:val="auto"/>
          <w:u w:val="none" w:color="auto"/>
          <w:lang w:val="en-US" w:eastAsia="zh-CN"/>
        </w:rPr>
      </w:pP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val="en-US" w:eastAsia="zh-CN"/>
        </w:rPr>
        <w:t>属于</w:t>
      </w:r>
      <w:r>
        <w:rPr>
          <w:rFonts w:hint="default" w:ascii="Times New Roman" w:hAnsi="Times New Roman" w:eastAsia="宋体" w:cs="Times New Roman"/>
          <w:color w:val="auto"/>
          <w:sz w:val="24"/>
          <w:szCs w:val="24"/>
          <w:u w:val="none" w:color="auto"/>
        </w:rPr>
        <w:t>石墨及其他非金属矿物制品制造</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产品为锂电池石墨匣钵，</w:t>
      </w:r>
      <w:r>
        <w:rPr>
          <w:rFonts w:hint="default" w:ascii="Times New Roman" w:hAnsi="Times New Roman" w:eastAsia="宋体" w:cs="Times New Roman"/>
          <w:color w:val="auto"/>
          <w:sz w:val="24"/>
          <w:szCs w:val="24"/>
          <w:u w:val="none" w:color="auto"/>
        </w:rPr>
        <w:t>属于先进储能材料产业</w:t>
      </w:r>
      <w:r>
        <w:rPr>
          <w:rFonts w:hint="eastAsia" w:ascii="Times New Roman" w:hAnsi="Times New Roman" w:eastAsia="宋体" w:cs="Times New Roman"/>
          <w:color w:val="auto"/>
          <w:sz w:val="24"/>
          <w:szCs w:val="24"/>
          <w:u w:val="none" w:color="auto"/>
          <w:lang w:val="en-US" w:eastAsia="zh-CN"/>
        </w:rPr>
        <w:t>的配套产业</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根据《汨罗高新技术产业开发区扩区规划环境影响报告书》中园区准入要求及园区产业布局规划图，规划弼时片区分为先进装备制造业区、汽车零部件及配件制造区。故本项目虽不属于弼时片区的主导产业，不属于园区的鼓励类，但根据后续分析，也不是限制类、禁止类，即视为允许类，且取得了园区的同意，与弼时片区产业定位不冲突。</w:t>
      </w:r>
    </w:p>
    <w:p w14:paraId="4C48F88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）项目平面布置合理性结论</w:t>
      </w:r>
    </w:p>
    <w:p w14:paraId="2FEA8429">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企业生产组织的需要及环保的要求。</w:t>
      </w:r>
    </w:p>
    <w:p w14:paraId="1B89B51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3、环境风险分析可接受性</w:t>
      </w:r>
    </w:p>
    <w:p w14:paraId="37C4D4ED">
      <w:pPr>
        <w:pStyle w:val="21"/>
        <w:ind w:left="0" w:leftChars="0" w:firstLine="480" w:firstLineChars="200"/>
        <w:outlineLvl w:val="9"/>
        <w:rPr>
          <w:rFonts w:hint="default" w:ascii="Times New Roman" w:hAnsi="Times New Roman" w:cs="Times New Roman"/>
          <w:color w:val="auto"/>
          <w:u w:val="none" w:color="auto"/>
        </w:rPr>
      </w:pPr>
      <w:r>
        <w:rPr>
          <w:rFonts w:hint="default" w:ascii="Times New Roman" w:hAnsi="Times New Roman" w:cs="Times New Roman"/>
          <w:color w:val="auto"/>
          <w:u w:val="none" w:color="auto"/>
          <w:lang w:bidi="ar"/>
        </w:rPr>
        <w:t>通过对本项目风险识别，认为项目涉及的</w:t>
      </w:r>
      <w:r>
        <w:rPr>
          <w:rFonts w:hint="eastAsia" w:ascii="Times New Roman" w:hAnsi="Times New Roman" w:cs="Times New Roman"/>
          <w:color w:val="auto"/>
          <w:u w:val="none" w:color="auto"/>
          <w:lang w:val="en-US" w:eastAsia="zh-CN" w:bidi="ar"/>
        </w:rPr>
        <w:t>液压油</w:t>
      </w:r>
      <w:r>
        <w:rPr>
          <w:rFonts w:hint="default" w:ascii="Times New Roman" w:hAnsi="Times New Roman" w:cs="Times New Roman"/>
          <w:color w:val="auto"/>
          <w:u w:val="none" w:color="auto"/>
          <w:lang w:bidi="ar"/>
        </w:rPr>
        <w:t>等在使用和贮运过程中均存在的风险影响，经对项目贮运系统和生产系统进行分析，根据类比调查，泄漏事故属低概率的风险事故，综合计算得出本项目环境风险水平可接受。因此，在建设单位制定严格的生产运行管理、加强职工的安全生产教育、提高风险意识，严格落实相关风险防范措施和安全应急措施的前提下，并制度详细的风险应急预案基础上，项目环境风险影响可接受。</w:t>
      </w:r>
    </w:p>
    <w:p w14:paraId="4B69928A">
      <w:pPr>
        <w:pStyle w:val="21"/>
        <w:ind w:firstLine="480"/>
        <w:rPr>
          <w:rFonts w:hint="default" w:ascii="Times New Roman" w:hAnsi="Times New Roman" w:cs="Times New Roman"/>
          <w:color w:val="auto"/>
          <w:u w:val="none" w:color="auto"/>
        </w:rPr>
      </w:pPr>
      <w:bookmarkStart w:id="1658" w:name="_Toc14371_WPSOffice_Level3"/>
      <w:bookmarkStart w:id="1659" w:name="_Toc23754_WPSOffice_Level3"/>
      <w:bookmarkStart w:id="1660" w:name="_Toc18588"/>
      <w:r>
        <w:rPr>
          <w:rFonts w:hint="default" w:ascii="Times New Roman" w:hAnsi="Times New Roman" w:cs="Times New Roman"/>
          <w:color w:val="auto"/>
          <w:u w:val="none" w:color="auto"/>
        </w:rPr>
        <w:t>4、总量控制</w:t>
      </w:r>
      <w:bookmarkEnd w:id="1658"/>
      <w:bookmarkEnd w:id="1659"/>
      <w:bookmarkEnd w:id="1660"/>
    </w:p>
    <w:p w14:paraId="50F97160">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国家环境保护部对实施污染物排放总量控制的要求、《中华人民共和国国民经济和社会发展第十四个五年规划纲要》环保规划要求和《湖南省“十四五”节能减排综合工作实施方案》，根据国家总量控制有关规定，结合公司生产实际情况</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需要实施总量控制的污染物为</w:t>
      </w:r>
      <w:r>
        <w:rPr>
          <w:rFonts w:hint="default" w:ascii="Times New Roman" w:hAnsi="Times New Roman" w:eastAsia="宋体" w:cs="Times New Roman"/>
          <w:color w:val="auto"/>
          <w:kern w:val="2"/>
          <w:sz w:val="24"/>
          <w:szCs w:val="24"/>
          <w:highlight w:val="none"/>
          <w:u w:val="none" w:color="auto"/>
          <w:lang w:val="en-US" w:eastAsia="zh-CN" w:bidi="ar-SA"/>
        </w:rPr>
        <w:t>VOCs</w:t>
      </w:r>
      <w:r>
        <w:rPr>
          <w:rFonts w:hint="eastAsia" w:ascii="Times New Roman" w:hAnsi="Times New Roman" w:eastAsia="宋体" w:cs="Times New Roman"/>
          <w:color w:val="auto"/>
          <w:kern w:val="2"/>
          <w:sz w:val="24"/>
          <w:szCs w:val="24"/>
          <w:highlight w:val="none"/>
          <w:u w:val="none" w:color="auto"/>
          <w:lang w:val="en-US" w:eastAsia="zh-CN" w:bidi="ar-SA"/>
        </w:rPr>
        <w:t>、二氧化硫、氮氧化物</w:t>
      </w:r>
      <w:r>
        <w:rPr>
          <w:rFonts w:hint="default" w:ascii="Times New Roman" w:hAnsi="Times New Roman" w:cs="Times New Roman"/>
          <w:color w:val="auto"/>
          <w:u w:val="none" w:color="auto"/>
        </w:rPr>
        <w:t>。本项目污染物排放总量指标汇总见下表。</w:t>
      </w:r>
    </w:p>
    <w:p w14:paraId="7D246838">
      <w:pPr>
        <w:pStyle w:val="23"/>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4</w:t>
      </w:r>
      <w:r>
        <w:rPr>
          <w:rFonts w:hint="default"/>
          <w:color w:val="auto"/>
          <w:u w:val="none" w:color="auto"/>
        </w:rPr>
        <w:t>-1污染物排放总量指标 单位：t/a</w:t>
      </w:r>
      <w:bookmarkStart w:id="1661" w:name="_Toc23887_WPSOffice_Level3"/>
      <w:bookmarkStart w:id="1662" w:name="_Toc14885"/>
      <w:bookmarkStart w:id="1663" w:name="_Toc5058_WPSOffice_Level3"/>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3159"/>
        <w:gridCol w:w="3107"/>
      </w:tblGrid>
      <w:tr w14:paraId="2FBBA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5" w:type="dxa"/>
            <w:noWrap w:val="0"/>
            <w:vAlign w:val="center"/>
          </w:tcPr>
          <w:p w14:paraId="41AD91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3159" w:type="dxa"/>
            <w:noWrap w:val="0"/>
            <w:vAlign w:val="center"/>
          </w:tcPr>
          <w:p w14:paraId="1367E2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总</w:t>
            </w:r>
            <w:r>
              <w:rPr>
                <w:rFonts w:hint="default" w:ascii="Times New Roman" w:hAnsi="Times New Roman" w:cs="Times New Roman"/>
                <w:color w:val="auto"/>
                <w:sz w:val="21"/>
                <w:szCs w:val="21"/>
                <w:u w:val="none" w:color="auto"/>
              </w:rPr>
              <w:t>排放量（t/a）</w:t>
            </w:r>
          </w:p>
        </w:tc>
        <w:tc>
          <w:tcPr>
            <w:tcW w:w="3107" w:type="dxa"/>
            <w:noWrap w:val="0"/>
            <w:vAlign w:val="center"/>
          </w:tcPr>
          <w:p w14:paraId="07EE3B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建议总量控制指标（t）</w:t>
            </w:r>
          </w:p>
        </w:tc>
      </w:tr>
      <w:tr w14:paraId="6F35D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5" w:type="dxa"/>
            <w:noWrap w:val="0"/>
            <w:vAlign w:val="center"/>
          </w:tcPr>
          <w:p w14:paraId="0697A53B">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u w:val="none" w:color="auto"/>
              </w:rPr>
              <w:t>VOCs</w:t>
            </w:r>
          </w:p>
        </w:tc>
        <w:tc>
          <w:tcPr>
            <w:tcW w:w="3159" w:type="dxa"/>
            <w:noWrap w:val="0"/>
            <w:vAlign w:val="center"/>
          </w:tcPr>
          <w:p w14:paraId="16EA331D">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4.502</w:t>
            </w:r>
          </w:p>
        </w:tc>
        <w:tc>
          <w:tcPr>
            <w:tcW w:w="3107" w:type="dxa"/>
            <w:noWrap w:val="0"/>
            <w:vAlign w:val="center"/>
          </w:tcPr>
          <w:p w14:paraId="763776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4.6</w:t>
            </w:r>
          </w:p>
        </w:tc>
      </w:tr>
      <w:tr w14:paraId="09281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5" w:type="dxa"/>
            <w:noWrap w:val="0"/>
            <w:vAlign w:val="center"/>
          </w:tcPr>
          <w:p w14:paraId="5F68E577">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二氧化硫</w:t>
            </w:r>
          </w:p>
        </w:tc>
        <w:tc>
          <w:tcPr>
            <w:tcW w:w="3159" w:type="dxa"/>
            <w:noWrap w:val="0"/>
            <w:vAlign w:val="center"/>
          </w:tcPr>
          <w:p w14:paraId="724C5CE0">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0.18</w:t>
            </w:r>
          </w:p>
        </w:tc>
        <w:tc>
          <w:tcPr>
            <w:tcW w:w="3107" w:type="dxa"/>
            <w:noWrap w:val="0"/>
            <w:vAlign w:val="center"/>
          </w:tcPr>
          <w:p w14:paraId="3D0635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0.2</w:t>
            </w:r>
          </w:p>
        </w:tc>
      </w:tr>
      <w:tr w14:paraId="6ACAE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5" w:type="dxa"/>
            <w:noWrap w:val="0"/>
            <w:vAlign w:val="center"/>
          </w:tcPr>
          <w:p w14:paraId="3C44C9B5">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氮氧化物</w:t>
            </w:r>
          </w:p>
        </w:tc>
        <w:tc>
          <w:tcPr>
            <w:tcW w:w="3159" w:type="dxa"/>
            <w:noWrap w:val="0"/>
            <w:vAlign w:val="center"/>
          </w:tcPr>
          <w:p w14:paraId="00689D82">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2.714</w:t>
            </w:r>
          </w:p>
        </w:tc>
        <w:tc>
          <w:tcPr>
            <w:tcW w:w="3107" w:type="dxa"/>
            <w:noWrap w:val="0"/>
            <w:vAlign w:val="center"/>
          </w:tcPr>
          <w:p w14:paraId="70A255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2.8</w:t>
            </w:r>
          </w:p>
        </w:tc>
      </w:tr>
    </w:tbl>
    <w:p w14:paraId="71EB0512">
      <w:pPr>
        <w:pStyle w:val="21"/>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、公众参与结果</w:t>
      </w:r>
    </w:p>
    <w:p w14:paraId="0EAEC36C">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rPr>
        <w:t>项目建设单位作为公众参与调查主体，按照生态环境部环发[2018]4号文《环境影响评价公众参与办法》的相关规定和要求在评价范围内，于202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16</w:t>
      </w:r>
      <w:r>
        <w:rPr>
          <w:rFonts w:hint="default" w:ascii="Times New Roman" w:hAnsi="Times New Roman" w:cs="Times New Roman"/>
          <w:color w:val="auto"/>
          <w:highlight w:val="none"/>
          <w:u w:val="none" w:color="auto"/>
        </w:rPr>
        <w:t>日，在</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对项目进行了首次公示</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31</w:t>
      </w:r>
      <w:r>
        <w:rPr>
          <w:rFonts w:hint="default" w:ascii="Times New Roman" w:hAnsi="Times New Roman" w:cs="Times New Roman"/>
          <w:color w:val="auto"/>
          <w:highlight w:val="none"/>
          <w:u w:val="none" w:color="auto"/>
        </w:rPr>
        <w:t>日至</w:t>
      </w:r>
      <w:r>
        <w:rPr>
          <w:rFonts w:hint="eastAsia"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13</w:t>
      </w:r>
      <w:r>
        <w:rPr>
          <w:rFonts w:hint="default" w:ascii="Times New Roman" w:hAnsi="Times New Roman" w:cs="Times New Roman"/>
          <w:color w:val="auto"/>
          <w:highlight w:val="none"/>
          <w:u w:val="none" w:color="auto"/>
        </w:rPr>
        <w:t>日，共计10个工作日，在</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湖南宏翰新能源科技有限公司现有厂区虹宇碳素大门、本项目租赁厂区</w:t>
      </w:r>
      <w:r>
        <w:rPr>
          <w:rFonts w:hint="eastAsia" w:ascii="宋体"/>
          <w:sz w:val="24"/>
          <w:lang w:val="en-US" w:eastAsia="zh-CN"/>
        </w:rPr>
        <w:t>乾源碳素大门</w:t>
      </w:r>
      <w:r>
        <w:rPr>
          <w:rFonts w:hint="default" w:ascii="Times New Roman" w:hAnsi="Times New Roman" w:cs="Times New Roman"/>
          <w:color w:val="auto"/>
          <w:highlight w:val="none"/>
          <w:u w:val="none" w:color="auto"/>
        </w:rPr>
        <w:t>对项目环境影响报告书（征求意见稿）进行了全本公示；202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日</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8月7</w:t>
      </w:r>
      <w:r>
        <w:rPr>
          <w:rFonts w:hint="default" w:ascii="Times New Roman" w:hAnsi="Times New Roman" w:cs="Times New Roman"/>
          <w:color w:val="auto"/>
          <w:highlight w:val="none"/>
          <w:u w:val="none" w:color="auto"/>
        </w:rPr>
        <w:t>日同步在《</w:t>
      </w:r>
      <w:r>
        <w:rPr>
          <w:rFonts w:hint="eastAsia" w:ascii="Times New Roman" w:hAnsi="Times New Roman" w:cs="Times New Roman"/>
          <w:color w:val="auto"/>
          <w:highlight w:val="none"/>
          <w:u w:val="none" w:color="auto"/>
          <w:lang w:val="en-US" w:eastAsia="zh-CN"/>
        </w:rPr>
        <w:t>岳阳晚报</w:t>
      </w:r>
      <w:r>
        <w:rPr>
          <w:rFonts w:hint="default" w:ascii="Times New Roman" w:hAnsi="Times New Roman" w:cs="Times New Roman"/>
          <w:color w:val="auto"/>
          <w:highlight w:val="none"/>
          <w:u w:val="none" w:color="auto"/>
        </w:rPr>
        <w:t>》对项目进行了两次公示。</w:t>
      </w:r>
      <w:r>
        <w:rPr>
          <w:rFonts w:hint="eastAsia" w:ascii="Times New Roman" w:hAnsi="Times New Roman" w:cs="Times New Roman"/>
          <w:color w:val="auto"/>
          <w:highlight w:val="none"/>
          <w:u w:val="none" w:color="auto"/>
          <w:lang w:eastAsia="zh-CN"/>
        </w:rPr>
        <w:t>并在环境影报告书报批前，于202</w:t>
      </w:r>
      <w:r>
        <w:rPr>
          <w:rFonts w:hint="eastAsia" w:ascii="Times New Roman" w:hAnsi="Times New Roman" w:cs="Times New Roman"/>
          <w:color w:val="auto"/>
          <w:highlight w:val="none"/>
          <w:u w:val="none" w:color="auto"/>
          <w:lang w:val="en-US" w:eastAsia="zh-CN"/>
        </w:rPr>
        <w:t>5</w:t>
      </w:r>
      <w:r>
        <w:rPr>
          <w:rFonts w:hint="eastAsia" w:ascii="Times New Roman" w:hAnsi="Times New Roman" w:cs="Times New Roman"/>
          <w:color w:val="auto"/>
          <w:highlight w:val="none"/>
          <w:u w:val="none" w:color="auto"/>
          <w:lang w:eastAsia="zh-CN"/>
        </w:rPr>
        <w:t>年</w:t>
      </w:r>
      <w:r>
        <w:rPr>
          <w:rFonts w:hint="eastAsia" w:ascii="Times New Roman" w:hAnsi="Times New Roman" w:cs="Times New Roman"/>
          <w:color w:val="auto"/>
          <w:highlight w:val="none"/>
          <w:u w:val="none" w:color="auto"/>
          <w:lang w:val="en-US" w:eastAsia="zh-CN"/>
        </w:rPr>
        <w:t>8</w:t>
      </w:r>
      <w:r>
        <w:rPr>
          <w:rFonts w:hint="eastAsia" w:ascii="Times New Roman" w:hAnsi="Times New Roman" w:cs="Times New Roman"/>
          <w:color w:val="auto"/>
          <w:highlight w:val="none"/>
          <w:u w:val="none" w:color="auto"/>
          <w:lang w:eastAsia="zh-CN"/>
        </w:rPr>
        <w:t>月</w:t>
      </w:r>
      <w:r>
        <w:rPr>
          <w:rFonts w:hint="eastAsia" w:ascii="Times New Roman" w:hAnsi="Times New Roman" w:cs="Times New Roman"/>
          <w:color w:val="auto"/>
          <w:highlight w:val="none"/>
          <w:u w:val="none" w:color="auto"/>
          <w:lang w:val="en-US" w:eastAsia="zh-CN"/>
        </w:rPr>
        <w:t>14</w:t>
      </w:r>
      <w:r>
        <w:rPr>
          <w:rFonts w:hint="eastAsia" w:ascii="Times New Roman" w:hAnsi="Times New Roman" w:cs="Times New Roman"/>
          <w:color w:val="auto"/>
          <w:highlight w:val="none"/>
          <w:u w:val="none" w:color="auto"/>
          <w:lang w:eastAsia="zh-CN"/>
        </w:rPr>
        <w:t>日在“</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”上进行了报批前公示，公开了项目环评报告书及公参说明手册。</w:t>
      </w:r>
      <w:r>
        <w:rPr>
          <w:rFonts w:hint="default" w:ascii="Times New Roman" w:hAnsi="Times New Roman" w:cs="Times New Roman"/>
          <w:color w:val="auto"/>
          <w:highlight w:val="none"/>
          <w:u w:val="none" w:color="auto"/>
        </w:rPr>
        <w:t>在公示和公众参与调查期间，未收到公众反馈意见。</w:t>
      </w:r>
    </w:p>
    <w:bookmarkEnd w:id="1661"/>
    <w:bookmarkEnd w:id="1662"/>
    <w:bookmarkEnd w:id="1663"/>
    <w:p w14:paraId="58F62380">
      <w:pPr>
        <w:pStyle w:val="21"/>
        <w:ind w:firstLine="480"/>
        <w:rPr>
          <w:rFonts w:hint="default" w:ascii="Times New Roman" w:hAnsi="Times New Roman" w:cs="Times New Roman"/>
          <w:color w:val="auto"/>
          <w:u w:val="none" w:color="auto"/>
        </w:rPr>
      </w:pPr>
      <w:bookmarkStart w:id="1664" w:name="_Toc23828_WPSOffice_Level3"/>
      <w:bookmarkStart w:id="1665" w:name="_Toc31240_WPSOffice_Level3"/>
      <w:bookmarkStart w:id="1666" w:name="_Toc11245"/>
      <w:r>
        <w:rPr>
          <w:rFonts w:hint="default"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、环境经济损益分析</w:t>
      </w:r>
      <w:bookmarkEnd w:id="1664"/>
      <w:bookmarkEnd w:id="1665"/>
      <w:bookmarkEnd w:id="1666"/>
    </w:p>
    <w:p w14:paraId="57AC5A8B">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项目总投资为</w:t>
      </w:r>
      <w:r>
        <w:rPr>
          <w:rFonts w:hint="eastAsia" w:ascii="Times New Roman" w:hAnsi="Times New Roman" w:cs="Times New Roman"/>
          <w:color w:val="auto"/>
          <w:u w:val="none" w:color="auto"/>
          <w:lang w:val="en-US" w:eastAsia="zh-CN"/>
        </w:rPr>
        <w:t>1</w:t>
      </w:r>
      <w:r>
        <w:rPr>
          <w:rFonts w:hint="eastAsia" w:cs="Times New Roman"/>
          <w:color w:val="auto"/>
          <w:u w:val="none" w:color="auto"/>
          <w:lang w:val="en-US" w:eastAsia="zh-CN"/>
        </w:rPr>
        <w:t>000</w:t>
      </w:r>
      <w:r>
        <w:rPr>
          <w:rFonts w:hint="default" w:ascii="Times New Roman" w:hAnsi="Times New Roman" w:cs="Times New Roman"/>
          <w:color w:val="auto"/>
          <w:u w:val="none" w:color="auto"/>
        </w:rPr>
        <w:t>万元，本次工程环保投资估算为</w:t>
      </w:r>
      <w:r>
        <w:rPr>
          <w:rFonts w:hint="eastAsia" w:ascii="Times New Roman" w:hAnsi="Times New Roman" w:cs="Times New Roman"/>
          <w:color w:val="auto"/>
          <w:u w:val="none" w:color="auto"/>
          <w:lang w:val="en-US" w:eastAsia="zh-CN"/>
        </w:rPr>
        <w:t>52</w:t>
      </w:r>
      <w:r>
        <w:rPr>
          <w:rFonts w:hint="default" w:ascii="Times New Roman" w:hAnsi="Times New Roman" w:cs="Times New Roman"/>
          <w:color w:val="auto"/>
          <w:u w:val="none" w:color="auto"/>
        </w:rPr>
        <w:t>万元，占项目建设投资的比例为</w:t>
      </w:r>
      <w:r>
        <w:rPr>
          <w:rFonts w:hint="eastAsia" w:cs="Times New Roman"/>
          <w:color w:val="auto"/>
          <w:sz w:val="24"/>
          <w:u w:val="none" w:color="auto"/>
          <w:lang w:val="en-US" w:eastAsia="zh-CN" w:bidi="ar"/>
        </w:rPr>
        <w:t>5.2%</w:t>
      </w:r>
      <w:r>
        <w:rPr>
          <w:rFonts w:hint="default" w:ascii="Times New Roman" w:hAnsi="Times New Roman" w:cs="Times New Roman"/>
          <w:color w:val="auto"/>
          <w:u w:val="none" w:color="auto"/>
        </w:rPr>
        <w:t>。因此，从上述数据来看，该项目的经济效益是十分显著</w:t>
      </w:r>
      <w:bookmarkStart w:id="1667" w:name="_Toc252173685"/>
      <w:bookmarkStart w:id="1668" w:name="_Toc331278446"/>
      <w:r>
        <w:rPr>
          <w:rFonts w:hint="default" w:ascii="Times New Roman" w:hAnsi="Times New Roman" w:cs="Times New Roman"/>
          <w:color w:val="auto"/>
          <w:u w:val="none" w:color="auto"/>
        </w:rPr>
        <w:t>，同时项目可给当地提供就业岗位，增加就业，带动地方经济发展，提高国税、地税收入，具有较好的社会效益。</w:t>
      </w:r>
    </w:p>
    <w:bookmarkEnd w:id="1667"/>
    <w:bookmarkEnd w:id="1668"/>
    <w:p w14:paraId="18725488">
      <w:pPr>
        <w:pStyle w:val="7"/>
        <w:bidi w:val="0"/>
        <w:rPr>
          <w:rFonts w:hint="default"/>
          <w:color w:val="auto"/>
          <w:u w:val="none" w:color="auto"/>
        </w:rPr>
      </w:pPr>
      <w:bookmarkStart w:id="1669" w:name="_Toc6419_WPSOffice_Level2"/>
      <w:bookmarkStart w:id="1670" w:name="_Toc21084"/>
      <w:bookmarkStart w:id="1671" w:name="_Toc18400"/>
      <w:bookmarkStart w:id="1672" w:name="_Toc24137"/>
      <w:bookmarkStart w:id="1673" w:name="_Toc4254"/>
      <w:bookmarkStart w:id="1674" w:name="_Toc11396_WPSOffice_Level2"/>
      <w:bookmarkStart w:id="1675" w:name="_Toc5674"/>
      <w:bookmarkStart w:id="1676" w:name="_Toc14623"/>
      <w:bookmarkStart w:id="1677" w:name="_Toc25136_WPSOffice_Level2"/>
      <w:bookmarkStart w:id="1678" w:name="_Toc474_WPSOffice_Level2"/>
      <w:bookmarkStart w:id="1679" w:name="_Toc30410_WPSOffice_Level2"/>
      <w:bookmarkStart w:id="1680" w:name="_Toc7782"/>
      <w:bookmarkStart w:id="1681" w:name="_Toc17000_WPSOffice_Level2"/>
      <w:bookmarkStart w:id="1682" w:name="_Toc23623"/>
      <w:bookmarkStart w:id="1683" w:name="_Toc331278447"/>
      <w:bookmarkStart w:id="1684" w:name="_Toc20095_WPSOffice_Level2"/>
      <w:bookmarkStart w:id="1685" w:name="_Toc22010"/>
      <w:bookmarkStart w:id="1686" w:name="_Toc19239"/>
      <w:bookmarkStart w:id="1687" w:name="_Toc28420_WPSOffice_Level2"/>
      <w:bookmarkStart w:id="1688" w:name="_Toc252173684"/>
      <w:bookmarkStart w:id="1689" w:name="_Toc19674"/>
      <w:bookmarkStart w:id="1690" w:name="_Toc29830_WPSOffice_Level2"/>
      <w:bookmarkStart w:id="1691" w:name="_Toc11562_WPSOffice_Level2"/>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5</w:t>
      </w:r>
      <w:r>
        <w:rPr>
          <w:rFonts w:hint="default"/>
          <w:color w:val="auto"/>
          <w:u w:val="none" w:color="auto"/>
        </w:rPr>
        <w:t>总结论</w:t>
      </w:r>
      <w:bookmarkEnd w:id="1669"/>
      <w:bookmarkEnd w:id="1670"/>
      <w:bookmarkEnd w:id="1671"/>
      <w:bookmarkEnd w:id="1672"/>
      <w:bookmarkEnd w:id="1673"/>
      <w:bookmarkEnd w:id="1674"/>
      <w:bookmarkEnd w:id="1675"/>
      <w:bookmarkEnd w:id="1676"/>
      <w:bookmarkEnd w:id="1677"/>
      <w:bookmarkEnd w:id="1678"/>
      <w:bookmarkEnd w:id="1679"/>
      <w:bookmarkEnd w:id="1680"/>
    </w:p>
    <w:p w14:paraId="407894DA">
      <w:pPr>
        <w:pStyle w:val="21"/>
        <w:ind w:firstLine="480"/>
        <w:rPr>
          <w:color w:val="auto"/>
          <w:u w:val="none" w:color="auto"/>
        </w:rPr>
      </w:pPr>
      <w:r>
        <w:rPr>
          <w:rFonts w:hint="eastAsia" w:cs="Times New Roman"/>
          <w:color w:val="auto"/>
          <w:sz w:val="24"/>
          <w:u w:val="none" w:color="auto"/>
          <w:lang w:eastAsia="zh-CN"/>
        </w:rPr>
        <w:t>湖南宏翰新能源科技有限公司年产20万套锂电池石墨匣钵建设项目</w:t>
      </w:r>
      <w:r>
        <w:rPr>
          <w:color w:val="auto"/>
          <w:u w:val="none" w:color="auto"/>
        </w:rPr>
        <w:t>符合国家产业政策；项目生产所采用的原料和设备、所采用的生产工艺符合国家现行产业政策，其所采取的污染防治措施可行，建设单位在落实本报告提出的各项环保措施和风险防范措施的情况下，不会对区域环境质量产生明显影响。</w:t>
      </w:r>
    </w:p>
    <w:p w14:paraId="71419350">
      <w:pPr>
        <w:pStyle w:val="21"/>
        <w:ind w:firstLine="480"/>
        <w:rPr>
          <w:rFonts w:hint="default" w:ascii="Times New Roman" w:hAnsi="Times New Roman" w:cs="Times New Roman"/>
          <w:color w:val="auto"/>
          <w:u w:val="none" w:color="auto"/>
        </w:rPr>
      </w:pPr>
      <w:r>
        <w:rPr>
          <w:color w:val="auto"/>
          <w:u w:val="none" w:color="auto"/>
        </w:rPr>
        <w:t>从环保角度而言，该项目的建设是可行的。</w:t>
      </w:r>
    </w:p>
    <w:bookmarkEnd w:id="1681"/>
    <w:bookmarkEnd w:id="1682"/>
    <w:bookmarkEnd w:id="1683"/>
    <w:bookmarkEnd w:id="1684"/>
    <w:bookmarkEnd w:id="1685"/>
    <w:bookmarkEnd w:id="1686"/>
    <w:bookmarkEnd w:id="1687"/>
    <w:bookmarkEnd w:id="1688"/>
    <w:bookmarkEnd w:id="1689"/>
    <w:bookmarkEnd w:id="1690"/>
    <w:bookmarkEnd w:id="1691"/>
    <w:p w14:paraId="339FEFC4">
      <w:pPr>
        <w:pStyle w:val="7"/>
        <w:bidi w:val="0"/>
        <w:rPr>
          <w:rFonts w:hint="default"/>
          <w:color w:val="auto"/>
          <w:u w:val="none" w:color="auto"/>
        </w:rPr>
      </w:pPr>
      <w:bookmarkStart w:id="1692" w:name="_Toc23794"/>
      <w:bookmarkStart w:id="1693" w:name="_Toc21194"/>
      <w:bookmarkStart w:id="1694" w:name="_Toc15081"/>
      <w:bookmarkStart w:id="1695" w:name="_Toc18004"/>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6</w:t>
      </w:r>
      <w:r>
        <w:rPr>
          <w:rFonts w:hint="default"/>
          <w:color w:val="auto"/>
          <w:u w:val="none" w:color="auto"/>
        </w:rPr>
        <w:t>建议</w:t>
      </w:r>
      <w:bookmarkEnd w:id="1692"/>
      <w:bookmarkEnd w:id="1693"/>
      <w:bookmarkEnd w:id="1694"/>
      <w:bookmarkEnd w:id="1695"/>
    </w:p>
    <w:p w14:paraId="118D284D">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（1）确保环保设施投入正常运行，保证污染物长期稳定达标排放。</w:t>
      </w:r>
    </w:p>
    <w:p w14:paraId="095D906E">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（2）营运单位一定要重视和加强环境风险管理和防范，切实做好安全生产，杜绝各类风险事故发生；</w:t>
      </w:r>
    </w:p>
    <w:p w14:paraId="31F67827">
      <w:pPr>
        <w:pStyle w:val="21"/>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（3）设立环境管理部门，建立完善的环境管理制度。</w:t>
      </w:r>
    </w:p>
    <w:p w14:paraId="58B03F18">
      <w:pPr>
        <w:pStyle w:val="21"/>
        <w:ind w:firstLine="480"/>
        <w:rPr>
          <w:rFonts w:hint="default" w:ascii="Times New Roman" w:hAnsi="Times New Roman" w:cs="Times New Roman"/>
          <w:color w:val="auto"/>
          <w:u w:val="none" w:color="auto"/>
        </w:rPr>
        <w:sectPr>
          <w:headerReference r:id="rId12" w:type="default"/>
          <w:footerReference r:id="rId13" w:type="default"/>
          <w:pgSz w:w="11906" w:h="16838"/>
          <w:pgMar w:top="1418" w:right="1701" w:bottom="1418" w:left="1701"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u w:val="none" w:color="auto"/>
        </w:rPr>
        <w:t>（4）加强企业管理的同时，应注意职工环境保护的宣传教育工作，提高全体员工的环保意识，做到环境保护，人人有责。</w:t>
      </w:r>
    </w:p>
    <w:p w14:paraId="2B555AD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_GBK">
    <w:altName w:val="SimSun-ExtB"/>
    <w:panose1 w:val="00000000000000000000"/>
    <w:charset w:val="86"/>
    <w:family w:val="script"/>
    <w:pitch w:val="default"/>
    <w:sig w:usb0="00000000" w:usb1="00000000" w:usb2="00000010" w:usb3="00000000" w:csb0="00040000" w:csb1="00000000"/>
  </w:font>
  <w:font w:name="华康简宋">
    <w:altName w:val="宋体"/>
    <w:panose1 w:val="00000000000000000000"/>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imSun-ExtB">
    <w:panose1 w:val="02010609060101010101"/>
    <w:charset w:val="86"/>
    <w:family w:val="auto"/>
    <w:pitch w:val="default"/>
    <w:sig w:usb0="00000001" w:usb1="02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7F32C">
    <w:pPr>
      <w:tabs>
        <w:tab w:val="center" w:pos="4153"/>
        <w:tab w:val="right"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E091">
    <w:pPr>
      <w:tabs>
        <w:tab w:val="center" w:pos="4153"/>
        <w:tab w:val="right" w:pos="8306"/>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8C6EE2">
                          <w:pPr>
                            <w:tabs>
                              <w:tab w:val="center" w:pos="4153"/>
                              <w:tab w:val="right" w:pos="8306"/>
                            </w:tabs>
                          </w:pPr>
                          <w:r>
                            <w:fldChar w:fldCharType="begin"/>
                          </w:r>
                          <w:r>
                            <w:instrText xml:space="preserve">PAGE  </w:instrText>
                          </w:r>
                          <w:r>
                            <w:fldChar w:fldCharType="separate"/>
                          </w:r>
                          <w:r>
                            <w:t>76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4J7NYBAACw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y7my7MIEkymNrWcrDfth4rn37Rlp&#10;9rgPjDpcf0rMe4dy59WZjTgb+9k4hqgPXdmtXAvCm2PC3krLucIIi1Szg4MspKely5vyt1+y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kM4J7NYBAACwAwAADgAAAAAAAAABACAAAAAe&#10;AQAAZHJzL2Uyb0RvYy54bWxQSwUGAAAAAAYABgBZAQAAZgUAAAAA&#10;">
              <v:path/>
              <v:fill on="f" focussize="0,0"/>
              <v:stroke on="f"/>
              <v:imagedata o:title=""/>
              <o:lock v:ext="edit" aspectratio="f"/>
              <v:textbox inset="0mm,0mm,0mm,0mm" style="mso-fit-shape-to-text:t;">
                <w:txbxContent>
                  <w:p w14:paraId="428C6EE2">
                    <w:pPr>
                      <w:tabs>
                        <w:tab w:val="center" w:pos="4153"/>
                        <w:tab w:val="right" w:pos="8306"/>
                      </w:tabs>
                    </w:pPr>
                    <w:r>
                      <w:fldChar w:fldCharType="begin"/>
                    </w:r>
                    <w:r>
                      <w:instrText xml:space="preserve">PAGE  </w:instrText>
                    </w:r>
                    <w:r>
                      <w:fldChar w:fldCharType="separate"/>
                    </w:r>
                    <w:r>
                      <w:t>76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AE28F">
    <w:pPr>
      <w:tabs>
        <w:tab w:val="center" w:pos="4153"/>
        <w:tab w:val="right" w:pos="8306"/>
      </w:tabs>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8483537">
                          <w:pPr>
                            <w:tabs>
                              <w:tab w:val="center" w:pos="4153"/>
                              <w:tab w:val="right" w:pos="8306"/>
                            </w:tabs>
                          </w:pPr>
                          <w:r>
                            <w:fldChar w:fldCharType="begin"/>
                          </w:r>
                          <w:r>
                            <w:instrText xml:space="preserve">PAGE  </w:instrText>
                          </w:r>
                          <w:r>
                            <w:fldChar w:fldCharType="separate"/>
                          </w:r>
                          <w:r>
                            <w:t>76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W+pnTXAQAAsAMAAA4AAAAAAAAAAQAgAAAA&#10;HgEAAGRycy9lMm9Eb2MueG1sUEsFBgAAAAAGAAYAWQEAAGcFAAAAAA==&#10;">
              <v:path/>
              <v:fill on="f" focussize="0,0"/>
              <v:stroke on="f"/>
              <v:imagedata o:title=""/>
              <o:lock v:ext="edit" aspectratio="f"/>
              <v:textbox inset="0mm,0mm,0mm,0mm" style="mso-fit-shape-to-text:t;">
                <w:txbxContent>
                  <w:p w14:paraId="08483537">
                    <w:pPr>
                      <w:tabs>
                        <w:tab w:val="center" w:pos="4153"/>
                        <w:tab w:val="right" w:pos="8306"/>
                      </w:tabs>
                    </w:pPr>
                    <w:r>
                      <w:fldChar w:fldCharType="begin"/>
                    </w:r>
                    <w:r>
                      <w:instrText xml:space="preserve">PAGE  </w:instrText>
                    </w:r>
                    <w:r>
                      <w:fldChar w:fldCharType="separate"/>
                    </w:r>
                    <w:r>
                      <w:t>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43EA">
    <w:pPr>
      <w:tabs>
        <w:tab w:val="center" w:pos="4153"/>
        <w:tab w:val="right" w:pos="8306"/>
      </w:tabs>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7835" cy="26289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4C836C16">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0288;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Z/X5tEAAAADAQAADwAAAAAAAAABACAAAAAiAAAAZHJzL2Rv&#10;d25yZXYueG1sUEsBAhQAFAAAAAgAh07iQH07EifPAQAAmQMAAA4AAAAAAAAAAQAgAAAAIAEAAGRy&#10;cy9lMm9Eb2MueG1sUEsFBgAAAAAGAAYAWQEAAGEFAAAAAA==&#10;">
              <v:path/>
              <v:fill on="f" focussize="0,0"/>
              <v:stroke on="f"/>
              <v:imagedata o:title=""/>
              <o:lock v:ext="edit" aspectratio="f"/>
              <v:textbox inset="0mm,0mm,0mm,0mm" style="mso-fit-shape-to-text:t;">
                <w:txbxContent>
                  <w:p w14:paraId="4C836C16">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C6352">
    <w:pPr>
      <w:tabs>
        <w:tab w:val="center" w:pos="4153"/>
        <w:tab w:val="right" w:pos="8306"/>
      </w:tabs>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57835" cy="26289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40988772">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2336;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Gf1+bRAAAAAwEAAA8AAAAAAAAAAQAgAAAAIgAAAGRycy9k&#10;b3ducmV2LnhtbFBLAQIUABQAAAAIAIdO4kBmvxkc0AEAAJkDAAAOAAAAAAAAAAEAIAAAACABAABk&#10;cnMvZTJvRG9jLnhtbFBLBQYAAAAABgAGAFkBAABiBQAAAAA=&#10;">
              <v:path/>
              <v:fill on="f" focussize="0,0"/>
              <v:stroke on="f"/>
              <v:imagedata o:title=""/>
              <o:lock v:ext="edit" aspectratio="f"/>
              <v:textbox inset="0mm,0mm,0mm,0mm" style="mso-fit-shape-to-text:t;">
                <w:txbxContent>
                  <w:p w14:paraId="40988772">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8298">
    <w:pPr>
      <w:tabs>
        <w:tab w:val="center" w:pos="4153"/>
        <w:tab w:val="right" w:pos="8306"/>
      </w:tabs>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57835" cy="2628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7FA52BDB">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1312;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Gf1+bRAAAAAwEAAA8AAAAAAAAAAQAgAAAAIgAAAGRycy9k&#10;b3ducmV2LnhtbFBLAQIUABQAAAAIAIdO4kDS4G2O0AEAAJkDAAAOAAAAAAAAAAEAIAAAACABAABk&#10;cnMvZTJvRG9jLnhtbFBLBQYAAAAABgAGAFkBAABiBQAAAAA=&#10;">
              <v:path/>
              <v:fill on="f" focussize="0,0"/>
              <v:stroke on="f"/>
              <v:imagedata o:title=""/>
              <o:lock v:ext="edit" aspectratio="f"/>
              <v:textbox inset="0mm,0mm,0mm,0mm" style="mso-fit-shape-to-text:t;">
                <w:txbxContent>
                  <w:p w14:paraId="7FA52BDB">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9188">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A1CD9">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A6CF">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28A9">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0E056">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BC8F5C"/>
    <w:multiLevelType w:val="singleLevel"/>
    <w:tmpl w:val="C6BC8F5C"/>
    <w:lvl w:ilvl="0" w:tentative="0">
      <w:start w:val="1"/>
      <w:numFmt w:val="decimal"/>
      <w:suff w:val="nothing"/>
      <w:lvlText w:val="（%1）"/>
      <w:lvlJc w:val="left"/>
    </w:lvl>
  </w:abstractNum>
  <w:abstractNum w:abstractNumId="1">
    <w:nsid w:val="D863C387"/>
    <w:multiLevelType w:val="singleLevel"/>
    <w:tmpl w:val="D863C387"/>
    <w:lvl w:ilvl="0" w:tentative="0">
      <w:start w:val="1"/>
      <w:numFmt w:val="decimal"/>
      <w:suff w:val="nothing"/>
      <w:lvlText w:val="（%1）"/>
      <w:lvlJc w:val="left"/>
    </w:lvl>
  </w:abstractNum>
  <w:abstractNum w:abstractNumId="2">
    <w:nsid w:val="E48957D8"/>
    <w:multiLevelType w:val="singleLevel"/>
    <w:tmpl w:val="E48957D8"/>
    <w:lvl w:ilvl="0" w:tentative="0">
      <w:start w:val="2"/>
      <w:numFmt w:val="decimal"/>
      <w:suff w:val="nothing"/>
      <w:lvlText w:val="（%1）"/>
      <w:lvlJc w:val="left"/>
    </w:lvl>
  </w:abstractNum>
  <w:abstractNum w:abstractNumId="3">
    <w:nsid w:val="25B38D29"/>
    <w:multiLevelType w:val="singleLevel"/>
    <w:tmpl w:val="25B38D29"/>
    <w:lvl w:ilvl="0" w:tentative="0">
      <w:start w:val="2"/>
      <w:numFmt w:val="decimal"/>
      <w:suff w:val="nothing"/>
      <w:lvlText w:val="（%1）"/>
      <w:lvlJc w:val="left"/>
    </w:lvl>
  </w:abstractNum>
  <w:abstractNum w:abstractNumId="4">
    <w:nsid w:val="2DD686C6"/>
    <w:multiLevelType w:val="singleLevel"/>
    <w:tmpl w:val="2DD686C6"/>
    <w:lvl w:ilvl="0" w:tentative="0">
      <w:start w:val="3"/>
      <w:numFmt w:val="decimal"/>
      <w:suff w:val="nothing"/>
      <w:lvlText w:val="（%1）"/>
      <w:lvlJc w:val="left"/>
    </w:lvl>
  </w:abstractNum>
  <w:abstractNum w:abstractNumId="5">
    <w:nsid w:val="2E59DB79"/>
    <w:multiLevelType w:val="singleLevel"/>
    <w:tmpl w:val="2E59DB79"/>
    <w:lvl w:ilvl="0" w:tentative="0">
      <w:start w:val="1"/>
      <w:numFmt w:val="decimal"/>
      <w:suff w:val="nothing"/>
      <w:lvlText w:val="（%1）"/>
      <w:lvlJc w:val="left"/>
    </w:lvl>
  </w:abstractNum>
  <w:abstractNum w:abstractNumId="6">
    <w:nsid w:val="62D2D18D"/>
    <w:multiLevelType w:val="singleLevel"/>
    <w:tmpl w:val="62D2D18D"/>
    <w:lvl w:ilvl="0" w:tentative="0">
      <w:start w:val="5"/>
      <w:numFmt w:val="decimal"/>
      <w:suff w:val="nothing"/>
      <w:lvlText w:val="（%1）"/>
      <w:lvlJc w:val="left"/>
    </w:lvl>
  </w:abstractNum>
  <w:num w:numId="1">
    <w:abstractNumId w:val="6"/>
  </w:num>
  <w:num w:numId="2">
    <w:abstractNumId w:val="5"/>
  </w:num>
  <w:num w:numId="3">
    <w:abstractNumId w:val="1"/>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615BB6"/>
    <w:rsid w:val="039D676C"/>
    <w:rsid w:val="7E615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6">
    <w:name w:val="heading 1"/>
    <w:basedOn w:val="1"/>
    <w:next w:val="1"/>
    <w:link w:val="51"/>
    <w:qFormat/>
    <w:uiPriority w:val="0"/>
    <w:pPr>
      <w:keepNext/>
      <w:keepLines/>
      <w:widowControl w:val="0"/>
      <w:suppressLineNumbers w:val="0"/>
      <w:spacing w:before="480" w:beforeAutospacing="0" w:after="600" w:afterAutospacing="0" w:line="576" w:lineRule="auto"/>
      <w:ind w:left="0" w:right="0"/>
      <w:jc w:val="center"/>
      <w:outlineLvl w:val="0"/>
    </w:pPr>
    <w:rPr>
      <w:rFonts w:ascii="Times New Roman" w:hAnsi="Times New Roman" w:eastAsia="宋体"/>
      <w:b/>
      <w:kern w:val="44"/>
      <w:sz w:val="36"/>
      <w:szCs w:val="44"/>
    </w:rPr>
  </w:style>
  <w:style w:type="paragraph" w:styleId="7">
    <w:name w:val="heading 2"/>
    <w:basedOn w:val="1"/>
    <w:next w:val="1"/>
    <w:qFormat/>
    <w:uiPriority w:val="0"/>
    <w:pPr>
      <w:keepNext/>
      <w:keepLines/>
      <w:widowControl w:val="0"/>
      <w:suppressLineNumbers w:val="0"/>
      <w:spacing w:before="20" w:beforeAutospacing="0" w:after="20" w:afterAutospacing="0" w:line="415" w:lineRule="auto"/>
      <w:ind w:left="0" w:right="0"/>
      <w:jc w:val="both"/>
      <w:outlineLvl w:val="1"/>
    </w:pPr>
    <w:rPr>
      <w:rFonts w:ascii="Cambria" w:hAnsi="Cambria" w:eastAsia="宋体"/>
      <w:b/>
      <w:sz w:val="32"/>
      <w:szCs w:val="32"/>
    </w:rPr>
  </w:style>
  <w:style w:type="paragraph" w:styleId="8">
    <w:name w:val="heading 3"/>
    <w:basedOn w:val="7"/>
    <w:next w:val="1"/>
    <w:qFormat/>
    <w:uiPriority w:val="0"/>
    <w:pPr>
      <w:keepNext/>
      <w:keepLines/>
      <w:widowControl w:val="0"/>
      <w:suppressLineNumbers w:val="0"/>
      <w:spacing w:before="20" w:beforeAutospacing="0" w:after="20" w:afterAutospacing="0" w:line="240" w:lineRule="auto"/>
      <w:ind w:left="0" w:right="0"/>
      <w:jc w:val="both"/>
      <w:outlineLvl w:val="2"/>
    </w:pPr>
    <w:rPr>
      <w:rFonts w:ascii="Times New Roman" w:hAnsi="Times New Roman" w:eastAsia="宋体"/>
      <w:sz w:val="30"/>
      <w:szCs w:val="32"/>
    </w:rPr>
  </w:style>
  <w:style w:type="paragraph" w:styleId="9">
    <w:name w:val="heading 4"/>
    <w:basedOn w:val="1"/>
    <w:next w:val="1"/>
    <w:semiHidden/>
    <w:unhideWhenUsed/>
    <w:qFormat/>
    <w:uiPriority w:val="0"/>
    <w:pPr>
      <w:keepNext/>
      <w:keepLines/>
      <w:spacing w:beforeLines="0" w:beforeAutospacing="0" w:afterLines="0" w:afterAutospacing="0" w:line="360" w:lineRule="auto"/>
      <w:outlineLvl w:val="3"/>
    </w:pPr>
    <w:rPr>
      <w:rFonts w:ascii="Arial" w:hAnsi="Arial" w:eastAsia="宋体" w:cs="Times New Roman"/>
      <w:b/>
      <w:sz w:val="24"/>
    </w:rPr>
  </w:style>
  <w:style w:type="character" w:default="1" w:styleId="18">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rPr>
      <w:rFonts w:ascii="宋体"/>
      <w:sz w:val="18"/>
      <w:szCs w:val="20"/>
    </w:rPr>
  </w:style>
  <w:style w:type="paragraph" w:customStyle="1" w:styleId="3">
    <w:name w:val="xl27"/>
    <w:basedOn w:val="4"/>
    <w:next w:val="5"/>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table of authorities"/>
    <w:basedOn w:val="1"/>
    <w:next w:val="1"/>
    <w:qFormat/>
    <w:uiPriority w:val="0"/>
    <w:pPr>
      <w:ind w:left="420" w:leftChars="200"/>
    </w:pPr>
  </w:style>
  <w:style w:type="paragraph" w:styleId="5">
    <w:name w:val="Body Text Indent 2"/>
    <w:basedOn w:val="1"/>
    <w:next w:val="1"/>
    <w:unhideWhenUsed/>
    <w:qFormat/>
    <w:uiPriority w:val="99"/>
    <w:pPr>
      <w:spacing w:beforeLines="0" w:after="120" w:afterLines="0" w:line="480" w:lineRule="auto"/>
      <w:ind w:left="420" w:leftChars="200"/>
    </w:pPr>
    <w:rPr>
      <w:rFonts w:hint="default"/>
      <w:sz w:val="21"/>
      <w:szCs w:val="24"/>
    </w:rPr>
  </w:style>
  <w:style w:type="paragraph" w:styleId="10">
    <w:name w:val="Normal Indent"/>
    <w:basedOn w:val="1"/>
    <w:next w:val="1"/>
    <w:unhideWhenUsed/>
    <w:qFormat/>
    <w:uiPriority w:val="0"/>
    <w:pPr>
      <w:ind w:firstLine="420" w:firstLineChars="200"/>
    </w:pPr>
  </w:style>
  <w:style w:type="paragraph" w:styleId="11">
    <w:name w:val="toc 3"/>
    <w:basedOn w:val="1"/>
    <w:next w:val="1"/>
    <w:qFormat/>
    <w:uiPriority w:val="0"/>
    <w:pPr>
      <w:ind w:left="840" w:leftChars="400"/>
    </w:pPr>
  </w:style>
  <w:style w:type="paragraph" w:styleId="12">
    <w:name w:val="Plain Text"/>
    <w:basedOn w:val="1"/>
    <w:qFormat/>
    <w:uiPriority w:val="0"/>
    <w:pPr>
      <w:adjustRightInd w:val="0"/>
      <w:snapToGrid w:val="0"/>
    </w:pPr>
    <w:rPr>
      <w:rFonts w:hint="eastAsia" w:ascii="宋体" w:hAnsi="Courier New"/>
      <w:kern w:val="0"/>
    </w:rPr>
  </w:style>
  <w:style w:type="paragraph" w:styleId="13">
    <w:name w:val="toc 1"/>
    <w:basedOn w:val="1"/>
    <w:next w:val="1"/>
    <w:qFormat/>
    <w:uiPriority w:val="0"/>
  </w:style>
  <w:style w:type="paragraph" w:styleId="14">
    <w:name w:val="toc 2"/>
    <w:basedOn w:val="1"/>
    <w:next w:val="1"/>
    <w:uiPriority w:val="0"/>
    <w:pPr>
      <w:ind w:left="420" w:leftChars="200"/>
    </w:pPr>
  </w:style>
  <w:style w:type="paragraph" w:styleId="15">
    <w:name w:val="Body Text First Indent"/>
    <w:basedOn w:val="2"/>
    <w:next w:val="1"/>
    <w:qFormat/>
    <w:uiPriority w:val="0"/>
    <w:pPr>
      <w:spacing w:line="500" w:lineRule="exact"/>
      <w:ind w:firstLine="493"/>
    </w:pPr>
    <w:rPr>
      <w:rFonts w:ascii="Times New Roman" w:hAnsi="Times New Roman"/>
      <w:spacing w:val="6"/>
      <w:kern w:val="24"/>
      <w:sz w:val="26"/>
      <w:szCs w:val="20"/>
    </w:r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文章正文"/>
    <w:basedOn w:val="1"/>
    <w:qFormat/>
    <w:uiPriority w:val="0"/>
    <w:pPr>
      <w:spacing w:before="156" w:beforeLines="50" w:after="156" w:afterLines="50" w:line="360" w:lineRule="auto"/>
      <w:ind w:firstLine="480" w:firstLineChars="200"/>
    </w:pPr>
    <w:rPr>
      <w:rFonts w:ascii="宋体" w:hAnsi="宋体"/>
      <w:sz w:val="24"/>
      <w:szCs w:val="24"/>
    </w:rPr>
  </w:style>
  <w:style w:type="paragraph" w:customStyle="1" w:styleId="20">
    <w:name w:val="Normal (Web)"/>
    <w:basedOn w:val="1"/>
    <w:qFormat/>
    <w:uiPriority w:val="0"/>
    <w:pPr>
      <w:widowControl/>
      <w:spacing w:before="100" w:beforeAutospacing="1" w:after="100" w:afterAutospacing="1"/>
      <w:jc w:val="left"/>
    </w:pPr>
    <w:rPr>
      <w:rFonts w:ascii="宋体" w:hAnsi="宋体"/>
      <w:sz w:val="24"/>
    </w:rPr>
  </w:style>
  <w:style w:type="paragraph" w:customStyle="1" w:styleId="21">
    <w:name w:val="正文1"/>
    <w:basedOn w:val="12"/>
    <w:next w:val="1"/>
    <w:link w:val="52"/>
    <w:qFormat/>
    <w:uiPriority w:val="0"/>
    <w:pPr>
      <w:spacing w:line="360" w:lineRule="auto"/>
      <w:ind w:firstLine="723" w:firstLineChars="200"/>
    </w:pPr>
    <w:rPr>
      <w:rFonts w:ascii="Times New Roman" w:hAnsi="Times New Roman" w:eastAsia="宋体"/>
      <w:sz w:val="24"/>
    </w:rPr>
  </w:style>
  <w:style w:type="paragraph" w:customStyle="1" w:styleId="22">
    <w:name w:val="表格的标题"/>
    <w:basedOn w:val="1"/>
    <w:link w:val="48"/>
    <w:qFormat/>
    <w:uiPriority w:val="1"/>
    <w:pPr>
      <w:tabs>
        <w:tab w:val="left" w:pos="1021"/>
      </w:tabs>
      <w:adjustRightInd w:val="0"/>
      <w:spacing w:after="10" w:afterLines="10" w:line="240" w:lineRule="auto"/>
      <w:jc w:val="center"/>
      <w:textAlignment w:val="baseline"/>
    </w:pPr>
    <w:rPr>
      <w:b/>
      <w:color w:val="000000"/>
      <w:kern w:val="24"/>
      <w:sz w:val="21"/>
      <w:szCs w:val="21"/>
    </w:rPr>
  </w:style>
  <w:style w:type="paragraph" w:customStyle="1" w:styleId="23">
    <w:name w:val="表图标题"/>
    <w:basedOn w:val="1"/>
    <w:qFormat/>
    <w:uiPriority w:val="0"/>
    <w:pPr>
      <w:spacing w:line="240" w:lineRule="auto"/>
      <w:jc w:val="center"/>
    </w:pPr>
    <w:rPr>
      <w:rFonts w:ascii="Times New Roman" w:hAnsi="Times New Roman" w:eastAsia="宋体"/>
      <w:b/>
      <w:bCs/>
      <w:sz w:val="21"/>
    </w:rPr>
  </w:style>
  <w:style w:type="paragraph" w:customStyle="1" w:styleId="24">
    <w:name w:val="表文字"/>
    <w:basedOn w:val="23"/>
    <w:qFormat/>
    <w:uiPriority w:val="0"/>
    <w:pPr>
      <w:widowControl/>
      <w:spacing w:line="240" w:lineRule="auto"/>
      <w:textAlignment w:val="baseline"/>
    </w:pPr>
    <w:rPr>
      <w:rFonts w:ascii="Times New Roman" w:hAnsi="Times New Roman" w:eastAsia="宋体" w:cs="Times New Roman"/>
      <w:b w:val="0"/>
      <w:color w:val="000000"/>
      <w:kern w:val="0"/>
      <w:szCs w:val="21"/>
    </w:rPr>
  </w:style>
  <w:style w:type="paragraph" w:customStyle="1" w:styleId="25">
    <w:name w:val="表字体"/>
    <w:basedOn w:val="1"/>
    <w:next w:val="1"/>
    <w:qFormat/>
    <w:uiPriority w:val="0"/>
    <w:pPr>
      <w:jc w:val="center"/>
    </w:pPr>
    <w:rPr>
      <w:rFonts w:ascii="Times New Roman" w:hAnsi="Times New Roman" w:eastAsia="宋体"/>
    </w:rPr>
  </w:style>
  <w:style w:type="paragraph" w:customStyle="1" w:styleId="26">
    <w:name w:val="表格内容"/>
    <w:basedOn w:val="10"/>
    <w:next w:val="27"/>
    <w:qFormat/>
    <w:uiPriority w:val="0"/>
    <w:pPr>
      <w:jc w:val="center"/>
    </w:pPr>
    <w:rPr>
      <w:rFonts w:ascii="Times New Roman" w:hAnsi="Times New Roman" w:eastAsia="宋体" w:cs="Times New Roman"/>
      <w:sz w:val="21"/>
      <w:lang w:val="en-US" w:eastAsia="zh-CN" w:bidi="ar-SA"/>
    </w:rPr>
  </w:style>
  <w:style w:type="paragraph" w:customStyle="1" w:styleId="27">
    <w:name w:val="表格表头"/>
    <w:basedOn w:val="1"/>
    <w:qFormat/>
    <w:uiPriority w:val="0"/>
    <w:pPr>
      <w:adjustRightInd w:val="0"/>
      <w:snapToGrid w:val="0"/>
      <w:spacing w:line="240" w:lineRule="auto"/>
      <w:ind w:firstLine="0" w:firstLineChars="0"/>
      <w:jc w:val="center"/>
    </w:pPr>
    <w:rPr>
      <w:b/>
      <w:sz w:val="21"/>
    </w:rPr>
  </w:style>
  <w:style w:type="paragraph" w:customStyle="1" w:styleId="28">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29">
    <w:name w:val="表标题"/>
    <w:basedOn w:val="30"/>
    <w:link w:val="41"/>
    <w:qFormat/>
    <w:uiPriority w:val="0"/>
    <w:pPr>
      <w:jc w:val="center"/>
    </w:pPr>
    <w:rPr>
      <w:rFonts w:ascii="Times New Roman" w:hAnsi="Times New Roman" w:eastAsia="宋体"/>
      <w:b/>
    </w:rPr>
  </w:style>
  <w:style w:type="paragraph" w:customStyle="1" w:styleId="30">
    <w:name w:val="正文01"/>
    <w:basedOn w:val="1"/>
    <w:qFormat/>
    <w:uiPriority w:val="0"/>
    <w:pPr>
      <w:adjustRightInd w:val="0"/>
      <w:spacing w:line="520" w:lineRule="exact"/>
      <w:ind w:firstLine="527" w:firstLineChars="0"/>
      <w:textAlignment w:val="baseline"/>
    </w:pPr>
    <w:rPr>
      <w:rFonts w:ascii="Times New Roman" w:hAnsi="Times New Roman" w:eastAsia="宋体" w:cs="Times New Roman"/>
      <w:bCs/>
      <w:sz w:val="24"/>
    </w:rPr>
  </w:style>
  <w:style w:type="paragraph" w:customStyle="1" w:styleId="31">
    <w:name w:val="表格题目"/>
    <w:basedOn w:val="32"/>
    <w:qFormat/>
    <w:uiPriority w:val="0"/>
    <w:rPr>
      <w:b/>
    </w:rPr>
  </w:style>
  <w:style w:type="paragraph" w:customStyle="1" w:styleId="32">
    <w:name w:val="表格正文"/>
    <w:basedOn w:val="1"/>
    <w:qFormat/>
    <w:uiPriority w:val="0"/>
    <w:pPr>
      <w:spacing w:line="240" w:lineRule="auto"/>
      <w:jc w:val="center"/>
    </w:pPr>
    <w:rPr>
      <w:rFonts w:ascii="Times New Roman" w:hAnsi="Times New Roman"/>
      <w:sz w:val="21"/>
    </w:rPr>
  </w:style>
  <w:style w:type="paragraph" w:customStyle="1" w:styleId="33">
    <w:name w:val="lh-正文-报告书"/>
    <w:qFormat/>
    <w:uiPriority w:val="0"/>
    <w:pPr>
      <w:widowControl w:val="0"/>
      <w:spacing w:line="480" w:lineRule="exact"/>
      <w:ind w:firstLine="482" w:firstLineChars="200"/>
      <w:jc w:val="both"/>
    </w:pPr>
    <w:rPr>
      <w:rFonts w:ascii="Times New Roman" w:hAnsi="Times New Roman" w:eastAsia="宋体" w:cs="Times New Roman"/>
      <w:snapToGrid w:val="0"/>
      <w:sz w:val="24"/>
      <w:szCs w:val="21"/>
      <w:lang w:val="en-US" w:eastAsia="zh-CN" w:bidi="ar-SA"/>
    </w:rPr>
  </w:style>
  <w:style w:type="table" w:customStyle="1" w:styleId="34">
    <w:name w:val="网格型: 小４单中281"/>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正文1xw"/>
    <w:basedOn w:val="1"/>
    <w:next w:val="1"/>
    <w:qFormat/>
    <w:uiPriority w:val="0"/>
    <w:pPr>
      <w:spacing w:line="360" w:lineRule="auto"/>
      <w:ind w:firstLine="723" w:firstLineChars="200"/>
    </w:pPr>
    <w:rPr>
      <w:rFonts w:ascii="Times New Roman" w:hAnsi="Times New Roman" w:eastAsia="宋体"/>
      <w:sz w:val="24"/>
    </w:rPr>
  </w:style>
  <w:style w:type="paragraph" w:customStyle="1" w:styleId="36">
    <w:name w:val="表标题xw"/>
    <w:basedOn w:val="1"/>
    <w:qFormat/>
    <w:uiPriority w:val="0"/>
    <w:pPr>
      <w:spacing w:line="240" w:lineRule="auto"/>
      <w:jc w:val="center"/>
    </w:pPr>
    <w:rPr>
      <w:rFonts w:ascii="Times New Roman" w:hAnsi="Times New Roman" w:eastAsia="宋体"/>
      <w:b/>
    </w:rPr>
  </w:style>
  <w:style w:type="paragraph" w:customStyle="1" w:styleId="37">
    <w:name w:val="表字体xw"/>
    <w:basedOn w:val="1"/>
    <w:next w:val="1"/>
    <w:qFormat/>
    <w:uiPriority w:val="0"/>
    <w:pPr>
      <w:spacing w:line="240" w:lineRule="auto"/>
      <w:jc w:val="center"/>
    </w:pPr>
    <w:rPr>
      <w:rFonts w:ascii="Times New Roman" w:hAnsi="Times New Roman" w:eastAsia="宋体"/>
    </w:rPr>
  </w:style>
  <w:style w:type="paragraph" w:customStyle="1" w:styleId="38">
    <w:name w:val="表格五号"/>
    <w:basedOn w:val="1"/>
    <w:qFormat/>
    <w:uiPriority w:val="0"/>
    <w:pPr>
      <w:spacing w:line="240" w:lineRule="auto"/>
      <w:ind w:firstLine="0" w:firstLineChars="0"/>
      <w:jc w:val="center"/>
    </w:pPr>
    <w:rPr>
      <w:sz w:val="21"/>
    </w:rPr>
  </w:style>
  <w:style w:type="paragraph" w:customStyle="1" w:styleId="39">
    <w:name w:val="表格文字"/>
    <w:basedOn w:val="15"/>
    <w:qFormat/>
    <w:uiPriority w:val="0"/>
    <w:pPr>
      <w:adjustRightInd w:val="0"/>
      <w:snapToGrid w:val="0"/>
      <w:spacing w:after="0" w:afterLines="0" w:line="240" w:lineRule="auto"/>
      <w:ind w:firstLine="0" w:firstLineChars="0"/>
      <w:jc w:val="center"/>
    </w:pPr>
    <w:rPr>
      <w:rFonts w:ascii="Times New Roman" w:hAnsi="Times New Roman" w:eastAsia="宋体" w:cs="Times New Roman"/>
      <w:sz w:val="21"/>
      <w:szCs w:val="21"/>
    </w:rPr>
  </w:style>
  <w:style w:type="paragraph" w:customStyle="1" w:styleId="40">
    <w:name w:val="报告表正文"/>
    <w:basedOn w:val="1"/>
    <w:qFormat/>
    <w:uiPriority w:val="0"/>
    <w:pPr>
      <w:spacing w:line="360" w:lineRule="auto"/>
      <w:ind w:firstLine="200" w:firstLineChars="200"/>
    </w:pPr>
    <w:rPr>
      <w:rFonts w:ascii="Times New Roman" w:hAnsi="Times New Roman"/>
      <w:kern w:val="0"/>
      <w:sz w:val="24"/>
      <w:szCs w:val="20"/>
    </w:rPr>
  </w:style>
  <w:style w:type="character" w:customStyle="1" w:styleId="41">
    <w:name w:val="表标题 Char"/>
    <w:link w:val="29"/>
    <w:qFormat/>
    <w:uiPriority w:val="0"/>
    <w:rPr>
      <w:rFonts w:ascii="Times New Roman" w:hAnsi="Times New Roman" w:eastAsia="宋体"/>
      <w:b/>
    </w:rPr>
  </w:style>
  <w:style w:type="paragraph" w:customStyle="1" w:styleId="42">
    <w:name w:val="Table Paragraph"/>
    <w:basedOn w:val="1"/>
    <w:qFormat/>
    <w:uiPriority w:val="1"/>
    <w:pPr>
      <w:jc w:val="center"/>
    </w:pPr>
    <w:rPr>
      <w:rFonts w:ascii="宋体" w:hAnsi="宋体" w:eastAsia="宋体" w:cs="宋体"/>
      <w:lang w:val="zh-CN" w:eastAsia="zh-CN" w:bidi="zh-CN"/>
    </w:rPr>
  </w:style>
  <w:style w:type="table" w:customStyle="1" w:styleId="43">
    <w:name w:val="Table Normal"/>
    <w:unhideWhenUsed/>
    <w:qFormat/>
    <w:uiPriority w:val="2"/>
    <w:tblPr>
      <w:tblCellMar>
        <w:top w:w="0" w:type="dxa"/>
        <w:left w:w="0" w:type="dxa"/>
        <w:bottom w:w="0" w:type="dxa"/>
        <w:right w:w="0" w:type="dxa"/>
      </w:tblCellMar>
    </w:tblPr>
  </w:style>
  <w:style w:type="paragraph" w:styleId="44">
    <w:name w:val="List Paragraph"/>
    <w:basedOn w:val="1"/>
    <w:qFormat/>
    <w:uiPriority w:val="34"/>
    <w:pPr>
      <w:ind w:firstLine="420" w:firstLineChars="200"/>
    </w:pPr>
  </w:style>
  <w:style w:type="paragraph" w:customStyle="1" w:styleId="45">
    <w:name w:val="表题、图题"/>
    <w:basedOn w:val="1"/>
    <w:next w:val="1"/>
    <w:qFormat/>
    <w:uiPriority w:val="0"/>
    <w:pPr>
      <w:ind w:firstLine="0" w:firstLineChars="0"/>
      <w:jc w:val="center"/>
    </w:pPr>
    <w:rPr>
      <w:b/>
    </w:rPr>
  </w:style>
  <w:style w:type="character" w:customStyle="1" w:styleId="46">
    <w:name w:val="font01"/>
    <w:basedOn w:val="18"/>
    <w:qFormat/>
    <w:uiPriority w:val="0"/>
    <w:rPr>
      <w:rFonts w:hint="eastAsia" w:ascii="宋体" w:hAnsi="宋体" w:eastAsia="宋体" w:cs="宋体"/>
      <w:color w:val="000000"/>
      <w:sz w:val="24"/>
      <w:szCs w:val="24"/>
      <w:u w:val="none"/>
    </w:rPr>
  </w:style>
  <w:style w:type="character" w:customStyle="1" w:styleId="47">
    <w:name w:val="font421"/>
    <w:basedOn w:val="18"/>
    <w:qFormat/>
    <w:uiPriority w:val="0"/>
    <w:rPr>
      <w:rFonts w:hint="eastAsia" w:ascii="宋体" w:hAnsi="宋体" w:eastAsia="宋体" w:cs="宋体"/>
      <w:color w:val="000000"/>
      <w:sz w:val="22"/>
      <w:szCs w:val="22"/>
      <w:u w:val="none"/>
    </w:rPr>
  </w:style>
  <w:style w:type="character" w:customStyle="1" w:styleId="48">
    <w:name w:val="表格的标题 Char"/>
    <w:link w:val="22"/>
    <w:qFormat/>
    <w:uiPriority w:val="1"/>
    <w:rPr>
      <w:b/>
      <w:color w:val="000000"/>
      <w:kern w:val="24"/>
      <w:sz w:val="21"/>
      <w:szCs w:val="21"/>
    </w:rPr>
  </w:style>
  <w:style w:type="character" w:customStyle="1" w:styleId="49">
    <w:name w:val="font491"/>
    <w:basedOn w:val="18"/>
    <w:qFormat/>
    <w:uiPriority w:val="0"/>
    <w:rPr>
      <w:rFonts w:hint="default" w:ascii="Times New Roman" w:hAnsi="Times New Roman" w:cs="Times New Roman"/>
      <w:b/>
      <w:color w:val="FF0000"/>
      <w:sz w:val="20"/>
      <w:szCs w:val="20"/>
      <w:u w:val="none"/>
    </w:rPr>
  </w:style>
  <w:style w:type="character" w:customStyle="1" w:styleId="50">
    <w:name w:val="font481"/>
    <w:basedOn w:val="18"/>
    <w:qFormat/>
    <w:uiPriority w:val="0"/>
    <w:rPr>
      <w:rFonts w:hint="default" w:ascii="Times New Roman" w:hAnsi="Times New Roman" w:cs="Times New Roman"/>
      <w:b/>
      <w:color w:val="FF0000"/>
      <w:sz w:val="20"/>
      <w:szCs w:val="20"/>
      <w:u w:val="none"/>
      <w:vertAlign w:val="superscript"/>
    </w:rPr>
  </w:style>
  <w:style w:type="character" w:customStyle="1" w:styleId="51">
    <w:name w:val="标题 1 Char"/>
    <w:link w:val="6"/>
    <w:qFormat/>
    <w:uiPriority w:val="0"/>
    <w:rPr>
      <w:rFonts w:ascii="Times New Roman" w:hAnsi="Times New Roman" w:eastAsia="宋体"/>
      <w:b/>
      <w:kern w:val="44"/>
      <w:sz w:val="36"/>
      <w:szCs w:val="44"/>
    </w:rPr>
  </w:style>
  <w:style w:type="character" w:customStyle="1" w:styleId="52">
    <w:name w:val="正文1 Char"/>
    <w:link w:val="21"/>
    <w:qFormat/>
    <w:uiPriority w:val="0"/>
    <w:rPr>
      <w:rFonts w:ascii="Times New Roman" w:hAnsi="Times New Roman" w:eastAsia="宋体"/>
      <w:sz w:val="24"/>
    </w:rPr>
  </w:style>
  <w:style w:type="paragraph" w:customStyle="1" w:styleId="53">
    <w:name w:val="表格正文111"/>
    <w:basedOn w:val="45"/>
    <w:qFormat/>
    <w:uiPriority w:val="0"/>
    <w:pPr>
      <w:snapToGrid w:val="0"/>
      <w:spacing w:line="240" w:lineRule="auto"/>
    </w:pPr>
    <w:rPr>
      <w:b w:val="0"/>
      <w:sz w:val="21"/>
    </w:rPr>
  </w:style>
  <w:style w:type="paragraph" w:customStyle="1" w:styleId="54">
    <w:name w:val="段落"/>
    <w:basedOn w:val="1"/>
    <w:qFormat/>
    <w:uiPriority w:val="0"/>
    <w:pPr>
      <w:tabs>
        <w:tab w:val="left" w:pos="1021"/>
      </w:tabs>
      <w:spacing w:line="520" w:lineRule="exact"/>
      <w:ind w:firstLine="480" w:firstLineChars="200"/>
    </w:pPr>
    <w:rPr>
      <w:rFonts w:hAnsi="宋体"/>
      <w:kern w:val="24"/>
      <w:sz w:val="24"/>
      <w:szCs w:val="24"/>
    </w:rPr>
  </w:style>
  <w:style w:type="paragraph" w:customStyle="1" w:styleId="55">
    <w:name w:val="报告书内容"/>
    <w:basedOn w:val="1"/>
    <w:qFormat/>
    <w:uiPriority w:val="0"/>
    <w:pPr>
      <w:ind w:firstLine="200" w:firstLineChars="200"/>
    </w:pPr>
    <w:rPr>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header" Target="header2.xml"/><Relationship Id="rId49" Type="http://schemas.openxmlformats.org/officeDocument/2006/relationships/image" Target="media/image24.wmf"/><Relationship Id="rId48" Type="http://schemas.openxmlformats.org/officeDocument/2006/relationships/oleObject" Target="embeddings/oleObject11.bin"/><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wmf"/><Relationship Id="rId44" Type="http://schemas.openxmlformats.org/officeDocument/2006/relationships/oleObject" Target="embeddings/oleObject10.bin"/><Relationship Id="rId43" Type="http://schemas.openxmlformats.org/officeDocument/2006/relationships/image" Target="media/image20.wmf"/><Relationship Id="rId42" Type="http://schemas.openxmlformats.org/officeDocument/2006/relationships/oleObject" Target="embeddings/oleObject9.bin"/><Relationship Id="rId41" Type="http://schemas.openxmlformats.org/officeDocument/2006/relationships/image" Target="media/image19.wmf"/><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8.bin"/><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emf"/><Relationship Id="rId34" Type="http://schemas.openxmlformats.org/officeDocument/2006/relationships/oleObject" Target="embeddings/oleObject7.bin"/><Relationship Id="rId33" Type="http://schemas.openxmlformats.org/officeDocument/2006/relationships/image" Target="media/image13.emf"/><Relationship Id="rId32" Type="http://schemas.openxmlformats.org/officeDocument/2006/relationships/oleObject" Target="embeddings/oleObject6.bin"/><Relationship Id="rId31" Type="http://schemas.openxmlformats.org/officeDocument/2006/relationships/image" Target="media/image12.e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oleObject" Target="embeddings/oleObject3.bin"/><Relationship Id="rId25" Type="http://schemas.openxmlformats.org/officeDocument/2006/relationships/image" Target="media/image9.wmf"/><Relationship Id="rId24" Type="http://schemas.openxmlformats.org/officeDocument/2006/relationships/oleObject" Target="embeddings/oleObject2.bin"/><Relationship Id="rId23" Type="http://schemas.openxmlformats.org/officeDocument/2006/relationships/image" Target="media/image8.emf"/><Relationship Id="rId22" Type="http://schemas.openxmlformats.org/officeDocument/2006/relationships/oleObject" Target="embeddings/oleObject1.bin"/><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193</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2026-01-19T00:21:00Z</dcterms:created>
  <dc:creator>安*</dc:creator>
  <cp:lastModifiedBy>安*</cp:lastModifiedBy>
  <dcterms:modified xsi:type="dcterms:W3CDTF">2026-01-19T00:26:09Z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9A45D28AF8794A29B8CD37503DB416BE_11</vt:lpwstr>
  </property>
  <property fmtid="{D5CDD505-2E9C-101B-9397-08002B2CF9AE}" pid="4" name="KSOTemplateDocerSaveRecord">
    <vt:lpwstr>eyJoZGlkIjoiMTQ0ZjMxZjA3NDZjMWE5ZTE3NmUxNjQ0OThkM2ZjZDEiLCJ1c2VySWQiOiI0MDgzMjIxNTQifQ==</vt:lpwstr>
  </property>
</Properties>
</file>