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6FFFB">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5138ED55">
      <w:pPr>
        <w:jc w:val="center"/>
        <w:rPr>
          <w:rFonts w:hint="default" w:ascii="Times New Roman" w:hAnsi="Times New Roman" w:eastAsia="方正小标宋_GBK" w:cs="Times New Roman"/>
          <w:sz w:val="52"/>
          <w:szCs w:val="52"/>
          <w:highlight w:val="none"/>
        </w:rPr>
      </w:pPr>
    </w:p>
    <w:p w14:paraId="76380C6F">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岳阳市社会福利院</w:t>
      </w:r>
      <w:r>
        <w:rPr>
          <w:rFonts w:hint="eastAsia" w:ascii="方正小标宋简体" w:hAnsi="方正小标宋简体" w:eastAsia="方正小标宋简体" w:cs="方正小标宋简体"/>
          <w:sz w:val="44"/>
          <w:szCs w:val="44"/>
          <w:highlight w:val="none"/>
        </w:rPr>
        <w:t>整体支出</w:t>
      </w:r>
    </w:p>
    <w:p w14:paraId="2BBDB3BD">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bookmarkStart w:id="0" w:name="_GoBack"/>
      <w:bookmarkEnd w:id="0"/>
    </w:p>
    <w:p w14:paraId="37FF3E26">
      <w:pPr>
        <w:jc w:val="center"/>
        <w:rPr>
          <w:rFonts w:hint="default" w:ascii="Times New Roman" w:hAnsi="Times New Roman" w:eastAsia="方正小标宋_GBK" w:cs="Times New Roman"/>
          <w:b/>
          <w:sz w:val="52"/>
          <w:szCs w:val="52"/>
          <w:highlight w:val="none"/>
        </w:rPr>
      </w:pPr>
    </w:p>
    <w:p w14:paraId="4FCA3A1B">
      <w:pPr>
        <w:jc w:val="center"/>
        <w:rPr>
          <w:rFonts w:hint="default" w:ascii="Times New Roman" w:hAnsi="Times New Roman" w:eastAsia="楷体_GB2312" w:cs="Times New Roman"/>
          <w:b/>
          <w:sz w:val="32"/>
          <w:szCs w:val="32"/>
          <w:highlight w:val="none"/>
        </w:rPr>
      </w:pPr>
    </w:p>
    <w:p w14:paraId="6B18EC69">
      <w:pPr>
        <w:jc w:val="center"/>
        <w:rPr>
          <w:rFonts w:hint="default" w:ascii="Times New Roman" w:hAnsi="Times New Roman" w:eastAsia="楷体_GB2312" w:cs="Times New Roman"/>
          <w:b/>
          <w:sz w:val="32"/>
          <w:szCs w:val="32"/>
          <w:highlight w:val="none"/>
        </w:rPr>
      </w:pPr>
    </w:p>
    <w:p w14:paraId="556247A3">
      <w:pPr>
        <w:jc w:val="center"/>
        <w:rPr>
          <w:rFonts w:hint="default" w:ascii="Times New Roman" w:hAnsi="Times New Roman" w:eastAsia="楷体_GB2312" w:cs="Times New Roman"/>
          <w:b/>
          <w:sz w:val="32"/>
          <w:szCs w:val="32"/>
          <w:highlight w:val="none"/>
        </w:rPr>
      </w:pPr>
    </w:p>
    <w:p w14:paraId="152637C0">
      <w:pPr>
        <w:jc w:val="center"/>
        <w:rPr>
          <w:rFonts w:hint="default" w:ascii="Times New Roman" w:hAnsi="Times New Roman" w:eastAsia="楷体_GB2312" w:cs="Times New Roman"/>
          <w:b/>
          <w:sz w:val="32"/>
          <w:szCs w:val="32"/>
          <w:highlight w:val="none"/>
        </w:rPr>
      </w:pPr>
    </w:p>
    <w:p w14:paraId="090AFCE2">
      <w:pPr>
        <w:jc w:val="center"/>
        <w:rPr>
          <w:rFonts w:hint="default" w:ascii="Times New Roman" w:hAnsi="Times New Roman" w:eastAsia="楷体_GB2312" w:cs="Times New Roman"/>
          <w:b/>
          <w:sz w:val="32"/>
          <w:szCs w:val="32"/>
          <w:highlight w:val="none"/>
        </w:rPr>
      </w:pPr>
    </w:p>
    <w:p w14:paraId="3AA97619">
      <w:pPr>
        <w:jc w:val="center"/>
        <w:rPr>
          <w:rFonts w:hint="default" w:ascii="Times New Roman" w:hAnsi="Times New Roman" w:eastAsia="楷体_GB2312" w:cs="Times New Roman"/>
          <w:b/>
          <w:sz w:val="32"/>
          <w:szCs w:val="32"/>
          <w:highlight w:val="none"/>
        </w:rPr>
      </w:pPr>
    </w:p>
    <w:p w14:paraId="1EBDCBEF">
      <w:pPr>
        <w:jc w:val="center"/>
        <w:rPr>
          <w:rFonts w:hint="default" w:ascii="Times New Roman" w:hAnsi="Times New Roman" w:eastAsia="黑体" w:cs="Times New Roman"/>
          <w:sz w:val="32"/>
          <w:szCs w:val="32"/>
          <w:highlight w:val="none"/>
        </w:rPr>
      </w:pPr>
    </w:p>
    <w:p w14:paraId="2DC9214F">
      <w:pPr>
        <w:jc w:val="center"/>
        <w:rPr>
          <w:rFonts w:hint="default" w:ascii="Times New Roman" w:hAnsi="Times New Roman" w:eastAsia="黑体" w:cs="Times New Roman"/>
          <w:sz w:val="32"/>
          <w:szCs w:val="32"/>
          <w:highlight w:val="none"/>
        </w:rPr>
      </w:pPr>
    </w:p>
    <w:p w14:paraId="0507EAAD">
      <w:pPr>
        <w:jc w:val="center"/>
        <w:rPr>
          <w:rFonts w:hint="default" w:ascii="Times New Roman" w:hAnsi="Times New Roman" w:eastAsia="黑体" w:cs="Times New Roman"/>
          <w:sz w:val="32"/>
          <w:szCs w:val="32"/>
          <w:highlight w:val="none"/>
        </w:rPr>
      </w:pPr>
    </w:p>
    <w:p w14:paraId="07D17764">
      <w:pPr>
        <w:jc w:val="both"/>
        <w:rPr>
          <w:rFonts w:hint="default" w:ascii="Times New Roman" w:hAnsi="Times New Roman" w:eastAsia="黑体" w:cs="Times New Roman"/>
          <w:sz w:val="32"/>
          <w:szCs w:val="32"/>
          <w:highlight w:val="none"/>
        </w:rPr>
      </w:pPr>
    </w:p>
    <w:p w14:paraId="2BF9A0E1">
      <w:pPr>
        <w:jc w:val="center"/>
        <w:rPr>
          <w:rFonts w:hint="default" w:ascii="Times New Roman" w:hAnsi="Times New Roman" w:eastAsia="黑体" w:cs="Times New Roman"/>
          <w:sz w:val="32"/>
          <w:szCs w:val="32"/>
          <w:highlight w:val="none"/>
        </w:rPr>
      </w:pPr>
    </w:p>
    <w:p w14:paraId="75C00E16">
      <w:pPr>
        <w:jc w:val="center"/>
        <w:rPr>
          <w:rFonts w:hint="default" w:ascii="Times New Roman" w:hAnsi="Times New Roman" w:eastAsia="黑体" w:cs="Times New Roman"/>
          <w:sz w:val="32"/>
          <w:szCs w:val="32"/>
          <w:highlight w:val="none"/>
        </w:rPr>
      </w:pPr>
    </w:p>
    <w:p w14:paraId="662CA748">
      <w:pPr>
        <w:jc w:val="center"/>
        <w:rPr>
          <w:rFonts w:hint="default" w:ascii="Times New Roman" w:hAnsi="Times New Roman" w:eastAsia="黑体" w:cs="Times New Roman"/>
          <w:sz w:val="32"/>
          <w:szCs w:val="32"/>
          <w:highlight w:val="none"/>
        </w:rPr>
      </w:pPr>
    </w:p>
    <w:p w14:paraId="0E6DEC94">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7F95BD36">
      <w:pPr>
        <w:spacing w:line="600" w:lineRule="exact"/>
        <w:jc w:val="center"/>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2025</w:t>
      </w:r>
      <w:r>
        <w:rPr>
          <w:rFonts w:hint="default" w:ascii="Times New Roman" w:hAnsi="Times New Roman" w:eastAsia="楷体_GB2312" w:cs="Times New Roman"/>
          <w:sz w:val="32"/>
          <w:szCs w:val="32"/>
          <w:highlight w:val="none"/>
        </w:rPr>
        <w:t>年</w:t>
      </w:r>
      <w:r>
        <w:rPr>
          <w:rFonts w:hint="eastAsia" w:eastAsia="楷体_GB2312" w:cs="Times New Roman"/>
          <w:sz w:val="32"/>
          <w:szCs w:val="32"/>
          <w:highlight w:val="none"/>
          <w:lang w:val="en-US" w:eastAsia="zh-CN"/>
        </w:rPr>
        <w:t>5</w:t>
      </w:r>
      <w:r>
        <w:rPr>
          <w:rFonts w:hint="default" w:ascii="Times New Roman" w:hAnsi="Times New Roman" w:eastAsia="楷体_GB2312" w:cs="Times New Roman"/>
          <w:sz w:val="32"/>
          <w:szCs w:val="32"/>
          <w:highlight w:val="none"/>
        </w:rPr>
        <w:t>月</w:t>
      </w:r>
      <w:r>
        <w:rPr>
          <w:rFonts w:hint="eastAsia" w:eastAsia="楷体_GB2312" w:cs="Times New Roman"/>
          <w:sz w:val="32"/>
          <w:szCs w:val="32"/>
          <w:highlight w:val="none"/>
          <w:lang w:val="en-US" w:eastAsia="zh-CN"/>
        </w:rPr>
        <w:t>22</w:t>
      </w:r>
      <w:r>
        <w:rPr>
          <w:rFonts w:hint="default" w:ascii="Times New Roman" w:hAnsi="Times New Roman" w:eastAsia="楷体_GB2312" w:cs="Times New Roman"/>
          <w:sz w:val="32"/>
          <w:szCs w:val="32"/>
          <w:highlight w:val="none"/>
        </w:rPr>
        <w:t>日</w:t>
      </w:r>
    </w:p>
    <w:p w14:paraId="73F4BE78">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60945B2D">
      <w:pPr>
        <w:rPr>
          <w:rFonts w:hint="eastAsia" w:ascii="仿宋_GB2312" w:hAnsi="仿宋_GB2312" w:eastAsia="仿宋_GB2312" w:cs="仿宋_GB2312"/>
          <w:sz w:val="32"/>
          <w:szCs w:val="32"/>
          <w:highlight w:val="none"/>
        </w:rPr>
      </w:pPr>
    </w:p>
    <w:p w14:paraId="4FE4A32C">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2024年度岳阳市社会福利院整体支出</w:t>
      </w:r>
    </w:p>
    <w:p w14:paraId="16FDC865">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14:paraId="2172A2E0">
      <w:pPr>
        <w:jc w:val="center"/>
        <w:rPr>
          <w:rFonts w:hint="eastAsia" w:ascii="仿宋_GB2312" w:hAnsi="仿宋_GB2312" w:eastAsia="仿宋_GB2312" w:cs="仿宋_GB2312"/>
          <w:sz w:val="32"/>
          <w:szCs w:val="32"/>
          <w:highlight w:val="none"/>
        </w:rPr>
      </w:pPr>
    </w:p>
    <w:p w14:paraId="4FC1AD97">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一、部门（单位）基本情况</w:t>
      </w:r>
    </w:p>
    <w:p w14:paraId="4E04E036">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岳阳市社会福利院始建于1958年，隶属于民政局，是一所集孤寡老人、孤残儿童、流浪乞讨安置人员、三无精神病人及社会失能半失能老人养护于一体的纯公益性事业单位。本院致力于从生活照料、医疗康复、文娱活动等多方面提供专业服务，并先后荣获“全国巾帼文明示范岗”、“湖南省一级社会福利院”、“湖南省示范福利机构”等荣誉称号。</w:t>
      </w:r>
    </w:p>
    <w:p w14:paraId="29065C44">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二、一般公共预算支出情况</w:t>
      </w:r>
    </w:p>
    <w:p w14:paraId="690294E7">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（一）基本支出情况</w:t>
      </w:r>
    </w:p>
    <w:p w14:paraId="4D969E61">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度，岳阳市社会福利院基本支出总额为1230.93万元，占全年总支出的主要部分。该部分支出主要用于工资福利支出、商品和服务支出以及对个人和家庭的补助支出，确保了福利院日常运营的顺利进行，包括员工薪酬、办公费用、水电费、差旅费等。</w:t>
      </w:r>
    </w:p>
    <w:p w14:paraId="47E8CE9C">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（二）项目支出情况</w:t>
      </w:r>
    </w:p>
    <w:p w14:paraId="744896FC">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支出总额为1378.93万元，主要用于老小服务日常支出、基础设施建设及服务提升等专项项目。通过项目实施，福利院的基础设施得到显著改善，服务质量大幅提升，为院内收、寄养人员提供了更加优质的照料、护理、疗养服务，包括医疗康复设备购置、文化娱乐设施建设等。</w:t>
      </w:r>
    </w:p>
    <w:p w14:paraId="45BADAF7">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三、政府性基金预算支出情况</w:t>
      </w:r>
    </w:p>
    <w:p w14:paraId="0C60E2C3">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度，岳阳市社会福利院政府性基金预算支出为455.6万元，资金主要用于收寄养人员的医疗、养护、康复等各项商品服务活动和项目开展。这些资金的投入，进一步提升了福利院的服务能力和水平，确保了特殊群体的基本生活需求得到满足。</w:t>
      </w:r>
    </w:p>
    <w:p w14:paraId="03D3F3AF">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四、国有资本经营预算支出情况</w:t>
      </w:r>
    </w:p>
    <w:p w14:paraId="52C4D8F7">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本年度，岳阳市社会福利院无国有资本经营预算支出。</w:t>
      </w:r>
    </w:p>
    <w:p w14:paraId="6E3FD482">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五、社会保险基金预算支出情况</w:t>
      </w:r>
    </w:p>
    <w:p w14:paraId="5AC3F4D0">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本年度，岳阳市社会福利院无社会保险基金预算支出。</w:t>
      </w:r>
    </w:p>
    <w:p w14:paraId="79DD7302">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六、部门整体支出绩效情况</w:t>
      </w:r>
    </w:p>
    <w:p w14:paraId="5782890B">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度，岳阳市社会福利院在预算成本控制、预期目标完成、资金使用效率等方面均取得了显著成效。通过合理配置资源，优化支出结构，福利院在满足基本生活需求的基础上，进一步增加了康复、医疗、教育和娱乐等服务项目，优化了疗养居住环境，增强了配套设施设备。从运行成本看，通过精细化管理，有效控制了不必要的开支；管理效率方面，项目执行流程更加规范，审批时间缩短；履职效能上，服务质量显著提升，服务对象满意度高；社会效应方面，福利院的社会形象更加正面，得到了社会各界的广泛认可；可持续发展能力上，通过不断优化服务内容和提升服务质量，为未来的发展奠定了坚实基础。</w:t>
      </w:r>
    </w:p>
    <w:p w14:paraId="211E069C">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七、存在的问题及原因分析</w:t>
      </w:r>
    </w:p>
    <w:p w14:paraId="65A2B531">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尽管整体支出绩效良好，但仍存在一些问题。一是人员编制不足，导致服务压力增大，影响了服务质量的进一步提升；二是部分项目因资金到位时间、施工进度等因素影响，执行率未达预期；三是部分资金使用效率不高，存在结余现象，反映出在预算编制和执行过程中还需进一步精细化管理。原因主要包括预算编制时对实际执行情况考虑不足、项目管理流程不够完善、资金使用监管不够严格等。</w:t>
      </w:r>
    </w:p>
    <w:p w14:paraId="55D724A6">
      <w:pPr>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八、下一步改进措施</w:t>
      </w:r>
    </w:p>
    <w:p w14:paraId="5AAC4ADF">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针对存在的问题，岳阳市社会福利院将采取以下改进措施：一是加强与相关部门的沟通协调，争取增加人员编制，提升服务能力；二是优化项目管理流程，加强项目进度监控，确保项目按时按质完成；三是加强预算管理，提高预算编制的科学性和准确性，加强资金使用监管，确保资金使用效率最大化。</w:t>
      </w:r>
    </w:p>
    <w:p w14:paraId="3B7C1E61">
      <w:pPr>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九、部门整体支出绩效自评结果拟应用和公开情况</w:t>
      </w:r>
    </w:p>
    <w:p w14:paraId="40604995">
      <w:pPr>
        <w:ind w:firstLine="640" w:firstLineChars="20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rPr>
        <w:t>岳阳市社会福利院将把本次绩效自评结果作为未来预算编制和项目管理的重要参考依据，同时按照相关规定，将自评结果公开在主管部门政务网，接受社会监督，不断提升部门整体支出绩效水平。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F823B3"/>
    <w:rsid w:val="72FE5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2025-05-22T08:30:43Z</dcterms:created>
  <dc:creator>Administrator</dc:creator>
  <cp:lastModifiedBy>彭雅丽</cp:lastModifiedBy>
  <dcterms:modified xsi:type="dcterms:W3CDTF">2025-05-22T08:42:30Z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eyJoZGlkIjoiNzYyY2JjODc0MDM4OTUzYTc4YjI0YTg4Nzg3M2RmMjkiLCJ1c2VySWQiOiIyOTE3NjgyNTgifQ==</vt:lpwstr>
  </property>
  <property fmtid="{D5CDD505-2E9C-101B-9397-08002B2CF9AE}" pid="4" name="ICV">
    <vt:lpwstr>B69A2FE66C6940498CC29A66F6328264_12</vt:lpwstr>
  </property>
</Properties>
</file>