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EB23AF">
      <w:pPr>
        <w:adjustRightInd w:val="0"/>
        <w:snapToGrid w:val="0"/>
        <w:jc w:val="center"/>
        <w:rPr>
          <w:rFonts w:hint="default" w:ascii="Times New Roman" w:hAnsi="Times New Roman" w:cs="Times New Roman"/>
          <w:bCs/>
          <w:color w:val="000000"/>
          <w:sz w:val="72"/>
          <w:szCs w:val="72"/>
        </w:rPr>
      </w:pPr>
      <w:bookmarkStart w:id="0" w:name="_Toc19091"/>
    </w:p>
    <w:p w14:paraId="1C2C647C">
      <w:pPr>
        <w:adjustRightInd w:val="0"/>
        <w:snapToGrid w:val="0"/>
        <w:jc w:val="center"/>
        <w:rPr>
          <w:rFonts w:hint="default" w:ascii="Times New Roman" w:hAnsi="Times New Roman" w:cs="Times New Roman"/>
          <w:bCs/>
          <w:color w:val="000000"/>
          <w:sz w:val="72"/>
          <w:szCs w:val="72"/>
        </w:rPr>
      </w:pPr>
    </w:p>
    <w:p w14:paraId="1953FF83">
      <w:pPr>
        <w:adjustRightInd w:val="0"/>
        <w:snapToGrid w:val="0"/>
        <w:jc w:val="center"/>
        <w:rPr>
          <w:rFonts w:hint="default" w:ascii="Times New Roman" w:hAnsi="Times New Roman" w:cs="Times New Roman"/>
          <w:bCs/>
          <w:color w:val="000000"/>
          <w:sz w:val="72"/>
          <w:szCs w:val="72"/>
        </w:rPr>
      </w:pPr>
      <w:r>
        <w:rPr>
          <w:rFonts w:hint="default" w:ascii="Times New Roman" w:hAnsi="Times New Roman" w:cs="Times New Roman"/>
          <w:bCs/>
          <w:color w:val="000000"/>
          <w:sz w:val="72"/>
          <w:szCs w:val="72"/>
        </w:rPr>
        <w:t>建设项目环境影响报告表</w:t>
      </w:r>
      <w:bookmarkEnd w:id="0"/>
    </w:p>
    <w:p w14:paraId="1422846C">
      <w:pPr>
        <w:adjustRightInd w:val="0"/>
        <w:snapToGrid w:val="0"/>
        <w:spacing w:before="192" w:beforeLines="80"/>
        <w:jc w:val="center"/>
        <w:rPr>
          <w:rFonts w:hint="default" w:ascii="Times New Roman" w:hAnsi="Times New Roman" w:cs="Times New Roman"/>
          <w:bCs/>
          <w:color w:val="000000"/>
          <w:sz w:val="48"/>
          <w:szCs w:val="48"/>
        </w:rPr>
      </w:pPr>
      <w:r>
        <w:rPr>
          <w:rFonts w:hint="default" w:ascii="Times New Roman" w:hAnsi="Times New Roman" w:cs="Times New Roman"/>
          <w:bCs/>
          <w:color w:val="000000"/>
          <w:sz w:val="48"/>
          <w:szCs w:val="48"/>
        </w:rPr>
        <w:t>（生态影响类）</w:t>
      </w:r>
    </w:p>
    <w:p w14:paraId="0C0B87FC">
      <w:pPr>
        <w:rPr>
          <w:rFonts w:hint="default" w:ascii="Times New Roman" w:hAnsi="Times New Roman" w:cs="Times New Roman"/>
          <w:color w:val="000000"/>
        </w:rPr>
      </w:pPr>
      <w:bookmarkStart w:id="1" w:name="_Hlk57883728"/>
    </w:p>
    <w:p w14:paraId="60B68307">
      <w:pPr>
        <w:rPr>
          <w:rFonts w:hint="default" w:ascii="Times New Roman" w:hAnsi="Times New Roman" w:cs="Times New Roman"/>
          <w:color w:val="000000"/>
        </w:rPr>
      </w:pPr>
    </w:p>
    <w:p w14:paraId="7EE63DAD">
      <w:pPr>
        <w:rPr>
          <w:rFonts w:hint="default" w:ascii="Times New Roman" w:hAnsi="Times New Roman" w:cs="Times New Roman"/>
          <w:color w:val="000000"/>
        </w:rPr>
      </w:pPr>
    </w:p>
    <w:p w14:paraId="07A4CB03">
      <w:pPr>
        <w:rPr>
          <w:rFonts w:hint="default" w:ascii="Times New Roman" w:hAnsi="Times New Roman" w:cs="Times New Roman"/>
          <w:color w:val="000000"/>
        </w:rPr>
      </w:pPr>
    </w:p>
    <w:p w14:paraId="7C67631D">
      <w:pPr>
        <w:rPr>
          <w:rFonts w:hint="default" w:ascii="Times New Roman" w:hAnsi="Times New Roman" w:cs="Times New Roman"/>
          <w:color w:val="000000"/>
        </w:rPr>
      </w:pPr>
    </w:p>
    <w:p w14:paraId="649B49CD">
      <w:pPr>
        <w:pStyle w:val="8"/>
        <w:rPr>
          <w:rFonts w:hint="default" w:ascii="Times New Roman" w:hAnsi="Times New Roman" w:cs="Times New Roman"/>
          <w:color w:val="000000"/>
        </w:rPr>
      </w:pPr>
    </w:p>
    <w:p w14:paraId="493F2A1A">
      <w:pPr>
        <w:rPr>
          <w:rFonts w:hint="default" w:ascii="Times New Roman" w:hAnsi="Times New Roman" w:cs="Times New Roman"/>
          <w:color w:val="000000"/>
        </w:rPr>
      </w:pPr>
    </w:p>
    <w:p w14:paraId="6A2F8438">
      <w:pPr>
        <w:pStyle w:val="8"/>
        <w:rPr>
          <w:rFonts w:hint="default" w:ascii="Times New Roman" w:hAnsi="Times New Roman" w:cs="Times New Roman"/>
          <w:color w:val="000000"/>
        </w:rPr>
      </w:pPr>
    </w:p>
    <w:p w14:paraId="4AB5DA76">
      <w:pPr>
        <w:rPr>
          <w:rFonts w:hint="default" w:ascii="Times New Roman" w:hAnsi="Times New Roman" w:cs="Times New Roman"/>
          <w:color w:val="000000"/>
        </w:rPr>
      </w:pPr>
    </w:p>
    <w:p w14:paraId="77175AFA">
      <w:pPr>
        <w:pStyle w:val="8"/>
        <w:rPr>
          <w:rFonts w:hint="default" w:ascii="Times New Roman" w:hAnsi="Times New Roman" w:cs="Times New Roman"/>
          <w:color w:val="000000"/>
        </w:rPr>
      </w:pPr>
    </w:p>
    <w:p w14:paraId="75434197">
      <w:pPr>
        <w:ind w:firstLine="1040"/>
        <w:rPr>
          <w:rFonts w:hint="default" w:ascii="Times New Roman" w:hAnsi="Times New Roman" w:cs="Times New Roman"/>
          <w:color w:val="000000"/>
          <w:sz w:val="44"/>
          <w:szCs w:val="44"/>
        </w:rPr>
      </w:pPr>
    </w:p>
    <w:bookmarkEnd w:id="1"/>
    <w:p w14:paraId="5E634A92">
      <w:pPr>
        <w:adjustRightInd w:val="0"/>
        <w:snapToGrid w:val="0"/>
        <w:spacing w:line="288" w:lineRule="auto"/>
        <w:ind w:firstLine="960" w:firstLineChars="300"/>
        <w:rPr>
          <w:rFonts w:hint="default" w:ascii="Times New Roman" w:hAnsi="Times New Roman" w:cs="Times New Roman"/>
          <w:color w:val="000000"/>
          <w:sz w:val="32"/>
          <w:szCs w:val="32"/>
          <w:u w:val="single"/>
          <w:lang w:val="en-US"/>
        </w:rPr>
      </w:pPr>
      <w:r>
        <w:rPr>
          <w:rFonts w:hint="default" w:ascii="Times New Roman" w:hAnsi="Times New Roman" w:cs="Times New Roman"/>
          <w:color w:val="000000"/>
          <w:sz w:val="32"/>
          <w:szCs w:val="32"/>
        </w:rPr>
        <w:t>项目名称：</w:t>
      </w:r>
      <w:r>
        <w:rPr>
          <w:rFonts w:hint="default" w:ascii="Times New Roman" w:hAnsi="Times New Roman" w:cs="Times New Roman"/>
          <w:color w:val="000000"/>
          <w:sz w:val="32"/>
          <w:szCs w:val="32"/>
          <w:u w:val="single"/>
        </w:rPr>
        <w:t xml:space="preserve">  </w:t>
      </w:r>
      <w:r>
        <w:rPr>
          <w:rFonts w:hint="default" w:ascii="Times New Roman" w:hAnsi="Times New Roman" w:cs="Times New Roman"/>
          <w:color w:val="000000"/>
          <w:sz w:val="32"/>
          <w:szCs w:val="32"/>
          <w:u w:val="single"/>
          <w:lang w:val="en-US" w:eastAsia="zh-CN"/>
        </w:rPr>
        <w:t xml:space="preserve">      樊陈路一期东延段工程     </w:t>
      </w:r>
    </w:p>
    <w:p w14:paraId="1C1507EB">
      <w:pPr>
        <w:adjustRightInd w:val="0"/>
        <w:snapToGrid w:val="0"/>
        <w:spacing w:line="288" w:lineRule="auto"/>
        <w:ind w:firstLine="960" w:firstLineChars="300"/>
        <w:rPr>
          <w:rFonts w:hint="default" w:ascii="Times New Roman" w:hAnsi="Times New Roman" w:cs="Times New Roman"/>
          <w:color w:val="000000"/>
          <w:sz w:val="32"/>
          <w:szCs w:val="32"/>
          <w:u w:val="single"/>
          <w:lang w:val="en-US" w:eastAsia="zh-CN"/>
        </w:rPr>
      </w:pPr>
      <w:r>
        <w:rPr>
          <w:rFonts w:hint="default" w:ascii="Times New Roman" w:hAnsi="Times New Roman" w:cs="Times New Roman"/>
          <w:color w:val="000000"/>
          <w:sz w:val="32"/>
          <w:szCs w:val="32"/>
        </w:rPr>
        <w:t>建设单位（盖章）：</w:t>
      </w:r>
      <w:r>
        <w:rPr>
          <w:rFonts w:hint="default" w:ascii="Times New Roman" w:hAnsi="Times New Roman" w:cs="Times New Roman"/>
          <w:color w:val="000000"/>
          <w:sz w:val="32"/>
          <w:szCs w:val="32"/>
          <w:u w:val="single"/>
          <w:lang w:val="en-US" w:eastAsia="zh-CN"/>
        </w:rPr>
        <w:t xml:space="preserve"> 岳阳市交通建设投资集团有限公司</w:t>
      </w:r>
    </w:p>
    <w:p w14:paraId="2D326BC5">
      <w:pPr>
        <w:adjustRightInd w:val="0"/>
        <w:snapToGrid w:val="0"/>
        <w:spacing w:line="288" w:lineRule="auto"/>
        <w:ind w:firstLine="960" w:firstLineChars="300"/>
        <w:rPr>
          <w:rFonts w:hint="default" w:ascii="Times New Roman" w:hAnsi="Times New Roman" w:cs="Times New Roman"/>
          <w:color w:val="000000"/>
          <w:sz w:val="32"/>
          <w:szCs w:val="32"/>
          <w:u w:val="single"/>
        </w:rPr>
      </w:pPr>
      <w:r>
        <w:rPr>
          <w:rFonts w:hint="default" w:ascii="Times New Roman" w:hAnsi="Times New Roman" w:cs="Times New Roman"/>
          <w:color w:val="000000"/>
          <w:sz w:val="32"/>
          <w:szCs w:val="32"/>
        </w:rPr>
        <w:t>编制日期：</w:t>
      </w:r>
      <w:r>
        <w:rPr>
          <w:rFonts w:hint="default" w:ascii="Times New Roman" w:hAnsi="Times New Roman" w:cs="Times New Roman"/>
          <w:color w:val="000000"/>
          <w:sz w:val="32"/>
          <w:szCs w:val="32"/>
          <w:u w:val="single"/>
        </w:rPr>
        <w:t xml:space="preserve">          202</w:t>
      </w:r>
      <w:r>
        <w:rPr>
          <w:rFonts w:hint="default" w:ascii="Times New Roman" w:hAnsi="Times New Roman" w:cs="Times New Roman"/>
          <w:color w:val="000000"/>
          <w:sz w:val="32"/>
          <w:szCs w:val="32"/>
          <w:u w:val="single"/>
          <w:lang w:val="en-US" w:eastAsia="zh-CN"/>
        </w:rPr>
        <w:t>5</w:t>
      </w:r>
      <w:r>
        <w:rPr>
          <w:rFonts w:hint="default" w:ascii="Times New Roman" w:hAnsi="Times New Roman" w:cs="Times New Roman"/>
          <w:color w:val="000000"/>
          <w:sz w:val="32"/>
          <w:szCs w:val="32"/>
          <w:u w:val="single"/>
        </w:rPr>
        <w:t>年</w:t>
      </w:r>
      <w:r>
        <w:rPr>
          <w:rFonts w:hint="default" w:ascii="Times New Roman" w:hAnsi="Times New Roman" w:cs="Times New Roman"/>
          <w:color w:val="000000"/>
          <w:sz w:val="32"/>
          <w:szCs w:val="32"/>
          <w:u w:val="single"/>
          <w:lang w:val="en-US" w:eastAsia="zh-CN"/>
        </w:rPr>
        <w:t>6月</w:t>
      </w:r>
      <w:r>
        <w:rPr>
          <w:rFonts w:hint="default" w:ascii="Times New Roman" w:hAnsi="Times New Roman" w:cs="Times New Roman"/>
          <w:color w:val="000000"/>
          <w:sz w:val="32"/>
          <w:szCs w:val="32"/>
          <w:u w:val="single"/>
        </w:rPr>
        <w:t xml:space="preserve">           </w:t>
      </w:r>
    </w:p>
    <w:p w14:paraId="6354C942">
      <w:pPr>
        <w:adjustRightInd w:val="0"/>
        <w:snapToGrid w:val="0"/>
        <w:spacing w:line="288" w:lineRule="auto"/>
        <w:ind w:firstLine="1040"/>
        <w:rPr>
          <w:rFonts w:hint="default" w:ascii="Times New Roman" w:hAnsi="Times New Roman" w:cs="Times New Roman"/>
          <w:color w:val="000000"/>
          <w:sz w:val="36"/>
          <w:szCs w:val="36"/>
          <w:u w:val="single"/>
        </w:rPr>
      </w:pPr>
    </w:p>
    <w:p w14:paraId="2E59BE8B">
      <w:pPr>
        <w:adjustRightInd w:val="0"/>
        <w:snapToGrid w:val="0"/>
        <w:spacing w:line="288" w:lineRule="auto"/>
        <w:ind w:firstLine="1040"/>
        <w:rPr>
          <w:rFonts w:hint="default" w:ascii="Times New Roman" w:hAnsi="Times New Roman" w:cs="Times New Roman"/>
          <w:color w:val="000000"/>
          <w:sz w:val="36"/>
          <w:szCs w:val="36"/>
        </w:rPr>
      </w:pPr>
    </w:p>
    <w:p w14:paraId="06B4C6EA">
      <w:pPr>
        <w:adjustRightInd w:val="0"/>
        <w:snapToGrid w:val="0"/>
        <w:spacing w:line="288" w:lineRule="auto"/>
        <w:ind w:firstLine="1040"/>
        <w:rPr>
          <w:rFonts w:hint="default" w:ascii="Times New Roman" w:hAnsi="Times New Roman" w:cs="Times New Roman"/>
          <w:color w:val="000000"/>
          <w:sz w:val="36"/>
          <w:szCs w:val="36"/>
        </w:rPr>
      </w:pPr>
    </w:p>
    <w:p w14:paraId="106FDCE1">
      <w:pPr>
        <w:adjustRightInd w:val="0"/>
        <w:snapToGrid w:val="0"/>
        <w:spacing w:line="288" w:lineRule="auto"/>
        <w:ind w:firstLine="1040"/>
        <w:rPr>
          <w:rFonts w:hint="default" w:ascii="Times New Roman" w:hAnsi="Times New Roman" w:cs="Times New Roman"/>
          <w:color w:val="000000"/>
          <w:sz w:val="36"/>
          <w:szCs w:val="36"/>
        </w:rPr>
      </w:pPr>
    </w:p>
    <w:p w14:paraId="64996D4C">
      <w:pPr>
        <w:pStyle w:val="8"/>
        <w:rPr>
          <w:rFonts w:hint="default" w:ascii="Times New Roman" w:hAnsi="Times New Roman" w:cs="Times New Roman"/>
          <w:color w:val="000000"/>
        </w:rPr>
      </w:pPr>
    </w:p>
    <w:p w14:paraId="46D4BC4D">
      <w:pPr>
        <w:adjustRightInd w:val="0"/>
        <w:snapToGrid w:val="0"/>
        <w:spacing w:line="288" w:lineRule="auto"/>
        <w:ind w:firstLine="1040"/>
        <w:rPr>
          <w:rFonts w:hint="default" w:ascii="Times New Roman" w:hAnsi="Times New Roman" w:cs="Times New Roman"/>
          <w:color w:val="000000"/>
          <w:sz w:val="36"/>
          <w:szCs w:val="36"/>
        </w:rPr>
      </w:pPr>
    </w:p>
    <w:p w14:paraId="298CCC7C">
      <w:pPr>
        <w:adjustRightInd w:val="0"/>
        <w:snapToGrid w:val="0"/>
        <w:spacing w:line="288" w:lineRule="auto"/>
        <w:jc w:val="center"/>
        <w:rPr>
          <w:rFonts w:hint="default" w:ascii="Times New Roman" w:hAnsi="Times New Roman" w:cs="Times New Roman"/>
          <w:color w:val="000000"/>
          <w:sz w:val="32"/>
          <w:szCs w:val="32"/>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r>
        <w:rPr>
          <w:rFonts w:hint="default" w:ascii="Times New Roman" w:hAnsi="Times New Roman" w:cs="Times New Roman"/>
          <w:color w:val="000000"/>
          <w:sz w:val="32"/>
          <w:szCs w:val="32"/>
        </w:rPr>
        <w:t>中华人民共和国生态环境部制</w:t>
      </w:r>
    </w:p>
    <w:p w14:paraId="72AF2217">
      <w:pP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7960" cy="7450455"/>
            <wp:effectExtent l="0" t="0" r="8890" b="17145"/>
            <wp:docPr id="3" name="图片 3" descr="资质页（环评单位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资质页（环评单位盖章）_00"/>
                    <pic:cNvPicPr>
                      <a:picLocks noChangeAspect="1"/>
                    </pic:cNvPicPr>
                  </pic:nvPicPr>
                  <pic:blipFill>
                    <a:blip r:embed="rId7"/>
                    <a:stretch>
                      <a:fillRect/>
                    </a:stretch>
                  </pic:blipFill>
                  <pic:spPr>
                    <a:xfrm>
                      <a:off x="0" y="0"/>
                      <a:ext cx="5267960" cy="745045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65420" cy="7320915"/>
            <wp:effectExtent l="0" t="0" r="11430" b="13335"/>
            <wp:docPr id="4" name="图片 4" descr="樊陈路一期东延段工程-建设项目环境影响报告书（表）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樊陈路一期东延段工程-建设项目环境影响报告书（表）编制情况承诺书"/>
                    <pic:cNvPicPr>
                      <a:picLocks noChangeAspect="1"/>
                    </pic:cNvPicPr>
                  </pic:nvPicPr>
                  <pic:blipFill>
                    <a:blip r:embed="rId8"/>
                    <a:stretch>
                      <a:fillRect/>
                    </a:stretch>
                  </pic:blipFill>
                  <pic:spPr>
                    <a:xfrm>
                      <a:off x="0" y="0"/>
                      <a:ext cx="5265420" cy="7320915"/>
                    </a:xfrm>
                    <a:prstGeom prst="rect">
                      <a:avLst/>
                    </a:prstGeom>
                  </pic:spPr>
                </pic:pic>
              </a:graphicData>
            </a:graphic>
          </wp:inline>
        </w:drawing>
      </w:r>
      <w:r>
        <w:drawing>
          <wp:inline distT="0" distB="0" distL="114300" distR="114300">
            <wp:extent cx="5260340" cy="2626995"/>
            <wp:effectExtent l="0" t="0" r="1651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0340" cy="2626995"/>
                    </a:xfrm>
                    <a:prstGeom prst="rect">
                      <a:avLst/>
                    </a:prstGeom>
                    <a:noFill/>
                    <a:ln>
                      <a:noFill/>
                    </a:ln>
                  </pic:spPr>
                </pic:pic>
              </a:graphicData>
            </a:graphic>
          </wp:inline>
        </w:drawing>
      </w:r>
      <w:r>
        <w:drawing>
          <wp:inline distT="0" distB="0" distL="114300" distR="114300">
            <wp:extent cx="5260340" cy="2626995"/>
            <wp:effectExtent l="0" t="0" r="1651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0340" cy="2626995"/>
                    </a:xfrm>
                    <a:prstGeom prst="rect">
                      <a:avLst/>
                    </a:prstGeom>
                    <a:noFill/>
                    <a:ln>
                      <a:noFill/>
                    </a:ln>
                  </pic:spPr>
                </pic:pic>
              </a:graphicData>
            </a:graphic>
          </wp:inline>
        </w:drawing>
      </w:r>
      <w:r>
        <w:drawing>
          <wp:inline distT="0" distB="0" distL="114300" distR="114300">
            <wp:extent cx="5260340" cy="2626995"/>
            <wp:effectExtent l="0" t="0" r="16510"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0340" cy="2626995"/>
                    </a:xfrm>
                    <a:prstGeom prst="rect">
                      <a:avLst/>
                    </a:prstGeom>
                    <a:noFill/>
                    <a:ln>
                      <a:noFill/>
                    </a:ln>
                  </pic:spPr>
                </pic:pic>
              </a:graphicData>
            </a:graphic>
          </wp:inline>
        </w:drawing>
      </w:r>
      <w:r>
        <w:rPr>
          <w:rFonts w:hint="eastAsia"/>
          <w:b w:val="0"/>
          <w:bCs w:val="0"/>
          <w:color w:val="auto"/>
          <w:highlight w:val="none"/>
          <w:u w:val="none" w:color="auto"/>
        </w:rPr>
        <w:drawing>
          <wp:inline distT="0" distB="0" distL="114300" distR="114300">
            <wp:extent cx="5615305" cy="7945755"/>
            <wp:effectExtent l="0" t="0" r="4445" b="17145"/>
            <wp:docPr id="11" name="图片 11" descr="任森华---参保证明缴费明细-2025061015270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任森华---参保证明缴费明细-20250610152704_00"/>
                    <pic:cNvPicPr>
                      <a:picLocks noChangeAspect="1"/>
                    </pic:cNvPicPr>
                  </pic:nvPicPr>
                  <pic:blipFill>
                    <a:blip r:embed="rId12"/>
                    <a:stretch>
                      <a:fillRect/>
                    </a:stretch>
                  </pic:blipFill>
                  <pic:spPr>
                    <a:xfrm>
                      <a:off x="0" y="0"/>
                      <a:ext cx="5615305" cy="794575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67960" cy="7453630"/>
            <wp:effectExtent l="0" t="0" r="8890" b="13970"/>
            <wp:docPr id="13" name="图片 13" descr="个人参保证明-任林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个人参保证明-任林峰_00"/>
                    <pic:cNvPicPr>
                      <a:picLocks noChangeAspect="1"/>
                    </pic:cNvPicPr>
                  </pic:nvPicPr>
                  <pic:blipFill>
                    <a:blip r:embed="rId13"/>
                    <a:stretch>
                      <a:fillRect/>
                    </a:stretch>
                  </pic:blipFill>
                  <pic:spPr>
                    <a:xfrm>
                      <a:off x="0" y="0"/>
                      <a:ext cx="5267960" cy="745363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67960" cy="7453630"/>
            <wp:effectExtent l="0" t="0" r="8890" b="13970"/>
            <wp:docPr id="12" name="图片 12" descr="个人参保证明-任林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个人参保证明-任林峰_01"/>
                    <pic:cNvPicPr>
                      <a:picLocks noChangeAspect="1"/>
                    </pic:cNvPicPr>
                  </pic:nvPicPr>
                  <pic:blipFill>
                    <a:blip r:embed="rId14"/>
                    <a:stretch>
                      <a:fillRect/>
                    </a:stretch>
                  </pic:blipFill>
                  <pic:spPr>
                    <a:xfrm>
                      <a:off x="0" y="0"/>
                      <a:ext cx="5267960" cy="7453630"/>
                    </a:xfrm>
                    <a:prstGeom prst="rect">
                      <a:avLst/>
                    </a:prstGeom>
                  </pic:spPr>
                </pic:pic>
              </a:graphicData>
            </a:graphic>
          </wp:inline>
        </w:drawing>
      </w:r>
      <w:bookmarkStart w:id="28" w:name="_GoBack"/>
      <w:bookmarkEnd w:id="28"/>
      <w:r>
        <w:rPr>
          <w:rFonts w:hint="eastAsia" w:ascii="Times New Roman" w:hAnsi="Times New Roman" w:eastAsia="宋体" w:cs="Times New Roman"/>
          <w:lang w:eastAsia="zh-CN"/>
        </w:rPr>
        <w:drawing>
          <wp:inline distT="0" distB="0" distL="114300" distR="114300">
            <wp:extent cx="5272405" cy="3694430"/>
            <wp:effectExtent l="0" t="0" r="4445" b="1270"/>
            <wp:docPr id="9" name="图片 9" descr="任森华环评工程师证书(水印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任森华环评工程师证书(水印件)"/>
                    <pic:cNvPicPr>
                      <a:picLocks noChangeAspect="1"/>
                    </pic:cNvPicPr>
                  </pic:nvPicPr>
                  <pic:blipFill>
                    <a:blip r:embed="rId15"/>
                    <a:stretch>
                      <a:fillRect/>
                    </a:stretch>
                  </pic:blipFill>
                  <pic:spPr>
                    <a:xfrm>
                      <a:off x="0" y="0"/>
                      <a:ext cx="5272405" cy="3694430"/>
                    </a:xfrm>
                    <a:prstGeom prst="rect">
                      <a:avLst/>
                    </a:prstGeom>
                  </pic:spPr>
                </pic:pic>
              </a:graphicData>
            </a:graphic>
          </wp:inline>
        </w:drawing>
      </w:r>
    </w:p>
    <w:p w14:paraId="27A5F451">
      <w:pPr>
        <w:pStyle w:val="2"/>
        <w:rPr>
          <w:rFonts w:hint="eastAsia"/>
          <w:lang w:eastAsia="zh-CN"/>
        </w:rPr>
        <w:sectPr>
          <w:pgSz w:w="11906" w:h="16838"/>
          <w:pgMar w:top="1440" w:right="1800" w:bottom="1440" w:left="1800" w:header="851" w:footer="992" w:gutter="0"/>
          <w:cols w:space="425" w:num="1"/>
          <w:docGrid w:type="lines" w:linePitch="312" w:charSpace="0"/>
        </w:sectPr>
      </w:pPr>
      <w:r>
        <w:rPr>
          <w:rFonts w:hint="eastAsia"/>
          <w:lang w:eastAsia="zh-CN"/>
        </w:rPr>
        <w:drawing>
          <wp:inline distT="0" distB="0" distL="114300" distR="114300">
            <wp:extent cx="5266690" cy="3938270"/>
            <wp:effectExtent l="0" t="0" r="0" b="0"/>
            <wp:docPr id="10" name="图片 10" descr="IMG_20250513_09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513_091426"/>
                    <pic:cNvPicPr>
                      <a:picLocks noChangeAspect="1"/>
                    </pic:cNvPicPr>
                  </pic:nvPicPr>
                  <pic:blipFill>
                    <a:blip r:embed="rId16"/>
                    <a:srcRect b="10337"/>
                    <a:stretch>
                      <a:fillRect/>
                    </a:stretch>
                  </pic:blipFill>
                  <pic:spPr>
                    <a:xfrm>
                      <a:off x="0" y="0"/>
                      <a:ext cx="5266690" cy="3938270"/>
                    </a:xfrm>
                    <a:prstGeom prst="rect">
                      <a:avLst/>
                    </a:prstGeom>
                  </pic:spPr>
                </pic:pic>
              </a:graphicData>
            </a:graphic>
          </wp:inline>
        </w:drawing>
      </w:r>
    </w:p>
    <w:p w14:paraId="2063A636">
      <w:pPr>
        <w:spacing w:line="360" w:lineRule="auto"/>
        <w:jc w:val="center"/>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目  录</w:t>
      </w:r>
    </w:p>
    <w:p w14:paraId="034C71F1">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color w:val="000000"/>
          <w:sz w:val="28"/>
          <w:szCs w:val="28"/>
        </w:rPr>
        <w:instrText xml:space="preserve">TOC \o "1-1" \h \u </w:instrText>
      </w:r>
      <w:r>
        <w:rPr>
          <w:rFonts w:hint="default" w:ascii="Times New Roman" w:hAnsi="Times New Roman" w:cs="Times New Roman"/>
          <w:color w:val="000000"/>
          <w:sz w:val="28"/>
          <w:szCs w:val="28"/>
        </w:rPr>
        <w:fldChar w:fldCharType="separate"/>
      </w: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_Toc30394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一、建设项目基本情况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_Toc30394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6F89B28E">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_Toc15531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二、建设内容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_Toc15531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1CFA4C53">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_Toc32185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三、生态环境现状、保护目标及评价标准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_Toc32185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44DDD7A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_Toc3868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四、生态环境影响分析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_Toc3868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29</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6043AC3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_Toc30146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五、主要生态环境保护措施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_Toc30146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39</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4107B11E">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_Toc26646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六、生态环境保护措施监督检查清单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_Toc26646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48</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03ABA2BB">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fldChar w:fldCharType="begin"/>
      </w:r>
      <w:r>
        <w:rPr>
          <w:rFonts w:hint="default" w:ascii="Times New Roman" w:hAnsi="Times New Roman" w:cs="Times New Roman"/>
          <w:sz w:val="28"/>
          <w:szCs w:val="28"/>
        </w:rPr>
        <w:instrText xml:space="preserve"> HYPERLINK \l _Toc31287 </w:instrText>
      </w:r>
      <w:r>
        <w:rPr>
          <w:rFonts w:hint="default" w:ascii="Times New Roman" w:hAnsi="Times New Roman" w:cs="Times New Roman"/>
          <w:sz w:val="28"/>
          <w:szCs w:val="28"/>
        </w:rPr>
        <w:fldChar w:fldCharType="separate"/>
      </w:r>
      <w:r>
        <w:rPr>
          <w:rFonts w:hint="default" w:ascii="Times New Roman" w:hAnsi="Times New Roman" w:cs="Times New Roman"/>
          <w:bCs/>
          <w:snapToGrid w:val="0"/>
          <w:sz w:val="28"/>
          <w:szCs w:val="28"/>
        </w:rPr>
        <w:t>七、结论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_Toc31287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51</w:t>
      </w:r>
      <w:r>
        <w:rPr>
          <w:rFonts w:hint="default" w:ascii="Times New Roman" w:hAnsi="Times New Roman" w:cs="Times New Roman"/>
          <w:sz w:val="28"/>
          <w:szCs w:val="28"/>
        </w:rPr>
        <w:fldChar w:fldCharType="end"/>
      </w:r>
      <w:r>
        <w:rPr>
          <w:rFonts w:hint="default" w:ascii="Times New Roman" w:hAnsi="Times New Roman" w:cs="Times New Roman"/>
          <w:color w:val="000000"/>
          <w:sz w:val="28"/>
          <w:szCs w:val="28"/>
        </w:rPr>
        <w:fldChar w:fldCharType="end"/>
      </w:r>
    </w:p>
    <w:p w14:paraId="6121D1FC">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fldChar w:fldCharType="end"/>
      </w:r>
    </w:p>
    <w:p w14:paraId="1B113E1A">
      <w:pPr>
        <w:pStyle w:val="21"/>
        <w:keepNext w:val="0"/>
        <w:keepLines w:val="0"/>
        <w:pageBreakBefore w:val="0"/>
        <w:kinsoku/>
        <w:wordWrap/>
        <w:overflowPunct/>
        <w:topLinePunct w:val="0"/>
        <w:autoSpaceDE/>
        <w:autoSpaceDN/>
        <w:bidi w:val="0"/>
        <w:adjustRightInd/>
        <w:spacing w:before="0" w:beforeAutospacing="0" w:after="0" w:afterAutospacing="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rPr>
        <w:t>附件：</w:t>
      </w:r>
    </w:p>
    <w:p w14:paraId="58EE63BE">
      <w:pPr>
        <w:pStyle w:val="21"/>
        <w:keepNext w:val="0"/>
        <w:keepLines w:val="0"/>
        <w:pageBreakBefore w:val="0"/>
        <w:kinsoku/>
        <w:wordWrap/>
        <w:overflowPunct/>
        <w:topLinePunct w:val="0"/>
        <w:autoSpaceDE/>
        <w:autoSpaceDN/>
        <w:bidi w:val="0"/>
        <w:adjustRightInd/>
        <w:spacing w:before="0" w:beforeAutospacing="0" w:after="0" w:afterAutospacing="0"/>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附件1 委托书</w:t>
      </w:r>
    </w:p>
    <w:p w14:paraId="60368D87">
      <w:pPr>
        <w:pStyle w:val="21"/>
        <w:keepNext w:val="0"/>
        <w:keepLines w:val="0"/>
        <w:pageBreakBefore w:val="0"/>
        <w:kinsoku/>
        <w:wordWrap/>
        <w:overflowPunct/>
        <w:topLinePunct w:val="0"/>
        <w:autoSpaceDE/>
        <w:autoSpaceDN/>
        <w:bidi w:val="0"/>
        <w:adjustRightInd/>
        <w:spacing w:before="0" w:beforeAutospacing="0" w:after="0" w:afterAutospacing="0"/>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附件2 可研批复</w:t>
      </w:r>
    </w:p>
    <w:p w14:paraId="4913A435">
      <w:pPr>
        <w:pStyle w:val="21"/>
        <w:keepNext w:val="0"/>
        <w:keepLines w:val="0"/>
        <w:pageBreakBefore w:val="0"/>
        <w:kinsoku/>
        <w:wordWrap/>
        <w:overflowPunct/>
        <w:topLinePunct w:val="0"/>
        <w:autoSpaceDE/>
        <w:autoSpaceDN/>
        <w:bidi w:val="0"/>
        <w:adjustRightInd/>
        <w:spacing w:before="0" w:beforeAutospacing="0" w:after="0" w:afterAutospacing="0"/>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附件3 用地预审和选址手续办理情况的说明</w:t>
      </w:r>
    </w:p>
    <w:p w14:paraId="12DB2ACC">
      <w:pPr>
        <w:pStyle w:val="21"/>
        <w:keepNext w:val="0"/>
        <w:keepLines w:val="0"/>
        <w:pageBreakBefore w:val="0"/>
        <w:kinsoku/>
        <w:wordWrap/>
        <w:overflowPunct/>
        <w:topLinePunct w:val="0"/>
        <w:autoSpaceDE/>
        <w:autoSpaceDN/>
        <w:bidi w:val="0"/>
        <w:adjustRightInd/>
        <w:spacing w:before="0" w:beforeAutospacing="0" w:after="0" w:afterAutospacing="0"/>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附件4 检测报告</w:t>
      </w:r>
    </w:p>
    <w:p w14:paraId="60280070">
      <w:pPr>
        <w:pStyle w:val="21"/>
        <w:keepNext w:val="0"/>
        <w:keepLines w:val="0"/>
        <w:pageBreakBefore w:val="0"/>
        <w:kinsoku/>
        <w:wordWrap/>
        <w:overflowPunct/>
        <w:topLinePunct w:val="0"/>
        <w:autoSpaceDE/>
        <w:autoSpaceDN/>
        <w:bidi w:val="0"/>
        <w:adjustRightInd/>
        <w:spacing w:before="0" w:beforeAutospacing="0" w:after="0" w:afterAutospacing="0"/>
        <w:jc w:val="both"/>
        <w:textAlignment w:val="auto"/>
        <w:outlineLvl w:val="9"/>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附图：</w:t>
      </w:r>
    </w:p>
    <w:p w14:paraId="3755E077">
      <w:pPr>
        <w:keepNext w:val="0"/>
        <w:keepLines w:val="0"/>
        <w:pageBreakBefore w:val="0"/>
        <w:kinsoku/>
        <w:wordWrap/>
        <w:overflowPunct/>
        <w:topLinePunct w:val="0"/>
        <w:autoSpaceDE/>
        <w:autoSpaceDN/>
        <w:bidi w:val="0"/>
        <w:adjustRightInd/>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附图1 项目地理位置图</w:t>
      </w:r>
    </w:p>
    <w:p w14:paraId="7065CC4D">
      <w:pPr>
        <w:pStyle w:val="21"/>
        <w:keepNext w:val="0"/>
        <w:keepLines w:val="0"/>
        <w:pageBreakBefore w:val="0"/>
        <w:kinsoku/>
        <w:wordWrap/>
        <w:overflowPunct/>
        <w:topLinePunct w:val="0"/>
        <w:autoSpaceDE/>
        <w:autoSpaceDN/>
        <w:bidi w:val="0"/>
        <w:adjustRightInd/>
        <w:spacing w:before="0" w:beforeAutospacing="0" w:after="0" w:afterAutospacing="0"/>
        <w:ind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附图2 项目总平面布置</w:t>
      </w:r>
    </w:p>
    <w:p w14:paraId="41BA84C6">
      <w:pPr>
        <w:pStyle w:val="21"/>
        <w:keepNext w:val="0"/>
        <w:keepLines w:val="0"/>
        <w:pageBreakBefore w:val="0"/>
        <w:kinsoku/>
        <w:wordWrap/>
        <w:overflowPunct/>
        <w:topLinePunct w:val="0"/>
        <w:autoSpaceDE/>
        <w:autoSpaceDN/>
        <w:bidi w:val="0"/>
        <w:adjustRightInd/>
        <w:spacing w:before="0" w:beforeAutospacing="0" w:after="0" w:afterAutospacing="0"/>
        <w:ind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监测点位图</w:t>
      </w:r>
    </w:p>
    <w:p w14:paraId="658F9CE6">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附图</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环保目标示意图</w:t>
      </w:r>
    </w:p>
    <w:p w14:paraId="0A99FB8D">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附图</w:t>
      </w:r>
      <w:r>
        <w:rPr>
          <w:rFonts w:hint="default" w:ascii="Times New Roman" w:hAnsi="Times New Roman" w:cs="Times New Roman"/>
          <w:color w:val="000000" w:themeColor="text1"/>
          <w:sz w:val="24"/>
          <w:szCs w:val="24"/>
          <w:lang w:val="en-US" w:eastAsia="zh-CN"/>
          <w14:textFill>
            <w14:solidFill>
              <w14:schemeClr w14:val="tx1"/>
            </w14:solidFill>
          </w14:textFill>
        </w:rPr>
        <w:t>5 土地利用类型图</w:t>
      </w:r>
    </w:p>
    <w:p w14:paraId="3AE9F1F8">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附图</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植被类型图</w:t>
      </w:r>
    </w:p>
    <w:p w14:paraId="5EEFDB77">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附图7 区域路网规划图</w:t>
      </w:r>
    </w:p>
    <w:p w14:paraId="5CE7FC44">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附图</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区域雨水规划图</w:t>
      </w:r>
    </w:p>
    <w:p w14:paraId="758395F7">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附图9 区域污水规划图</w:t>
      </w:r>
    </w:p>
    <w:p w14:paraId="665EC7C5">
      <w:pPr>
        <w:pStyle w:val="8"/>
        <w:keepNext w:val="0"/>
        <w:keepLines w:val="0"/>
        <w:pageBreakBefore w:val="0"/>
        <w:kinsoku/>
        <w:wordWrap/>
        <w:overflowPunct/>
        <w:topLinePunct w:val="0"/>
        <w:autoSpaceDE/>
        <w:autoSpaceDN/>
        <w:bidi w:val="0"/>
        <w:adjustRightInd/>
        <w:spacing w:before="0" w:after="0" w:line="240" w:lineRule="auto"/>
        <w:ind w:right="0"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附图</w:t>
      </w:r>
      <w:r>
        <w:rPr>
          <w:rFonts w:hint="default"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 xml:space="preserve"> 区域土地利用现状规划图</w:t>
      </w:r>
    </w:p>
    <w:p w14:paraId="44BC3DD8">
      <w:pPr>
        <w:pStyle w:val="8"/>
        <w:spacing w:before="0" w:after="0" w:line="24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p>
    <w:p w14:paraId="5B5EA376">
      <w:pPr>
        <w:tabs>
          <w:tab w:val="left" w:pos="529"/>
        </w:tabs>
        <w:bidi w:val="0"/>
        <w:jc w:val="left"/>
        <w:rPr>
          <w:rFonts w:hint="default" w:ascii="Times New Roman" w:hAnsi="Times New Roman" w:eastAsia="宋体" w:cs="Times New Roman"/>
          <w:lang w:val="en-US" w:eastAsia="zh-CN"/>
        </w:rPr>
        <w:sectPr>
          <w:pgSz w:w="11906" w:h="16838"/>
          <w:pgMar w:top="1440" w:right="1800" w:bottom="1440" w:left="1800" w:header="851" w:footer="992" w:gutter="0"/>
          <w:cols w:space="425" w:num="1"/>
          <w:docGrid w:type="lines" w:linePitch="312" w:charSpace="0"/>
        </w:sectPr>
      </w:pPr>
    </w:p>
    <w:p w14:paraId="36202775">
      <w:pPr>
        <w:pStyle w:val="21"/>
        <w:jc w:val="center"/>
        <w:outlineLvl w:val="0"/>
        <w:rPr>
          <w:rFonts w:hint="default" w:ascii="Times New Roman" w:hAnsi="Times New Roman" w:cs="Times New Roman"/>
          <w:b/>
          <w:bCs/>
          <w:snapToGrid w:val="0"/>
          <w:color w:val="000000"/>
          <w:sz w:val="30"/>
          <w:szCs w:val="30"/>
        </w:rPr>
      </w:pPr>
      <w:bookmarkStart w:id="2" w:name="_Toc30394"/>
      <w:r>
        <w:rPr>
          <w:rFonts w:hint="default" w:ascii="Times New Roman" w:hAnsi="Times New Roman" w:cs="Times New Roman"/>
          <w:b/>
          <w:bCs/>
          <w:snapToGrid w:val="0"/>
          <w:color w:val="000000"/>
          <w:sz w:val="30"/>
          <w:szCs w:val="30"/>
        </w:rPr>
        <w:t>一、建设项目基本情况</w:t>
      </w:r>
      <w:bookmarkEnd w:id="2"/>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34"/>
        <w:gridCol w:w="2050"/>
        <w:gridCol w:w="2226"/>
        <w:gridCol w:w="10"/>
        <w:gridCol w:w="2551"/>
      </w:tblGrid>
      <w:tr w14:paraId="761CC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34" w:type="dxa"/>
            <w:noWrap w:val="0"/>
            <w:tcMar>
              <w:top w:w="16" w:type="dxa"/>
              <w:left w:w="16" w:type="dxa"/>
              <w:right w:w="16" w:type="dxa"/>
            </w:tcMar>
            <w:vAlign w:val="center"/>
          </w:tcPr>
          <w:p w14:paraId="496FD15D">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建设项目名称</w:t>
            </w:r>
          </w:p>
        </w:tc>
        <w:tc>
          <w:tcPr>
            <w:tcW w:w="6837" w:type="dxa"/>
            <w:gridSpan w:val="4"/>
            <w:noWrap w:val="0"/>
            <w:vAlign w:val="center"/>
          </w:tcPr>
          <w:p w14:paraId="2FCC8FF0">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樊陈路一期东延段工程</w:t>
            </w:r>
          </w:p>
        </w:tc>
      </w:tr>
      <w:tr w14:paraId="737DA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54F63283">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项目代码</w:t>
            </w:r>
          </w:p>
        </w:tc>
        <w:tc>
          <w:tcPr>
            <w:tcW w:w="6837" w:type="dxa"/>
            <w:gridSpan w:val="4"/>
            <w:noWrap w:val="0"/>
            <w:vAlign w:val="center"/>
          </w:tcPr>
          <w:p w14:paraId="43D6ACD9">
            <w:pPr>
              <w:adjustRightInd w:val="0"/>
              <w:snapToGrid w:val="0"/>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2407-430600-04-01-403416</w:t>
            </w:r>
          </w:p>
        </w:tc>
      </w:tr>
      <w:tr w14:paraId="3E8AD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1CA4197A">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建设单位联系人</w:t>
            </w:r>
          </w:p>
        </w:tc>
        <w:tc>
          <w:tcPr>
            <w:tcW w:w="2050" w:type="dxa"/>
            <w:noWrap w:val="0"/>
            <w:vAlign w:val="center"/>
          </w:tcPr>
          <w:p w14:paraId="2D12B6A3">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胡松</w:t>
            </w:r>
          </w:p>
        </w:tc>
        <w:tc>
          <w:tcPr>
            <w:tcW w:w="2236" w:type="dxa"/>
            <w:gridSpan w:val="2"/>
            <w:noWrap w:val="0"/>
            <w:vAlign w:val="center"/>
          </w:tcPr>
          <w:p w14:paraId="44E7A5D3">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联系方式</w:t>
            </w:r>
          </w:p>
        </w:tc>
        <w:tc>
          <w:tcPr>
            <w:tcW w:w="2551" w:type="dxa"/>
            <w:noWrap w:val="0"/>
            <w:vAlign w:val="center"/>
          </w:tcPr>
          <w:p w14:paraId="657FCE27">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17718921599</w:t>
            </w:r>
          </w:p>
        </w:tc>
      </w:tr>
      <w:tr w14:paraId="40090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0449DAA1">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建设地点</w:t>
            </w:r>
          </w:p>
        </w:tc>
        <w:tc>
          <w:tcPr>
            <w:tcW w:w="6837" w:type="dxa"/>
            <w:gridSpan w:val="4"/>
            <w:noWrap w:val="0"/>
            <w:vAlign w:val="center"/>
          </w:tcPr>
          <w:p w14:paraId="4A987D2F">
            <w:pPr>
              <w:adjustRightInd w:val="0"/>
              <w:snapToGrid w:val="0"/>
              <w:jc w:val="center"/>
              <w:rPr>
                <w:rFonts w:hint="default" w:ascii="Times New Roman" w:hAnsi="Times New Roman" w:eastAsia="宋体" w:cs="Times New Roman"/>
                <w:color w:val="000000"/>
                <w:sz w:val="24"/>
                <w:lang w:eastAsia="zh-CN"/>
              </w:rPr>
            </w:pPr>
            <w:r>
              <w:rPr>
                <w:rFonts w:hint="default" w:ascii="Times New Roman" w:hAnsi="Times New Roman" w:cs="Times New Roman"/>
                <w:bCs/>
                <w:color w:val="000000"/>
                <w:sz w:val="24"/>
                <w:lang w:eastAsia="zh-CN"/>
              </w:rPr>
              <w:t>湖南省岳阳市岳阳楼区赶山片区，</w:t>
            </w:r>
            <w:r>
              <w:rPr>
                <w:rFonts w:hint="default" w:ascii="Times New Roman" w:hAnsi="Times New Roman" w:cs="Times New Roman"/>
                <w:bCs/>
                <w:color w:val="000000"/>
                <w:sz w:val="24"/>
                <w:lang w:val="en-US" w:eastAsia="zh-CN"/>
              </w:rPr>
              <w:t>西</w:t>
            </w:r>
            <w:r>
              <w:rPr>
                <w:rFonts w:hint="default" w:ascii="Times New Roman" w:hAnsi="Times New Roman" w:eastAsia="宋体" w:cs="Times New Roman"/>
                <w:bCs/>
                <w:color w:val="000000"/>
                <w:sz w:val="24"/>
                <w:lang w:eastAsia="zh-CN"/>
              </w:rPr>
              <w:t>起</w:t>
            </w:r>
            <w:r>
              <w:rPr>
                <w:rFonts w:hint="default" w:ascii="Times New Roman" w:hAnsi="Times New Roman" w:cs="Times New Roman"/>
                <w:color w:val="000000"/>
                <w:sz w:val="24"/>
                <w:lang w:val="en-US" w:eastAsia="zh-CN"/>
              </w:rPr>
              <w:t>樊陈路一期终点</w:t>
            </w:r>
            <w:r>
              <w:rPr>
                <w:rFonts w:hint="default" w:ascii="Times New Roman" w:hAnsi="Times New Roman" w:eastAsia="宋体" w:cs="Times New Roman"/>
                <w:bCs/>
                <w:color w:val="000000"/>
                <w:sz w:val="24"/>
                <w:lang w:eastAsia="zh-CN"/>
              </w:rPr>
              <w:t>，终点至</w:t>
            </w:r>
            <w:r>
              <w:rPr>
                <w:rFonts w:hint="default" w:ascii="Times New Roman" w:hAnsi="Times New Roman" w:cs="Times New Roman"/>
                <w:bCs/>
                <w:color w:val="000000"/>
                <w:sz w:val="24"/>
                <w:lang w:val="en-US" w:eastAsia="zh-CN"/>
              </w:rPr>
              <w:t>规划后东坡路</w:t>
            </w:r>
          </w:p>
        </w:tc>
      </w:tr>
      <w:tr w14:paraId="692EB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26B25E67">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地理坐标</w:t>
            </w:r>
          </w:p>
        </w:tc>
        <w:tc>
          <w:tcPr>
            <w:tcW w:w="6837" w:type="dxa"/>
            <w:gridSpan w:val="4"/>
            <w:noWrap w:val="0"/>
            <w:vAlign w:val="center"/>
          </w:tcPr>
          <w:p w14:paraId="092EF0FA">
            <w:pPr>
              <w:adjustRightInd w:val="0"/>
              <w:snapToGrid w:val="0"/>
              <w:jc w:val="center"/>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（起点</w:t>
            </w:r>
            <w:r>
              <w:rPr>
                <w:rFonts w:hint="default" w:ascii="Times New Roman" w:hAnsi="Times New Roman" w:cs="Times New Roman"/>
                <w:color w:val="000000"/>
                <w:sz w:val="24"/>
                <w:highlight w:val="none"/>
                <w:lang w:val="en-US" w:eastAsia="zh-CN"/>
              </w:rPr>
              <w:t>E</w:t>
            </w:r>
            <w:r>
              <w:rPr>
                <w:rFonts w:hint="default" w:ascii="Times New Roman" w:hAnsi="Times New Roman" w:cs="Times New Roman"/>
                <w:color w:val="000000"/>
                <w:sz w:val="24"/>
                <w:highlight w:val="none"/>
                <w:u w:val="single"/>
              </w:rPr>
              <w:t>113°7′9.32</w:t>
            </w:r>
            <w:r>
              <w:rPr>
                <w:rFonts w:hint="default" w:ascii="Times New Roman" w:hAnsi="Times New Roman" w:cs="Times New Roman"/>
                <w:color w:val="000000"/>
                <w:sz w:val="24"/>
                <w:highlight w:val="none"/>
                <w:u w:val="single"/>
                <w:lang w:val="en-US" w:eastAsia="zh-CN"/>
              </w:rPr>
              <w:t>2</w:t>
            </w:r>
            <w:r>
              <w:rPr>
                <w:rFonts w:hint="default" w:ascii="Times New Roman" w:hAnsi="Times New Roman" w:cs="Times New Roman"/>
                <w:color w:val="000000"/>
                <w:sz w:val="24"/>
                <w:highlight w:val="none"/>
                <w:u w:val="single"/>
              </w:rPr>
              <w:t>″</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N</w:t>
            </w:r>
            <w:r>
              <w:rPr>
                <w:rFonts w:hint="default" w:ascii="Times New Roman" w:hAnsi="Times New Roman" w:cs="Times New Roman"/>
                <w:color w:val="000000"/>
                <w:sz w:val="24"/>
                <w:highlight w:val="none"/>
                <w:u w:val="single"/>
              </w:rPr>
              <w:t>29°17′46.89</w:t>
            </w:r>
            <w:r>
              <w:rPr>
                <w:rFonts w:hint="default" w:ascii="Times New Roman" w:hAnsi="Times New Roman" w:cs="Times New Roman"/>
                <w:color w:val="000000"/>
                <w:sz w:val="24"/>
                <w:highlight w:val="none"/>
                <w:u w:val="single"/>
                <w:lang w:val="en-US" w:eastAsia="zh-CN"/>
              </w:rPr>
              <w:t>8</w:t>
            </w:r>
            <w:r>
              <w:rPr>
                <w:rFonts w:hint="default" w:ascii="Times New Roman" w:hAnsi="Times New Roman" w:cs="Times New Roman"/>
                <w:color w:val="000000"/>
                <w:sz w:val="24"/>
                <w:highlight w:val="none"/>
                <w:u w:val="single"/>
              </w:rPr>
              <w:t>″</w:t>
            </w:r>
            <w:r>
              <w:rPr>
                <w:rFonts w:hint="default" w:ascii="Times New Roman" w:hAnsi="Times New Roman" w:cs="Times New Roman"/>
                <w:color w:val="000000"/>
                <w:sz w:val="24"/>
                <w:highlight w:val="none"/>
              </w:rPr>
              <w:t>，</w:t>
            </w:r>
          </w:p>
          <w:p w14:paraId="0443D656">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highlight w:val="none"/>
              </w:rPr>
              <w:t>终点</w:t>
            </w:r>
            <w:r>
              <w:rPr>
                <w:rFonts w:hint="default" w:ascii="Times New Roman" w:hAnsi="Times New Roman" w:cs="Times New Roman"/>
                <w:color w:val="000000"/>
                <w:sz w:val="24"/>
                <w:highlight w:val="none"/>
                <w:lang w:val="en-US" w:eastAsia="zh-CN"/>
              </w:rPr>
              <w:t>E</w:t>
            </w:r>
            <w:r>
              <w:rPr>
                <w:rFonts w:hint="default" w:ascii="Times New Roman" w:hAnsi="Times New Roman" w:cs="Times New Roman"/>
                <w:color w:val="000000"/>
                <w:sz w:val="24"/>
                <w:highlight w:val="none"/>
                <w:u w:val="single"/>
              </w:rPr>
              <w:t>113°7′15.10</w:t>
            </w:r>
            <w:r>
              <w:rPr>
                <w:rFonts w:hint="default" w:ascii="Times New Roman" w:hAnsi="Times New Roman" w:cs="Times New Roman"/>
                <w:color w:val="000000"/>
                <w:sz w:val="24"/>
                <w:highlight w:val="none"/>
                <w:u w:val="single"/>
                <w:lang w:val="en-US" w:eastAsia="zh-CN"/>
              </w:rPr>
              <w:t>1</w:t>
            </w:r>
            <w:r>
              <w:rPr>
                <w:rFonts w:hint="default" w:ascii="Times New Roman" w:hAnsi="Times New Roman" w:cs="Times New Roman"/>
                <w:color w:val="000000"/>
                <w:sz w:val="24"/>
                <w:highlight w:val="none"/>
                <w:u w:val="single"/>
              </w:rPr>
              <w:t>″</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N</w:t>
            </w:r>
            <w:r>
              <w:rPr>
                <w:rFonts w:hint="default" w:ascii="Times New Roman" w:hAnsi="Times New Roman" w:cs="Times New Roman"/>
                <w:color w:val="000000"/>
                <w:sz w:val="24"/>
                <w:highlight w:val="none"/>
                <w:u w:val="single"/>
              </w:rPr>
              <w:t>29°17′44.363″</w:t>
            </w:r>
            <w:r>
              <w:rPr>
                <w:rFonts w:hint="default" w:ascii="Times New Roman" w:hAnsi="Times New Roman" w:cs="Times New Roman"/>
                <w:color w:val="000000"/>
                <w:sz w:val="24"/>
                <w:highlight w:val="none"/>
              </w:rPr>
              <w:t>）</w:t>
            </w:r>
          </w:p>
        </w:tc>
      </w:tr>
      <w:tr w14:paraId="1AA2B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237B93C3">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建设项目</w:t>
            </w:r>
          </w:p>
          <w:p w14:paraId="41D0666C">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行业类别</w:t>
            </w:r>
          </w:p>
        </w:tc>
        <w:tc>
          <w:tcPr>
            <w:tcW w:w="2050" w:type="dxa"/>
            <w:noWrap w:val="0"/>
            <w:vAlign w:val="center"/>
          </w:tcPr>
          <w:p w14:paraId="60E09784">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auto"/>
              </w:rPr>
              <w:t>五十二、交通运输业、管道运输业、131城市道路（不含维护；</w:t>
            </w:r>
          </w:p>
        </w:tc>
        <w:tc>
          <w:tcPr>
            <w:tcW w:w="2226" w:type="dxa"/>
            <w:noWrap w:val="0"/>
            <w:vAlign w:val="center"/>
          </w:tcPr>
          <w:p w14:paraId="12111AED">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用地（用海）面积（m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）/长度（km）</w:t>
            </w:r>
          </w:p>
        </w:tc>
        <w:tc>
          <w:tcPr>
            <w:tcW w:w="2561" w:type="dxa"/>
            <w:gridSpan w:val="2"/>
            <w:noWrap w:val="0"/>
            <w:vAlign w:val="center"/>
          </w:tcPr>
          <w:p w14:paraId="1AADD6BB">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长度：</w:t>
            </w:r>
            <w:r>
              <w:rPr>
                <w:rFonts w:hint="default" w:ascii="Times New Roman" w:hAnsi="Times New Roman" w:cs="Times New Roman"/>
                <w:color w:val="000000"/>
                <w:sz w:val="24"/>
                <w:lang w:val="en-US" w:eastAsia="zh-CN"/>
              </w:rPr>
              <w:t>0.175k</w:t>
            </w:r>
            <w:r>
              <w:rPr>
                <w:rFonts w:hint="default" w:ascii="Times New Roman" w:hAnsi="Times New Roman" w:cs="Times New Roman"/>
                <w:color w:val="000000"/>
                <w:sz w:val="24"/>
              </w:rPr>
              <w:t>m</w:t>
            </w:r>
          </w:p>
        </w:tc>
      </w:tr>
      <w:tr w14:paraId="2D3E1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0C6D20B0">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建设性质</w:t>
            </w:r>
          </w:p>
        </w:tc>
        <w:tc>
          <w:tcPr>
            <w:tcW w:w="2050" w:type="dxa"/>
            <w:noWrap w:val="0"/>
            <w:vAlign w:val="center"/>
          </w:tcPr>
          <w:p w14:paraId="4BBB9579">
            <w:pPr>
              <w:adjustRightInd w:val="0"/>
              <w:snapToGrid w:val="0"/>
              <w:jc w:val="left"/>
              <w:rPr>
                <w:rFonts w:hint="default" w:ascii="Times New Roman" w:hAnsi="Times New Roman" w:cs="Times New Roman"/>
                <w:color w:val="000000"/>
                <w:sz w:val="24"/>
              </w:rPr>
            </w:pPr>
            <w:r>
              <w:rPr>
                <w:rFonts w:hint="default" w:ascii="Times New Roman" w:hAnsi="Times New Roman" w:eastAsia="MS Mincho" w:cs="Times New Roman"/>
                <w:color w:val="000000"/>
                <w:sz w:val="24"/>
              </w:rPr>
              <w:t>☑</w:t>
            </w:r>
            <w:r>
              <w:rPr>
                <w:rFonts w:hint="default" w:ascii="Times New Roman" w:hAnsi="Times New Roman" w:cs="Times New Roman"/>
                <w:color w:val="000000"/>
                <w:sz w:val="24"/>
              </w:rPr>
              <w:t>新建（迁建）</w:t>
            </w:r>
          </w:p>
          <w:p w14:paraId="606DCB63">
            <w:pPr>
              <w:adjustRightInd w:val="0"/>
              <w:snapToGrid w:val="0"/>
              <w:jc w:val="left"/>
              <w:rPr>
                <w:rFonts w:hint="default" w:ascii="Times New Roman" w:hAnsi="Times New Roman" w:cs="Times New Roman"/>
                <w:color w:val="000000"/>
                <w:sz w:val="24"/>
              </w:rPr>
            </w:pPr>
            <w:r>
              <w:rPr>
                <w:rFonts w:hint="default" w:ascii="Times New Roman" w:hAnsi="Times New Roman" w:cs="Times New Roman"/>
                <w:color w:val="000000"/>
                <w:sz w:val="24"/>
              </w:rPr>
              <w:t>□改建</w:t>
            </w:r>
          </w:p>
          <w:p w14:paraId="64B48188">
            <w:pPr>
              <w:adjustRightInd w:val="0"/>
              <w:snapToGrid w:val="0"/>
              <w:jc w:val="left"/>
              <w:rPr>
                <w:rFonts w:hint="default" w:ascii="Times New Roman" w:hAnsi="Times New Roman" w:cs="Times New Roman"/>
                <w:color w:val="000000"/>
                <w:sz w:val="24"/>
              </w:rPr>
            </w:pPr>
            <w:r>
              <w:rPr>
                <w:rFonts w:hint="default" w:ascii="Times New Roman" w:hAnsi="Times New Roman" w:cs="Times New Roman"/>
                <w:color w:val="000000"/>
                <w:sz w:val="24"/>
              </w:rPr>
              <w:t>□扩建</w:t>
            </w:r>
          </w:p>
          <w:p w14:paraId="42860AE9">
            <w:pPr>
              <w:adjustRightInd w:val="0"/>
              <w:snapToGrid w:val="0"/>
              <w:jc w:val="left"/>
              <w:rPr>
                <w:rFonts w:hint="default" w:ascii="Times New Roman" w:hAnsi="Times New Roman" w:cs="Times New Roman"/>
                <w:color w:val="000000"/>
                <w:sz w:val="24"/>
              </w:rPr>
            </w:pPr>
            <w:r>
              <w:rPr>
                <w:rFonts w:hint="default" w:ascii="Times New Roman" w:hAnsi="Times New Roman" w:cs="Times New Roman"/>
                <w:color w:val="000000"/>
                <w:sz w:val="24"/>
              </w:rPr>
              <w:t>□技术改造</w:t>
            </w:r>
          </w:p>
        </w:tc>
        <w:tc>
          <w:tcPr>
            <w:tcW w:w="2226" w:type="dxa"/>
            <w:noWrap w:val="0"/>
            <w:vAlign w:val="center"/>
          </w:tcPr>
          <w:p w14:paraId="6FDBD052">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建设项目</w:t>
            </w:r>
          </w:p>
          <w:p w14:paraId="2AA59746">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申报情形</w:t>
            </w:r>
          </w:p>
        </w:tc>
        <w:tc>
          <w:tcPr>
            <w:tcW w:w="2561" w:type="dxa"/>
            <w:gridSpan w:val="2"/>
            <w:noWrap w:val="0"/>
            <w:vAlign w:val="center"/>
          </w:tcPr>
          <w:p w14:paraId="38306922">
            <w:pPr>
              <w:adjustRightInd w:val="0"/>
              <w:snapToGrid w:val="0"/>
              <w:jc w:val="left"/>
              <w:rPr>
                <w:rFonts w:hint="default" w:ascii="Times New Roman" w:hAnsi="Times New Roman" w:cs="Times New Roman"/>
                <w:color w:val="000000"/>
                <w:sz w:val="24"/>
              </w:rPr>
            </w:pPr>
            <w:r>
              <w:rPr>
                <w:rFonts w:hint="default" w:ascii="Times New Roman" w:hAnsi="Times New Roman" w:eastAsia="MS Mincho" w:cs="Times New Roman"/>
                <w:color w:val="000000"/>
                <w:sz w:val="24"/>
              </w:rPr>
              <w:t>☑</w:t>
            </w:r>
            <w:r>
              <w:rPr>
                <w:rFonts w:hint="default" w:ascii="Times New Roman" w:hAnsi="Times New Roman" w:cs="Times New Roman"/>
                <w:color w:val="000000"/>
                <w:sz w:val="24"/>
              </w:rPr>
              <w:t>首次申报项目</w:t>
            </w:r>
          </w:p>
          <w:p w14:paraId="50F79500">
            <w:pPr>
              <w:adjustRightInd w:val="0"/>
              <w:snapToGrid w:val="0"/>
              <w:jc w:val="left"/>
              <w:rPr>
                <w:rFonts w:hint="default" w:ascii="Times New Roman" w:hAnsi="Times New Roman" w:cs="Times New Roman"/>
                <w:color w:val="000000"/>
                <w:sz w:val="24"/>
              </w:rPr>
            </w:pPr>
            <w:r>
              <w:rPr>
                <w:rFonts w:hint="default" w:ascii="Times New Roman" w:hAnsi="Times New Roman" w:cs="Times New Roman"/>
                <w:color w:val="000000"/>
                <w:sz w:val="24"/>
              </w:rPr>
              <w:t>□不予批准后再次申报项目</w:t>
            </w:r>
          </w:p>
          <w:p w14:paraId="396A41A8">
            <w:pPr>
              <w:adjustRightInd w:val="0"/>
              <w:snapToGrid w:val="0"/>
              <w:jc w:val="left"/>
              <w:rPr>
                <w:rFonts w:hint="default" w:ascii="Times New Roman" w:hAnsi="Times New Roman" w:cs="Times New Roman"/>
                <w:color w:val="000000"/>
                <w:sz w:val="24"/>
              </w:rPr>
            </w:pPr>
            <w:r>
              <w:rPr>
                <w:rFonts w:hint="default" w:ascii="Times New Roman" w:hAnsi="Times New Roman" w:cs="Times New Roman"/>
                <w:color w:val="000000"/>
                <w:sz w:val="24"/>
              </w:rPr>
              <w:t>□超五年重新审核项目</w:t>
            </w:r>
          </w:p>
          <w:p w14:paraId="168E6A93">
            <w:pPr>
              <w:adjustRightInd w:val="0"/>
              <w:snapToGrid w:val="0"/>
              <w:rPr>
                <w:rFonts w:hint="default" w:ascii="Times New Roman" w:hAnsi="Times New Roman" w:cs="Times New Roman"/>
                <w:color w:val="000000"/>
                <w:sz w:val="24"/>
              </w:rPr>
            </w:pPr>
            <w:r>
              <w:rPr>
                <w:rFonts w:hint="default" w:ascii="Times New Roman" w:hAnsi="Times New Roman" w:cs="Times New Roman"/>
                <w:color w:val="000000"/>
                <w:sz w:val="24"/>
              </w:rPr>
              <w:t>□重大变动重新报批项目</w:t>
            </w:r>
          </w:p>
        </w:tc>
      </w:tr>
      <w:tr w14:paraId="08542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4AED8DC7">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项目审批（核准/</w:t>
            </w:r>
          </w:p>
          <w:p w14:paraId="5AEF5558">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备案）部门（选填）</w:t>
            </w:r>
          </w:p>
        </w:tc>
        <w:tc>
          <w:tcPr>
            <w:tcW w:w="2050" w:type="dxa"/>
            <w:noWrap w:val="0"/>
            <w:vAlign w:val="center"/>
          </w:tcPr>
          <w:p w14:paraId="47E08ACF">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岳阳市发展和改革委员会</w:t>
            </w:r>
          </w:p>
        </w:tc>
        <w:tc>
          <w:tcPr>
            <w:tcW w:w="2226" w:type="dxa"/>
            <w:noWrap w:val="0"/>
            <w:vAlign w:val="center"/>
          </w:tcPr>
          <w:p w14:paraId="097EE5B3">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项目审批（核准/</w:t>
            </w:r>
          </w:p>
          <w:p w14:paraId="49CBECEB">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备案）文号（选填）</w:t>
            </w:r>
          </w:p>
        </w:tc>
        <w:tc>
          <w:tcPr>
            <w:tcW w:w="2561" w:type="dxa"/>
            <w:gridSpan w:val="2"/>
            <w:noWrap w:val="0"/>
            <w:vAlign w:val="center"/>
          </w:tcPr>
          <w:p w14:paraId="673040C9">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岳发改审[2024]181号</w:t>
            </w:r>
          </w:p>
        </w:tc>
      </w:tr>
      <w:tr w14:paraId="230FF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6C1587B4">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总投资（万元）</w:t>
            </w:r>
          </w:p>
        </w:tc>
        <w:tc>
          <w:tcPr>
            <w:tcW w:w="2050" w:type="dxa"/>
            <w:noWrap w:val="0"/>
            <w:vAlign w:val="center"/>
          </w:tcPr>
          <w:p w14:paraId="6AB9C414">
            <w:pPr>
              <w:adjustRightInd w:val="0"/>
              <w:snapToGrid w:val="0"/>
              <w:jc w:val="center"/>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3007.55</w:t>
            </w:r>
          </w:p>
        </w:tc>
        <w:tc>
          <w:tcPr>
            <w:tcW w:w="2226" w:type="dxa"/>
            <w:noWrap w:val="0"/>
            <w:tcMar>
              <w:top w:w="16" w:type="dxa"/>
              <w:left w:w="16" w:type="dxa"/>
              <w:right w:w="16" w:type="dxa"/>
            </w:tcMar>
            <w:vAlign w:val="center"/>
          </w:tcPr>
          <w:p w14:paraId="1F9B8761">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环保投资（万元）</w:t>
            </w:r>
          </w:p>
        </w:tc>
        <w:tc>
          <w:tcPr>
            <w:tcW w:w="2561" w:type="dxa"/>
            <w:gridSpan w:val="2"/>
            <w:noWrap w:val="0"/>
            <w:vAlign w:val="center"/>
          </w:tcPr>
          <w:p w14:paraId="6E988675">
            <w:pPr>
              <w:adjustRightInd w:val="0"/>
              <w:snapToGrid w:val="0"/>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98</w:t>
            </w:r>
          </w:p>
        </w:tc>
      </w:tr>
      <w:tr w14:paraId="1AF2B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78EF721B">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环保投资占比（%）</w:t>
            </w:r>
          </w:p>
        </w:tc>
        <w:tc>
          <w:tcPr>
            <w:tcW w:w="2050" w:type="dxa"/>
            <w:noWrap w:val="0"/>
            <w:vAlign w:val="center"/>
          </w:tcPr>
          <w:p w14:paraId="1FC0793C">
            <w:pPr>
              <w:adjustRightInd w:val="0"/>
              <w:snapToGrid w:val="0"/>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3.26</w:t>
            </w:r>
          </w:p>
        </w:tc>
        <w:tc>
          <w:tcPr>
            <w:tcW w:w="2226" w:type="dxa"/>
            <w:noWrap w:val="0"/>
            <w:tcMar>
              <w:top w:w="16" w:type="dxa"/>
              <w:left w:w="16" w:type="dxa"/>
              <w:right w:w="16" w:type="dxa"/>
            </w:tcMar>
            <w:vAlign w:val="center"/>
          </w:tcPr>
          <w:p w14:paraId="012DEBA3">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施工工期</w:t>
            </w:r>
          </w:p>
        </w:tc>
        <w:tc>
          <w:tcPr>
            <w:tcW w:w="2561" w:type="dxa"/>
            <w:gridSpan w:val="2"/>
            <w:noWrap w:val="0"/>
            <w:vAlign w:val="center"/>
          </w:tcPr>
          <w:p w14:paraId="70E0ACD8">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6</w:t>
            </w:r>
            <w:r>
              <w:rPr>
                <w:rFonts w:hint="default" w:ascii="Times New Roman" w:hAnsi="Times New Roman" w:cs="Times New Roman"/>
                <w:color w:val="000000"/>
                <w:sz w:val="24"/>
              </w:rPr>
              <w:t>个月</w:t>
            </w:r>
          </w:p>
        </w:tc>
      </w:tr>
      <w:tr w14:paraId="213D0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5537AD2E">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是否开工建设</w:t>
            </w:r>
          </w:p>
        </w:tc>
        <w:tc>
          <w:tcPr>
            <w:tcW w:w="6837" w:type="dxa"/>
            <w:gridSpan w:val="4"/>
            <w:noWrap w:val="0"/>
            <w:vAlign w:val="center"/>
          </w:tcPr>
          <w:p w14:paraId="63ACEF85">
            <w:pPr>
              <w:adjustRightInd w:val="0"/>
              <w:snapToGrid w:val="0"/>
              <w:ind w:firstLine="105"/>
              <w:jc w:val="left"/>
              <w:rPr>
                <w:rFonts w:hint="default" w:ascii="Times New Roman" w:hAnsi="Times New Roman" w:cs="Times New Roman"/>
                <w:color w:val="000000"/>
                <w:sz w:val="24"/>
              </w:rPr>
            </w:pPr>
            <w:r>
              <w:rPr>
                <w:rFonts w:hint="default" w:ascii="Times New Roman" w:hAnsi="Times New Roman" w:eastAsia="MS Mincho" w:cs="Times New Roman"/>
                <w:color w:val="000000"/>
                <w:sz w:val="24"/>
              </w:rPr>
              <w:t>☑</w:t>
            </w:r>
            <w:r>
              <w:rPr>
                <w:rFonts w:hint="default" w:ascii="Times New Roman" w:hAnsi="Times New Roman" w:cs="Times New Roman"/>
                <w:color w:val="000000"/>
                <w:sz w:val="24"/>
              </w:rPr>
              <w:t>否</w:t>
            </w:r>
          </w:p>
          <w:p w14:paraId="4C13F165">
            <w:pPr>
              <w:adjustRightInd w:val="0"/>
              <w:snapToGrid w:val="0"/>
              <w:ind w:firstLine="92"/>
              <w:jc w:val="left"/>
              <w:rPr>
                <w:rFonts w:hint="default" w:ascii="Times New Roman" w:hAnsi="Times New Roman" w:cs="Times New Roman"/>
                <w:color w:val="000000"/>
                <w:sz w:val="24"/>
              </w:rPr>
            </w:pPr>
            <w:r>
              <w:rPr>
                <w:rFonts w:hint="default" w:ascii="Times New Roman" w:hAnsi="Times New Roman" w:cs="Times New Roman"/>
                <w:color w:val="000000"/>
                <w:sz w:val="24"/>
              </w:rPr>
              <w:t>□是：</w:t>
            </w:r>
            <w:r>
              <w:rPr>
                <w:rFonts w:hint="default" w:ascii="Times New Roman" w:hAnsi="Times New Roman" w:cs="Times New Roman"/>
                <w:color w:val="000000"/>
                <w:sz w:val="24"/>
                <w:u w:val="single"/>
              </w:rPr>
              <w:t xml:space="preserve">                  </w:t>
            </w:r>
          </w:p>
        </w:tc>
      </w:tr>
      <w:tr w14:paraId="7DE20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34D1242A">
            <w:pPr>
              <w:autoSpaceDE w:val="0"/>
              <w:autoSpaceDN w:val="0"/>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专项评价设置情况</w:t>
            </w:r>
          </w:p>
        </w:tc>
        <w:tc>
          <w:tcPr>
            <w:tcW w:w="6837" w:type="dxa"/>
            <w:gridSpan w:val="4"/>
            <w:noWrap w:val="0"/>
            <w:tcMar>
              <w:top w:w="16" w:type="dxa"/>
              <w:left w:w="16" w:type="dxa"/>
              <w:right w:w="16" w:type="dxa"/>
            </w:tcMar>
            <w:vAlign w:val="center"/>
          </w:tcPr>
          <w:p w14:paraId="52B7A03C">
            <w:pPr>
              <w:autoSpaceDE w:val="0"/>
              <w:autoSpaceDN w:val="0"/>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highlight w:val="none"/>
              </w:rPr>
              <w:t>根据《建设项目环境影响报告表编制技术指南（生态影响类）（试行）》，本项目属于城市道路项目，须设置噪声专项评价。</w:t>
            </w:r>
          </w:p>
        </w:tc>
      </w:tr>
      <w:tr w14:paraId="62BDA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4D6FF7F4">
            <w:pPr>
              <w:autoSpaceDE w:val="0"/>
              <w:autoSpaceDN w:val="0"/>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sz w:val="24"/>
              </w:rPr>
              <w:t>规划情况</w:t>
            </w:r>
          </w:p>
        </w:tc>
        <w:tc>
          <w:tcPr>
            <w:tcW w:w="6837" w:type="dxa"/>
            <w:gridSpan w:val="4"/>
            <w:noWrap w:val="0"/>
            <w:tcMar>
              <w:top w:w="16" w:type="dxa"/>
              <w:left w:w="16" w:type="dxa"/>
              <w:right w:w="16" w:type="dxa"/>
            </w:tcMar>
            <w:vAlign w:val="center"/>
          </w:tcPr>
          <w:p w14:paraId="0DFAF804">
            <w:pPr>
              <w:autoSpaceDE w:val="0"/>
              <w:autoSpaceDN w:val="0"/>
              <w:adjustRightInd w:val="0"/>
              <w:snapToGrid w:val="0"/>
              <w:spacing w:line="360" w:lineRule="auto"/>
              <w:ind w:firstLine="480" w:firstLineChars="200"/>
              <w:jc w:val="left"/>
              <w:rPr>
                <w:rFonts w:hint="default" w:ascii="Times New Roman" w:hAnsi="Times New Roman" w:eastAsia="微软雅黑" w:cs="Times New Roman"/>
                <w:color w:val="000000"/>
                <w:kern w:val="0"/>
                <w:sz w:val="27"/>
                <w:szCs w:val="27"/>
                <w:highlight w:val="yellow"/>
              </w:rPr>
            </w:pPr>
            <w:r>
              <w:rPr>
                <w:rFonts w:hint="default" w:ascii="Times New Roman" w:hAnsi="Times New Roman" w:cs="Times New Roman"/>
                <w:color w:val="000000"/>
                <w:kern w:val="0"/>
                <w:sz w:val="24"/>
                <w:highlight w:val="none"/>
                <w:u w:val="none"/>
              </w:rPr>
              <w:t>《岳阳市赶山片区控制性详细规划》</w:t>
            </w:r>
          </w:p>
        </w:tc>
      </w:tr>
      <w:tr w14:paraId="53E56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4A5AF22D">
            <w:pPr>
              <w:autoSpaceDE w:val="0"/>
              <w:autoSpaceDN w:val="0"/>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规划环境影响</w:t>
            </w:r>
          </w:p>
          <w:p w14:paraId="299A9AFC">
            <w:pPr>
              <w:autoSpaceDE w:val="0"/>
              <w:autoSpaceDN w:val="0"/>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sz w:val="24"/>
              </w:rPr>
              <w:t>评价情况</w:t>
            </w:r>
          </w:p>
        </w:tc>
        <w:tc>
          <w:tcPr>
            <w:tcW w:w="6837" w:type="dxa"/>
            <w:gridSpan w:val="4"/>
            <w:noWrap w:val="0"/>
            <w:tcMar>
              <w:top w:w="16" w:type="dxa"/>
              <w:left w:w="16" w:type="dxa"/>
              <w:right w:w="16" w:type="dxa"/>
            </w:tcMar>
            <w:vAlign w:val="center"/>
          </w:tcPr>
          <w:p w14:paraId="4BA6A4D1">
            <w:pPr>
              <w:adjustRightInd w:val="0"/>
              <w:snapToGrid w:val="0"/>
              <w:jc w:val="center"/>
              <w:rPr>
                <w:rFonts w:hint="default" w:ascii="Times New Roman" w:hAnsi="Times New Roman" w:cs="Times New Roman"/>
                <w:color w:val="000000"/>
                <w:kern w:val="0"/>
                <w:sz w:val="24"/>
                <w:highlight w:val="yellow"/>
              </w:rPr>
            </w:pPr>
            <w:r>
              <w:rPr>
                <w:rFonts w:hint="default" w:ascii="Times New Roman" w:hAnsi="Times New Roman" w:cs="Times New Roman"/>
                <w:color w:val="000000"/>
                <w:kern w:val="0"/>
                <w:sz w:val="24"/>
                <w:highlight w:val="none"/>
              </w:rPr>
              <w:t>无</w:t>
            </w:r>
          </w:p>
        </w:tc>
      </w:tr>
      <w:tr w14:paraId="10A8F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34" w:type="dxa"/>
            <w:noWrap w:val="0"/>
            <w:tcMar>
              <w:top w:w="16" w:type="dxa"/>
              <w:left w:w="16" w:type="dxa"/>
              <w:right w:w="16" w:type="dxa"/>
            </w:tcMar>
            <w:vAlign w:val="center"/>
          </w:tcPr>
          <w:p w14:paraId="11E6D7BD">
            <w:pPr>
              <w:autoSpaceDE w:val="0"/>
              <w:autoSpaceDN w:val="0"/>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规划及</w:t>
            </w:r>
            <w:r>
              <w:rPr>
                <w:rFonts w:hint="default" w:ascii="Times New Roman" w:hAnsi="Times New Roman" w:cs="Times New Roman"/>
                <w:color w:val="000000"/>
                <w:sz w:val="24"/>
              </w:rPr>
              <w:t>规划环境影响评价</w:t>
            </w:r>
            <w:r>
              <w:rPr>
                <w:rFonts w:hint="default" w:ascii="Times New Roman" w:hAnsi="Times New Roman" w:cs="Times New Roman"/>
                <w:color w:val="000000"/>
                <w:kern w:val="0"/>
                <w:sz w:val="24"/>
              </w:rPr>
              <w:t>符合性分析</w:t>
            </w:r>
          </w:p>
        </w:tc>
        <w:tc>
          <w:tcPr>
            <w:tcW w:w="6837" w:type="dxa"/>
            <w:gridSpan w:val="4"/>
            <w:noWrap w:val="0"/>
            <w:tcMar>
              <w:top w:w="16" w:type="dxa"/>
              <w:left w:w="16" w:type="dxa"/>
              <w:right w:w="16" w:type="dxa"/>
            </w:tcMar>
            <w:vAlign w:val="center"/>
          </w:tcPr>
          <w:p w14:paraId="2577B05C">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lang w:val="en-US" w:eastAsia="zh-CN"/>
              </w:rPr>
              <w:t>与</w:t>
            </w:r>
            <w:r>
              <w:rPr>
                <w:rFonts w:hint="default" w:ascii="Times New Roman" w:hAnsi="Times New Roman" w:cs="Times New Roman"/>
                <w:color w:val="auto"/>
                <w:kern w:val="0"/>
                <w:sz w:val="24"/>
                <w:highlight w:val="none"/>
                <w:u w:val="none"/>
              </w:rPr>
              <w:t>《岳阳市赶山片区控制性详细规划》符合性分析</w:t>
            </w:r>
          </w:p>
          <w:p w14:paraId="262CC3F8">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在岳阳市赶山片区，樊陈路一期与岳阳市中心医院同步建设，2022年，因岳阳学院建设，赶山片区的详规做了调整。调整后的路网。取消章华路，将东坡路升级为主干路，红线宽调整为40米，位置也做了局部的调整。规划调整后，东坡路与樊陈路的交叉口向东移了130m。</w:t>
            </w:r>
          </w:p>
          <w:p w14:paraId="18E46F25">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1</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本项目的建设是改善市中心医院区域交通条件的需要。</w:t>
            </w:r>
          </w:p>
          <w:p w14:paraId="235536E3">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2</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本项目是解决中心医院排水问题的需要</w:t>
            </w:r>
          </w:p>
          <w:p w14:paraId="20C0F8AB">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3</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本项目的建设是改善区域交通条件，促进沿线地块开发建设，改善投资环境的需要。</w:t>
            </w:r>
          </w:p>
          <w:p w14:paraId="136AF19D">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4</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是构建片区路网骨架结构，加速项目区域建设的需要。</w:t>
            </w:r>
          </w:p>
          <w:p w14:paraId="44FA3412">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5</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本项目符合岳阳市国土空间规划发展的要求，是城市建设的需要。</w:t>
            </w:r>
          </w:p>
          <w:p w14:paraId="3EF13B79">
            <w:pPr>
              <w:autoSpaceDE w:val="0"/>
              <w:autoSpaceDN w:val="0"/>
              <w:adjustRightInd w:val="0"/>
              <w:snapToGrid w:val="0"/>
              <w:spacing w:line="360" w:lineRule="auto"/>
              <w:ind w:firstLine="480" w:firstLineChars="200"/>
              <w:jc w:val="left"/>
              <w:rPr>
                <w:rFonts w:hint="default" w:ascii="Times New Roman" w:hAnsi="Times New Roman" w:eastAsia="宋体" w:cs="Times New Roman"/>
                <w:lang w:eastAsia="zh-CN"/>
              </w:rPr>
            </w:pPr>
            <w:r>
              <w:rPr>
                <w:rFonts w:hint="default" w:ascii="Times New Roman" w:hAnsi="Times New Roman" w:cs="Times New Roman"/>
                <w:color w:val="auto"/>
                <w:kern w:val="0"/>
                <w:sz w:val="24"/>
                <w:highlight w:val="none"/>
                <w:u w:val="none"/>
              </w:rPr>
              <w:t>因此，项目符合岳阳市赶山片区控制性详细规划</w:t>
            </w:r>
            <w:r>
              <w:rPr>
                <w:rFonts w:hint="default" w:ascii="Times New Roman" w:hAnsi="Times New Roman" w:cs="Times New Roman"/>
                <w:color w:val="auto"/>
                <w:kern w:val="0"/>
                <w:sz w:val="24"/>
                <w:highlight w:val="none"/>
                <w:u w:val="none"/>
                <w:lang w:eastAsia="zh-CN"/>
              </w:rPr>
              <w:t>。</w:t>
            </w:r>
          </w:p>
        </w:tc>
      </w:tr>
      <w:tr w14:paraId="5033F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34" w:type="dxa"/>
            <w:noWrap w:val="0"/>
            <w:tcMar>
              <w:top w:w="16" w:type="dxa"/>
              <w:left w:w="16" w:type="dxa"/>
              <w:right w:w="16" w:type="dxa"/>
            </w:tcMar>
            <w:vAlign w:val="center"/>
          </w:tcPr>
          <w:p w14:paraId="30EF659A">
            <w:pPr>
              <w:autoSpaceDE w:val="0"/>
              <w:autoSpaceDN w:val="0"/>
              <w:adjustRightInd w:val="0"/>
              <w:snapToGrid w:val="0"/>
              <w:jc w:val="center"/>
              <w:rPr>
                <w:rFonts w:hint="default" w:ascii="Times New Roman" w:hAnsi="Times New Roman" w:cs="Times New Roman"/>
                <w:color w:val="000000"/>
                <w:kern w:val="0"/>
                <w:sz w:val="24"/>
              </w:rPr>
            </w:pPr>
            <w:bookmarkStart w:id="3" w:name="_Hlk56690880"/>
            <w:r>
              <w:rPr>
                <w:rFonts w:hint="default" w:ascii="Times New Roman" w:hAnsi="Times New Roman" w:cs="Times New Roman"/>
                <w:color w:val="000000"/>
                <w:kern w:val="0"/>
                <w:sz w:val="24"/>
              </w:rPr>
              <w:t>其他符合性分析</w:t>
            </w:r>
            <w:bookmarkEnd w:id="3"/>
          </w:p>
        </w:tc>
        <w:tc>
          <w:tcPr>
            <w:tcW w:w="6837" w:type="dxa"/>
            <w:gridSpan w:val="4"/>
            <w:noWrap w:val="0"/>
            <w:tcMar>
              <w:top w:w="16" w:type="dxa"/>
              <w:left w:w="16" w:type="dxa"/>
              <w:right w:w="16" w:type="dxa"/>
            </w:tcMar>
            <w:vAlign w:val="center"/>
          </w:tcPr>
          <w:p w14:paraId="7A24312D">
            <w:pPr>
              <w:pStyle w:val="4"/>
              <w:spacing w:before="0" w:after="0" w:line="360" w:lineRule="auto"/>
              <w:jc w:val="left"/>
              <w:rPr>
                <w:rFonts w:hint="default" w:ascii="Times New Roman" w:hAnsi="Times New Roman" w:cs="Times New Roman"/>
                <w:sz w:val="28"/>
                <w:szCs w:val="28"/>
              </w:rPr>
            </w:pPr>
            <w:bookmarkStart w:id="4" w:name="_Toc37246094"/>
            <w:bookmarkStart w:id="5" w:name="_Toc475442642"/>
            <w:bookmarkStart w:id="6" w:name="_Toc472280183"/>
            <w:bookmarkStart w:id="7" w:name="_Toc467851551"/>
            <w:r>
              <w:rPr>
                <w:rFonts w:hint="default" w:ascii="Times New Roman" w:hAnsi="Times New Roman" w:cs="Times New Roman"/>
                <w:sz w:val="28"/>
                <w:szCs w:val="28"/>
              </w:rPr>
              <w:t>1.1产业政策及规划符合性分析</w:t>
            </w:r>
            <w:bookmarkEnd w:id="4"/>
            <w:bookmarkEnd w:id="5"/>
            <w:bookmarkEnd w:id="6"/>
            <w:bookmarkEnd w:id="7"/>
          </w:p>
          <w:p w14:paraId="2026558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经对照《产业结构调整指导目录（2024年本）》，本项目不属于其中的限制类、淘汰类，符合国家产业政策。</w:t>
            </w:r>
          </w:p>
          <w:p w14:paraId="24A40F1C">
            <w:pPr>
              <w:spacing w:line="360" w:lineRule="auto"/>
              <w:rPr>
                <w:rFonts w:hint="default" w:ascii="Times New Roman" w:hAnsi="Times New Roman" w:cs="Times New Roman"/>
                <w:b/>
                <w:sz w:val="24"/>
              </w:rPr>
            </w:pPr>
            <w:r>
              <w:rPr>
                <w:rFonts w:hint="default" w:ascii="Times New Roman" w:hAnsi="Times New Roman" w:cs="Times New Roman"/>
                <w:b/>
                <w:sz w:val="24"/>
              </w:rPr>
              <w:t>1.</w:t>
            </w:r>
            <w:r>
              <w:rPr>
                <w:rFonts w:hint="default" w:ascii="Times New Roman" w:hAnsi="Times New Roman" w:cs="Times New Roman"/>
                <w:b/>
                <w:sz w:val="24"/>
                <w:lang w:val="en-US" w:eastAsia="zh-CN"/>
              </w:rPr>
              <w:t>2</w:t>
            </w:r>
            <w:r>
              <w:rPr>
                <w:rFonts w:hint="default" w:ascii="Times New Roman" w:hAnsi="Times New Roman" w:cs="Times New Roman"/>
                <w:b/>
                <w:sz w:val="24"/>
              </w:rPr>
              <w:t>、与</w:t>
            </w:r>
            <w:r>
              <w:rPr>
                <w:rFonts w:hint="default" w:ascii="Times New Roman" w:hAnsi="Times New Roman" w:cs="Times New Roman"/>
                <w:b/>
                <w:sz w:val="24"/>
                <w:lang w:val="en-US" w:eastAsia="zh-CN"/>
              </w:rPr>
              <w:t>生态环境分区管控的符合性分析</w:t>
            </w:r>
          </w:p>
          <w:p w14:paraId="7F45A002">
            <w:pPr>
              <w:autoSpaceDE w:val="0"/>
              <w:autoSpaceDN w:val="0"/>
              <w:adjustRightInd w:val="0"/>
              <w:spacing w:line="360" w:lineRule="auto"/>
              <w:ind w:firstLine="480" w:firstLineChars="200"/>
              <w:jc w:val="left"/>
              <w:textAlignment w:val="baseline"/>
              <w:rPr>
                <w:rFonts w:hint="default" w:ascii="Times New Roman" w:hAnsi="Times New Roman" w:cs="Times New Roman"/>
                <w:kern w:val="0"/>
                <w:sz w:val="24"/>
                <w:szCs w:val="21"/>
                <w:u w:val="none"/>
              </w:rPr>
            </w:pPr>
            <w:r>
              <w:rPr>
                <w:rFonts w:hint="default" w:ascii="Times New Roman" w:hAnsi="Times New Roman" w:cs="Times New Roman"/>
                <w:kern w:val="0"/>
                <w:sz w:val="24"/>
                <w:szCs w:val="21"/>
                <w:u w:val="none"/>
                <w:lang w:val="en-US" w:eastAsia="zh-CN"/>
              </w:rPr>
              <w:t>根据岳阳市生态环境局发布的《岳阳市生态环境分区管控动态更新成果（2023年版）的通知》，项目所在地</w:t>
            </w:r>
            <w:r>
              <w:rPr>
                <w:rFonts w:hint="default" w:ascii="Times New Roman" w:hAnsi="Times New Roman" w:cs="Times New Roman"/>
                <w:bCs/>
                <w:color w:val="000000"/>
                <w:sz w:val="24"/>
                <w:lang w:eastAsia="zh-CN"/>
              </w:rPr>
              <w:t>岳阳楼区赶山片区，</w:t>
            </w:r>
            <w:r>
              <w:rPr>
                <w:rFonts w:hint="default" w:ascii="Times New Roman" w:hAnsi="Times New Roman" w:cs="Times New Roman"/>
                <w:bCs/>
                <w:color w:val="000000"/>
                <w:sz w:val="24"/>
                <w:lang w:val="en-US" w:eastAsia="zh-CN"/>
              </w:rPr>
              <w:t>属于郭镇乡，</w:t>
            </w:r>
            <w:r>
              <w:rPr>
                <w:rFonts w:hint="default" w:ascii="Times New Roman" w:hAnsi="Times New Roman" w:cs="Times New Roman"/>
                <w:kern w:val="0"/>
                <w:sz w:val="24"/>
                <w:szCs w:val="21"/>
                <w:u w:val="none"/>
                <w:lang w:val="en-US" w:eastAsia="zh-CN"/>
              </w:rPr>
              <w:t>属于“重点管控单元”，环境管控单元编码：ZH43060220001，本项目与相关管控单元管控要求的相符性分析见下表。</w:t>
            </w:r>
          </w:p>
          <w:p w14:paraId="070D99C9">
            <w:pPr>
              <w:pStyle w:val="42"/>
              <w:spacing w:line="240" w:lineRule="auto"/>
              <w:ind w:firstLine="0" w:firstLineChars="0"/>
              <w:jc w:val="center"/>
              <w:rPr>
                <w:rFonts w:hint="default" w:ascii="Times New Roman" w:hAnsi="Times New Roman" w:eastAsia="宋体" w:cs="Times New Roman"/>
                <w:b/>
                <w:bCs/>
                <w:sz w:val="21"/>
                <w:szCs w:val="21"/>
                <w:u w:val="none"/>
                <w:lang w:eastAsia="zh-CN"/>
              </w:rPr>
            </w:pPr>
            <w:r>
              <w:rPr>
                <w:rFonts w:hint="default" w:ascii="Times New Roman" w:hAnsi="Times New Roman" w:cs="Times New Roman"/>
                <w:b/>
                <w:bCs/>
                <w:sz w:val="21"/>
                <w:szCs w:val="21"/>
                <w:u w:val="none"/>
              </w:rPr>
              <w:t>表1.</w:t>
            </w:r>
            <w:r>
              <w:rPr>
                <w:rFonts w:hint="default" w:ascii="Times New Roman" w:hAnsi="Times New Roman" w:cs="Times New Roman"/>
                <w:b/>
                <w:bCs/>
                <w:sz w:val="21"/>
                <w:szCs w:val="21"/>
                <w:u w:val="none"/>
                <w:lang w:val="en-US" w:eastAsia="zh-CN"/>
              </w:rPr>
              <w:t>2</w:t>
            </w:r>
            <w:r>
              <w:rPr>
                <w:rFonts w:hint="default" w:ascii="Times New Roman" w:hAnsi="Times New Roman" w:cs="Times New Roman"/>
                <w:b/>
                <w:bCs/>
                <w:sz w:val="21"/>
                <w:szCs w:val="21"/>
                <w:u w:val="none"/>
              </w:rPr>
              <w:t>-1 本项目与相关管控单元管控要求的相符性分析</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692"/>
              <w:gridCol w:w="2881"/>
              <w:gridCol w:w="1551"/>
              <w:gridCol w:w="919"/>
            </w:tblGrid>
            <w:tr w14:paraId="375F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0BFC9B74">
                  <w:pPr>
                    <w:jc w:val="center"/>
                    <w:rPr>
                      <w:rFonts w:hint="default" w:ascii="Times New Roman" w:hAnsi="Times New Roman" w:cs="Times New Roman"/>
                      <w:u w:val="none"/>
                    </w:rPr>
                  </w:pPr>
                  <w:r>
                    <w:rPr>
                      <w:rFonts w:hint="default" w:ascii="Times New Roman" w:hAnsi="Times New Roman" w:cs="Times New Roman"/>
                      <w:u w:val="none"/>
                    </w:rPr>
                    <w:t>序号</w:t>
                  </w:r>
                </w:p>
              </w:tc>
              <w:tc>
                <w:tcPr>
                  <w:tcW w:w="2629" w:type="pct"/>
                  <w:gridSpan w:val="2"/>
                  <w:vAlign w:val="center"/>
                </w:tcPr>
                <w:p w14:paraId="142DCA36">
                  <w:pPr>
                    <w:jc w:val="center"/>
                    <w:rPr>
                      <w:rFonts w:hint="default" w:ascii="Times New Roman" w:hAnsi="Times New Roman" w:cs="Times New Roman"/>
                      <w:u w:val="none"/>
                    </w:rPr>
                  </w:pPr>
                  <w:r>
                    <w:rPr>
                      <w:rFonts w:hint="default" w:ascii="Times New Roman" w:hAnsi="Times New Roman" w:cs="Times New Roman"/>
                      <w:u w:val="none"/>
                    </w:rPr>
                    <w:t>管控要求</w:t>
                  </w:r>
                </w:p>
              </w:tc>
              <w:tc>
                <w:tcPr>
                  <w:tcW w:w="1141" w:type="pct"/>
                  <w:vAlign w:val="center"/>
                </w:tcPr>
                <w:p w14:paraId="4884810A">
                  <w:pPr>
                    <w:jc w:val="center"/>
                    <w:rPr>
                      <w:rFonts w:hint="default" w:ascii="Times New Roman" w:hAnsi="Times New Roman" w:cs="Times New Roman"/>
                      <w:u w:val="none"/>
                    </w:rPr>
                  </w:pPr>
                  <w:r>
                    <w:rPr>
                      <w:rFonts w:hint="default" w:ascii="Times New Roman" w:hAnsi="Times New Roman" w:cs="Times New Roman"/>
                      <w:u w:val="none"/>
                    </w:rPr>
                    <w:t>项目情况</w:t>
                  </w:r>
                </w:p>
              </w:tc>
              <w:tc>
                <w:tcPr>
                  <w:tcW w:w="676" w:type="pct"/>
                  <w:vAlign w:val="center"/>
                </w:tcPr>
                <w:p w14:paraId="20D8185B">
                  <w:pPr>
                    <w:jc w:val="center"/>
                    <w:rPr>
                      <w:rFonts w:hint="default" w:ascii="Times New Roman" w:hAnsi="Times New Roman" w:cs="Times New Roman"/>
                      <w:u w:val="none"/>
                    </w:rPr>
                  </w:pPr>
                  <w:r>
                    <w:rPr>
                      <w:rFonts w:hint="default" w:ascii="Times New Roman" w:hAnsi="Times New Roman" w:cs="Times New Roman"/>
                      <w:u w:val="none"/>
                    </w:rPr>
                    <w:t>符合性</w:t>
                  </w:r>
                </w:p>
              </w:tc>
            </w:tr>
            <w:tr w14:paraId="6B25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1D47361B">
                  <w:pPr>
                    <w:jc w:val="center"/>
                    <w:rPr>
                      <w:rFonts w:hint="default" w:ascii="Times New Roman" w:hAnsi="Times New Roman" w:cs="Times New Roman"/>
                      <w:u w:val="none"/>
                    </w:rPr>
                  </w:pPr>
                  <w:r>
                    <w:rPr>
                      <w:rFonts w:hint="default" w:ascii="Times New Roman" w:hAnsi="Times New Roman" w:cs="Times New Roman"/>
                      <w:u w:val="none"/>
                    </w:rPr>
                    <w:t>1</w:t>
                  </w:r>
                </w:p>
              </w:tc>
              <w:tc>
                <w:tcPr>
                  <w:tcW w:w="509" w:type="pct"/>
                  <w:vAlign w:val="center"/>
                </w:tcPr>
                <w:p w14:paraId="3F918483">
                  <w:pPr>
                    <w:jc w:val="left"/>
                    <w:rPr>
                      <w:rFonts w:hint="default" w:ascii="Times New Roman" w:hAnsi="Times New Roman" w:cs="Times New Roman"/>
                      <w:u w:val="none"/>
                    </w:rPr>
                  </w:pPr>
                  <w:r>
                    <w:rPr>
                      <w:rFonts w:hint="default" w:ascii="Times New Roman" w:hAnsi="Times New Roman" w:cs="Times New Roman"/>
                      <w:u w:val="none"/>
                    </w:rPr>
                    <w:t>空间布局约束</w:t>
                  </w:r>
                </w:p>
              </w:tc>
              <w:tc>
                <w:tcPr>
                  <w:tcW w:w="2120" w:type="pct"/>
                  <w:vAlign w:val="center"/>
                </w:tcPr>
                <w:p w14:paraId="148BB911">
                  <w:pPr>
                    <w:jc w:val="left"/>
                    <w:rPr>
                      <w:rFonts w:hint="default" w:ascii="Times New Roman" w:hAnsi="Times New Roman" w:cs="Times New Roman"/>
                      <w:u w:val="none"/>
                    </w:rPr>
                  </w:pPr>
                  <w:r>
                    <w:rPr>
                      <w:rFonts w:hint="default" w:ascii="Times New Roman" w:hAnsi="Times New Roman" w:cs="Times New Roman"/>
                      <w:u w:val="none"/>
                      <w:lang w:val="en-US" w:eastAsia="zh-CN"/>
                    </w:rPr>
                    <w:t>（1.1）王家河街道/吕仙亭街道/奇家岭街道/郭镇乡/枫桥湖街道/三眼桥街道：严禁生活污水、工业废水直排入湖和向湖内倾倒垃圾。</w:t>
                  </w:r>
                </w:p>
                <w:p w14:paraId="2BFF6746">
                  <w:pPr>
                    <w:jc w:val="left"/>
                    <w:rPr>
                      <w:rFonts w:hint="default" w:ascii="Times New Roman" w:hAnsi="Times New Roman" w:cs="Times New Roman"/>
                      <w:u w:val="none"/>
                    </w:rPr>
                  </w:pPr>
                  <w:r>
                    <w:rPr>
                      <w:rFonts w:hint="default" w:ascii="Times New Roman" w:hAnsi="Times New Roman" w:cs="Times New Roman"/>
                      <w:u w:val="none"/>
                      <w:lang w:val="en-US" w:eastAsia="zh-CN"/>
                    </w:rPr>
                    <w:t>（1.2）严格落实河长制、湖长制，实施好长江十年禁渔。</w:t>
                  </w:r>
                </w:p>
                <w:p w14:paraId="5832B23C">
                  <w:pPr>
                    <w:jc w:val="left"/>
                    <w:rPr>
                      <w:rFonts w:hint="default" w:ascii="Times New Roman" w:hAnsi="Times New Roman" w:cs="Times New Roman"/>
                      <w:u w:val="none"/>
                    </w:rPr>
                  </w:pPr>
                  <w:r>
                    <w:rPr>
                      <w:rFonts w:hint="default" w:ascii="Times New Roman" w:hAnsi="Times New Roman" w:cs="Times New Roman"/>
                      <w:u w:val="none"/>
                      <w:lang w:val="en-US" w:eastAsia="zh-CN"/>
                    </w:rPr>
                    <w:t>（1.3）禁止投肥（粪）投饵养殖的范围为全区范围（不含经济技术开发区、南湖新区）内所有天然湖泊和小Ⅱ型以上水库。严禁在全区天然水域内进行投肥（化肥、生物有机肥等）、投粪（生活垃圾、各类畜禽养殖废弃物、沼气池废液废渣等）、投饵等污染水体的行为，严禁进行违法围网、网箱和珍珠养殖。</w:t>
                  </w:r>
                </w:p>
              </w:tc>
              <w:tc>
                <w:tcPr>
                  <w:tcW w:w="1141" w:type="pct"/>
                  <w:vAlign w:val="center"/>
                </w:tcPr>
                <w:p w14:paraId="6892215F">
                  <w:pPr>
                    <w:rPr>
                      <w:rFonts w:hint="default" w:ascii="Times New Roman" w:hAnsi="Times New Roman" w:cs="Times New Roman"/>
                      <w:szCs w:val="21"/>
                      <w:u w:val="none"/>
                    </w:rPr>
                  </w:pPr>
                  <w:r>
                    <w:rPr>
                      <w:rFonts w:hint="default" w:ascii="Times New Roman" w:hAnsi="Times New Roman" w:cs="Times New Roman"/>
                      <w:szCs w:val="21"/>
                      <w:u w:val="none"/>
                    </w:rPr>
                    <w:t>1.1</w:t>
                  </w:r>
                  <w:r>
                    <w:rPr>
                      <w:rFonts w:hint="default" w:ascii="Times New Roman" w:hAnsi="Times New Roman" w:cs="Times New Roman"/>
                      <w:szCs w:val="21"/>
                      <w:u w:val="none"/>
                      <w:lang w:val="en-US" w:eastAsia="zh-CN"/>
                    </w:rPr>
                    <w:t>不涉及</w:t>
                  </w:r>
                  <w:r>
                    <w:rPr>
                      <w:rFonts w:hint="default" w:ascii="Times New Roman" w:hAnsi="Times New Roman" w:cs="Times New Roman"/>
                      <w:szCs w:val="21"/>
                      <w:u w:val="none"/>
                    </w:rPr>
                    <w:t>；</w:t>
                  </w:r>
                </w:p>
                <w:p w14:paraId="1695C1CD">
                  <w:pPr>
                    <w:rPr>
                      <w:rFonts w:hint="default" w:ascii="Times New Roman" w:hAnsi="Times New Roman" w:cs="Times New Roman"/>
                      <w:szCs w:val="21"/>
                      <w:u w:val="none"/>
                      <w:lang w:eastAsia="zh-CN"/>
                    </w:rPr>
                  </w:pPr>
                  <w:r>
                    <w:rPr>
                      <w:rFonts w:hint="default" w:ascii="Times New Roman" w:hAnsi="Times New Roman" w:cs="Times New Roman"/>
                      <w:szCs w:val="21"/>
                      <w:u w:val="none"/>
                      <w:lang w:val="en-US" w:eastAsia="zh-CN"/>
                    </w:rPr>
                    <w:t>1</w:t>
                  </w:r>
                  <w:r>
                    <w:rPr>
                      <w:rFonts w:hint="default" w:ascii="Times New Roman" w:hAnsi="Times New Roman" w:cs="Times New Roman"/>
                      <w:szCs w:val="21"/>
                      <w:u w:val="none"/>
                    </w:rPr>
                    <w:t>.2</w:t>
                  </w:r>
                  <w:r>
                    <w:rPr>
                      <w:rFonts w:hint="default" w:ascii="Times New Roman" w:hAnsi="Times New Roman" w:cs="Times New Roman"/>
                      <w:szCs w:val="21"/>
                      <w:u w:val="none"/>
                      <w:lang w:val="en-US" w:eastAsia="zh-CN"/>
                    </w:rPr>
                    <w:t>不涉及</w:t>
                  </w:r>
                  <w:r>
                    <w:rPr>
                      <w:rFonts w:hint="default" w:ascii="Times New Roman" w:hAnsi="Times New Roman" w:cs="Times New Roman"/>
                      <w:szCs w:val="21"/>
                      <w:u w:val="none"/>
                      <w:lang w:eastAsia="zh-CN"/>
                    </w:rPr>
                    <w:t>；</w:t>
                  </w:r>
                </w:p>
                <w:p w14:paraId="30D81B65">
                  <w:pPr>
                    <w:rPr>
                      <w:rFonts w:hint="default" w:ascii="Times New Roman" w:hAnsi="Times New Roman" w:cs="Times New Roman"/>
                      <w:u w:val="none"/>
                      <w:lang w:val="en-US" w:eastAsia="zh-CN"/>
                    </w:rPr>
                  </w:pPr>
                  <w:r>
                    <w:rPr>
                      <w:rFonts w:hint="default" w:ascii="Times New Roman" w:hAnsi="Times New Roman" w:cs="Times New Roman"/>
                      <w:szCs w:val="21"/>
                      <w:u w:val="none"/>
                      <w:lang w:val="en-US" w:eastAsia="zh-CN"/>
                    </w:rPr>
                    <w:t>1.3不涉及</w:t>
                  </w:r>
                </w:p>
              </w:tc>
              <w:tc>
                <w:tcPr>
                  <w:tcW w:w="676" w:type="pct"/>
                  <w:vAlign w:val="center"/>
                </w:tcPr>
                <w:p w14:paraId="08986B24">
                  <w:pPr>
                    <w:jc w:val="center"/>
                    <w:rPr>
                      <w:rFonts w:hint="default" w:ascii="Times New Roman" w:hAnsi="Times New Roman" w:cs="Times New Roman"/>
                      <w:u w:val="none"/>
                    </w:rPr>
                  </w:pPr>
                  <w:r>
                    <w:rPr>
                      <w:rFonts w:hint="default" w:ascii="Times New Roman" w:hAnsi="Times New Roman" w:cs="Times New Roman"/>
                      <w:u w:val="none"/>
                    </w:rPr>
                    <w:t>符合</w:t>
                  </w:r>
                </w:p>
              </w:tc>
            </w:tr>
            <w:tr w14:paraId="167C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0D2DC796">
                  <w:pPr>
                    <w:jc w:val="center"/>
                    <w:rPr>
                      <w:rFonts w:hint="default" w:ascii="Times New Roman" w:hAnsi="Times New Roman" w:cs="Times New Roman"/>
                      <w:u w:val="none"/>
                    </w:rPr>
                  </w:pPr>
                  <w:r>
                    <w:rPr>
                      <w:rFonts w:hint="default" w:ascii="Times New Roman" w:hAnsi="Times New Roman" w:cs="Times New Roman"/>
                      <w:u w:val="none"/>
                    </w:rPr>
                    <w:t>2</w:t>
                  </w:r>
                </w:p>
              </w:tc>
              <w:tc>
                <w:tcPr>
                  <w:tcW w:w="509" w:type="pct"/>
                  <w:vAlign w:val="center"/>
                </w:tcPr>
                <w:p w14:paraId="7879D25E">
                  <w:pPr>
                    <w:jc w:val="left"/>
                    <w:rPr>
                      <w:rFonts w:hint="default" w:ascii="Times New Roman" w:hAnsi="Times New Roman" w:cs="Times New Roman"/>
                      <w:u w:val="none"/>
                    </w:rPr>
                  </w:pPr>
                  <w:r>
                    <w:rPr>
                      <w:rFonts w:hint="default" w:ascii="Times New Roman" w:hAnsi="Times New Roman" w:cs="Times New Roman"/>
                      <w:u w:val="none"/>
                    </w:rPr>
                    <w:t>污染物排放管控</w:t>
                  </w:r>
                </w:p>
              </w:tc>
              <w:tc>
                <w:tcPr>
                  <w:tcW w:w="2120" w:type="pct"/>
                  <w:vAlign w:val="center"/>
                </w:tcPr>
                <w:p w14:paraId="093C1EEB">
                  <w:pPr>
                    <w:jc w:val="left"/>
                    <w:rPr>
                      <w:rFonts w:hint="default" w:ascii="Times New Roman" w:hAnsi="Times New Roman" w:cs="Times New Roman"/>
                      <w:u w:val="none"/>
                    </w:rPr>
                  </w:pPr>
                  <w:r>
                    <w:rPr>
                      <w:rFonts w:hint="default" w:ascii="Times New Roman" w:hAnsi="Times New Roman" w:cs="Times New Roman"/>
                      <w:u w:val="none"/>
                      <w:lang w:val="en-US" w:eastAsia="zh-CN"/>
                    </w:rPr>
                    <w:t>（2.1）废气：聚焦臭氧前体物VOCs和氮氧化物，加快推进含VOCs原辅材料源头替代，实施清洁能源替代，强化石化、化工、工业涂装、包装印刷等重点行业及油品储运销VOCs深度治理。</w:t>
                  </w:r>
                </w:p>
                <w:p w14:paraId="56741F29">
                  <w:pPr>
                    <w:jc w:val="left"/>
                    <w:rPr>
                      <w:rFonts w:hint="default" w:ascii="Times New Roman" w:hAnsi="Times New Roman" w:cs="Times New Roman"/>
                      <w:u w:val="none"/>
                    </w:rPr>
                  </w:pPr>
                  <w:r>
                    <w:rPr>
                      <w:rFonts w:hint="default" w:ascii="Times New Roman" w:hAnsi="Times New Roman" w:cs="Times New Roman"/>
                      <w:u w:val="none"/>
                      <w:lang w:val="en-US" w:eastAsia="zh-CN"/>
                    </w:rPr>
                    <w:t>（2.2）废水：加快城镇水环境治理设施建设，在城市及乡镇污水处理设施全覆盖的基础上，加速城市老旧管网改造，实施雨污分流，提高生活污水集中收集率；加强农村生活污水治理，加快建设农村污水处理设施，提升农村污水处理率；强化渔业养殖尾水治理，做到养殖尾水资源化利用或达标排放。</w:t>
                  </w:r>
                </w:p>
                <w:p w14:paraId="2260C64B">
                  <w:pPr>
                    <w:jc w:val="left"/>
                    <w:rPr>
                      <w:rFonts w:hint="default" w:ascii="Times New Roman" w:hAnsi="Times New Roman" w:cs="Times New Roman"/>
                      <w:u w:val="none"/>
                    </w:rPr>
                  </w:pPr>
                  <w:r>
                    <w:rPr>
                      <w:rFonts w:hint="default" w:ascii="Times New Roman" w:hAnsi="Times New Roman" w:cs="Times New Roman"/>
                      <w:u w:val="none"/>
                      <w:lang w:val="en-US" w:eastAsia="zh-CN"/>
                    </w:rPr>
                    <w:t>（2.3）固体废物：推进农村生活垃圾源头分类收集、减量化。推进强化危险废物监管和利用处置能力改革，逐步建立“源头严防、过程严管、后果严惩”危险废物监管体系。</w:t>
                  </w:r>
                </w:p>
                <w:p w14:paraId="48F15FC0">
                  <w:pPr>
                    <w:jc w:val="left"/>
                    <w:rPr>
                      <w:rFonts w:hint="default" w:ascii="Times New Roman" w:hAnsi="Times New Roman" w:cs="Times New Roman"/>
                      <w:u w:val="none"/>
                    </w:rPr>
                  </w:pPr>
                  <w:r>
                    <w:rPr>
                      <w:rFonts w:hint="default" w:ascii="Times New Roman" w:hAnsi="Times New Roman" w:cs="Times New Roman"/>
                      <w:u w:val="none"/>
                      <w:lang w:val="en-US" w:eastAsia="zh-CN"/>
                    </w:rPr>
                    <w:t>（2.4）农业面源：深入推进化肥农药减量增效。科学用药，提高农药利用率。推进农膜秸秆回收利用。推进以种养结合为重点的畜禽养殖废弃物资源利用。</w:t>
                  </w:r>
                </w:p>
              </w:tc>
              <w:tc>
                <w:tcPr>
                  <w:tcW w:w="1141" w:type="pct"/>
                  <w:vAlign w:val="center"/>
                </w:tcPr>
                <w:p w14:paraId="245A0112">
                  <w:pPr>
                    <w:jc w:val="center"/>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2.1不涉及；</w:t>
                  </w:r>
                </w:p>
                <w:p w14:paraId="0FFA0BEF">
                  <w:pPr>
                    <w:jc w:val="center"/>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2.2项目施工废水经隔油沉淀池处理后用于生产或洒水抑尘，不外排；</w:t>
                  </w:r>
                  <w:r>
                    <w:rPr>
                      <w:rFonts w:hint="default" w:ascii="Times New Roman" w:hAnsi="Times New Roman" w:cs="Times New Roman"/>
                      <w:color w:val="auto"/>
                      <w:u w:val="none"/>
                      <w:lang w:val="en-US" w:eastAsia="zh-CN"/>
                    </w:rPr>
                    <w:t>生活污水进入当地居民生活污水系统；</w:t>
                  </w:r>
                </w:p>
                <w:p w14:paraId="4EA97EDF">
                  <w:pPr>
                    <w:jc w:val="center"/>
                    <w:rPr>
                      <w:rFonts w:hint="default" w:ascii="Times New Roman" w:hAnsi="Times New Roman" w:cs="Times New Roman"/>
                      <w:u w:val="none"/>
                    </w:rPr>
                  </w:pPr>
                  <w:r>
                    <w:rPr>
                      <w:rFonts w:hint="default" w:ascii="Times New Roman" w:hAnsi="Times New Roman" w:cs="Times New Roman"/>
                      <w:u w:val="none"/>
                      <w:lang w:val="en-US" w:eastAsia="zh-CN"/>
                    </w:rPr>
                    <w:t>2.3不涉及；</w:t>
                  </w:r>
                </w:p>
                <w:p w14:paraId="76A37649">
                  <w:pPr>
                    <w:jc w:val="center"/>
                    <w:rPr>
                      <w:rFonts w:hint="default" w:ascii="Times New Roman" w:hAnsi="Times New Roman" w:cs="Times New Roman"/>
                      <w:u w:val="none"/>
                    </w:rPr>
                  </w:pPr>
                  <w:r>
                    <w:rPr>
                      <w:rFonts w:hint="default" w:ascii="Times New Roman" w:hAnsi="Times New Roman" w:cs="Times New Roman"/>
                      <w:u w:val="none"/>
                      <w:lang w:val="en-US" w:eastAsia="zh-CN"/>
                    </w:rPr>
                    <w:t>2.4不涉及。</w:t>
                  </w:r>
                </w:p>
              </w:tc>
              <w:tc>
                <w:tcPr>
                  <w:tcW w:w="676" w:type="pct"/>
                  <w:vAlign w:val="center"/>
                </w:tcPr>
                <w:p w14:paraId="1CB3855E">
                  <w:pPr>
                    <w:jc w:val="center"/>
                    <w:rPr>
                      <w:rFonts w:hint="default" w:ascii="Times New Roman" w:hAnsi="Times New Roman" w:cs="Times New Roman"/>
                      <w:u w:val="none"/>
                    </w:rPr>
                  </w:pPr>
                  <w:r>
                    <w:rPr>
                      <w:rFonts w:hint="default" w:ascii="Times New Roman" w:hAnsi="Times New Roman" w:cs="Times New Roman"/>
                      <w:u w:val="none"/>
                    </w:rPr>
                    <w:t>符合</w:t>
                  </w:r>
                </w:p>
              </w:tc>
            </w:tr>
            <w:tr w14:paraId="10D7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4D70482B">
                  <w:pPr>
                    <w:jc w:val="center"/>
                    <w:rPr>
                      <w:rFonts w:hint="default" w:ascii="Times New Roman" w:hAnsi="Times New Roman" w:cs="Times New Roman"/>
                      <w:u w:val="none"/>
                    </w:rPr>
                  </w:pPr>
                  <w:r>
                    <w:rPr>
                      <w:rFonts w:hint="default" w:ascii="Times New Roman" w:hAnsi="Times New Roman" w:cs="Times New Roman"/>
                      <w:u w:val="none"/>
                    </w:rPr>
                    <w:t>3</w:t>
                  </w:r>
                </w:p>
              </w:tc>
              <w:tc>
                <w:tcPr>
                  <w:tcW w:w="509" w:type="pct"/>
                  <w:vAlign w:val="center"/>
                </w:tcPr>
                <w:p w14:paraId="6E9E918D">
                  <w:pPr>
                    <w:jc w:val="left"/>
                    <w:rPr>
                      <w:rFonts w:hint="default" w:ascii="Times New Roman" w:hAnsi="Times New Roman" w:cs="Times New Roman"/>
                      <w:u w:val="none"/>
                    </w:rPr>
                  </w:pPr>
                  <w:r>
                    <w:rPr>
                      <w:rFonts w:hint="default" w:ascii="Times New Roman" w:hAnsi="Times New Roman" w:cs="Times New Roman"/>
                      <w:u w:val="none"/>
                    </w:rPr>
                    <w:t>环境风险防控</w:t>
                  </w:r>
                </w:p>
              </w:tc>
              <w:tc>
                <w:tcPr>
                  <w:tcW w:w="2120" w:type="pct"/>
                  <w:vAlign w:val="center"/>
                </w:tcPr>
                <w:p w14:paraId="247A04D4">
                  <w:pPr>
                    <w:jc w:val="left"/>
                    <w:rPr>
                      <w:rFonts w:hint="default" w:ascii="Times New Roman" w:hAnsi="Times New Roman" w:cs="Times New Roman"/>
                      <w:u w:val="none"/>
                    </w:rPr>
                  </w:pPr>
                  <w:r>
                    <w:rPr>
                      <w:rFonts w:hint="default" w:ascii="Times New Roman" w:hAnsi="Times New Roman" w:cs="Times New Roman"/>
                      <w:u w:val="none"/>
                      <w:lang w:val="en-US" w:eastAsia="zh-CN"/>
                    </w:rPr>
                    <w:t>（3.1）开展重点涉农街道（乡）受污染耕地土壤重金属成因排查试点，督促开展污染源头风险管控。</w:t>
                  </w:r>
                </w:p>
                <w:p w14:paraId="01AFC3B0">
                  <w:pPr>
                    <w:jc w:val="left"/>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3.2）有效管控建设用地土壤污染风险。严格土壤污染重点监管单位和沿江化工企业搬迁腾退用地土壤污染风险管控。以用途变更为“一住两公”的地块为重点，依法开展土壤污染状况调查和风险评估。对纳入建设用地土壤污染风险管控和修复名录内的地块，移出名录前，不得核发建设工程规划许可证。从严管控农药、化工等行业中重度污染地块规划用途，确需开发利用的，鼓励用于拓展生态空间。对列入优先监管清单的地块，开展土壤污染调查和风险评估，按要求采取风险防控措施。</w:t>
                  </w:r>
                </w:p>
                <w:p w14:paraId="0BED0475">
                  <w:pPr>
                    <w:jc w:val="left"/>
                    <w:rPr>
                      <w:rFonts w:hint="default" w:ascii="Times New Roman" w:hAnsi="Times New Roman" w:cs="Times New Roman"/>
                      <w:u w:val="none"/>
                    </w:rPr>
                  </w:pPr>
                  <w:r>
                    <w:rPr>
                      <w:rFonts w:hint="default" w:ascii="Times New Roman" w:hAnsi="Times New Roman" w:cs="Times New Roman"/>
                      <w:u w:val="none"/>
                      <w:lang w:val="en-US" w:eastAsia="zh-CN"/>
                    </w:rPr>
                    <w:t>（3.3）推进农用地土壤污染防治和安全利用。开展受污染耕地土壤重金属成因排查试点，督促开展污染源头风险管控。确保受污染耕地安全利用率达到91%。</w:t>
                  </w:r>
                </w:p>
              </w:tc>
              <w:tc>
                <w:tcPr>
                  <w:tcW w:w="1141" w:type="pct"/>
                  <w:vAlign w:val="center"/>
                </w:tcPr>
                <w:p w14:paraId="762004D2">
                  <w:pPr>
                    <w:jc w:val="center"/>
                    <w:rPr>
                      <w:rFonts w:hint="default" w:ascii="Times New Roman" w:hAnsi="Times New Roman" w:cs="Times New Roman"/>
                      <w:u w:val="none"/>
                    </w:rPr>
                  </w:pPr>
                  <w:r>
                    <w:rPr>
                      <w:rFonts w:hint="default" w:ascii="Times New Roman" w:hAnsi="Times New Roman" w:cs="Times New Roman"/>
                      <w:u w:val="none"/>
                      <w:lang w:val="en-US" w:eastAsia="zh-CN"/>
                    </w:rPr>
                    <w:t>3.1不涉及。</w:t>
                  </w:r>
                </w:p>
                <w:p w14:paraId="41A62234">
                  <w:pPr>
                    <w:jc w:val="center"/>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3.2不涉及。</w:t>
                  </w:r>
                </w:p>
                <w:p w14:paraId="0D7891DE">
                  <w:pPr>
                    <w:jc w:val="center"/>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3.3不涉及。</w:t>
                  </w:r>
                </w:p>
              </w:tc>
              <w:tc>
                <w:tcPr>
                  <w:tcW w:w="676" w:type="pct"/>
                  <w:vAlign w:val="center"/>
                </w:tcPr>
                <w:p w14:paraId="510B401E">
                  <w:pPr>
                    <w:jc w:val="center"/>
                    <w:rPr>
                      <w:rFonts w:hint="default" w:ascii="Times New Roman" w:hAnsi="Times New Roman" w:cs="Times New Roman"/>
                      <w:u w:val="none"/>
                    </w:rPr>
                  </w:pPr>
                  <w:r>
                    <w:rPr>
                      <w:rFonts w:hint="default" w:ascii="Times New Roman" w:hAnsi="Times New Roman" w:cs="Times New Roman"/>
                      <w:u w:val="none"/>
                    </w:rPr>
                    <w:t>符合</w:t>
                  </w:r>
                </w:p>
              </w:tc>
            </w:tr>
            <w:tr w14:paraId="7470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2190938A">
                  <w:pPr>
                    <w:jc w:val="center"/>
                    <w:rPr>
                      <w:rFonts w:hint="default" w:ascii="Times New Roman" w:hAnsi="Times New Roman" w:cs="Times New Roman"/>
                      <w:u w:val="none"/>
                    </w:rPr>
                  </w:pPr>
                  <w:r>
                    <w:rPr>
                      <w:rFonts w:hint="default" w:ascii="Times New Roman" w:hAnsi="Times New Roman" w:cs="Times New Roman"/>
                      <w:u w:val="none"/>
                    </w:rPr>
                    <w:t>4</w:t>
                  </w:r>
                </w:p>
              </w:tc>
              <w:tc>
                <w:tcPr>
                  <w:tcW w:w="509" w:type="pct"/>
                  <w:vAlign w:val="center"/>
                </w:tcPr>
                <w:p w14:paraId="615DEAC0">
                  <w:pPr>
                    <w:jc w:val="left"/>
                    <w:rPr>
                      <w:rFonts w:hint="default" w:ascii="Times New Roman" w:hAnsi="Times New Roman" w:cs="Times New Roman"/>
                      <w:u w:val="none"/>
                    </w:rPr>
                  </w:pPr>
                  <w:r>
                    <w:rPr>
                      <w:rFonts w:hint="default" w:ascii="Times New Roman" w:hAnsi="Times New Roman" w:cs="Times New Roman"/>
                      <w:u w:val="none"/>
                    </w:rPr>
                    <w:t>资源开发效率要求</w:t>
                  </w:r>
                </w:p>
              </w:tc>
              <w:tc>
                <w:tcPr>
                  <w:tcW w:w="2120" w:type="pct"/>
                  <w:vAlign w:val="center"/>
                </w:tcPr>
                <w:p w14:paraId="2CFF2839">
                  <w:pPr>
                    <w:jc w:val="left"/>
                    <w:rPr>
                      <w:rFonts w:hint="default" w:ascii="Times New Roman" w:hAnsi="Times New Roman" w:cs="Times New Roman"/>
                      <w:u w:val="none"/>
                    </w:rPr>
                  </w:pPr>
                  <w:r>
                    <w:rPr>
                      <w:rFonts w:hint="default" w:ascii="Times New Roman" w:hAnsi="Times New Roman" w:cs="Times New Roman"/>
                      <w:u w:val="none"/>
                    </w:rPr>
                    <w:t>（4.1）水资源：2025年，岳阳楼区用水总量6.04亿立方米，万元地区生产总值用水量比2020年下降13.36%，万元工业增加值用水量比2020年下降4.25%。</w:t>
                  </w:r>
                </w:p>
                <w:p w14:paraId="2BCB408B">
                  <w:pPr>
                    <w:jc w:val="left"/>
                    <w:rPr>
                      <w:rFonts w:hint="default" w:ascii="Times New Roman" w:hAnsi="Times New Roman" w:cs="Times New Roman"/>
                      <w:u w:val="none"/>
                    </w:rPr>
                  </w:pPr>
                  <w:r>
                    <w:rPr>
                      <w:rFonts w:hint="default" w:ascii="Times New Roman" w:hAnsi="Times New Roman" w:cs="Times New Roman"/>
                      <w:u w:val="none"/>
                    </w:rPr>
                    <w:t>（4.2）能源：能耗按照各区（岳阳楼区、经开区、新港区、南湖新区）总综合能源消费量除以各区GDP总和测算，“十四五”时期能耗强度降低基本目标16%，激励目标16.5%。</w:t>
                  </w:r>
                </w:p>
                <w:p w14:paraId="37866CB9">
                  <w:pPr>
                    <w:jc w:val="left"/>
                    <w:rPr>
                      <w:rFonts w:hint="default" w:ascii="Times New Roman" w:hAnsi="Times New Roman" w:cs="Times New Roman"/>
                      <w:u w:val="none"/>
                    </w:rPr>
                  </w:pPr>
                  <w:r>
                    <w:rPr>
                      <w:rFonts w:hint="default" w:ascii="Times New Roman" w:hAnsi="Times New Roman" w:cs="Times New Roman"/>
                      <w:u w:val="none"/>
                    </w:rPr>
                    <w:t>（4.3）土地资源：岳阳楼区耕地保有量52.55平方千米，永久基本农田保护面积0.64平方千米。生态保护红线面积7.05平方千米，城镇开发边界146.96平方千米。</w:t>
                  </w:r>
                </w:p>
              </w:tc>
              <w:tc>
                <w:tcPr>
                  <w:tcW w:w="1141" w:type="pct"/>
                  <w:vAlign w:val="center"/>
                </w:tcPr>
                <w:p w14:paraId="466063C6">
                  <w:pPr>
                    <w:jc w:val="center"/>
                    <w:rPr>
                      <w:rFonts w:hint="default" w:ascii="Times New Roman" w:hAnsi="Times New Roman" w:cs="Times New Roman"/>
                      <w:szCs w:val="21"/>
                      <w:u w:val="none"/>
                    </w:rPr>
                  </w:pPr>
                  <w:r>
                    <w:rPr>
                      <w:rFonts w:hint="default" w:ascii="Times New Roman" w:hAnsi="Times New Roman" w:cs="Times New Roman"/>
                      <w:szCs w:val="21"/>
                      <w:u w:val="none"/>
                      <w:lang w:val="en-US" w:eastAsia="zh-CN"/>
                    </w:rPr>
                    <w:t>4.1不涉及。</w:t>
                  </w:r>
                </w:p>
                <w:p w14:paraId="3F60B0E6">
                  <w:pPr>
                    <w:jc w:val="center"/>
                    <w:rPr>
                      <w:rFonts w:hint="default" w:ascii="Times New Roman" w:hAnsi="Times New Roman" w:cs="Times New Roman"/>
                      <w:color w:val="auto"/>
                      <w:szCs w:val="21"/>
                      <w:u w:val="none"/>
                      <w:lang w:val="en-US" w:eastAsia="zh-CN"/>
                    </w:rPr>
                  </w:pPr>
                  <w:r>
                    <w:rPr>
                      <w:rFonts w:hint="default" w:ascii="Times New Roman" w:hAnsi="Times New Roman" w:cs="Times New Roman"/>
                      <w:szCs w:val="21"/>
                      <w:u w:val="none"/>
                      <w:lang w:val="en-US" w:eastAsia="zh-CN"/>
                    </w:rPr>
                    <w:t>4.2不涉及</w:t>
                  </w:r>
                  <w:r>
                    <w:rPr>
                      <w:rFonts w:hint="default" w:ascii="Times New Roman" w:hAnsi="Times New Roman" w:cs="Times New Roman"/>
                      <w:color w:val="auto"/>
                      <w:szCs w:val="21"/>
                      <w:u w:val="none"/>
                      <w:lang w:val="en-US" w:eastAsia="zh-CN"/>
                    </w:rPr>
                    <w:t>。</w:t>
                  </w:r>
                </w:p>
                <w:p w14:paraId="5560B5DC">
                  <w:pPr>
                    <w:jc w:val="center"/>
                    <w:rPr>
                      <w:rFonts w:hint="default" w:ascii="Times New Roman" w:hAnsi="Times New Roman" w:cs="Times New Roman"/>
                      <w:color w:val="auto"/>
                      <w:szCs w:val="21"/>
                      <w:u w:val="none"/>
                      <w:lang w:val="en-US" w:eastAsia="zh-CN"/>
                    </w:rPr>
                  </w:pPr>
                  <w:r>
                    <w:rPr>
                      <w:rFonts w:hint="default" w:ascii="Times New Roman" w:hAnsi="Times New Roman" w:cs="Times New Roman"/>
                      <w:color w:val="auto"/>
                      <w:szCs w:val="21"/>
                      <w:u w:val="none"/>
                      <w:lang w:val="en-US" w:eastAsia="zh-CN"/>
                    </w:rPr>
                    <w:t>4.3不涉及基本农田</w:t>
                  </w:r>
                  <w:r>
                    <w:rPr>
                      <w:rFonts w:hint="eastAsia" w:ascii="Times New Roman" w:hAnsi="Times New Roman" w:cs="Times New Roman"/>
                      <w:color w:val="auto"/>
                      <w:szCs w:val="21"/>
                      <w:u w:val="none"/>
                      <w:lang w:val="en-US" w:eastAsia="zh-CN"/>
                    </w:rPr>
                    <w:t>。</w:t>
                  </w:r>
                </w:p>
              </w:tc>
              <w:tc>
                <w:tcPr>
                  <w:tcW w:w="676" w:type="pct"/>
                  <w:vAlign w:val="center"/>
                </w:tcPr>
                <w:p w14:paraId="311DD8AF">
                  <w:pPr>
                    <w:jc w:val="center"/>
                    <w:rPr>
                      <w:rFonts w:hint="default" w:ascii="Times New Roman" w:hAnsi="Times New Roman" w:cs="Times New Roman"/>
                      <w:u w:val="none"/>
                    </w:rPr>
                  </w:pPr>
                  <w:r>
                    <w:rPr>
                      <w:rFonts w:hint="default" w:ascii="Times New Roman" w:hAnsi="Times New Roman" w:cs="Times New Roman"/>
                      <w:u w:val="none"/>
                    </w:rPr>
                    <w:t>符合</w:t>
                  </w:r>
                </w:p>
              </w:tc>
            </w:tr>
          </w:tbl>
          <w:p w14:paraId="6541D9BF">
            <w:pPr>
              <w:adjustRightIn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kern w:val="0"/>
                <w:sz w:val="24"/>
                <w:u w:val="none"/>
              </w:rPr>
              <w:t>根据上表可知，</w:t>
            </w:r>
            <w:r>
              <w:rPr>
                <w:rFonts w:hint="default" w:ascii="Times New Roman" w:hAnsi="Times New Roman" w:cs="Times New Roman"/>
                <w:kern w:val="0"/>
                <w:sz w:val="24"/>
                <w:u w:val="none"/>
                <w:lang w:val="en-US" w:eastAsia="zh-CN"/>
              </w:rPr>
              <w:t>本项目的建设符合项目所在地生态环境分区管控要求。</w:t>
            </w:r>
          </w:p>
        </w:tc>
      </w:tr>
    </w:tbl>
    <w:p w14:paraId="3F779197">
      <w:pPr>
        <w:rPr>
          <w:rFonts w:hint="default" w:ascii="Times New Roman" w:hAnsi="Times New Roman" w:cs="Times New Roma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5F364B77">
      <w:pPr>
        <w:pStyle w:val="21"/>
        <w:jc w:val="center"/>
        <w:outlineLvl w:val="0"/>
        <w:rPr>
          <w:rFonts w:hint="default" w:ascii="Times New Roman" w:hAnsi="Times New Roman" w:cs="Times New Roman"/>
          <w:b/>
          <w:bCs/>
          <w:snapToGrid w:val="0"/>
          <w:color w:val="000000"/>
          <w:sz w:val="30"/>
          <w:szCs w:val="30"/>
        </w:rPr>
      </w:pPr>
      <w:bookmarkStart w:id="8" w:name="_Toc15531"/>
      <w:r>
        <w:rPr>
          <w:rFonts w:hint="default" w:ascii="Times New Roman" w:hAnsi="Times New Roman" w:cs="Times New Roman"/>
          <w:b/>
          <w:bCs/>
          <w:snapToGrid w:val="0"/>
          <w:color w:val="000000"/>
          <w:sz w:val="30"/>
          <w:szCs w:val="30"/>
        </w:rPr>
        <w:t>二、建设内容</w:t>
      </w:r>
      <w:bookmarkEnd w:id="8"/>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36"/>
      </w:tblGrid>
      <w:tr w14:paraId="5F2A4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6" w:type="dxa"/>
            <w:noWrap w:val="0"/>
            <w:vAlign w:val="center"/>
          </w:tcPr>
          <w:p w14:paraId="36F5F47E">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地理位置</w:t>
            </w:r>
          </w:p>
        </w:tc>
        <w:tc>
          <w:tcPr>
            <w:tcW w:w="8615" w:type="dxa"/>
            <w:noWrap w:val="0"/>
            <w:vAlign w:val="center"/>
          </w:tcPr>
          <w:p w14:paraId="75058351">
            <w:pPr>
              <w:adjustRightInd w:val="0"/>
              <w:snapToGrid w:val="0"/>
              <w:spacing w:line="360" w:lineRule="auto"/>
              <w:ind w:firstLine="480" w:firstLineChars="200"/>
              <w:rPr>
                <w:rFonts w:hint="eastAsia" w:ascii="Times New Roman" w:hAnsi="Times New Roman" w:cs="Times New Roman"/>
                <w:color w:val="000000"/>
                <w:sz w:val="24"/>
                <w:lang w:eastAsia="zh-CN"/>
              </w:rPr>
            </w:pPr>
            <w:r>
              <w:rPr>
                <w:rFonts w:hint="default" w:ascii="Times New Roman" w:hAnsi="Times New Roman" w:cs="Times New Roman"/>
                <w:color w:val="000000"/>
                <w:sz w:val="24"/>
              </w:rPr>
              <w:t>本项目</w:t>
            </w:r>
            <w:r>
              <w:rPr>
                <w:rFonts w:hint="default" w:ascii="Times New Roman" w:hAnsi="Times New Roman" w:cs="Times New Roman"/>
                <w:color w:val="000000"/>
                <w:sz w:val="24"/>
                <w:lang w:val="zh-CN"/>
              </w:rPr>
              <w:t>位于</w:t>
            </w:r>
            <w:r>
              <w:rPr>
                <w:rFonts w:hint="default" w:ascii="Times New Roman" w:hAnsi="Times New Roman" w:cs="Times New Roman"/>
                <w:color w:val="000000"/>
                <w:sz w:val="24"/>
                <w:lang w:val="en-US" w:eastAsia="zh-CN"/>
              </w:rPr>
              <w:t>岳阳市岳阳楼区赶山片区</w:t>
            </w:r>
            <w:r>
              <w:rPr>
                <w:rFonts w:hint="default" w:ascii="Times New Roman" w:hAnsi="Times New Roman" w:cs="Times New Roman"/>
                <w:color w:val="000000"/>
                <w:sz w:val="24"/>
                <w:lang w:val="zh-CN"/>
              </w:rPr>
              <w:t>。</w:t>
            </w:r>
            <w:r>
              <w:rPr>
                <w:rFonts w:hint="default" w:ascii="Times New Roman" w:hAnsi="Times New Roman" w:cs="Times New Roman"/>
                <w:color w:val="000000"/>
                <w:sz w:val="24"/>
                <w:lang w:val="en-US" w:eastAsia="zh-CN"/>
              </w:rPr>
              <w:t>道路</w:t>
            </w:r>
            <w:r>
              <w:rPr>
                <w:rFonts w:hint="default" w:ascii="Times New Roman" w:hAnsi="Times New Roman" w:cs="Times New Roman"/>
                <w:color w:val="000000"/>
                <w:sz w:val="24"/>
                <w:lang w:val="zh-CN" w:eastAsia="zh-CN"/>
              </w:rPr>
              <w:t>西起樊陈路一期终点，终点至规划后东坡路</w:t>
            </w:r>
            <w:r>
              <w:rPr>
                <w:rFonts w:hint="default" w:ascii="Times New Roman" w:hAnsi="Times New Roman" w:cs="Times New Roman"/>
                <w:color w:val="000000"/>
                <w:sz w:val="24"/>
              </w:rPr>
              <w:t>，全长约</w:t>
            </w:r>
            <w:r>
              <w:rPr>
                <w:rFonts w:hint="default" w:ascii="Times New Roman" w:hAnsi="Times New Roman" w:cs="Times New Roman"/>
                <w:color w:val="000000"/>
                <w:sz w:val="24"/>
                <w:lang w:val="en-US" w:eastAsia="zh-CN"/>
              </w:rPr>
              <w:t>0.175</w:t>
            </w:r>
            <w:r>
              <w:rPr>
                <w:rFonts w:hint="default" w:ascii="Times New Roman" w:hAnsi="Times New Roman" w:cs="Times New Roman"/>
                <w:color w:val="000000"/>
                <w:sz w:val="24"/>
              </w:rPr>
              <w:t>km。</w:t>
            </w:r>
            <w:r>
              <w:rPr>
                <w:rFonts w:hint="eastAsia" w:ascii="Times New Roman" w:hAnsi="Times New Roman" w:cs="Times New Roman"/>
                <w:color w:val="000000"/>
                <w:sz w:val="24"/>
                <w:lang w:val="en-US" w:eastAsia="zh-CN"/>
              </w:rPr>
              <w:t>经纬度坐标：</w:t>
            </w:r>
            <w:r>
              <w:rPr>
                <w:rFonts w:hint="default" w:ascii="Times New Roman" w:hAnsi="Times New Roman" w:cs="Times New Roman"/>
                <w:color w:val="000000"/>
                <w:sz w:val="24"/>
              </w:rPr>
              <w:t>起点E113°7′9.322″，N29°17′46.898″，终点E113°7′15.101″，N29°17′44.363″</w:t>
            </w:r>
            <w:r>
              <w:rPr>
                <w:rFonts w:hint="eastAsia" w:ascii="Times New Roman" w:hAnsi="Times New Roman" w:cs="Times New Roman"/>
                <w:color w:val="000000"/>
                <w:sz w:val="24"/>
                <w:lang w:eastAsia="zh-CN"/>
              </w:rPr>
              <w:t>。</w:t>
            </w:r>
          </w:p>
          <w:p w14:paraId="0E3F7AA5">
            <w:pPr>
              <w:pStyle w:val="16"/>
            </w:pPr>
            <w:r>
              <w:rPr>
                <w:sz w:val="21"/>
              </w:rPr>
              <mc:AlternateContent>
                <mc:Choice Requires="wps">
                  <w:drawing>
                    <wp:anchor distT="0" distB="0" distL="114300" distR="114300" simplePos="0" relativeHeight="251661312" behindDoc="0" locked="0" layoutInCell="1" allowOverlap="1">
                      <wp:simplePos x="0" y="0"/>
                      <wp:positionH relativeFrom="column">
                        <wp:posOffset>788670</wp:posOffset>
                      </wp:positionH>
                      <wp:positionV relativeFrom="paragraph">
                        <wp:posOffset>1277620</wp:posOffset>
                      </wp:positionV>
                      <wp:extent cx="809625" cy="285750"/>
                      <wp:effectExtent l="6350" t="6350" r="1031875" b="508000"/>
                      <wp:wrapNone/>
                      <wp:docPr id="2" name="矩形标注 2"/>
                      <wp:cNvGraphicFramePr/>
                      <a:graphic xmlns:a="http://schemas.openxmlformats.org/drawingml/2006/main">
                        <a:graphicData uri="http://schemas.microsoft.com/office/word/2010/wordprocessingShape">
                          <wps:wsp>
                            <wps:cNvSpPr/>
                            <wps:spPr>
                              <a:xfrm>
                                <a:off x="2008505" y="3696335"/>
                                <a:ext cx="809625" cy="285750"/>
                              </a:xfrm>
                              <a:prstGeom prst="wedgeRectCallout">
                                <a:avLst>
                                  <a:gd name="adj1" fmla="val 170941"/>
                                  <a:gd name="adj2" fmla="val 219111"/>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8DF36B5">
                                  <w:pPr>
                                    <w:jc w:val="center"/>
                                    <w:rPr>
                                      <w:rFonts w:hint="eastAsia"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2.1pt;margin-top:100.6pt;height:22.5pt;width:63.75pt;z-index:251661312;v-text-anchor:middle;mso-width-relative:page;mso-height-relative:page;" fillcolor="#5B9BD5 [3204]" filled="t" stroked="t" coordsize="21600,21600" o:gfxdata="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CD70T2gAAAAsBAAAPAAAAAAAAAAEAIAAAACIAAABkcnMvZG93bnJldi54bWxQSwECFAAU&#10;AAAACACHTuJA5tEWNNMCAACRBQAADgAAAAAAAAABACAAAAApAQAAZHJzL2Uyb0RvYy54bWxQSwUG&#10;AAAAAAYABgBZAQAAbgYAAAAA&#10;" adj="47723,58128">
                      <v:fill on="t" focussize="0,0"/>
                      <v:stroke weight="1pt" color="#2E75B6 [2404]" miterlimit="8" joinstyle="miter"/>
                      <v:imagedata o:title=""/>
                      <o:lock v:ext="edit" aspectratio="f"/>
                      <v:textbox>
                        <w:txbxContent>
                          <w:p w14:paraId="38DF36B5">
                            <w:pPr>
                              <w:jc w:val="center"/>
                              <w:rPr>
                                <w:rFonts w:hint="eastAsia" w:eastAsia="宋体"/>
                                <w:lang w:val="en-US" w:eastAsia="zh-CN"/>
                              </w:rPr>
                            </w:pPr>
                            <w:r>
                              <w:rPr>
                                <w:rFonts w:hint="eastAsia"/>
                                <w:lang w:val="en-US" w:eastAsia="zh-CN"/>
                              </w:rPr>
                              <w:t>本项目</w:t>
                            </w:r>
                          </w:p>
                        </w:txbxContent>
                      </v:textbox>
                    </v:shape>
                  </w:pict>
                </mc:Fallback>
              </mc:AlternateContent>
            </w:r>
            <w:r>
              <w:drawing>
                <wp:inline distT="0" distB="0" distL="114300" distR="114300">
                  <wp:extent cx="5400040" cy="35045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400040" cy="3504565"/>
                          </a:xfrm>
                          <a:prstGeom prst="rect">
                            <a:avLst/>
                          </a:prstGeom>
                          <a:noFill/>
                          <a:ln>
                            <a:noFill/>
                          </a:ln>
                        </pic:spPr>
                      </pic:pic>
                    </a:graphicData>
                  </a:graphic>
                </wp:inline>
              </w:drawing>
            </w:r>
          </w:p>
          <w:p w14:paraId="4F95FCC7">
            <w:pPr>
              <w:pStyle w:val="6"/>
              <w:rPr>
                <w:rFonts w:hint="default" w:eastAsia="宋体"/>
                <w:lang w:val="en-US" w:eastAsia="zh-CN"/>
              </w:rPr>
            </w:pPr>
            <w:r>
              <w:rPr>
                <w:rFonts w:hint="eastAsia" w:ascii="Times New Roman" w:hAnsi="Times New Roman" w:eastAsia="宋体" w:cs="Times New Roman"/>
                <w:b/>
                <w:bCs/>
                <w:color w:val="000000"/>
                <w:sz w:val="21"/>
                <w:szCs w:val="21"/>
                <w:highlight w:val="none"/>
                <w:lang w:val="en-US" w:eastAsia="zh-CN" w:bidi="ar"/>
              </w:rPr>
              <w:t>图</w:t>
            </w:r>
            <w:r>
              <w:rPr>
                <w:rFonts w:hint="default" w:ascii="Times New Roman" w:hAnsi="Times New Roman" w:eastAsia="宋体" w:cs="Times New Roman"/>
                <w:b/>
                <w:bCs/>
                <w:color w:val="000000"/>
                <w:sz w:val="21"/>
                <w:szCs w:val="21"/>
                <w:highlight w:val="none"/>
                <w:lang w:bidi="ar"/>
              </w:rPr>
              <w:t>2</w:t>
            </w:r>
            <w:r>
              <w:rPr>
                <w:rFonts w:hint="default" w:ascii="Times New Roman" w:hAnsi="Times New Roman" w:eastAsia="宋体" w:cs="Times New Roman"/>
                <w:b/>
                <w:bCs/>
                <w:color w:val="000000"/>
                <w:sz w:val="21"/>
                <w:szCs w:val="21"/>
                <w:highlight w:val="none"/>
                <w:lang w:val="en-US" w:eastAsia="zh-CN" w:bidi="ar"/>
              </w:rPr>
              <w:t>.</w:t>
            </w:r>
            <w:r>
              <w:rPr>
                <w:rFonts w:hint="eastAsia" w:ascii="Times New Roman" w:hAnsi="Times New Roman" w:eastAsia="宋体" w:cs="Times New Roman"/>
                <w:b/>
                <w:bCs/>
                <w:color w:val="000000"/>
                <w:sz w:val="21"/>
                <w:szCs w:val="21"/>
                <w:highlight w:val="none"/>
                <w:lang w:val="en-US" w:eastAsia="zh-CN" w:bidi="ar"/>
              </w:rPr>
              <w:t>1</w:t>
            </w:r>
            <w:r>
              <w:rPr>
                <w:rFonts w:hint="default" w:ascii="Times New Roman" w:hAnsi="Times New Roman" w:eastAsia="宋体" w:cs="Times New Roman"/>
                <w:b/>
                <w:bCs/>
                <w:color w:val="000000"/>
                <w:sz w:val="21"/>
                <w:szCs w:val="21"/>
                <w:highlight w:val="none"/>
                <w:lang w:bidi="ar"/>
              </w:rPr>
              <w:t xml:space="preserve">-1   </w:t>
            </w:r>
            <w:r>
              <w:rPr>
                <w:rFonts w:hint="eastAsia" w:ascii="Times New Roman" w:hAnsi="Times New Roman" w:eastAsia="宋体" w:cs="Times New Roman"/>
                <w:b/>
                <w:bCs/>
                <w:color w:val="000000"/>
                <w:sz w:val="21"/>
                <w:szCs w:val="21"/>
                <w:highlight w:val="none"/>
                <w:lang w:val="en-US" w:eastAsia="zh-CN" w:bidi="ar"/>
              </w:rPr>
              <w:t>项目地理位置图</w:t>
            </w:r>
          </w:p>
        </w:tc>
      </w:tr>
      <w:tr w14:paraId="5506B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456" w:type="dxa"/>
            <w:noWrap w:val="0"/>
            <w:vAlign w:val="center"/>
          </w:tcPr>
          <w:p w14:paraId="5B98D499">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项目组成及规模</w:t>
            </w:r>
          </w:p>
        </w:tc>
        <w:tc>
          <w:tcPr>
            <w:tcW w:w="8615" w:type="dxa"/>
            <w:noWrap w:val="0"/>
            <w:vAlign w:val="center"/>
          </w:tcPr>
          <w:p w14:paraId="798FC90E">
            <w:pPr>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2.1</w:t>
            </w:r>
            <w:r>
              <w:rPr>
                <w:rFonts w:hint="default" w:ascii="Times New Roman" w:hAnsi="Times New Roman" w:cs="Times New Roman"/>
                <w:b/>
                <w:color w:val="000000"/>
                <w:sz w:val="28"/>
                <w:szCs w:val="28"/>
                <w:highlight w:val="none"/>
              </w:rPr>
              <w:t>项目基本情况</w:t>
            </w:r>
          </w:p>
          <w:p w14:paraId="61035C2C">
            <w:pPr>
              <w:widowControl/>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项目名称：</w:t>
            </w:r>
            <w:r>
              <w:rPr>
                <w:rFonts w:hint="default" w:ascii="Times New Roman" w:hAnsi="Times New Roman" w:cs="Times New Roman"/>
                <w:color w:val="000000"/>
                <w:sz w:val="24"/>
                <w:lang w:val="en-US" w:eastAsia="zh-CN"/>
              </w:rPr>
              <w:t>樊陈路一期东延段工程</w:t>
            </w:r>
          </w:p>
          <w:p w14:paraId="6A4CFFAB">
            <w:pPr>
              <w:widowControl/>
              <w:spacing w:line="360" w:lineRule="auto"/>
              <w:ind w:firstLine="480" w:firstLineChars="200"/>
              <w:jc w:val="left"/>
              <w:rPr>
                <w:rFonts w:hint="default" w:ascii="Times New Roman" w:hAnsi="Times New Roman" w:eastAsia="宋体" w:cs="Times New Roman"/>
                <w:bCs/>
                <w:color w:val="000000"/>
                <w:sz w:val="24"/>
                <w:lang w:val="en-US" w:eastAsia="zh-CN"/>
              </w:rPr>
            </w:pPr>
            <w:r>
              <w:rPr>
                <w:rFonts w:hint="default" w:ascii="Times New Roman" w:hAnsi="Times New Roman" w:cs="Times New Roman"/>
                <w:color w:val="000000"/>
                <w:kern w:val="0"/>
                <w:sz w:val="24"/>
                <w:lang w:bidi="ar"/>
              </w:rPr>
              <w:t>建设地点：</w:t>
            </w:r>
            <w:r>
              <w:rPr>
                <w:rFonts w:hint="default" w:ascii="Times New Roman" w:hAnsi="Times New Roman" w:cs="Times New Roman"/>
                <w:color w:val="000000"/>
                <w:kern w:val="0"/>
                <w:sz w:val="24"/>
                <w:lang w:val="zh-CN" w:bidi="ar"/>
              </w:rPr>
              <w:t>位于</w:t>
            </w:r>
            <w:r>
              <w:rPr>
                <w:rFonts w:hint="default" w:ascii="Times New Roman" w:hAnsi="Times New Roman" w:cs="Times New Roman"/>
                <w:color w:val="000000"/>
                <w:kern w:val="0"/>
                <w:sz w:val="24"/>
                <w:lang w:val="en-US" w:eastAsia="zh-CN" w:bidi="ar"/>
              </w:rPr>
              <w:t>岳阳市岳阳楼区赶山片区</w:t>
            </w:r>
            <w:r>
              <w:rPr>
                <w:rFonts w:hint="default" w:ascii="Times New Roman" w:hAnsi="Times New Roman" w:cs="Times New Roman"/>
                <w:color w:val="000000"/>
                <w:kern w:val="0"/>
                <w:sz w:val="24"/>
                <w:lang w:val="zh-CN" w:bidi="ar"/>
              </w:rPr>
              <w:t>。</w:t>
            </w:r>
            <w:r>
              <w:rPr>
                <w:rFonts w:hint="default" w:ascii="Times New Roman" w:hAnsi="Times New Roman" w:cs="Times New Roman"/>
                <w:color w:val="000000"/>
                <w:kern w:val="0"/>
                <w:sz w:val="24"/>
                <w:lang w:val="en-US" w:eastAsia="zh-CN" w:bidi="ar"/>
              </w:rPr>
              <w:t>道路</w:t>
            </w:r>
            <w:r>
              <w:rPr>
                <w:rFonts w:hint="default" w:ascii="Times New Roman" w:hAnsi="Times New Roman" w:cs="Times New Roman"/>
                <w:color w:val="000000"/>
                <w:kern w:val="0"/>
                <w:sz w:val="24"/>
                <w:lang w:val="zh-CN" w:eastAsia="zh-CN" w:bidi="ar"/>
              </w:rPr>
              <w:t>西起樊陈路一期终点，终点至规划后东坡路</w:t>
            </w:r>
          </w:p>
          <w:p w14:paraId="270919D3">
            <w:pPr>
              <w:widowControl/>
              <w:spacing w:line="360" w:lineRule="auto"/>
              <w:ind w:firstLine="480" w:firstLineChars="200"/>
              <w:jc w:val="left"/>
              <w:rPr>
                <w:rFonts w:hint="default" w:ascii="Times New Roman" w:hAnsi="Times New Roman" w:eastAsia="宋体" w:cs="Times New Roman"/>
                <w:bCs/>
                <w:color w:val="000000"/>
                <w:sz w:val="24"/>
                <w:lang w:eastAsia="zh-CN"/>
              </w:rPr>
            </w:pPr>
            <w:r>
              <w:rPr>
                <w:rFonts w:hint="default" w:ascii="Times New Roman" w:hAnsi="Times New Roman" w:cs="Times New Roman"/>
                <w:bCs/>
                <w:color w:val="000000"/>
                <w:sz w:val="24"/>
              </w:rPr>
              <w:t>建设单位：</w:t>
            </w:r>
            <w:r>
              <w:rPr>
                <w:rFonts w:hint="default" w:ascii="Times New Roman" w:hAnsi="Times New Roman" w:cs="Times New Roman"/>
                <w:color w:val="000000"/>
                <w:sz w:val="24"/>
                <w:lang w:eastAsia="zh-CN"/>
              </w:rPr>
              <w:t>岳阳市交通建设投资集团有限公司</w:t>
            </w:r>
          </w:p>
          <w:p w14:paraId="2BA331A4">
            <w:pPr>
              <w:widowControl/>
              <w:spacing w:line="360" w:lineRule="auto"/>
              <w:ind w:firstLine="480" w:firstLineChars="200"/>
              <w:jc w:val="left"/>
              <w:rPr>
                <w:rFonts w:hint="default" w:ascii="Times New Roman" w:hAnsi="Times New Roman" w:cs="Times New Roman"/>
                <w:bCs/>
                <w:color w:val="000000"/>
                <w:sz w:val="24"/>
              </w:rPr>
            </w:pPr>
            <w:r>
              <w:rPr>
                <w:rFonts w:hint="default" w:ascii="Times New Roman" w:hAnsi="Times New Roman" w:cs="Times New Roman"/>
                <w:bCs/>
                <w:color w:val="000000"/>
                <w:sz w:val="24"/>
              </w:rPr>
              <w:t>建设性质：新建</w:t>
            </w:r>
          </w:p>
          <w:p w14:paraId="1437BBF6">
            <w:pPr>
              <w:widowControl/>
              <w:spacing w:line="360" w:lineRule="auto"/>
              <w:ind w:firstLine="480" w:firstLineChars="200"/>
              <w:jc w:val="left"/>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kern w:val="0"/>
                <w:sz w:val="24"/>
                <w:lang w:bidi="ar"/>
              </w:rPr>
              <w:t>道路等级：</w:t>
            </w:r>
            <w:r>
              <w:rPr>
                <w:rFonts w:hint="default" w:ascii="Times New Roman" w:hAnsi="Times New Roman" w:cs="Times New Roman"/>
                <w:color w:val="000000"/>
                <w:kern w:val="0"/>
                <w:sz w:val="24"/>
                <w:lang w:val="en-US" w:eastAsia="zh-CN" w:bidi="ar"/>
              </w:rPr>
              <w:t>城市主干道</w:t>
            </w:r>
          </w:p>
          <w:p w14:paraId="27A8E997">
            <w:pPr>
              <w:widowControl/>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道路长度：</w:t>
            </w:r>
            <w:r>
              <w:rPr>
                <w:rFonts w:hint="default" w:ascii="Times New Roman" w:hAnsi="Times New Roman" w:cs="Times New Roman"/>
                <w:color w:val="000000"/>
                <w:kern w:val="0"/>
                <w:sz w:val="24"/>
                <w:lang w:val="en-US" w:eastAsia="zh-CN" w:bidi="ar"/>
              </w:rPr>
              <w:t>0.175</w:t>
            </w:r>
            <w:r>
              <w:rPr>
                <w:rFonts w:hint="default" w:ascii="Times New Roman" w:hAnsi="Times New Roman" w:cs="Times New Roman"/>
                <w:color w:val="000000"/>
                <w:sz w:val="24"/>
                <w:lang w:val="en-US" w:eastAsia="zh-CN"/>
              </w:rPr>
              <w:t>km</w:t>
            </w:r>
          </w:p>
          <w:p w14:paraId="63DEC801">
            <w:pPr>
              <w:widowControl/>
              <w:spacing w:line="360" w:lineRule="auto"/>
              <w:ind w:firstLine="480" w:firstLineChars="200"/>
              <w:jc w:val="left"/>
              <w:rPr>
                <w:rFonts w:hint="default" w:ascii="Times New Roman" w:hAnsi="Times New Roman" w:cs="Times New Roman"/>
                <w:color w:val="000000"/>
                <w:spacing w:val="4"/>
                <w:sz w:val="24"/>
              </w:rPr>
            </w:pPr>
            <w:r>
              <w:rPr>
                <w:rFonts w:hint="default" w:ascii="Times New Roman" w:hAnsi="Times New Roman" w:cs="Times New Roman"/>
                <w:color w:val="000000"/>
                <w:kern w:val="0"/>
                <w:sz w:val="24"/>
                <w:lang w:bidi="ar"/>
              </w:rPr>
              <w:t>项目投资：</w:t>
            </w:r>
            <w:r>
              <w:rPr>
                <w:rFonts w:hint="default" w:ascii="Times New Roman" w:hAnsi="Times New Roman" w:cs="Times New Roman"/>
                <w:color w:val="000000"/>
                <w:kern w:val="0"/>
                <w:sz w:val="24"/>
                <w:lang w:val="en-US" w:eastAsia="zh-CN" w:bidi="ar"/>
              </w:rPr>
              <w:t>3007.55</w:t>
            </w:r>
            <w:r>
              <w:rPr>
                <w:rFonts w:hint="default" w:ascii="Times New Roman" w:hAnsi="Times New Roman" w:cs="Times New Roman"/>
                <w:color w:val="000000"/>
                <w:kern w:val="0"/>
                <w:sz w:val="24"/>
                <w:lang w:bidi="ar"/>
              </w:rPr>
              <w:t>万元，环保投资</w:t>
            </w:r>
            <w:r>
              <w:rPr>
                <w:rFonts w:hint="default" w:ascii="Times New Roman" w:hAnsi="Times New Roman" w:cs="Times New Roman"/>
                <w:color w:val="000000"/>
                <w:kern w:val="0"/>
                <w:sz w:val="24"/>
                <w:lang w:val="en-US" w:eastAsia="zh-CN" w:bidi="ar"/>
              </w:rPr>
              <w:t>98</w:t>
            </w:r>
            <w:r>
              <w:rPr>
                <w:rFonts w:hint="default" w:ascii="Times New Roman" w:hAnsi="Times New Roman" w:cs="Times New Roman"/>
                <w:color w:val="000000"/>
                <w:kern w:val="0"/>
                <w:sz w:val="24"/>
                <w:lang w:bidi="ar"/>
              </w:rPr>
              <w:t>万元</w:t>
            </w:r>
            <w:r>
              <w:rPr>
                <w:rFonts w:hint="default" w:ascii="Times New Roman" w:hAnsi="Times New Roman" w:cs="Times New Roman"/>
                <w:color w:val="000000"/>
                <w:spacing w:val="4"/>
                <w:sz w:val="24"/>
              </w:rPr>
              <w:t>，占总投资的比例为</w:t>
            </w:r>
            <w:r>
              <w:rPr>
                <w:rFonts w:hint="default" w:ascii="Times New Roman" w:hAnsi="Times New Roman" w:cs="Times New Roman"/>
                <w:color w:val="000000"/>
                <w:spacing w:val="4"/>
                <w:sz w:val="24"/>
                <w:lang w:val="en-US" w:eastAsia="zh-CN"/>
              </w:rPr>
              <w:t>3.26</w:t>
            </w:r>
            <w:r>
              <w:rPr>
                <w:rFonts w:hint="default" w:ascii="Times New Roman" w:hAnsi="Times New Roman" w:cs="Times New Roman"/>
                <w:color w:val="000000"/>
                <w:spacing w:val="4"/>
                <w:sz w:val="24"/>
              </w:rPr>
              <w:t>%。</w:t>
            </w:r>
          </w:p>
          <w:p w14:paraId="1946310C">
            <w:pPr>
              <w:widowControl/>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bCs/>
                <w:color w:val="000000"/>
                <w:sz w:val="24"/>
              </w:rPr>
              <w:t>根据《关于</w:t>
            </w:r>
            <w:r>
              <w:rPr>
                <w:rFonts w:hint="default" w:ascii="Times New Roman" w:hAnsi="Times New Roman" w:cs="Times New Roman"/>
                <w:color w:val="000000"/>
                <w:sz w:val="24"/>
                <w:lang w:val="en-US" w:eastAsia="zh-CN"/>
              </w:rPr>
              <w:t>樊陈路一期东延段工程</w:t>
            </w:r>
            <w:r>
              <w:rPr>
                <w:rFonts w:hint="default" w:ascii="Times New Roman" w:hAnsi="Times New Roman" w:cs="Times New Roman"/>
                <w:bCs/>
                <w:color w:val="000000"/>
                <w:sz w:val="24"/>
              </w:rPr>
              <w:t>可行性研究报告的批复》（</w:t>
            </w:r>
            <w:r>
              <w:rPr>
                <w:rFonts w:hint="default" w:ascii="Times New Roman" w:hAnsi="Times New Roman" w:cs="Times New Roman"/>
                <w:color w:val="000000"/>
                <w:sz w:val="24"/>
                <w:lang w:val="en-US" w:eastAsia="zh-CN"/>
              </w:rPr>
              <w:t>文号：</w:t>
            </w:r>
            <w:r>
              <w:rPr>
                <w:rFonts w:hint="default" w:ascii="Times New Roman" w:hAnsi="Times New Roman" w:cs="Times New Roman"/>
                <w:color w:val="000000"/>
                <w:sz w:val="24"/>
              </w:rPr>
              <w:t>岳发改审[2024]181号</w:t>
            </w:r>
            <w:r>
              <w:rPr>
                <w:rFonts w:hint="default" w:ascii="Times New Roman" w:hAnsi="Times New Roman" w:cs="Times New Roman"/>
                <w:color w:val="000000"/>
                <w:sz w:val="24"/>
                <w:lang w:val="en-US" w:eastAsia="zh-CN"/>
              </w:rPr>
              <w:t>，详见附件）</w:t>
            </w:r>
            <w:r>
              <w:rPr>
                <w:rFonts w:hint="default" w:ascii="Times New Roman" w:hAnsi="Times New Roman" w:cs="Times New Roman"/>
                <w:bCs/>
                <w:color w:val="000000"/>
                <w:sz w:val="24"/>
              </w:rPr>
              <w:t>，</w:t>
            </w:r>
            <w:r>
              <w:rPr>
                <w:rFonts w:hint="default" w:ascii="Times New Roman" w:hAnsi="Times New Roman" w:cs="Times New Roman"/>
                <w:color w:val="000000"/>
                <w:kern w:val="0"/>
                <w:sz w:val="24"/>
                <w:highlight w:val="none"/>
                <w:lang w:bidi="ar"/>
              </w:rPr>
              <w:t>项目为</w:t>
            </w:r>
            <w:r>
              <w:rPr>
                <w:rFonts w:hint="default" w:ascii="Times New Roman" w:hAnsi="Times New Roman" w:cs="Times New Roman"/>
                <w:color w:val="000000"/>
                <w:kern w:val="0"/>
                <w:sz w:val="24"/>
                <w:highlight w:val="none"/>
                <w:lang w:val="en-US" w:eastAsia="zh-CN" w:bidi="ar"/>
              </w:rPr>
              <w:t>城市</w:t>
            </w:r>
            <w:r>
              <w:rPr>
                <w:rFonts w:hint="default" w:ascii="Times New Roman" w:hAnsi="Times New Roman" w:cs="Times New Roman"/>
                <w:color w:val="000000"/>
                <w:kern w:val="0"/>
                <w:sz w:val="24"/>
                <w:lang w:val="en-US" w:eastAsia="zh-CN" w:bidi="ar"/>
              </w:rPr>
              <w:t>主干道，</w:t>
            </w:r>
            <w:r>
              <w:rPr>
                <w:rFonts w:hint="default" w:ascii="Times New Roman" w:hAnsi="Times New Roman" w:cs="Times New Roman"/>
                <w:color w:val="000000"/>
                <w:sz w:val="24"/>
              </w:rPr>
              <w:t>全长约</w:t>
            </w:r>
            <w:r>
              <w:rPr>
                <w:rFonts w:hint="default" w:ascii="Times New Roman" w:hAnsi="Times New Roman" w:cs="Times New Roman"/>
                <w:color w:val="000000"/>
                <w:sz w:val="24"/>
                <w:lang w:val="en-US" w:eastAsia="zh-CN"/>
              </w:rPr>
              <w:t>0.175</w:t>
            </w:r>
            <w:r>
              <w:rPr>
                <w:rFonts w:hint="default" w:ascii="Times New Roman" w:hAnsi="Times New Roman" w:cs="Times New Roman"/>
                <w:color w:val="000000"/>
                <w:sz w:val="24"/>
              </w:rPr>
              <w:t>km</w:t>
            </w:r>
            <w:r>
              <w:rPr>
                <w:rFonts w:hint="default" w:ascii="Times New Roman" w:hAnsi="Times New Roman" w:cs="Times New Roman"/>
                <w:color w:val="000000"/>
                <w:sz w:val="24"/>
                <w:lang w:val="en-US" w:eastAsia="zh-CN"/>
              </w:rPr>
              <w:t>，设计车速为50km/h，红线宽40m，标准段为双向6车道。项目起点接樊陈路一期设计终点，终点与调整后的规划东坡路相交，道路全长175m，含交叉口一处。为解决项目的排水问题，同时在樊陈路二期红线内建设线外排水管387m。</w:t>
            </w:r>
          </w:p>
          <w:p w14:paraId="46CAA829">
            <w:pPr>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2.2工程主要内容及规模</w:t>
            </w:r>
          </w:p>
          <w:p w14:paraId="7324B4CB">
            <w:pPr>
              <w:widowControl/>
              <w:spacing w:line="360" w:lineRule="auto"/>
              <w:ind w:firstLine="482" w:firstLineChars="200"/>
              <w:jc w:val="left"/>
              <w:rPr>
                <w:rFonts w:hint="default" w:ascii="Times New Roman" w:hAnsi="Times New Roman" w:cs="Times New Roman"/>
                <w:b/>
                <w:bCs/>
                <w:color w:val="000000"/>
                <w:kern w:val="0"/>
                <w:sz w:val="24"/>
                <w:highlight w:val="none"/>
                <w:lang w:bidi="ar"/>
              </w:rPr>
            </w:pPr>
            <w:r>
              <w:rPr>
                <w:rFonts w:hint="default" w:ascii="Times New Roman" w:hAnsi="Times New Roman" w:cs="Times New Roman"/>
                <w:b/>
                <w:bCs/>
                <w:color w:val="000000"/>
                <w:kern w:val="0"/>
                <w:sz w:val="24"/>
                <w:highlight w:val="none"/>
                <w:lang w:bidi="ar"/>
              </w:rPr>
              <w:t>2.2.1项目组成</w:t>
            </w:r>
          </w:p>
          <w:p w14:paraId="28CB03F9">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highlight w:val="none"/>
              </w:rPr>
              <w:t>项目建设内容主要包括</w:t>
            </w:r>
            <w:r>
              <w:rPr>
                <w:rFonts w:hint="default" w:ascii="Times New Roman" w:hAnsi="Times New Roman" w:cs="Times New Roman"/>
                <w:color w:val="000000"/>
                <w:kern w:val="0"/>
                <w:sz w:val="24"/>
              </w:rPr>
              <w:t>：道路工程、交通工程、排水工程，给水工程，绿化工程等。</w:t>
            </w:r>
            <w:r>
              <w:rPr>
                <w:rFonts w:hint="default" w:ascii="Times New Roman" w:hAnsi="Times New Roman" w:cs="Times New Roman"/>
                <w:color w:val="000000"/>
                <w:kern w:val="0"/>
                <w:sz w:val="24"/>
                <w:lang w:bidi="ar"/>
              </w:rPr>
              <w:t>项目组成详情见</w:t>
            </w:r>
            <w:r>
              <w:rPr>
                <w:rFonts w:hint="default" w:ascii="Times New Roman" w:hAnsi="Times New Roman" w:cs="Times New Roman"/>
                <w:color w:val="000000"/>
                <w:kern w:val="0"/>
                <w:sz w:val="24"/>
                <w:lang w:val="en-US" w:eastAsia="zh-CN" w:bidi="ar"/>
              </w:rPr>
              <w:t>下表</w:t>
            </w:r>
            <w:r>
              <w:rPr>
                <w:rFonts w:hint="default" w:ascii="Times New Roman" w:hAnsi="Times New Roman" w:cs="Times New Roman"/>
                <w:color w:val="000000"/>
                <w:kern w:val="0"/>
                <w:sz w:val="24"/>
                <w:lang w:bidi="ar"/>
              </w:rPr>
              <w:t>。</w:t>
            </w:r>
          </w:p>
          <w:p w14:paraId="2F609620">
            <w:pPr>
              <w:pStyle w:val="6"/>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lang w:bidi="ar"/>
              </w:rPr>
              <w:t>表2</w:t>
            </w:r>
            <w:r>
              <w:rPr>
                <w:rFonts w:hint="default" w:ascii="Times New Roman" w:hAnsi="Times New Roman" w:eastAsia="宋体" w:cs="Times New Roman"/>
                <w:b/>
                <w:bCs/>
                <w:color w:val="000000"/>
                <w:sz w:val="21"/>
                <w:szCs w:val="21"/>
                <w:highlight w:val="none"/>
                <w:lang w:val="en-US" w:eastAsia="zh-CN" w:bidi="ar"/>
              </w:rPr>
              <w:t>.2</w:t>
            </w:r>
            <w:r>
              <w:rPr>
                <w:rFonts w:hint="default" w:ascii="Times New Roman" w:hAnsi="Times New Roman" w:eastAsia="宋体" w:cs="Times New Roman"/>
                <w:b/>
                <w:bCs/>
                <w:color w:val="000000"/>
                <w:sz w:val="21"/>
                <w:szCs w:val="21"/>
                <w:highlight w:val="none"/>
                <w:lang w:bidi="ar"/>
              </w:rPr>
              <w:t>-1   项目组成一览表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2"/>
              <w:gridCol w:w="705"/>
              <w:gridCol w:w="674"/>
              <w:gridCol w:w="676"/>
              <w:gridCol w:w="5832"/>
            </w:tblGrid>
            <w:tr w14:paraId="2438C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tcBorders>
                    <w:top w:val="single" w:color="000000" w:sz="4" w:space="0"/>
                    <w:left w:val="single" w:color="000000" w:sz="4" w:space="0"/>
                    <w:right w:val="single" w:color="000000" w:sz="4" w:space="0"/>
                  </w:tcBorders>
                  <w:noWrap w:val="0"/>
                  <w:vAlign w:val="center"/>
                </w:tcPr>
                <w:p w14:paraId="1663663D">
                  <w:pPr>
                    <w:pStyle w:val="28"/>
                    <w:widowControl/>
                    <w:snapToGrid w:val="0"/>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序号</w:t>
                  </w:r>
                </w:p>
              </w:tc>
              <w:tc>
                <w:tcPr>
                  <w:tcW w:w="2055" w:type="dxa"/>
                  <w:gridSpan w:val="3"/>
                  <w:tcBorders>
                    <w:top w:val="single" w:color="000000" w:sz="4" w:space="0"/>
                    <w:left w:val="single" w:color="000000" w:sz="4" w:space="0"/>
                    <w:right w:val="single" w:color="000000" w:sz="4" w:space="0"/>
                  </w:tcBorders>
                  <w:noWrap w:val="0"/>
                  <w:vAlign w:val="center"/>
                </w:tcPr>
                <w:p w14:paraId="081A7934">
                  <w:pPr>
                    <w:pStyle w:val="28"/>
                    <w:widowControl/>
                    <w:snapToGrid w:val="0"/>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项目类型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0FF447C0">
                  <w:pPr>
                    <w:pStyle w:val="28"/>
                    <w:widowControl/>
                    <w:snapToGrid w:val="0"/>
                    <w:spacing w:line="240" w:lineRule="auto"/>
                    <w:ind w:firstLine="42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建设内容</w:t>
                  </w:r>
                </w:p>
              </w:tc>
            </w:tr>
            <w:tr w14:paraId="77071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02" w:type="dxa"/>
                  <w:vMerge w:val="restart"/>
                  <w:tcBorders>
                    <w:top w:val="single" w:color="000000" w:sz="4" w:space="0"/>
                    <w:left w:val="single" w:color="000000" w:sz="4" w:space="0"/>
                    <w:right w:val="single" w:color="000000" w:sz="4" w:space="0"/>
                  </w:tcBorders>
                  <w:noWrap w:val="0"/>
                  <w:vAlign w:val="center"/>
                </w:tcPr>
                <w:p w14:paraId="194F69D5">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705" w:type="dxa"/>
                  <w:vMerge w:val="restart"/>
                  <w:tcBorders>
                    <w:top w:val="single" w:color="000000" w:sz="4" w:space="0"/>
                    <w:left w:val="single" w:color="000000" w:sz="4" w:space="0"/>
                    <w:right w:val="single" w:color="000000" w:sz="4" w:space="0"/>
                  </w:tcBorders>
                  <w:noWrap w:val="0"/>
                  <w:vAlign w:val="center"/>
                </w:tcPr>
                <w:p w14:paraId="398536C8">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主体</w:t>
                  </w:r>
                </w:p>
                <w:p w14:paraId="1BD84DC2">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工程</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0FB23537">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highlight w:val="none"/>
                    </w:rPr>
                    <w:t>路基工程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04CFDA52">
                  <w:pPr>
                    <w:pStyle w:val="28"/>
                    <w:widowControl/>
                    <w:snapToGrid w:val="0"/>
                    <w:spacing w:line="240" w:lineRule="auto"/>
                    <w:ind w:firstLine="0" w:firstLineChars="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r>
                    <w:rPr>
                      <w:rFonts w:hint="eastAsia" w:cs="Times New Roman"/>
                      <w:color w:val="000000"/>
                      <w:sz w:val="21"/>
                      <w:szCs w:val="21"/>
                      <w:lang w:eastAsia="zh-CN"/>
                    </w:rPr>
                    <w:t>、</w:t>
                  </w:r>
                  <w:r>
                    <w:rPr>
                      <w:rFonts w:hint="default" w:ascii="Times New Roman" w:hAnsi="Times New Roman" w:cs="Times New Roman"/>
                      <w:color w:val="000000"/>
                      <w:sz w:val="21"/>
                      <w:szCs w:val="21"/>
                    </w:rPr>
                    <w:t>道路横断面</w:t>
                  </w:r>
                </w:p>
                <w:p w14:paraId="64EE0109">
                  <w:pPr>
                    <w:pStyle w:val="28"/>
                    <w:widowControl/>
                    <w:snapToGrid w:val="0"/>
                    <w:spacing w:line="240" w:lineRule="auto"/>
                    <w:ind w:firstLine="0" w:firstLineChars="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樊陈路一期为城市主干道，设计车速50</w:t>
                  </w:r>
                  <w:r>
                    <w:rPr>
                      <w:rFonts w:hint="default" w:ascii="Times New Roman" w:hAnsi="Times New Roman" w:cs="Times New Roman"/>
                      <w:color w:val="000000"/>
                      <w:sz w:val="21"/>
                      <w:szCs w:val="21"/>
                      <w:lang w:val="en-US" w:eastAsia="zh-CN"/>
                    </w:rPr>
                    <w:t>k</w:t>
                  </w:r>
                  <w:r>
                    <w:rPr>
                      <w:rFonts w:hint="default" w:ascii="Times New Roman" w:hAnsi="Times New Roman" w:cs="Times New Roman"/>
                      <w:color w:val="000000"/>
                      <w:sz w:val="21"/>
                      <w:szCs w:val="21"/>
                    </w:rPr>
                    <w:t>m/h，标准车道数为双向6车道。樊陈路一期设计期间，经过与中心医院的对接协调，考虑医院交通流量大，干扰多的特点，为提高道路服务水平，采用了不对称的横断面设计形式，靠中心医院一侧，为提高交通效率，设置了辅道。</w:t>
                  </w:r>
                </w:p>
                <w:p w14:paraId="5C2363D6">
                  <w:pPr>
                    <w:pStyle w:val="28"/>
                    <w:widowControl/>
                    <w:snapToGrid w:val="0"/>
                    <w:spacing w:line="240" w:lineRule="auto"/>
                    <w:ind w:firstLine="0" w:firstLineChars="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樊陈路一期东延段的标准横断面，采用与樊陈路一期一致的方案，保证道路的连续性，横断面布置如下：40m=3m(人行道)+2.5m辅道非机动车道)+3.5m(辅道车行道)+1.5m(绿化设施带)+0.5m(路缘带)+3×3.50m(车行道)+0.5m(双黄线)+3×3.50m(车行道)+0.5m(路缘带)+1.5m(绿化设施带)+3.0m(非机动车道)+2.5m(人行道)。</w:t>
                  </w:r>
                </w:p>
                <w:p w14:paraId="2AD498C5">
                  <w:pPr>
                    <w:pStyle w:val="28"/>
                    <w:widowControl/>
                    <w:snapToGrid w:val="0"/>
                    <w:spacing w:line="240" w:lineRule="auto"/>
                    <w:ind w:firstLine="0" w:firstLineChars="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本项目长175m，终点为樊陈路一期与东坡路的交叉口，为提高交叉口的通行效率，交叉口范围内对车道进行渠化，交叉口渠化范围内，进口道的车道宽调整为3.0~3.25m。</w:t>
                  </w:r>
                </w:p>
                <w:p w14:paraId="57113E68">
                  <w:pPr>
                    <w:pStyle w:val="28"/>
                    <w:widowControl/>
                    <w:snapToGrid w:val="0"/>
                    <w:spacing w:line="240" w:lineRule="auto"/>
                    <w:ind w:firstLine="0" w:firstLineChars="0"/>
                    <w:jc w:val="both"/>
                    <w:rPr>
                      <w:rFonts w:hint="default" w:ascii="Times New Roman" w:hAnsi="Times New Roman" w:cs="Times New Roman"/>
                      <w:color w:val="000000"/>
                      <w:sz w:val="21"/>
                      <w:szCs w:val="21"/>
                    </w:rPr>
                  </w:pPr>
                  <w:r>
                    <w:rPr>
                      <w:rFonts w:hint="eastAsia" w:cs="Times New Roman"/>
                      <w:color w:val="000000"/>
                      <w:sz w:val="21"/>
                      <w:szCs w:val="21"/>
                      <w:lang w:val="en-US" w:eastAsia="zh-CN"/>
                    </w:rPr>
                    <w:t>2、</w:t>
                  </w:r>
                  <w:r>
                    <w:rPr>
                      <w:rFonts w:hint="default" w:ascii="Times New Roman" w:hAnsi="Times New Roman" w:cs="Times New Roman"/>
                      <w:color w:val="000000"/>
                      <w:sz w:val="21"/>
                      <w:szCs w:val="21"/>
                    </w:rPr>
                    <w:t>道路</w:t>
                  </w:r>
                  <w:r>
                    <w:rPr>
                      <w:rFonts w:hint="default" w:ascii="Times New Roman" w:hAnsi="Times New Roman" w:cs="Times New Roman"/>
                      <w:color w:val="000000"/>
                      <w:sz w:val="21"/>
                      <w:szCs w:val="21"/>
                      <w:lang w:val="en-US" w:eastAsia="zh-CN"/>
                    </w:rPr>
                    <w:t>纵</w:t>
                  </w:r>
                  <w:r>
                    <w:rPr>
                      <w:rFonts w:hint="default" w:ascii="Times New Roman" w:hAnsi="Times New Roman" w:cs="Times New Roman"/>
                      <w:color w:val="000000"/>
                      <w:sz w:val="21"/>
                      <w:szCs w:val="21"/>
                    </w:rPr>
                    <w:t>断面</w:t>
                  </w:r>
                </w:p>
                <w:p w14:paraId="478EC44B">
                  <w:pPr>
                    <w:pStyle w:val="28"/>
                    <w:widowControl/>
                    <w:snapToGrid w:val="0"/>
                    <w:spacing w:line="240" w:lineRule="auto"/>
                    <w:ind w:firstLine="0" w:firstLineChars="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东延段设计起点樊陈路一期终点，设计标高51.3设变坡点1处，位于桩号K1+431.800与东坡路交叉处，设计标高49.6。终点为交叉口的末端，纵断面设计的纵坡按道路竖向规划，接至樊陈路与医养路交叉口，规划标高47.2。计算终点桩号K1+472.962的设计标高为49.236。设凸曲线一处，半径10100m，设凹曲线一处，25000m。</w:t>
                  </w:r>
                </w:p>
              </w:tc>
            </w:tr>
            <w:tr w14:paraId="313D4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502" w:type="dxa"/>
                  <w:vMerge w:val="continue"/>
                  <w:tcBorders>
                    <w:left w:val="single" w:color="000000" w:sz="4" w:space="0"/>
                    <w:right w:val="single" w:color="000000" w:sz="4" w:space="0"/>
                  </w:tcBorders>
                  <w:noWrap w:val="0"/>
                  <w:vAlign w:val="center"/>
                </w:tcPr>
                <w:p w14:paraId="6E8F6607">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0E2A47BD">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48A2BCD3">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highlight w:val="none"/>
                    </w:rPr>
                    <w:t>路面工程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0DAC59BC">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沥青路面</w:t>
                  </w:r>
                </w:p>
              </w:tc>
            </w:tr>
            <w:tr w14:paraId="607B9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502" w:type="dxa"/>
                  <w:vMerge w:val="continue"/>
                  <w:tcBorders>
                    <w:left w:val="single" w:color="000000" w:sz="4" w:space="0"/>
                    <w:right w:val="single" w:color="000000" w:sz="4" w:space="0"/>
                  </w:tcBorders>
                  <w:noWrap w:val="0"/>
                  <w:vAlign w:val="center"/>
                </w:tcPr>
                <w:p w14:paraId="676F438B">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6BB973C4">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7FC3A229">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交叉工程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527781BE">
                  <w:pPr>
                    <w:pStyle w:val="28"/>
                    <w:widowControl/>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共</w:t>
                  </w:r>
                  <w:r>
                    <w:rPr>
                      <w:rFonts w:hint="default" w:ascii="Times New Roman" w:hAnsi="Times New Roman" w:cs="Times New Roman"/>
                      <w:color w:val="000000"/>
                      <w:sz w:val="21"/>
                      <w:szCs w:val="21"/>
                      <w:lang w:val="en-US" w:eastAsia="zh-CN"/>
                    </w:rPr>
                    <w:t>1处交叉口。</w:t>
                  </w:r>
                </w:p>
              </w:tc>
            </w:tr>
            <w:tr w14:paraId="7924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1" w:hRule="atLeast"/>
                <w:jc w:val="center"/>
              </w:trPr>
              <w:tc>
                <w:tcPr>
                  <w:tcW w:w="502" w:type="dxa"/>
                  <w:vMerge w:val="continue"/>
                  <w:tcBorders>
                    <w:left w:val="single" w:color="000000" w:sz="4" w:space="0"/>
                    <w:bottom w:val="single" w:color="000000" w:sz="4" w:space="0"/>
                    <w:right w:val="single" w:color="000000" w:sz="4" w:space="0"/>
                  </w:tcBorders>
                  <w:noWrap w:val="0"/>
                  <w:vAlign w:val="center"/>
                </w:tcPr>
                <w:p w14:paraId="6AAEE154">
                  <w:pPr>
                    <w:jc w:val="center"/>
                    <w:rPr>
                      <w:rFonts w:hint="default" w:ascii="Times New Roman" w:hAnsi="Times New Roman" w:cs="Times New Roman"/>
                      <w:color w:val="000000"/>
                      <w:szCs w:val="21"/>
                    </w:rPr>
                  </w:pPr>
                </w:p>
              </w:tc>
              <w:tc>
                <w:tcPr>
                  <w:tcW w:w="705" w:type="dxa"/>
                  <w:vMerge w:val="continue"/>
                  <w:tcBorders>
                    <w:left w:val="single" w:color="000000" w:sz="4" w:space="0"/>
                    <w:bottom w:val="single" w:color="000000" w:sz="4" w:space="0"/>
                    <w:right w:val="single" w:color="000000" w:sz="4" w:space="0"/>
                  </w:tcBorders>
                  <w:noWrap w:val="0"/>
                  <w:vAlign w:val="center"/>
                </w:tcPr>
                <w:p w14:paraId="04BEC2A5">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auto" w:sz="4" w:space="0"/>
                    <w:right w:val="single" w:color="000000" w:sz="4" w:space="0"/>
                  </w:tcBorders>
                  <w:noWrap w:val="0"/>
                  <w:vAlign w:val="center"/>
                </w:tcPr>
                <w:p w14:paraId="63DFC937">
                  <w:pPr>
                    <w:pStyle w:val="28"/>
                    <w:widowControl/>
                    <w:snapToGrid w:val="0"/>
                    <w:spacing w:line="240" w:lineRule="auto"/>
                    <w:ind w:firstLine="0" w:firstLineChars="0"/>
                    <w:jc w:val="both"/>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lang w:val="en-US" w:eastAsia="zh-CN"/>
                    </w:rPr>
                    <w:t>给</w:t>
                  </w:r>
                  <w:r>
                    <w:rPr>
                      <w:rFonts w:hint="default" w:ascii="Times New Roman" w:hAnsi="Times New Roman" w:cs="Times New Roman"/>
                      <w:color w:val="000000"/>
                      <w:sz w:val="21"/>
                      <w:szCs w:val="21"/>
                      <w:highlight w:val="none"/>
                    </w:rPr>
                    <w:t>排水工程</w:t>
                  </w:r>
                </w:p>
              </w:tc>
              <w:tc>
                <w:tcPr>
                  <w:tcW w:w="5832" w:type="dxa"/>
                  <w:tcBorders>
                    <w:top w:val="single" w:color="000000" w:sz="4" w:space="0"/>
                    <w:left w:val="single" w:color="000000" w:sz="4" w:space="0"/>
                    <w:bottom w:val="single" w:color="auto" w:sz="4" w:space="0"/>
                    <w:right w:val="single" w:color="000000" w:sz="4" w:space="0"/>
                  </w:tcBorders>
                  <w:noWrap w:val="0"/>
                  <w:vAlign w:val="center"/>
                </w:tcPr>
                <w:p w14:paraId="40E7DF45">
                  <w:pPr>
                    <w:pStyle w:val="28"/>
                    <w:widowControl/>
                    <w:numPr>
                      <w:ilvl w:val="0"/>
                      <w:numId w:val="2"/>
                    </w:numPr>
                    <w:snapToGrid w:val="0"/>
                    <w:spacing w:line="240" w:lineRule="auto"/>
                    <w:ind w:firstLine="0" w:firstLineChars="0"/>
                    <w:jc w:val="left"/>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给水</w:t>
                  </w:r>
                </w:p>
                <w:p w14:paraId="7EBE0AEC">
                  <w:pPr>
                    <w:pStyle w:val="28"/>
                    <w:widowControl/>
                    <w:numPr>
                      <w:ilvl w:val="0"/>
                      <w:numId w:val="0"/>
                    </w:numPr>
                    <w:snapToGrid w:val="0"/>
                    <w:spacing w:line="240" w:lineRule="auto"/>
                    <w:ind w:leftChars="0" w:right="0" w:rightChars="0"/>
                    <w:jc w:val="left"/>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沿用一期敷设一根</w:t>
                  </w:r>
                  <w:r>
                    <w:rPr>
                      <w:rFonts w:hint="default" w:ascii="Times New Roman" w:hAnsi="Times New Roman" w:eastAsia="TimesNewRomanPSMT" w:cs="Times New Roman"/>
                      <w:color w:val="000000"/>
                      <w:kern w:val="0"/>
                      <w:sz w:val="21"/>
                      <w:szCs w:val="21"/>
                      <w:lang w:val="en-US" w:eastAsia="zh-CN" w:bidi="ar"/>
                    </w:rPr>
                    <w:t>D1000mm</w:t>
                  </w:r>
                  <w:r>
                    <w:rPr>
                      <w:rFonts w:hint="default" w:ascii="Times New Roman" w:hAnsi="Times New Roman" w:eastAsia="宋体" w:cs="Times New Roman"/>
                      <w:color w:val="000000"/>
                      <w:kern w:val="0"/>
                      <w:sz w:val="21"/>
                      <w:szCs w:val="21"/>
                      <w:lang w:val="en-US" w:eastAsia="zh-CN" w:bidi="ar"/>
                    </w:rPr>
                    <w:t>给水管，终点与东坡路</w:t>
                  </w:r>
                  <w:r>
                    <w:rPr>
                      <w:rFonts w:hint="default" w:ascii="Times New Roman" w:hAnsi="Times New Roman" w:eastAsia="TimesNewRomanPSMT" w:cs="Times New Roman"/>
                      <w:color w:val="000000"/>
                      <w:kern w:val="0"/>
                      <w:sz w:val="21"/>
                      <w:szCs w:val="21"/>
                      <w:lang w:val="en-US" w:eastAsia="zh-CN" w:bidi="ar"/>
                    </w:rPr>
                    <w:t>D500mm</w:t>
                  </w:r>
                  <w:r>
                    <w:rPr>
                      <w:rFonts w:hint="default" w:ascii="Times New Roman" w:hAnsi="Times New Roman" w:eastAsia="宋体" w:cs="Times New Roman"/>
                      <w:color w:val="000000"/>
                      <w:kern w:val="0"/>
                      <w:sz w:val="21"/>
                      <w:szCs w:val="21"/>
                      <w:lang w:val="en-US" w:eastAsia="zh-CN" w:bidi="ar"/>
                    </w:rPr>
                    <w:t>给水管连接。给水覆土深度取</w:t>
                  </w:r>
                  <w:r>
                    <w:rPr>
                      <w:rFonts w:hint="default" w:ascii="Times New Roman" w:hAnsi="Times New Roman" w:eastAsia="TimesNewRomanPSMT" w:cs="Times New Roman"/>
                      <w:color w:val="000000"/>
                      <w:kern w:val="0"/>
                      <w:sz w:val="21"/>
                      <w:szCs w:val="21"/>
                      <w:lang w:val="en-US" w:eastAsia="zh-CN" w:bidi="ar"/>
                    </w:rPr>
                    <w:t>1m</w:t>
                  </w:r>
                  <w:r>
                    <w:rPr>
                      <w:rFonts w:hint="default" w:ascii="Times New Roman" w:hAnsi="Times New Roman" w:eastAsia="宋体" w:cs="Times New Roman"/>
                      <w:color w:val="000000"/>
                      <w:kern w:val="0"/>
                      <w:sz w:val="21"/>
                      <w:szCs w:val="21"/>
                      <w:lang w:val="en-US" w:eastAsia="zh-CN" w:bidi="ar"/>
                    </w:rPr>
                    <w:t>，给水水源为湖滨水厂。</w:t>
                  </w:r>
                </w:p>
                <w:p w14:paraId="0090840A">
                  <w:pPr>
                    <w:pStyle w:val="28"/>
                    <w:widowControl/>
                    <w:snapToGrid w:val="0"/>
                    <w:spacing w:line="240" w:lineRule="auto"/>
                    <w:ind w:firstLine="0" w:firstLineChars="0"/>
                    <w:jc w:val="both"/>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2、排水</w:t>
                  </w:r>
                </w:p>
                <w:p w14:paraId="68C3FA67">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目前片区的排水规划，采用《岳阳市主城区排水专项规划（2018年）》。最新的《岳阳市赶山片区控制性详细规划》对路网有调整，但未重新编制排水规划，沿用2018年排水规划的排水走向。根据规划，雨水樊陈路规划双侧布置DN800-1200雨水管，自西向东排入郭麻路附近的现状河涌，最终排向黄梅港。</w:t>
                  </w:r>
                  <w:r>
                    <w:rPr>
                      <w:rFonts w:hint="default" w:ascii="Times New Roman" w:hAnsi="Times New Roman" w:cs="Times New Roman"/>
                      <w:color w:val="000000"/>
                      <w:sz w:val="21"/>
                      <w:szCs w:val="21"/>
                      <w:lang w:val="en-US" w:eastAsia="zh-CN"/>
                    </w:rPr>
                    <w:t>为解决项目的排水问题，同时在樊陈路二期红线内建设线外排水管387m。</w:t>
                  </w:r>
                </w:p>
              </w:tc>
            </w:tr>
            <w:tr w14:paraId="5FA81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restart"/>
                  <w:tcBorders>
                    <w:left w:val="single" w:color="000000" w:sz="4" w:space="0"/>
                    <w:right w:val="single" w:color="000000" w:sz="4" w:space="0"/>
                  </w:tcBorders>
                  <w:noWrap w:val="0"/>
                  <w:vAlign w:val="center"/>
                </w:tcPr>
                <w:p w14:paraId="3B96876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705" w:type="dxa"/>
                  <w:vMerge w:val="restart"/>
                  <w:tcBorders>
                    <w:left w:val="single" w:color="000000" w:sz="4" w:space="0"/>
                    <w:right w:val="single" w:color="000000" w:sz="4" w:space="0"/>
                  </w:tcBorders>
                  <w:noWrap w:val="0"/>
                  <w:vAlign w:val="center"/>
                </w:tcPr>
                <w:p w14:paraId="53174D2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临时工程</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5B403153">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施工营地</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3821C103">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项目施工营地设置于道路占地范围内，主要用于施工设备和施工材料临时堆放，项目不设混凝土拌合站</w:t>
                  </w:r>
                </w:p>
              </w:tc>
            </w:tr>
            <w:tr w14:paraId="1B4F2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502" w:type="dxa"/>
                  <w:vMerge w:val="continue"/>
                  <w:tcBorders>
                    <w:left w:val="single" w:color="000000" w:sz="4" w:space="0"/>
                    <w:right w:val="single" w:color="000000" w:sz="4" w:space="0"/>
                  </w:tcBorders>
                  <w:noWrap w:val="0"/>
                  <w:vAlign w:val="center"/>
                </w:tcPr>
                <w:p w14:paraId="462BDE49">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1798851C">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58856B15">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取弃土场</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4D4D6161">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路基填料利用开挖土石方，不另外设置取土场，本项目不设置弃土场，产生的弃方通过渣土车及时清运</w:t>
                  </w:r>
                </w:p>
              </w:tc>
            </w:tr>
            <w:tr w14:paraId="35A4A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left w:val="single" w:color="000000" w:sz="4" w:space="0"/>
                    <w:right w:val="single" w:color="000000" w:sz="4" w:space="0"/>
                  </w:tcBorders>
                  <w:noWrap w:val="0"/>
                  <w:vAlign w:val="center"/>
                </w:tcPr>
                <w:p w14:paraId="7BDB3894">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1106F8C3">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508B5ADD">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施工便道</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1E054BEA">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项目周边樊陈路一期</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东坡路正在施工</w:t>
                  </w:r>
                  <w:r>
                    <w:rPr>
                      <w:rFonts w:hint="default" w:ascii="Times New Roman" w:hAnsi="Times New Roman" w:cs="Times New Roman"/>
                      <w:color w:val="000000"/>
                      <w:sz w:val="21"/>
                      <w:szCs w:val="21"/>
                      <w:highlight w:val="none"/>
                    </w:rPr>
                    <w:t>等，</w:t>
                  </w:r>
                  <w:r>
                    <w:rPr>
                      <w:rFonts w:hint="default" w:ascii="Times New Roman" w:hAnsi="Times New Roman" w:cs="Times New Roman"/>
                      <w:color w:val="000000"/>
                      <w:sz w:val="21"/>
                      <w:szCs w:val="21"/>
                      <w:highlight w:val="none"/>
                      <w:lang w:val="en-US" w:eastAsia="zh-CN"/>
                    </w:rPr>
                    <w:t>沿用其施工便道</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场内施工便道设置在道路红线内，</w:t>
                  </w:r>
                  <w:r>
                    <w:rPr>
                      <w:rFonts w:hint="default" w:ascii="Times New Roman" w:hAnsi="Times New Roman" w:cs="Times New Roman"/>
                      <w:color w:val="000000"/>
                      <w:sz w:val="21"/>
                      <w:szCs w:val="21"/>
                      <w:highlight w:val="none"/>
                    </w:rPr>
                    <w:t>无需另外设置施工便道</w:t>
                  </w:r>
                </w:p>
              </w:tc>
            </w:tr>
            <w:tr w14:paraId="5C8E5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restart"/>
                  <w:tcBorders>
                    <w:top w:val="single" w:color="000000" w:sz="4" w:space="0"/>
                    <w:left w:val="single" w:color="000000" w:sz="4" w:space="0"/>
                    <w:bottom w:val="single" w:color="000000" w:sz="4" w:space="0"/>
                    <w:right w:val="single" w:color="000000" w:sz="4" w:space="0"/>
                  </w:tcBorders>
                  <w:noWrap w:val="0"/>
                  <w:vAlign w:val="center"/>
                </w:tcPr>
                <w:p w14:paraId="4E5CF64F">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705" w:type="dxa"/>
                  <w:vMerge w:val="restart"/>
                  <w:tcBorders>
                    <w:top w:val="single" w:color="000000" w:sz="4" w:space="0"/>
                    <w:left w:val="single" w:color="000000" w:sz="4" w:space="0"/>
                    <w:bottom w:val="single" w:color="000000" w:sz="4" w:space="0"/>
                    <w:right w:val="single" w:color="000000" w:sz="4" w:space="0"/>
                  </w:tcBorders>
                  <w:noWrap w:val="0"/>
                  <w:vAlign w:val="center"/>
                </w:tcPr>
                <w:p w14:paraId="436E72AC">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配套</w:t>
                  </w:r>
                </w:p>
                <w:p w14:paraId="2AE7FB75">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工程</w:t>
                  </w: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18BC53D4">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交通工程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2F2FBB3A">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交通标志标线，交通信号灯，电子警察，电视监控。防护设施等。</w:t>
                  </w:r>
                </w:p>
              </w:tc>
            </w:tr>
            <w:tr w14:paraId="0DCBF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2CF74F">
                  <w:pPr>
                    <w:jc w:val="center"/>
                    <w:rPr>
                      <w:rFonts w:hint="default" w:ascii="Times New Roman" w:hAnsi="Times New Roman" w:cs="Times New Roman"/>
                      <w:color w:val="000000"/>
                      <w:szCs w:val="21"/>
                    </w:rPr>
                  </w:pPr>
                </w:p>
              </w:tc>
              <w:tc>
                <w:tcPr>
                  <w:tcW w:w="7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1F2F7">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326176C6">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绿化工程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61D72AE7">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道路两侧均设置</w:t>
                  </w:r>
                  <w:r>
                    <w:rPr>
                      <w:rFonts w:hint="default" w:ascii="Times New Roman" w:hAnsi="Times New Roman" w:cs="Times New Roman"/>
                      <w:sz w:val="21"/>
                      <w:szCs w:val="21"/>
                      <w:lang w:val="en-US" w:eastAsia="zh-CN"/>
                    </w:rPr>
                    <w:t>1.5</w:t>
                  </w:r>
                  <w:r>
                    <w:rPr>
                      <w:rFonts w:hint="default" w:ascii="Times New Roman" w:hAnsi="Times New Roman" w:cs="Times New Roman"/>
                      <w:sz w:val="21"/>
                      <w:szCs w:val="21"/>
                    </w:rPr>
                    <w:t>m绿化隔离带</w:t>
                  </w:r>
                </w:p>
              </w:tc>
            </w:tr>
            <w:tr w14:paraId="6C20F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48301">
                  <w:pPr>
                    <w:jc w:val="center"/>
                    <w:rPr>
                      <w:rFonts w:hint="default" w:ascii="Times New Roman" w:hAnsi="Times New Roman" w:cs="Times New Roman"/>
                      <w:color w:val="000000"/>
                      <w:szCs w:val="21"/>
                    </w:rPr>
                  </w:pPr>
                </w:p>
              </w:tc>
              <w:tc>
                <w:tcPr>
                  <w:tcW w:w="7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57A928">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0A5A7026">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管线工程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33879264">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电力、热力、燃气等市政管线</w:t>
                  </w:r>
                </w:p>
              </w:tc>
            </w:tr>
            <w:tr w14:paraId="5D84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D19677">
                  <w:pPr>
                    <w:jc w:val="center"/>
                    <w:rPr>
                      <w:rFonts w:hint="default" w:ascii="Times New Roman" w:hAnsi="Times New Roman" w:cs="Times New Roman"/>
                      <w:color w:val="000000"/>
                      <w:szCs w:val="21"/>
                    </w:rPr>
                  </w:pPr>
                </w:p>
              </w:tc>
              <w:tc>
                <w:tcPr>
                  <w:tcW w:w="7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4AFDB4">
                  <w:pPr>
                    <w:jc w:val="center"/>
                    <w:rPr>
                      <w:rFonts w:hint="default" w:ascii="Times New Roman" w:hAnsi="Times New Roman" w:cs="Times New Roman"/>
                      <w:color w:val="000000"/>
                      <w:szCs w:val="21"/>
                    </w:rPr>
                  </w:pPr>
                </w:p>
              </w:tc>
              <w:tc>
                <w:tcPr>
                  <w:tcW w:w="1350" w:type="dxa"/>
                  <w:gridSpan w:val="2"/>
                  <w:tcBorders>
                    <w:top w:val="single" w:color="000000" w:sz="4" w:space="0"/>
                    <w:left w:val="single" w:color="000000" w:sz="4" w:space="0"/>
                    <w:bottom w:val="single" w:color="000000" w:sz="4" w:space="0"/>
                    <w:right w:val="single" w:color="000000" w:sz="4" w:space="0"/>
                  </w:tcBorders>
                  <w:noWrap w:val="0"/>
                  <w:vAlign w:val="center"/>
                </w:tcPr>
                <w:p w14:paraId="4FB71E38">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亮化工程</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5EA98FBE">
                  <w:pPr>
                    <w:pStyle w:val="28"/>
                    <w:widowControl/>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路灯照明系统</w:t>
                  </w:r>
                </w:p>
              </w:tc>
            </w:tr>
            <w:tr w14:paraId="66FB7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restart"/>
                  <w:tcBorders>
                    <w:top w:val="single" w:color="000000" w:sz="4" w:space="0"/>
                    <w:left w:val="single" w:color="000000" w:sz="4" w:space="0"/>
                    <w:right w:val="single" w:color="000000" w:sz="4" w:space="0"/>
                  </w:tcBorders>
                  <w:noWrap w:val="0"/>
                  <w:vAlign w:val="center"/>
                </w:tcPr>
                <w:p w14:paraId="69593A6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705" w:type="dxa"/>
                  <w:vMerge w:val="restart"/>
                  <w:tcBorders>
                    <w:top w:val="single" w:color="000000" w:sz="4" w:space="0"/>
                    <w:left w:val="single" w:color="000000" w:sz="4" w:space="0"/>
                    <w:right w:val="single" w:color="000000" w:sz="4" w:space="0"/>
                  </w:tcBorders>
                  <w:noWrap w:val="0"/>
                  <w:vAlign w:val="center"/>
                </w:tcPr>
                <w:p w14:paraId="746EB5F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环保工程</w:t>
                  </w:r>
                </w:p>
              </w:tc>
              <w:tc>
                <w:tcPr>
                  <w:tcW w:w="674" w:type="dxa"/>
                  <w:vMerge w:val="restart"/>
                  <w:tcBorders>
                    <w:top w:val="single" w:color="000000" w:sz="4" w:space="0"/>
                    <w:left w:val="single" w:color="000000" w:sz="4" w:space="0"/>
                    <w:right w:val="single" w:color="000000" w:sz="4" w:space="0"/>
                  </w:tcBorders>
                  <w:noWrap w:val="0"/>
                  <w:vAlign w:val="center"/>
                </w:tcPr>
                <w:p w14:paraId="4B5E0D8E">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施工期</w:t>
                  </w: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3767C410">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废水</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210D7B36">
                  <w:pPr>
                    <w:pStyle w:val="28"/>
                    <w:widowControl/>
                    <w:snapToGrid w:val="0"/>
                    <w:spacing w:line="240" w:lineRule="auto"/>
                    <w:ind w:firstLine="0" w:firstLineChars="0"/>
                    <w:jc w:val="center"/>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cs="Times New Roman"/>
                      <w:color w:val="000000"/>
                      <w:sz w:val="21"/>
                      <w:szCs w:val="21"/>
                      <w:highlight w:val="none"/>
                      <w:lang w:val="en-US" w:eastAsia="zh-CN"/>
                    </w:rPr>
                    <w:t>生活污水进入当地村民污水系统，用作农肥</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生产废水经</w:t>
                  </w:r>
                  <w:r>
                    <w:rPr>
                      <w:rFonts w:hint="default" w:ascii="Times New Roman" w:hAnsi="Times New Roman" w:cs="Times New Roman"/>
                      <w:color w:val="000000"/>
                      <w:sz w:val="21"/>
                      <w:szCs w:val="21"/>
                      <w:highlight w:val="none"/>
                    </w:rPr>
                    <w:t>隔油沉淀池</w:t>
                  </w:r>
                  <w:r>
                    <w:rPr>
                      <w:rFonts w:hint="default" w:ascii="Times New Roman" w:hAnsi="Times New Roman" w:cs="Times New Roman"/>
                      <w:color w:val="000000"/>
                      <w:sz w:val="21"/>
                      <w:szCs w:val="21"/>
                      <w:highlight w:val="none"/>
                      <w:lang w:val="en-US" w:eastAsia="zh-CN"/>
                    </w:rPr>
                    <w:t>处理回用</w:t>
                  </w:r>
                </w:p>
              </w:tc>
            </w:tr>
            <w:tr w14:paraId="7534F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502" w:type="dxa"/>
                  <w:vMerge w:val="continue"/>
                  <w:tcBorders>
                    <w:left w:val="single" w:color="000000" w:sz="4" w:space="0"/>
                    <w:right w:val="single" w:color="000000" w:sz="4" w:space="0"/>
                  </w:tcBorders>
                  <w:noWrap w:val="0"/>
                  <w:vAlign w:val="center"/>
                </w:tcPr>
                <w:p w14:paraId="7E04C603">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77244230">
                  <w:pPr>
                    <w:jc w:val="center"/>
                    <w:rPr>
                      <w:rFonts w:hint="default" w:ascii="Times New Roman" w:hAnsi="Times New Roman" w:cs="Times New Roman"/>
                      <w:color w:val="000000"/>
                      <w:szCs w:val="21"/>
                    </w:rPr>
                  </w:pPr>
                </w:p>
              </w:tc>
              <w:tc>
                <w:tcPr>
                  <w:tcW w:w="674" w:type="dxa"/>
                  <w:vMerge w:val="continue"/>
                  <w:tcBorders>
                    <w:left w:val="single" w:color="000000" w:sz="4" w:space="0"/>
                    <w:right w:val="single" w:color="000000" w:sz="4" w:space="0"/>
                  </w:tcBorders>
                  <w:noWrap w:val="0"/>
                  <w:vAlign w:val="center"/>
                </w:tcPr>
                <w:p w14:paraId="5648E880">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73720BC2">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废气</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58325880">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洒水降尘以及设置围挡</w:t>
                  </w:r>
                </w:p>
              </w:tc>
            </w:tr>
            <w:tr w14:paraId="40845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left w:val="single" w:color="000000" w:sz="4" w:space="0"/>
                    <w:right w:val="single" w:color="000000" w:sz="4" w:space="0"/>
                  </w:tcBorders>
                  <w:noWrap w:val="0"/>
                  <w:vAlign w:val="center"/>
                </w:tcPr>
                <w:p w14:paraId="597EF6F3">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13D79733">
                  <w:pPr>
                    <w:jc w:val="center"/>
                    <w:rPr>
                      <w:rFonts w:hint="default" w:ascii="Times New Roman" w:hAnsi="Times New Roman" w:cs="Times New Roman"/>
                      <w:color w:val="000000"/>
                      <w:szCs w:val="21"/>
                    </w:rPr>
                  </w:pPr>
                </w:p>
              </w:tc>
              <w:tc>
                <w:tcPr>
                  <w:tcW w:w="674" w:type="dxa"/>
                  <w:vMerge w:val="continue"/>
                  <w:tcBorders>
                    <w:left w:val="single" w:color="000000" w:sz="4" w:space="0"/>
                    <w:right w:val="single" w:color="000000" w:sz="4" w:space="0"/>
                  </w:tcBorders>
                  <w:noWrap w:val="0"/>
                  <w:vAlign w:val="center"/>
                </w:tcPr>
                <w:p w14:paraId="13FFBD47">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3425913B">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446D8573">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低噪声设备、设置围挡、合理安排施工时间</w:t>
                  </w:r>
                </w:p>
              </w:tc>
            </w:tr>
            <w:tr w14:paraId="3350C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left w:val="single" w:color="000000" w:sz="4" w:space="0"/>
                    <w:right w:val="single" w:color="000000" w:sz="4" w:space="0"/>
                  </w:tcBorders>
                  <w:noWrap w:val="0"/>
                  <w:vAlign w:val="center"/>
                </w:tcPr>
                <w:p w14:paraId="0A404FD7">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718ECF81">
                  <w:pPr>
                    <w:jc w:val="center"/>
                    <w:rPr>
                      <w:rFonts w:hint="default" w:ascii="Times New Roman" w:hAnsi="Times New Roman" w:cs="Times New Roman"/>
                      <w:color w:val="000000"/>
                      <w:szCs w:val="21"/>
                    </w:rPr>
                  </w:pPr>
                </w:p>
              </w:tc>
              <w:tc>
                <w:tcPr>
                  <w:tcW w:w="674" w:type="dxa"/>
                  <w:vMerge w:val="continue"/>
                  <w:tcBorders>
                    <w:left w:val="single" w:color="000000" w:sz="4" w:space="0"/>
                    <w:bottom w:val="single" w:color="000000" w:sz="4" w:space="0"/>
                    <w:right w:val="single" w:color="000000" w:sz="4" w:space="0"/>
                  </w:tcBorders>
                  <w:noWrap w:val="0"/>
                  <w:vAlign w:val="center"/>
                </w:tcPr>
                <w:p w14:paraId="5F242E89">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6D623A92">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固废</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137A2CE6">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弃渣、建筑垃圾集中收集定期外运</w:t>
                  </w:r>
                </w:p>
              </w:tc>
            </w:tr>
            <w:tr w14:paraId="6B538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left w:val="single" w:color="000000" w:sz="4" w:space="0"/>
                    <w:right w:val="single" w:color="000000" w:sz="4" w:space="0"/>
                  </w:tcBorders>
                  <w:noWrap w:val="0"/>
                  <w:vAlign w:val="center"/>
                </w:tcPr>
                <w:p w14:paraId="0D704370">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27C955BA">
                  <w:pPr>
                    <w:jc w:val="center"/>
                    <w:rPr>
                      <w:rFonts w:hint="default" w:ascii="Times New Roman" w:hAnsi="Times New Roman" w:cs="Times New Roman"/>
                      <w:color w:val="000000"/>
                      <w:szCs w:val="21"/>
                    </w:rPr>
                  </w:pPr>
                </w:p>
              </w:tc>
              <w:tc>
                <w:tcPr>
                  <w:tcW w:w="674" w:type="dxa"/>
                  <w:vMerge w:val="restart"/>
                  <w:tcBorders>
                    <w:top w:val="single" w:color="000000" w:sz="4" w:space="0"/>
                    <w:left w:val="single" w:color="000000" w:sz="4" w:space="0"/>
                    <w:right w:val="single" w:color="000000" w:sz="4" w:space="0"/>
                  </w:tcBorders>
                  <w:noWrap w:val="0"/>
                  <w:vAlign w:val="center"/>
                </w:tcPr>
                <w:p w14:paraId="097E775E">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运营期</w:t>
                  </w: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20A2F80E">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废气</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7C983551">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道路清扫，洒水车</w:t>
                  </w:r>
                </w:p>
              </w:tc>
            </w:tr>
            <w:tr w14:paraId="35A91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left w:val="single" w:color="000000" w:sz="4" w:space="0"/>
                    <w:right w:val="single" w:color="000000" w:sz="4" w:space="0"/>
                  </w:tcBorders>
                  <w:noWrap w:val="0"/>
                  <w:vAlign w:val="center"/>
                </w:tcPr>
                <w:p w14:paraId="3F7B4783">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00D52735">
                  <w:pPr>
                    <w:jc w:val="center"/>
                    <w:rPr>
                      <w:rFonts w:hint="default" w:ascii="Times New Roman" w:hAnsi="Times New Roman" w:cs="Times New Roman"/>
                      <w:color w:val="000000"/>
                      <w:szCs w:val="21"/>
                    </w:rPr>
                  </w:pPr>
                </w:p>
              </w:tc>
              <w:tc>
                <w:tcPr>
                  <w:tcW w:w="674" w:type="dxa"/>
                  <w:vMerge w:val="continue"/>
                  <w:tcBorders>
                    <w:left w:val="single" w:color="000000" w:sz="4" w:space="0"/>
                    <w:right w:val="single" w:color="000000" w:sz="4" w:space="0"/>
                  </w:tcBorders>
                  <w:noWrap w:val="0"/>
                  <w:vAlign w:val="center"/>
                </w:tcPr>
                <w:p w14:paraId="455F0956">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49E6F155">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0F8D93E3">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禁止鸣笛、减速标志、安装限速摄像头、定期路面养护、预留降噪费用、跟踪监测费用</w:t>
                  </w:r>
                </w:p>
              </w:tc>
            </w:tr>
            <w:tr w14:paraId="08E3D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2" w:type="dxa"/>
                  <w:vMerge w:val="continue"/>
                  <w:tcBorders>
                    <w:left w:val="single" w:color="000000" w:sz="4" w:space="0"/>
                    <w:right w:val="single" w:color="000000" w:sz="4" w:space="0"/>
                  </w:tcBorders>
                  <w:noWrap w:val="0"/>
                  <w:vAlign w:val="center"/>
                </w:tcPr>
                <w:p w14:paraId="62DD09A3">
                  <w:pPr>
                    <w:jc w:val="center"/>
                    <w:rPr>
                      <w:rFonts w:hint="default" w:ascii="Times New Roman" w:hAnsi="Times New Roman" w:cs="Times New Roman"/>
                      <w:color w:val="000000"/>
                      <w:szCs w:val="21"/>
                    </w:rPr>
                  </w:pPr>
                </w:p>
              </w:tc>
              <w:tc>
                <w:tcPr>
                  <w:tcW w:w="705" w:type="dxa"/>
                  <w:vMerge w:val="continue"/>
                  <w:tcBorders>
                    <w:left w:val="single" w:color="000000" w:sz="4" w:space="0"/>
                    <w:right w:val="single" w:color="000000" w:sz="4" w:space="0"/>
                  </w:tcBorders>
                  <w:noWrap w:val="0"/>
                  <w:vAlign w:val="center"/>
                </w:tcPr>
                <w:p w14:paraId="1B4276B9">
                  <w:pPr>
                    <w:jc w:val="center"/>
                    <w:rPr>
                      <w:rFonts w:hint="default" w:ascii="Times New Roman" w:hAnsi="Times New Roman" w:cs="Times New Roman"/>
                      <w:color w:val="000000"/>
                      <w:szCs w:val="21"/>
                    </w:rPr>
                  </w:pPr>
                </w:p>
              </w:tc>
              <w:tc>
                <w:tcPr>
                  <w:tcW w:w="674" w:type="dxa"/>
                  <w:vMerge w:val="continue"/>
                  <w:tcBorders>
                    <w:left w:val="single" w:color="000000" w:sz="4" w:space="0"/>
                    <w:bottom w:val="single" w:color="000000" w:sz="4" w:space="0"/>
                    <w:right w:val="single" w:color="000000" w:sz="4" w:space="0"/>
                  </w:tcBorders>
                  <w:noWrap w:val="0"/>
                  <w:vAlign w:val="center"/>
                </w:tcPr>
                <w:p w14:paraId="3652438C">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p>
              </w:tc>
              <w:tc>
                <w:tcPr>
                  <w:tcW w:w="676" w:type="dxa"/>
                  <w:tcBorders>
                    <w:top w:val="single" w:color="000000" w:sz="4" w:space="0"/>
                    <w:left w:val="single" w:color="000000" w:sz="4" w:space="0"/>
                    <w:bottom w:val="single" w:color="000000" w:sz="4" w:space="0"/>
                    <w:right w:val="single" w:color="000000" w:sz="4" w:space="0"/>
                  </w:tcBorders>
                  <w:noWrap w:val="0"/>
                  <w:vAlign w:val="center"/>
                </w:tcPr>
                <w:p w14:paraId="39B1DC88">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固废</w:t>
                  </w:r>
                </w:p>
              </w:tc>
              <w:tc>
                <w:tcPr>
                  <w:tcW w:w="5832" w:type="dxa"/>
                  <w:tcBorders>
                    <w:top w:val="single" w:color="000000" w:sz="4" w:space="0"/>
                    <w:left w:val="single" w:color="000000" w:sz="4" w:space="0"/>
                    <w:bottom w:val="single" w:color="000000" w:sz="4" w:space="0"/>
                    <w:right w:val="single" w:color="000000" w:sz="4" w:space="0"/>
                  </w:tcBorders>
                  <w:noWrap w:val="0"/>
                  <w:vAlign w:val="center"/>
                </w:tcPr>
                <w:p w14:paraId="4E5341DD">
                  <w:pPr>
                    <w:pStyle w:val="28"/>
                    <w:widowControl/>
                    <w:snapToGrid w:val="0"/>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路侧设置垃圾箱</w:t>
                  </w:r>
                </w:p>
              </w:tc>
            </w:tr>
          </w:tbl>
          <w:p w14:paraId="7258D569">
            <w:pPr>
              <w:widowControl/>
              <w:spacing w:line="360" w:lineRule="auto"/>
              <w:ind w:firstLine="482" w:firstLineChars="200"/>
              <w:jc w:val="left"/>
              <w:rPr>
                <w:rFonts w:hint="default" w:ascii="Times New Roman" w:hAnsi="Times New Roman" w:cs="Times New Roman"/>
                <w:b/>
                <w:bCs/>
                <w:color w:val="000000"/>
                <w:kern w:val="0"/>
                <w:sz w:val="24"/>
                <w:lang w:bidi="ar"/>
              </w:rPr>
            </w:pPr>
            <w:r>
              <w:rPr>
                <w:rFonts w:hint="default" w:ascii="Times New Roman" w:hAnsi="Times New Roman" w:cs="Times New Roman"/>
                <w:b/>
                <w:bCs/>
                <w:color w:val="000000"/>
                <w:kern w:val="0"/>
                <w:sz w:val="24"/>
                <w:lang w:bidi="ar"/>
              </w:rPr>
              <w:t>2.2.2项目主要经济技术指标</w:t>
            </w:r>
          </w:p>
          <w:p w14:paraId="0C2685F7">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highlight w:val="none"/>
              </w:rPr>
              <w:t>本项目主要经济技术指标</w:t>
            </w:r>
            <w:r>
              <w:rPr>
                <w:rFonts w:hint="default" w:ascii="Times New Roman" w:hAnsi="Times New Roman" w:cs="Times New Roman"/>
                <w:color w:val="000000"/>
                <w:sz w:val="24"/>
              </w:rPr>
              <w:t>，详见下表2</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-2。</w:t>
            </w:r>
          </w:p>
          <w:p w14:paraId="1209D8FC">
            <w:pPr>
              <w:pStyle w:val="6"/>
              <w:rPr>
                <w:rFonts w:hint="default" w:ascii="Times New Roman" w:hAnsi="Times New Roman" w:eastAsia="宋体" w:cs="Times New Roman"/>
                <w:b/>
                <w:bCs/>
                <w:color w:val="000000"/>
                <w:sz w:val="21"/>
                <w:szCs w:val="21"/>
                <w:highlight w:val="none"/>
                <w:lang w:bidi="ar"/>
              </w:rPr>
            </w:pPr>
            <w:r>
              <w:rPr>
                <w:rFonts w:hint="default" w:ascii="Times New Roman" w:hAnsi="Times New Roman" w:eastAsia="宋体" w:cs="Times New Roman"/>
                <w:b/>
                <w:bCs/>
                <w:color w:val="000000"/>
                <w:sz w:val="21"/>
                <w:szCs w:val="21"/>
                <w:highlight w:val="none"/>
                <w:lang w:bidi="ar"/>
              </w:rPr>
              <w:t>表2</w:t>
            </w:r>
            <w:r>
              <w:rPr>
                <w:rFonts w:hint="default" w:ascii="Times New Roman" w:hAnsi="Times New Roman" w:eastAsia="宋体" w:cs="Times New Roman"/>
                <w:b/>
                <w:bCs/>
                <w:color w:val="000000"/>
                <w:sz w:val="21"/>
                <w:szCs w:val="21"/>
                <w:highlight w:val="none"/>
                <w:lang w:val="en-US" w:eastAsia="zh-CN" w:bidi="ar"/>
              </w:rPr>
              <w:t>.2</w:t>
            </w:r>
            <w:r>
              <w:rPr>
                <w:rFonts w:hint="default" w:ascii="Times New Roman" w:hAnsi="Times New Roman" w:eastAsia="宋体" w:cs="Times New Roman"/>
                <w:b/>
                <w:bCs/>
                <w:color w:val="000000"/>
                <w:sz w:val="21"/>
                <w:szCs w:val="21"/>
                <w:highlight w:val="none"/>
                <w:lang w:bidi="ar"/>
              </w:rPr>
              <w:t>-2   工程主要技术指标</w:t>
            </w:r>
          </w:p>
          <w:tbl>
            <w:tblPr>
              <w:tblStyle w:val="22"/>
              <w:tblW w:w="8396" w:type="dxa"/>
              <w:jc w:val="center"/>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064"/>
              <w:gridCol w:w="2518"/>
              <w:gridCol w:w="1426"/>
              <w:gridCol w:w="2341"/>
            </w:tblGrid>
            <w:tr w14:paraId="010BECC0">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tblHeader/>
                <w:jc w:val="center"/>
              </w:trPr>
              <w:tc>
                <w:tcPr>
                  <w:tcW w:w="1047" w:type="dxa"/>
                  <w:tcBorders>
                    <w:top w:val="single" w:color="000000" w:sz="4" w:space="0"/>
                    <w:left w:val="single" w:color="auto" w:sz="0" w:space="0"/>
                    <w:bottom w:val="single" w:color="000000" w:sz="4" w:space="0"/>
                    <w:right w:val="single" w:color="000000" w:sz="4" w:space="0"/>
                  </w:tcBorders>
                  <w:noWrap w:val="0"/>
                  <w:vAlign w:val="center"/>
                </w:tcPr>
                <w:p w14:paraId="7CA3CEB4">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序号</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64F4158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99DFEB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单位</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2683048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采用技术指标</w:t>
                  </w:r>
                </w:p>
              </w:tc>
            </w:tr>
            <w:tr w14:paraId="576FF591">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952014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240F3042">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道路等级</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19481F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4D8674BA">
                  <w:pPr>
                    <w:jc w:val="center"/>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eastAsia="zh-CN"/>
                    </w:rPr>
                    <w:t>城市主干道</w:t>
                  </w:r>
                </w:p>
              </w:tc>
            </w:tr>
            <w:tr w14:paraId="6AE76507">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25BF9D0">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7E5ACB2B">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道路长度</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C84B83E">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km</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50AA165A">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0.175</w:t>
                  </w:r>
                </w:p>
              </w:tc>
            </w:tr>
            <w:tr w14:paraId="32A49845">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4FAFDBA">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37F4EC07">
                  <w:pPr>
                    <w:jc w:val="center"/>
                    <w:rPr>
                      <w:rFonts w:hint="default" w:ascii="Times New Roman" w:hAnsi="Times New Roman" w:cs="Times New Roman"/>
                      <w:color w:val="000000"/>
                      <w:szCs w:val="21"/>
                    </w:rPr>
                  </w:pPr>
                  <w:r>
                    <w:rPr>
                      <w:rFonts w:hint="default" w:ascii="Times New Roman" w:hAnsi="Times New Roman" w:cs="Times New Roman"/>
                      <w:color w:val="000000"/>
                      <w:szCs w:val="21"/>
                      <w:highlight w:val="none"/>
                    </w:rPr>
                    <w:t>计算行车速度</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7A5DE6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km/h</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48DB8DC9">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50</w:t>
                  </w:r>
                </w:p>
              </w:tc>
            </w:tr>
            <w:tr w14:paraId="4F1A356E">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24E5F4D">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35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7082C">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基本车道数</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DB43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道</w:t>
                  </w:r>
                </w:p>
              </w:tc>
              <w:tc>
                <w:tcPr>
                  <w:tcW w:w="2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B2F2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双向</w:t>
                  </w:r>
                  <w:r>
                    <w:rPr>
                      <w:rFonts w:hint="default" w:ascii="Times New Roman" w:hAnsi="Times New Roman" w:cs="Times New Roman"/>
                      <w:color w:val="000000"/>
                      <w:szCs w:val="21"/>
                      <w:lang w:val="en-US" w:eastAsia="zh-CN"/>
                    </w:rPr>
                    <w:t>6</w:t>
                  </w:r>
                  <w:r>
                    <w:rPr>
                      <w:rFonts w:hint="default" w:ascii="Times New Roman" w:hAnsi="Times New Roman" w:cs="Times New Roman"/>
                      <w:color w:val="000000"/>
                      <w:szCs w:val="21"/>
                    </w:rPr>
                    <w:t>车道</w:t>
                  </w:r>
                </w:p>
              </w:tc>
            </w:tr>
            <w:tr w14:paraId="03011198">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0C47BD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35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EAB80">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道路红线宽度</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7680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m</w:t>
                  </w:r>
                </w:p>
              </w:tc>
              <w:tc>
                <w:tcPr>
                  <w:tcW w:w="2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3155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40</w:t>
                  </w:r>
                </w:p>
              </w:tc>
            </w:tr>
            <w:tr w14:paraId="1720EAFF">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30A9848">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6</w:t>
                  </w:r>
                </w:p>
              </w:tc>
              <w:tc>
                <w:tcPr>
                  <w:tcW w:w="1064" w:type="dxa"/>
                  <w:vMerge w:val="restart"/>
                  <w:tcBorders>
                    <w:top w:val="single" w:color="000000" w:sz="4" w:space="0"/>
                    <w:left w:val="single" w:color="000000" w:sz="4" w:space="0"/>
                    <w:right w:val="single" w:color="auto" w:sz="4" w:space="0"/>
                  </w:tcBorders>
                  <w:noWrap w:val="0"/>
                  <w:vAlign w:val="center"/>
                </w:tcPr>
                <w:p w14:paraId="5E84EDA2">
                  <w:pPr>
                    <w:jc w:val="center"/>
                    <w:rPr>
                      <w:rFonts w:hint="default"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lang w:val="en-US" w:eastAsia="zh-CN"/>
                    </w:rPr>
                    <w:t>纵断面</w:t>
                  </w:r>
                </w:p>
              </w:tc>
              <w:tc>
                <w:tcPr>
                  <w:tcW w:w="2518" w:type="dxa"/>
                  <w:tcBorders>
                    <w:top w:val="single" w:color="000000" w:sz="4" w:space="0"/>
                    <w:left w:val="single" w:color="auto" w:sz="4" w:space="0"/>
                    <w:bottom w:val="single" w:color="000000" w:sz="4" w:space="0"/>
                    <w:right w:val="single" w:color="000000" w:sz="4" w:space="0"/>
                  </w:tcBorders>
                  <w:noWrap w:val="0"/>
                  <w:vAlign w:val="center"/>
                </w:tcPr>
                <w:p w14:paraId="71F7FE17">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最大纵坡</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4066C48">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m</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116971C1">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-1.293</w:t>
                  </w:r>
                </w:p>
              </w:tc>
            </w:tr>
            <w:tr w14:paraId="6B854705">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30D2726">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7</w:t>
                  </w:r>
                </w:p>
              </w:tc>
              <w:tc>
                <w:tcPr>
                  <w:tcW w:w="1064" w:type="dxa"/>
                  <w:vMerge w:val="continue"/>
                  <w:tcBorders>
                    <w:left w:val="single" w:color="000000" w:sz="4" w:space="0"/>
                    <w:right w:val="single" w:color="auto" w:sz="4" w:space="0"/>
                  </w:tcBorders>
                  <w:noWrap w:val="0"/>
                  <w:vAlign w:val="center"/>
                </w:tcPr>
                <w:p w14:paraId="663A4818">
                  <w:pPr>
                    <w:jc w:val="center"/>
                    <w:rPr>
                      <w:rFonts w:hint="default" w:ascii="Times New Roman" w:hAnsi="Times New Roman" w:cs="Times New Roman"/>
                      <w:color w:val="000000"/>
                      <w:szCs w:val="21"/>
                      <w:highlight w:val="none"/>
                    </w:rPr>
                  </w:pPr>
                </w:p>
              </w:tc>
              <w:tc>
                <w:tcPr>
                  <w:tcW w:w="2518" w:type="dxa"/>
                  <w:tcBorders>
                    <w:top w:val="single" w:color="000000" w:sz="4" w:space="0"/>
                    <w:left w:val="single" w:color="auto" w:sz="4" w:space="0"/>
                    <w:bottom w:val="single" w:color="000000" w:sz="4" w:space="0"/>
                    <w:right w:val="single" w:color="000000" w:sz="4" w:space="0"/>
                  </w:tcBorders>
                  <w:noWrap w:val="0"/>
                  <w:vAlign w:val="center"/>
                </w:tcPr>
                <w:p w14:paraId="2FD5AC68">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最小坡长</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ED5DD53">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m</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4DCDEC9F">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133.838（交叉口</w:t>
                  </w:r>
                  <w:r>
                    <w:rPr>
                      <w:rFonts w:hint="default" w:ascii="Times New Roman" w:hAnsi="Times New Roman" w:cs="Times New Roman"/>
                      <w:color w:val="000000"/>
                      <w:szCs w:val="21"/>
                      <w:lang w:val="en-US" w:eastAsia="zh-CN"/>
                    </w:rPr>
                    <w:t>）</w:t>
                  </w:r>
                </w:p>
              </w:tc>
            </w:tr>
            <w:tr w14:paraId="379233F3">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8AD7852">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8</w:t>
                  </w:r>
                </w:p>
              </w:tc>
              <w:tc>
                <w:tcPr>
                  <w:tcW w:w="1064" w:type="dxa"/>
                  <w:vMerge w:val="continue"/>
                  <w:tcBorders>
                    <w:left w:val="single" w:color="000000" w:sz="4" w:space="0"/>
                    <w:right w:val="single" w:color="auto" w:sz="4" w:space="0"/>
                  </w:tcBorders>
                  <w:noWrap w:val="0"/>
                  <w:vAlign w:val="center"/>
                </w:tcPr>
                <w:p w14:paraId="6472EC04">
                  <w:pPr>
                    <w:jc w:val="center"/>
                    <w:rPr>
                      <w:rFonts w:hint="default" w:ascii="Times New Roman" w:hAnsi="Times New Roman" w:cs="Times New Roman"/>
                      <w:color w:val="000000"/>
                      <w:szCs w:val="21"/>
                      <w:highlight w:val="none"/>
                    </w:rPr>
                  </w:pPr>
                </w:p>
              </w:tc>
              <w:tc>
                <w:tcPr>
                  <w:tcW w:w="2518" w:type="dxa"/>
                  <w:tcBorders>
                    <w:top w:val="single" w:color="000000" w:sz="4" w:space="0"/>
                    <w:left w:val="single" w:color="auto" w:sz="4" w:space="0"/>
                    <w:bottom w:val="single" w:color="000000" w:sz="4" w:space="0"/>
                    <w:right w:val="single" w:color="000000" w:sz="4" w:space="0"/>
                  </w:tcBorders>
                  <w:noWrap w:val="0"/>
                  <w:vAlign w:val="center"/>
                </w:tcPr>
                <w:p w14:paraId="62D41A1B">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凸型竖曲线最小半径</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5387B83">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m</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4669C216">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10100</w:t>
                  </w:r>
                </w:p>
              </w:tc>
            </w:tr>
            <w:tr w14:paraId="67C7362A">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5B3E347">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9</w:t>
                  </w:r>
                </w:p>
              </w:tc>
              <w:tc>
                <w:tcPr>
                  <w:tcW w:w="1064" w:type="dxa"/>
                  <w:vMerge w:val="continue"/>
                  <w:tcBorders>
                    <w:left w:val="single" w:color="000000" w:sz="4" w:space="0"/>
                    <w:bottom w:val="single" w:color="000000" w:sz="4" w:space="0"/>
                    <w:right w:val="single" w:color="auto" w:sz="4" w:space="0"/>
                  </w:tcBorders>
                  <w:noWrap w:val="0"/>
                  <w:vAlign w:val="center"/>
                </w:tcPr>
                <w:p w14:paraId="2B055861">
                  <w:pPr>
                    <w:jc w:val="center"/>
                    <w:rPr>
                      <w:rFonts w:hint="default" w:ascii="Times New Roman" w:hAnsi="Times New Roman" w:cs="Times New Roman"/>
                      <w:color w:val="000000"/>
                      <w:szCs w:val="21"/>
                      <w:highlight w:val="none"/>
                    </w:rPr>
                  </w:pPr>
                </w:p>
              </w:tc>
              <w:tc>
                <w:tcPr>
                  <w:tcW w:w="2518" w:type="dxa"/>
                  <w:tcBorders>
                    <w:top w:val="single" w:color="000000" w:sz="4" w:space="0"/>
                    <w:left w:val="single" w:color="auto" w:sz="4" w:space="0"/>
                    <w:bottom w:val="single" w:color="000000" w:sz="4" w:space="0"/>
                    <w:right w:val="single" w:color="000000" w:sz="4" w:space="0"/>
                  </w:tcBorders>
                  <w:noWrap w:val="0"/>
                  <w:vAlign w:val="center"/>
                </w:tcPr>
                <w:p w14:paraId="77D41FB4">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凹型竖曲线最小半径</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25D2100">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m</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7CCE51A6">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25000</w:t>
                  </w:r>
                </w:p>
              </w:tc>
            </w:tr>
            <w:tr w14:paraId="2AB5CF9B">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C95C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10</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6D6DCDE6">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停车视距</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08CC82E">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m</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4B06C0BE">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60</w:t>
                  </w:r>
                </w:p>
              </w:tc>
            </w:tr>
            <w:tr w14:paraId="785F7797">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76456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11</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3B5AC4EC">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highlight w:val="none"/>
                    </w:rPr>
                    <w:t>轴载标准</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C4D61F5">
                  <w:pPr>
                    <w:jc w:val="center"/>
                    <w:rPr>
                      <w:rFonts w:hint="default" w:ascii="Times New Roman" w:hAnsi="Times New Roman" w:cs="Times New Roman"/>
                      <w:color w:val="000000"/>
                      <w:szCs w:val="21"/>
                    </w:rPr>
                  </w:pP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6BA7E18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BZZ-100</w:t>
                  </w:r>
                </w:p>
              </w:tc>
            </w:tr>
            <w:tr w14:paraId="2D0F2211">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8B11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12</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123EEB77">
                  <w:pPr>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路面结构</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2E94181">
                  <w:pPr>
                    <w:jc w:val="center"/>
                    <w:rPr>
                      <w:rFonts w:hint="default" w:ascii="Times New Roman" w:hAnsi="Times New Roman" w:cs="Times New Roman"/>
                      <w:color w:val="000000"/>
                      <w:szCs w:val="21"/>
                    </w:rPr>
                  </w:pP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2478922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沥青路面</w:t>
                  </w:r>
                </w:p>
              </w:tc>
            </w:tr>
            <w:tr w14:paraId="6D6D81D7">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E7C8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13</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79BDF11C">
                  <w:pPr>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路面结构使用年限</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92E4D62">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年</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1E4C723F">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15</w:t>
                  </w:r>
                </w:p>
              </w:tc>
            </w:tr>
            <w:tr w14:paraId="69B08D2F">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F95C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14</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3B18D853">
                  <w:pPr>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路基设计洪水频率</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A9BC0BF">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385F4E7E">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1/100</w:t>
                  </w:r>
                </w:p>
              </w:tc>
            </w:tr>
            <w:tr w14:paraId="63AF3416">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1"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FAD1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15</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197B5C7F">
                  <w:pPr>
                    <w:jc w:val="center"/>
                    <w:rPr>
                      <w:rFonts w:hint="eastAsia" w:ascii="Times New Roman" w:hAnsi="Times New Roman" w:eastAsia="宋体" w:cs="Times New Roman"/>
                      <w:color w:val="000000"/>
                      <w:szCs w:val="21"/>
                      <w:highlight w:val="none"/>
                      <w:lang w:eastAsia="zh-CN"/>
                    </w:rPr>
                  </w:pPr>
                  <w:r>
                    <w:rPr>
                      <w:rFonts w:hint="default" w:ascii="Times New Roman" w:hAnsi="Times New Roman" w:eastAsia="宋体" w:cs="Times New Roman"/>
                      <w:color w:val="000000"/>
                      <w:szCs w:val="21"/>
                      <w:highlight w:val="none"/>
                    </w:rPr>
                    <w:t>道路平均照度</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0A7CE96">
                  <w:pPr>
                    <w:jc w:val="center"/>
                    <w:rPr>
                      <w:rFonts w:hint="default" w:ascii="Times New Roman" w:hAnsi="Times New Roman" w:cs="Times New Roman"/>
                      <w:color w:val="000000"/>
                      <w:szCs w:val="21"/>
                    </w:rPr>
                  </w:pP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1FFFA9B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主干道≥20Lx、交叉口≥50Lx；均匀度</w:t>
                  </w:r>
                </w:p>
                <w:p w14:paraId="502B605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大于0.4；维护系数为0.7</w:t>
                  </w:r>
                </w:p>
              </w:tc>
            </w:tr>
            <w:tr w14:paraId="4BFC6EE9">
              <w:tblPrEx>
                <w:tblBorders>
                  <w:top w:val="single" w:color="00B0F0" w:sz="4" w:space="0"/>
                  <w:left w:val="none" w:color="auto" w:sz="0" w:space="0"/>
                  <w:bottom w:val="single" w:color="00B0F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6D2C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16</w:t>
                  </w:r>
                </w:p>
              </w:tc>
              <w:tc>
                <w:tcPr>
                  <w:tcW w:w="3582" w:type="dxa"/>
                  <w:gridSpan w:val="2"/>
                  <w:tcBorders>
                    <w:top w:val="single" w:color="000000" w:sz="4" w:space="0"/>
                    <w:left w:val="single" w:color="000000" w:sz="4" w:space="0"/>
                    <w:bottom w:val="single" w:color="000000" w:sz="4" w:space="0"/>
                    <w:right w:val="single" w:color="000000" w:sz="4" w:space="0"/>
                  </w:tcBorders>
                  <w:noWrap w:val="0"/>
                  <w:vAlign w:val="center"/>
                </w:tcPr>
                <w:p w14:paraId="4C2594FF">
                  <w:pPr>
                    <w:jc w:val="center"/>
                    <w:rPr>
                      <w:rFonts w:hint="eastAsia" w:ascii="Times New Roman" w:hAnsi="Times New Roman" w:eastAsia="宋体" w:cs="Times New Roman"/>
                      <w:color w:val="000000"/>
                      <w:szCs w:val="21"/>
                      <w:lang w:eastAsia="zh-CN"/>
                    </w:rPr>
                  </w:pPr>
                  <w:r>
                    <w:rPr>
                      <w:rFonts w:hint="default" w:ascii="Times New Roman" w:hAnsi="Times New Roman" w:cs="Times New Roman"/>
                      <w:color w:val="000000"/>
                      <w:szCs w:val="21"/>
                    </w:rPr>
                    <w:t>地震动峰值加速度</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336B7D6">
                  <w:pPr>
                    <w:jc w:val="center"/>
                    <w:rPr>
                      <w:rFonts w:hint="default" w:ascii="Times New Roman" w:hAnsi="Times New Roman" w:cs="Times New Roman"/>
                      <w:color w:val="000000"/>
                      <w:szCs w:val="21"/>
                    </w:rPr>
                  </w:pPr>
                </w:p>
              </w:tc>
              <w:tc>
                <w:tcPr>
                  <w:tcW w:w="2341" w:type="dxa"/>
                  <w:tcBorders>
                    <w:top w:val="single" w:color="000000" w:sz="4" w:space="0"/>
                    <w:left w:val="single" w:color="000000" w:sz="4" w:space="0"/>
                    <w:bottom w:val="single" w:color="000000" w:sz="4" w:space="0"/>
                    <w:right w:val="single" w:color="000000" w:sz="4" w:space="0"/>
                  </w:tcBorders>
                  <w:noWrap w:val="0"/>
                  <w:vAlign w:val="center"/>
                </w:tcPr>
                <w:p w14:paraId="7D4DFE6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0.1g</w:t>
                  </w:r>
                </w:p>
              </w:tc>
            </w:tr>
          </w:tbl>
          <w:p w14:paraId="697CB16F">
            <w:pPr>
              <w:widowControl/>
              <w:spacing w:line="360" w:lineRule="auto"/>
              <w:ind w:firstLine="482" w:firstLineChars="200"/>
              <w:jc w:val="left"/>
              <w:rPr>
                <w:rFonts w:hint="default" w:ascii="Times New Roman" w:hAnsi="Times New Roman" w:cs="Times New Roman"/>
                <w:b/>
                <w:bCs/>
                <w:color w:val="000000"/>
                <w:kern w:val="0"/>
                <w:sz w:val="24"/>
                <w:highlight w:val="none"/>
                <w:lang w:bidi="ar"/>
              </w:rPr>
            </w:pPr>
            <w:r>
              <w:rPr>
                <w:rFonts w:hint="default" w:ascii="Times New Roman" w:hAnsi="Times New Roman" w:cs="Times New Roman"/>
                <w:b/>
                <w:bCs/>
                <w:color w:val="000000"/>
                <w:kern w:val="0"/>
                <w:sz w:val="24"/>
                <w:highlight w:val="none"/>
                <w:lang w:bidi="ar"/>
              </w:rPr>
              <w:t>2.2.4道路工程</w:t>
            </w:r>
          </w:p>
          <w:p w14:paraId="2D323091">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w:t>
            </w:r>
            <w:bookmarkStart w:id="9" w:name="_Toc499709430"/>
            <w:bookmarkStart w:id="10" w:name="_Toc532458647"/>
            <w:r>
              <w:rPr>
                <w:rFonts w:hint="default" w:ascii="Times New Roman" w:hAnsi="Times New Roman" w:cs="Times New Roman"/>
                <w:color w:val="000000"/>
                <w:sz w:val="24"/>
                <w:highlight w:val="none"/>
              </w:rPr>
              <w:t>平面设计</w:t>
            </w:r>
            <w:bookmarkEnd w:id="9"/>
            <w:bookmarkEnd w:id="10"/>
          </w:p>
          <w:p w14:paraId="429AB1FE">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①起点桩号的修正</w:t>
            </w:r>
          </w:p>
          <w:p w14:paraId="3F4E9AD6">
            <w:pPr>
              <w:spacing w:line="360" w:lineRule="auto"/>
              <w:ind w:firstLine="480" w:firstLineChars="200"/>
              <w:rPr>
                <w:rFonts w:hint="eastAsia" w:ascii="Times New Roman" w:hAnsi="Times New Roman" w:eastAsia="宋体" w:cs="Times New Roman"/>
                <w:color w:val="000000"/>
                <w:sz w:val="24"/>
                <w:lang w:val="en-US" w:eastAsia="zh-CN"/>
              </w:rPr>
            </w:pPr>
            <w:r>
              <w:rPr>
                <w:rFonts w:hint="default" w:ascii="Times New Roman" w:hAnsi="Times New Roman" w:cs="Times New Roman"/>
                <w:color w:val="000000"/>
                <w:sz w:val="24"/>
              </w:rPr>
              <w:t>本项目为樊陈路一期的东延段，设计中线桩号采用与樊陈路一期保持连续的方式。樊陈路一期东延段设计中线为道路断面中线，即两侧规划边线距中线均为20m。樊陈路一期设计时，为满足医院对交通的需求，采用了不对称的横断面设计。中线为车行道中线，中线较道路断面中线，北偏1.75m，设计终点桩号为K1+298.843，设计分界线与中线呈63.3度的斜交，两中线中线位置不一致导致中线存在0.881m的重叠，为保持桩号一致，对樊陈路一期东延的桩号进行修正，修正后的设计起点桩号为K1+297.962，修正后的设计起点桩号计算如下：K1+298.843-0.881=K1+297.962</w:t>
            </w:r>
            <w:r>
              <w:rPr>
                <w:rFonts w:hint="eastAsia" w:ascii="Times New Roman" w:hAnsi="Times New Roman" w:cs="Times New Roman"/>
                <w:color w:val="000000"/>
                <w:sz w:val="24"/>
                <w:lang w:eastAsia="zh-CN"/>
              </w:rPr>
              <w:t>。</w:t>
            </w:r>
          </w:p>
          <w:p w14:paraId="41E4883D">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w:t>
            </w:r>
            <w:r>
              <w:rPr>
                <w:rFonts w:hint="default" w:ascii="Times New Roman" w:hAnsi="Times New Roman" w:cs="Times New Roman"/>
                <w:color w:val="000000"/>
                <w:sz w:val="24"/>
                <w:lang w:val="en-US" w:eastAsia="zh-CN"/>
              </w:rPr>
              <w:t>终点</w:t>
            </w:r>
            <w:r>
              <w:rPr>
                <w:rFonts w:hint="default" w:ascii="Times New Roman" w:hAnsi="Times New Roman" w:cs="Times New Roman"/>
                <w:color w:val="000000"/>
                <w:sz w:val="24"/>
              </w:rPr>
              <w:t>桩号的修正</w:t>
            </w:r>
          </w:p>
          <w:p w14:paraId="1FF188A6">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东延段设计起点接樊陈路一期终点，起点桩号K1+297.962。</w:t>
            </w:r>
          </w:p>
          <w:p w14:paraId="30471BFC">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在K1+331.18处与东坡路相交。</w:t>
            </w:r>
          </w:p>
          <w:p w14:paraId="61348A3D">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终点至交叉口的边界，终点桩号K1+472.962。</w:t>
            </w:r>
          </w:p>
          <w:p w14:paraId="2FD35A99">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道路全长175m。</w:t>
            </w:r>
          </w:p>
          <w:p w14:paraId="67914E5A">
            <w:pPr>
              <w:spacing w:line="360" w:lineRule="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drawing>
                <wp:inline distT="0" distB="0" distL="114300" distR="114300">
                  <wp:extent cx="5332730" cy="2562860"/>
                  <wp:effectExtent l="0" t="0" r="1270" b="8890"/>
                  <wp:docPr id="16" name="图片 16" descr="17471214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7121489561"/>
                          <pic:cNvPicPr>
                            <a:picLocks noChangeAspect="1"/>
                          </pic:cNvPicPr>
                        </pic:nvPicPr>
                        <pic:blipFill>
                          <a:blip r:embed="rId18"/>
                          <a:stretch>
                            <a:fillRect/>
                          </a:stretch>
                        </pic:blipFill>
                        <pic:spPr>
                          <a:xfrm>
                            <a:off x="0" y="0"/>
                            <a:ext cx="5332730" cy="2562860"/>
                          </a:xfrm>
                          <a:prstGeom prst="rect">
                            <a:avLst/>
                          </a:prstGeom>
                        </pic:spPr>
                      </pic:pic>
                    </a:graphicData>
                  </a:graphic>
                </wp:inline>
              </w:drawing>
            </w:r>
          </w:p>
          <w:p w14:paraId="1A099737">
            <w:pPr>
              <w:spacing w:line="360" w:lineRule="auto"/>
              <w:ind w:firstLine="422" w:firstLineChars="200"/>
              <w:jc w:val="center"/>
              <w:rPr>
                <w:rFonts w:hint="default" w:ascii="Times New Roman" w:hAnsi="Times New Roman" w:cs="Times New Roman"/>
                <w:color w:val="000000"/>
                <w:sz w:val="24"/>
              </w:rPr>
            </w:pPr>
            <w:r>
              <w:rPr>
                <w:rFonts w:hint="default" w:ascii="Times New Roman" w:hAnsi="Times New Roman" w:cs="Times New Roman"/>
                <w:b/>
                <w:color w:val="000000"/>
                <w:kern w:val="2"/>
                <w:sz w:val="21"/>
                <w:szCs w:val="21"/>
              </w:rPr>
              <w:t>图2</w:t>
            </w:r>
            <w:r>
              <w:rPr>
                <w:rFonts w:hint="default" w:ascii="Times New Roman" w:hAnsi="Times New Roman" w:cs="Times New Roman"/>
                <w:b/>
                <w:color w:val="000000"/>
                <w:kern w:val="2"/>
                <w:sz w:val="21"/>
                <w:szCs w:val="21"/>
                <w:lang w:val="en-US" w:eastAsia="zh-CN"/>
              </w:rPr>
              <w:t>.2</w:t>
            </w:r>
            <w:r>
              <w:rPr>
                <w:rFonts w:hint="default" w:ascii="Times New Roman" w:hAnsi="Times New Roman" w:cs="Times New Roman"/>
                <w:b/>
                <w:color w:val="000000"/>
                <w:kern w:val="2"/>
                <w:sz w:val="21"/>
                <w:szCs w:val="21"/>
              </w:rPr>
              <w:t>-1  樊陈路一期</w:t>
            </w:r>
            <w:r>
              <w:rPr>
                <w:rFonts w:hint="default" w:ascii="Times New Roman" w:hAnsi="Times New Roman" w:cs="Times New Roman"/>
                <w:b/>
                <w:color w:val="000000"/>
                <w:kern w:val="2"/>
                <w:sz w:val="21"/>
                <w:szCs w:val="21"/>
                <w:lang w:val="en-US" w:eastAsia="zh-CN"/>
              </w:rPr>
              <w:t>东延段</w:t>
            </w:r>
            <w:r>
              <w:rPr>
                <w:rFonts w:hint="default" w:ascii="Times New Roman" w:hAnsi="Times New Roman" w:cs="Times New Roman"/>
                <w:b/>
                <w:color w:val="000000"/>
                <w:kern w:val="2"/>
                <w:sz w:val="21"/>
                <w:szCs w:val="21"/>
              </w:rPr>
              <w:t>平面布置图</w:t>
            </w:r>
          </w:p>
          <w:p w14:paraId="277AEE4A">
            <w:pPr>
              <w:widowControl/>
              <w:spacing w:line="360" w:lineRule="auto"/>
              <w:ind w:firstLine="480" w:firstLineChars="200"/>
              <w:jc w:val="left"/>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（2）</w:t>
            </w:r>
            <w:bookmarkStart w:id="11" w:name="_Toc532458648"/>
            <w:bookmarkStart w:id="12" w:name="_Toc529127865"/>
            <w:r>
              <w:rPr>
                <w:rFonts w:hint="default" w:ascii="Times New Roman" w:hAnsi="Times New Roman" w:cs="Times New Roman"/>
                <w:color w:val="000000"/>
                <w:kern w:val="0"/>
                <w:sz w:val="24"/>
                <w:highlight w:val="none"/>
                <w:lang w:bidi="ar"/>
              </w:rPr>
              <w:t>纵断面设计</w:t>
            </w:r>
            <w:bookmarkEnd w:id="11"/>
            <w:bookmarkEnd w:id="12"/>
          </w:p>
          <w:p w14:paraId="6E3D1823">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东延段设计起点樊陈路一期终点，设计标高51.3设变坡点1处，位于桩号K1+431.800与东坡路交叉处，设计标高49.6。</w:t>
            </w:r>
          </w:p>
          <w:p w14:paraId="7E4F9724">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终点为交叉口的末端，纵断面设计的纵坡按道路竖向规划，接至樊陈路与医养路交叉口，规划标高47.2。计算终点桩号K1+472.962的设计标高为49.236。设凸曲线一处，半径10100m，设凹曲线一处，25000m。</w:t>
            </w:r>
          </w:p>
          <w:p w14:paraId="3183EBD5">
            <w:pPr>
              <w:widowControl/>
              <w:spacing w:line="360" w:lineRule="auto"/>
              <w:ind w:firstLine="480" w:firstLineChars="200"/>
              <w:jc w:val="left"/>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（3）道路标准横断面设计</w:t>
            </w:r>
          </w:p>
          <w:p w14:paraId="260F05F6">
            <w:pPr>
              <w:widowControl/>
              <w:spacing w:line="360" w:lineRule="auto"/>
              <w:ind w:firstLine="480" w:firstLineChars="200"/>
              <w:jc w:val="left"/>
              <w:rPr>
                <w:rFonts w:hint="default" w:ascii="Times New Roman" w:hAnsi="Times New Roman" w:cs="Times New Roman"/>
                <w:color w:val="000000"/>
                <w:kern w:val="0"/>
                <w:sz w:val="24"/>
                <w:highlight w:val="none"/>
                <w:lang w:val="en-US" w:eastAsia="zh-CN" w:bidi="ar"/>
              </w:rPr>
            </w:pPr>
            <w:r>
              <w:rPr>
                <w:rFonts w:hint="default" w:ascii="Times New Roman" w:hAnsi="Times New Roman" w:cs="Times New Roman"/>
                <w:color w:val="000000"/>
                <w:kern w:val="0"/>
                <w:sz w:val="24"/>
                <w:highlight w:val="none"/>
                <w:lang w:val="en-US" w:eastAsia="zh-CN" w:bidi="ar"/>
              </w:rPr>
              <w:t>樊陈路一期东延段的标准横断面，采用与樊陈路一期一致的方案，保证道路的连续性，横断面布置如下：</w:t>
            </w:r>
          </w:p>
          <w:p w14:paraId="6DF95CFC">
            <w:pPr>
              <w:widowControl/>
              <w:spacing w:line="360" w:lineRule="auto"/>
              <w:ind w:firstLine="480" w:firstLineChars="200"/>
              <w:jc w:val="left"/>
              <w:rPr>
                <w:rFonts w:hint="default" w:ascii="Times New Roman" w:hAnsi="Times New Roman" w:cs="Times New Roman"/>
                <w:color w:val="000000"/>
                <w:kern w:val="0"/>
                <w:sz w:val="24"/>
                <w:highlight w:val="none"/>
                <w:lang w:val="en-US" w:eastAsia="zh-CN" w:bidi="ar"/>
              </w:rPr>
            </w:pPr>
            <w:r>
              <w:rPr>
                <w:rFonts w:hint="default" w:ascii="Times New Roman" w:hAnsi="Times New Roman" w:cs="Times New Roman"/>
                <w:color w:val="000000"/>
                <w:kern w:val="0"/>
                <w:sz w:val="24"/>
                <w:highlight w:val="none"/>
                <w:lang w:val="en-US" w:eastAsia="zh-CN" w:bidi="ar"/>
              </w:rPr>
              <w:t>40m=3m(人行道)+2.5m(辅道非机动车道)+3.5m(辅道车行道)+1.5m(绿化设施带)+0.5m(路缘带)+3×3.50m(车行道)+0.5m(双黄线)+3×3.50m(车行道)+0.5m(路缘带)+1.5m(绿化设施带)+3.0m(非机动车道)+2.5m(人行道)。</w:t>
            </w:r>
          </w:p>
          <w:p w14:paraId="62867870">
            <w:pPr>
              <w:widowControl/>
              <w:spacing w:line="360" w:lineRule="auto"/>
              <w:jc w:val="left"/>
              <w:rPr>
                <w:rFonts w:hint="default" w:ascii="Times New Roman" w:hAnsi="Times New Roman" w:cs="Times New Roman"/>
                <w:color w:val="000000"/>
                <w:kern w:val="0"/>
                <w:sz w:val="24"/>
                <w:highlight w:val="none"/>
                <w:lang w:val="en-US" w:eastAsia="zh-CN" w:bidi="ar"/>
              </w:rPr>
            </w:pPr>
            <w:r>
              <w:rPr>
                <w:rFonts w:hint="default" w:ascii="Times New Roman" w:hAnsi="Times New Roman" w:cs="Times New Roman"/>
                <w:color w:val="000000"/>
                <w:kern w:val="0"/>
                <w:sz w:val="24"/>
                <w:highlight w:val="none"/>
                <w:lang w:val="en-US" w:eastAsia="zh-CN" w:bidi="ar"/>
              </w:rPr>
              <w:drawing>
                <wp:inline distT="0" distB="0" distL="114300" distR="114300">
                  <wp:extent cx="5330190" cy="1972945"/>
                  <wp:effectExtent l="0" t="0" r="3810" b="8255"/>
                  <wp:docPr id="17" name="图片 17" descr="174712166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7121669518"/>
                          <pic:cNvPicPr>
                            <a:picLocks noChangeAspect="1"/>
                          </pic:cNvPicPr>
                        </pic:nvPicPr>
                        <pic:blipFill>
                          <a:blip r:embed="rId19"/>
                          <a:stretch>
                            <a:fillRect/>
                          </a:stretch>
                        </pic:blipFill>
                        <pic:spPr>
                          <a:xfrm>
                            <a:off x="0" y="0"/>
                            <a:ext cx="5330190" cy="1972945"/>
                          </a:xfrm>
                          <a:prstGeom prst="rect">
                            <a:avLst/>
                          </a:prstGeom>
                        </pic:spPr>
                      </pic:pic>
                    </a:graphicData>
                  </a:graphic>
                </wp:inline>
              </w:drawing>
            </w:r>
          </w:p>
          <w:p w14:paraId="730D8829">
            <w:pPr>
              <w:widowControl/>
              <w:spacing w:line="360" w:lineRule="auto"/>
              <w:ind w:firstLine="482" w:firstLineChars="200"/>
              <w:jc w:val="center"/>
              <w:rPr>
                <w:rFonts w:hint="default" w:ascii="Times New Roman" w:hAnsi="Times New Roman" w:cs="Times New Roman"/>
                <w:b/>
                <w:bCs/>
                <w:color w:val="000000"/>
                <w:kern w:val="0"/>
                <w:sz w:val="24"/>
                <w:highlight w:val="none"/>
                <w:lang w:val="en-US" w:eastAsia="zh-CN" w:bidi="ar"/>
              </w:rPr>
            </w:pPr>
            <w:r>
              <w:rPr>
                <w:rFonts w:hint="default" w:ascii="Times New Roman" w:hAnsi="Times New Roman" w:cs="Times New Roman"/>
                <w:b/>
                <w:bCs/>
                <w:color w:val="000000"/>
                <w:kern w:val="0"/>
                <w:sz w:val="24"/>
                <w:highlight w:val="none"/>
                <w:lang w:val="en-US" w:eastAsia="zh-CN" w:bidi="ar"/>
              </w:rPr>
              <w:t>图2.2-2  樊陈路一期东延段标准横断面图</w:t>
            </w:r>
          </w:p>
          <w:p w14:paraId="783514AF">
            <w:pPr>
              <w:widowControl/>
              <w:spacing w:line="360" w:lineRule="auto"/>
              <w:ind w:firstLine="480" w:firstLineChars="200"/>
              <w:jc w:val="left"/>
              <w:rPr>
                <w:rFonts w:hint="default" w:ascii="Times New Roman" w:hAnsi="Times New Roman" w:cs="Times New Roman"/>
                <w:color w:val="000000"/>
                <w:kern w:val="0"/>
                <w:sz w:val="24"/>
                <w:highlight w:val="none"/>
                <w:lang w:val="en-US" w:eastAsia="zh-CN" w:bidi="ar"/>
              </w:rPr>
            </w:pPr>
            <w:r>
              <w:rPr>
                <w:rFonts w:hint="default" w:ascii="Times New Roman" w:hAnsi="Times New Roman" w:cs="Times New Roman"/>
                <w:color w:val="000000"/>
                <w:kern w:val="0"/>
                <w:sz w:val="24"/>
                <w:highlight w:val="none"/>
                <w:lang w:val="en-US" w:eastAsia="zh-CN" w:bidi="ar"/>
              </w:rPr>
              <w:t>本项目长175m，终点为樊陈路一期与东坡路的交叉口，为提高交叉口的通行效率，交叉口范围内对车道进行渠化，交叉口渠化范围内，进口道的车道宽调整为3.0~3.25m。交叉口渠化后的横断面布置形式如下：</w:t>
            </w:r>
          </w:p>
          <w:p w14:paraId="27F0EE77">
            <w:pPr>
              <w:widowControl/>
              <w:spacing w:line="360" w:lineRule="auto"/>
              <w:jc w:val="left"/>
              <w:rPr>
                <w:rFonts w:hint="default" w:ascii="Times New Roman" w:hAnsi="Times New Roman" w:cs="Times New Roman"/>
                <w:color w:val="000000"/>
                <w:kern w:val="0"/>
                <w:sz w:val="24"/>
                <w:highlight w:val="none"/>
                <w:lang w:val="en-US" w:eastAsia="zh-CN" w:bidi="ar"/>
              </w:rPr>
            </w:pPr>
            <w:r>
              <w:rPr>
                <w:rFonts w:hint="default" w:ascii="Times New Roman" w:hAnsi="Times New Roman" w:cs="Times New Roman"/>
                <w:color w:val="000000"/>
                <w:kern w:val="0"/>
                <w:sz w:val="24"/>
                <w:highlight w:val="none"/>
                <w:lang w:val="en-US" w:eastAsia="zh-CN" w:bidi="ar"/>
              </w:rPr>
              <w:drawing>
                <wp:inline distT="0" distB="0" distL="114300" distR="114300">
                  <wp:extent cx="5335905" cy="1906905"/>
                  <wp:effectExtent l="0" t="0" r="17145" b="17145"/>
                  <wp:docPr id="18" name="图片 18" descr="1747121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7121718831"/>
                          <pic:cNvPicPr>
                            <a:picLocks noChangeAspect="1"/>
                          </pic:cNvPicPr>
                        </pic:nvPicPr>
                        <pic:blipFill>
                          <a:blip r:embed="rId20"/>
                          <a:stretch>
                            <a:fillRect/>
                          </a:stretch>
                        </pic:blipFill>
                        <pic:spPr>
                          <a:xfrm>
                            <a:off x="0" y="0"/>
                            <a:ext cx="5335905" cy="1906905"/>
                          </a:xfrm>
                          <a:prstGeom prst="rect">
                            <a:avLst/>
                          </a:prstGeom>
                        </pic:spPr>
                      </pic:pic>
                    </a:graphicData>
                  </a:graphic>
                </wp:inline>
              </w:drawing>
            </w:r>
          </w:p>
          <w:p w14:paraId="698C484D">
            <w:pPr>
              <w:widowControl/>
              <w:spacing w:line="360" w:lineRule="auto"/>
              <w:ind w:firstLine="482" w:firstLineChars="200"/>
              <w:jc w:val="center"/>
              <w:rPr>
                <w:rFonts w:hint="default" w:ascii="Times New Roman" w:hAnsi="Times New Roman" w:cs="Times New Roman"/>
                <w:b/>
                <w:bCs/>
                <w:color w:val="000000"/>
                <w:kern w:val="0"/>
                <w:sz w:val="24"/>
                <w:highlight w:val="none"/>
                <w:lang w:val="en-US" w:eastAsia="zh-CN" w:bidi="ar"/>
              </w:rPr>
            </w:pPr>
            <w:r>
              <w:rPr>
                <w:rFonts w:hint="default" w:ascii="Times New Roman" w:hAnsi="Times New Roman" w:cs="Times New Roman"/>
                <w:b/>
                <w:bCs/>
                <w:color w:val="000000"/>
                <w:kern w:val="0"/>
                <w:sz w:val="24"/>
                <w:highlight w:val="none"/>
                <w:lang w:val="en-US" w:eastAsia="zh-CN" w:bidi="ar"/>
              </w:rPr>
              <w:t>图2.2-3  樊陈路一期东延段交叉口渠化横断面图</w:t>
            </w:r>
          </w:p>
          <w:p w14:paraId="4D240F67">
            <w:pPr>
              <w:widowControl/>
              <w:spacing w:line="360" w:lineRule="auto"/>
              <w:ind w:firstLine="480" w:firstLineChars="200"/>
              <w:jc w:val="left"/>
              <w:rPr>
                <w:rFonts w:hint="default" w:ascii="Times New Roman" w:hAnsi="Times New Roman" w:cs="Times New Roman"/>
                <w:color w:val="000000"/>
                <w:kern w:val="0"/>
                <w:sz w:val="24"/>
                <w:lang w:val="en-US" w:eastAsia="zh-CN" w:bidi="ar"/>
              </w:rPr>
            </w:pPr>
            <w:r>
              <w:rPr>
                <w:rFonts w:hint="default" w:ascii="Times New Roman" w:hAnsi="Times New Roman" w:cs="Times New Roman"/>
                <w:color w:val="000000"/>
                <w:kern w:val="0"/>
                <w:sz w:val="24"/>
                <w:lang w:bidi="ar"/>
              </w:rPr>
              <w:t>（</w:t>
            </w:r>
            <w:r>
              <w:rPr>
                <w:rFonts w:hint="default" w:ascii="Times New Roman" w:hAnsi="Times New Roman" w:cs="Times New Roman"/>
                <w:color w:val="000000"/>
                <w:kern w:val="0"/>
                <w:sz w:val="24"/>
                <w:lang w:val="en-US" w:eastAsia="zh-CN" w:bidi="ar"/>
              </w:rPr>
              <w:t>4</w:t>
            </w:r>
            <w:r>
              <w:rPr>
                <w:rFonts w:hint="default" w:ascii="Times New Roman" w:hAnsi="Times New Roman" w:cs="Times New Roman"/>
                <w:color w:val="000000"/>
                <w:kern w:val="0"/>
                <w:sz w:val="24"/>
                <w:lang w:bidi="ar"/>
              </w:rPr>
              <w:t>）</w:t>
            </w:r>
            <w:r>
              <w:rPr>
                <w:rFonts w:hint="default" w:ascii="Times New Roman" w:hAnsi="Times New Roman" w:cs="Times New Roman"/>
                <w:color w:val="000000"/>
                <w:kern w:val="0"/>
                <w:sz w:val="24"/>
                <w:lang w:val="en-US" w:eastAsia="zh-CN" w:bidi="ar"/>
              </w:rPr>
              <w:t>交叉口</w:t>
            </w:r>
            <w:r>
              <w:rPr>
                <w:rFonts w:hint="default" w:ascii="Times New Roman" w:hAnsi="Times New Roman" w:cs="Times New Roman"/>
                <w:color w:val="000000"/>
                <w:kern w:val="0"/>
                <w:sz w:val="24"/>
                <w:lang w:bidi="ar"/>
              </w:rPr>
              <w:t>设计</w:t>
            </w:r>
          </w:p>
          <w:p w14:paraId="2A2F8B0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lang w:val="en-US" w:eastAsia="zh-CN" w:bidi="ar"/>
              </w:rPr>
            </w:pPr>
            <w:r>
              <w:rPr>
                <w:rFonts w:hint="default" w:ascii="Times New Roman" w:hAnsi="Times New Roman" w:cs="Times New Roman"/>
                <w:color w:val="000000"/>
                <w:kern w:val="0"/>
                <w:sz w:val="24"/>
                <w:highlight w:val="none"/>
                <w:lang w:val="en-US" w:eastAsia="zh-CN" w:bidi="ar"/>
              </w:rPr>
              <w:t>陈路一期东延段结合规划路网条件，共设置1处交叉口，</w:t>
            </w:r>
            <w:r>
              <w:rPr>
                <w:rFonts w:hint="default" w:ascii="Times New Roman" w:hAnsi="Times New Roman" w:cs="Times New Roman"/>
                <w:color w:val="000000"/>
                <w:kern w:val="0"/>
                <w:sz w:val="24"/>
                <w:lang w:bidi="ar"/>
              </w:rPr>
              <w:t>位于桩号K1+431.800与东坡路交叉处</w:t>
            </w:r>
            <w:r>
              <w:rPr>
                <w:rFonts w:hint="default" w:ascii="Times New Roman" w:hAnsi="Times New Roman" w:cs="Times New Roman"/>
                <w:color w:val="000000"/>
                <w:kern w:val="0"/>
                <w:sz w:val="24"/>
                <w:lang w:eastAsia="zh-CN" w:bidi="ar"/>
              </w:rPr>
              <w:t>。</w:t>
            </w:r>
          </w:p>
          <w:p w14:paraId="71FE974C">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表2</w:t>
            </w:r>
            <w:r>
              <w:rPr>
                <w:rFonts w:hint="default" w:ascii="Times New Roman" w:hAnsi="Times New Roman" w:eastAsia="宋体" w:cs="Times New Roman"/>
                <w:b/>
                <w:bCs/>
                <w:color w:val="000000"/>
                <w:sz w:val="21"/>
                <w:szCs w:val="21"/>
                <w:lang w:val="en-US" w:eastAsia="zh-CN" w:bidi="ar"/>
              </w:rPr>
              <w:t>.2</w:t>
            </w:r>
            <w:r>
              <w:rPr>
                <w:rFonts w:hint="default" w:ascii="Times New Roman" w:hAnsi="Times New Roman" w:eastAsia="宋体" w:cs="Times New Roman"/>
                <w:b/>
                <w:bCs/>
                <w:color w:val="000000"/>
                <w:sz w:val="21"/>
                <w:szCs w:val="21"/>
                <w:lang w:bidi="ar"/>
              </w:rPr>
              <w:t>-</w:t>
            </w:r>
            <w:r>
              <w:rPr>
                <w:rFonts w:hint="default" w:ascii="Times New Roman" w:hAnsi="Times New Roman" w:eastAsia="宋体" w:cs="Times New Roman"/>
                <w:b/>
                <w:bCs/>
                <w:color w:val="000000"/>
                <w:sz w:val="21"/>
                <w:szCs w:val="21"/>
                <w:lang w:val="en-US" w:eastAsia="zh-CN" w:bidi="ar"/>
              </w:rPr>
              <w:t>3</w:t>
            </w:r>
            <w:r>
              <w:rPr>
                <w:rFonts w:hint="default" w:ascii="Times New Roman" w:hAnsi="Times New Roman" w:eastAsia="宋体" w:cs="Times New Roman"/>
                <w:b/>
                <w:bCs/>
                <w:color w:val="000000"/>
                <w:sz w:val="21"/>
                <w:szCs w:val="21"/>
                <w:lang w:bidi="ar"/>
              </w:rPr>
              <w:t xml:space="preserve">  交叉口一览表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932"/>
              <w:gridCol w:w="1679"/>
              <w:gridCol w:w="1355"/>
              <w:gridCol w:w="1496"/>
              <w:gridCol w:w="1496"/>
            </w:tblGrid>
            <w:tr w14:paraId="34F7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013A9DDB">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序号</w:t>
                  </w:r>
                </w:p>
              </w:tc>
              <w:tc>
                <w:tcPr>
                  <w:tcW w:w="1932" w:type="dxa"/>
                  <w:noWrap w:val="0"/>
                  <w:vAlign w:val="center"/>
                </w:tcPr>
                <w:p w14:paraId="6B23E985">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rPr>
                    <w:t>桩号</w:t>
                  </w:r>
                </w:p>
              </w:tc>
              <w:tc>
                <w:tcPr>
                  <w:tcW w:w="1679" w:type="dxa"/>
                  <w:noWrap w:val="0"/>
                  <w:vAlign w:val="center"/>
                </w:tcPr>
                <w:p w14:paraId="24C05BD9">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rPr>
                    <w:t>横向道路名</w:t>
                  </w:r>
                </w:p>
              </w:tc>
              <w:tc>
                <w:tcPr>
                  <w:tcW w:w="1355" w:type="dxa"/>
                  <w:noWrap w:val="0"/>
                  <w:vAlign w:val="center"/>
                </w:tcPr>
                <w:p w14:paraId="02C705E7">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rPr>
                    <w:t>道路等级</w:t>
                  </w:r>
                </w:p>
              </w:tc>
              <w:tc>
                <w:tcPr>
                  <w:tcW w:w="1496" w:type="dxa"/>
                  <w:noWrap w:val="0"/>
                  <w:vAlign w:val="center"/>
                </w:tcPr>
                <w:p w14:paraId="7840D546">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rPr>
                    <w:t>交叉口类型</w:t>
                  </w:r>
                </w:p>
              </w:tc>
              <w:tc>
                <w:tcPr>
                  <w:tcW w:w="1496" w:type="dxa"/>
                  <w:noWrap w:val="0"/>
                  <w:vAlign w:val="center"/>
                </w:tcPr>
                <w:p w14:paraId="020B3B27">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rPr>
                    <w:t>交通组织类型</w:t>
                  </w:r>
                </w:p>
              </w:tc>
            </w:tr>
            <w:tr w14:paraId="02C7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2F4175EC">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932" w:type="dxa"/>
                  <w:noWrap w:val="0"/>
                  <w:vAlign w:val="center"/>
                </w:tcPr>
                <w:p w14:paraId="32E86A69">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K1+431.800</w:t>
                  </w:r>
                </w:p>
              </w:tc>
              <w:tc>
                <w:tcPr>
                  <w:tcW w:w="1679" w:type="dxa"/>
                  <w:noWrap w:val="0"/>
                  <w:vAlign w:val="center"/>
                </w:tcPr>
                <w:p w14:paraId="7E209BEE">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东坡路</w:t>
                  </w:r>
                </w:p>
              </w:tc>
              <w:tc>
                <w:tcPr>
                  <w:tcW w:w="1355" w:type="dxa"/>
                  <w:noWrap w:val="0"/>
                  <w:vAlign w:val="center"/>
                </w:tcPr>
                <w:p w14:paraId="5686EF78">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lang w:val="en-US" w:eastAsia="zh-CN"/>
                    </w:rPr>
                    <w:t>主干道</w:t>
                  </w:r>
                </w:p>
              </w:tc>
              <w:tc>
                <w:tcPr>
                  <w:tcW w:w="1496" w:type="dxa"/>
                  <w:noWrap w:val="0"/>
                  <w:vAlign w:val="center"/>
                </w:tcPr>
                <w:p w14:paraId="51F8CA0B">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rPr>
                    <w:t>十字交叉</w:t>
                  </w:r>
                </w:p>
              </w:tc>
              <w:tc>
                <w:tcPr>
                  <w:tcW w:w="1496" w:type="dxa"/>
                  <w:noWrap w:val="0"/>
                  <w:vAlign w:val="center"/>
                </w:tcPr>
                <w:p w14:paraId="452D3890">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rPr>
                    <w:t>信号灯控制</w:t>
                  </w:r>
                </w:p>
              </w:tc>
            </w:tr>
          </w:tbl>
          <w:p w14:paraId="2797C202">
            <w:pPr>
              <w:widowControl/>
              <w:spacing w:line="360" w:lineRule="auto"/>
              <w:ind w:firstLine="480" w:firstLineChars="200"/>
              <w:jc w:val="left"/>
              <w:rPr>
                <w:rFonts w:hint="default" w:ascii="Times New Roman" w:hAnsi="Times New Roman" w:eastAsia="宋体" w:cs="Times New Roman"/>
                <w:color w:val="000000"/>
                <w:kern w:val="0"/>
                <w:sz w:val="24"/>
                <w:highlight w:val="none"/>
                <w:lang w:bidi="ar"/>
              </w:rPr>
            </w:pPr>
            <w:r>
              <w:rPr>
                <w:rFonts w:hint="default" w:ascii="Times New Roman" w:hAnsi="Times New Roman" w:eastAsia="宋体" w:cs="Times New Roman"/>
                <w:color w:val="000000"/>
                <w:kern w:val="0"/>
                <w:sz w:val="24"/>
                <w:highlight w:val="none"/>
                <w:lang w:bidi="ar"/>
              </w:rPr>
              <w:t>（</w:t>
            </w:r>
            <w:r>
              <w:rPr>
                <w:rFonts w:hint="default" w:ascii="Times New Roman" w:hAnsi="Times New Roman" w:cs="Times New Roman"/>
                <w:color w:val="000000"/>
                <w:kern w:val="0"/>
                <w:sz w:val="24"/>
                <w:highlight w:val="none"/>
                <w:lang w:val="en-US" w:eastAsia="zh-CN" w:bidi="ar"/>
              </w:rPr>
              <w:t>5</w:t>
            </w:r>
            <w:r>
              <w:rPr>
                <w:rFonts w:hint="default" w:ascii="Times New Roman" w:hAnsi="Times New Roman" w:eastAsia="宋体" w:cs="Times New Roman"/>
                <w:color w:val="000000"/>
                <w:kern w:val="0"/>
                <w:sz w:val="24"/>
                <w:highlight w:val="none"/>
                <w:lang w:bidi="ar"/>
              </w:rPr>
              <w:t>）路面结构设计</w:t>
            </w:r>
          </w:p>
          <w:p w14:paraId="6C2EA638">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樊陈路一期及南湖新区道路均采用沥青路面，本项目也采用沥青路面。</w:t>
            </w:r>
          </w:p>
          <w:p w14:paraId="2E237E94">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考虑本项目路基大部分处于中湿状态，路面结构下设10cm的未筛分碎石垫层，具体路面结构形式如下：</w:t>
            </w:r>
          </w:p>
          <w:p w14:paraId="00527CD6">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机动车道路面结构：</w:t>
            </w:r>
          </w:p>
          <w:p w14:paraId="2298AC5E">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上面层：4cm细粒式改性沥青混凝土(AC－13C）</w:t>
            </w:r>
          </w:p>
          <w:p w14:paraId="7300FC75">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中面层：5cm中粒式改性沥青混凝土(AC－20C)</w:t>
            </w:r>
          </w:p>
          <w:p w14:paraId="6C56EDFE">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下面层：7cm粗粒式沥青混凝土(AC-25C)</w:t>
            </w:r>
          </w:p>
          <w:p w14:paraId="39A09EC2">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上基层：36cm5.0%水泥稳定级配碎石</w:t>
            </w:r>
          </w:p>
          <w:p w14:paraId="2B0830F3">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底基层：18cm4%水泥稳定石屑</w:t>
            </w:r>
          </w:p>
          <w:p w14:paraId="631AA133">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垫层：10cm未筛分碎石</w:t>
            </w:r>
          </w:p>
          <w:p w14:paraId="0CAE6D7B">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土基回填模量：40Mpa</w:t>
            </w:r>
          </w:p>
          <w:p w14:paraId="42ABA5C8">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总厚度：82cm</w:t>
            </w:r>
          </w:p>
          <w:p w14:paraId="76C895ED">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非机动车道路面结构：</w:t>
            </w:r>
          </w:p>
          <w:p w14:paraId="7DB95AC9">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4cm细粒式透水沥青砼(PAC-13)</w:t>
            </w:r>
          </w:p>
          <w:p w14:paraId="24533A3E">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5cm中粒式透水沥青砼(PAC-16)</w:t>
            </w:r>
          </w:p>
          <w:p w14:paraId="66F58C51">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20cmC20透水混凝土</w:t>
            </w:r>
          </w:p>
          <w:p w14:paraId="745FAC60">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10cm未筛分碎石</w:t>
            </w:r>
          </w:p>
          <w:p w14:paraId="665C8B38">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总厚度：39cm</w:t>
            </w:r>
          </w:p>
          <w:p w14:paraId="0A507C67">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人行道路面结构：</w:t>
            </w:r>
          </w:p>
          <w:p w14:paraId="604FFBEA">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6cm人行道透水砖</w:t>
            </w:r>
          </w:p>
          <w:p w14:paraId="4BE1F75A">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3cm1：3干硬性砂浆（中粗砂）</w:t>
            </w:r>
          </w:p>
          <w:p w14:paraId="60204607">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15cmC20透水混凝土</w:t>
            </w:r>
          </w:p>
          <w:p w14:paraId="28758FD9">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10cm未筛分碎石</w:t>
            </w:r>
          </w:p>
          <w:p w14:paraId="5B5D146B">
            <w:pPr>
              <w:pStyle w:val="6"/>
              <w:spacing w:line="360" w:lineRule="auto"/>
              <w:ind w:firstLine="48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总厚度：34cm</w:t>
            </w:r>
          </w:p>
          <w:p w14:paraId="55862366">
            <w:pPr>
              <w:widowControl/>
              <w:spacing w:line="360" w:lineRule="auto"/>
              <w:ind w:firstLine="480" w:firstLineChars="200"/>
              <w:jc w:val="left"/>
              <w:rPr>
                <w:rFonts w:hint="default" w:ascii="Times New Roman" w:hAnsi="Times New Roman" w:eastAsia="宋体" w:cs="Times New Roman"/>
                <w:color w:val="000000"/>
                <w:kern w:val="0"/>
                <w:sz w:val="24"/>
                <w:highlight w:val="none"/>
                <w:lang w:bidi="ar"/>
              </w:rPr>
            </w:pPr>
            <w:r>
              <w:rPr>
                <w:rFonts w:hint="default" w:ascii="Times New Roman" w:hAnsi="Times New Roman" w:eastAsia="宋体" w:cs="Times New Roman"/>
                <w:color w:val="000000"/>
                <w:kern w:val="0"/>
                <w:sz w:val="24"/>
                <w:highlight w:val="none"/>
                <w:lang w:bidi="ar"/>
              </w:rPr>
              <w:t>（</w:t>
            </w:r>
            <w:r>
              <w:rPr>
                <w:rFonts w:hint="default" w:ascii="Times New Roman" w:hAnsi="Times New Roman" w:cs="Times New Roman"/>
                <w:color w:val="000000"/>
                <w:kern w:val="0"/>
                <w:sz w:val="24"/>
                <w:highlight w:val="none"/>
                <w:lang w:val="en-US" w:eastAsia="zh-CN" w:bidi="ar"/>
              </w:rPr>
              <w:t>6</w:t>
            </w:r>
            <w:r>
              <w:rPr>
                <w:rFonts w:hint="default" w:ascii="Times New Roman" w:hAnsi="Times New Roman" w:eastAsia="宋体" w:cs="Times New Roman"/>
                <w:color w:val="000000"/>
                <w:kern w:val="0"/>
                <w:sz w:val="24"/>
                <w:highlight w:val="none"/>
                <w:lang w:bidi="ar"/>
              </w:rPr>
              <w:t>）路</w:t>
            </w:r>
            <w:r>
              <w:rPr>
                <w:rFonts w:hint="default" w:ascii="Times New Roman" w:hAnsi="Times New Roman" w:cs="Times New Roman"/>
                <w:color w:val="000000"/>
                <w:kern w:val="0"/>
                <w:sz w:val="24"/>
                <w:highlight w:val="none"/>
                <w:lang w:val="en-US" w:eastAsia="zh-CN" w:bidi="ar"/>
              </w:rPr>
              <w:t>基</w:t>
            </w:r>
            <w:r>
              <w:rPr>
                <w:rFonts w:hint="default" w:ascii="Times New Roman" w:hAnsi="Times New Roman" w:eastAsia="宋体" w:cs="Times New Roman"/>
                <w:color w:val="000000"/>
                <w:kern w:val="0"/>
                <w:sz w:val="24"/>
                <w:highlight w:val="none"/>
                <w:lang w:bidi="ar"/>
              </w:rPr>
              <w:t>结构设计</w:t>
            </w:r>
          </w:p>
          <w:p w14:paraId="725CB3B8">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1、基底处理</w:t>
            </w:r>
          </w:p>
          <w:p w14:paraId="13B700B7">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一般路基清表应清除地表的耕植土、植物及植物根系，鱼塘、河沟按实际测量出的淤泥厚度计算。</w:t>
            </w:r>
          </w:p>
          <w:p w14:paraId="247AA332">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一般填方路段清表后，需对原地面进行压实，原状土的压实度要求不小于90%（重型击实标准）。</w:t>
            </w:r>
          </w:p>
          <w:p w14:paraId="1C387788">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2、一般路基设计</w:t>
            </w:r>
          </w:p>
          <w:p w14:paraId="7F8DCFF2">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1）、低填浅挖路基</w:t>
            </w:r>
          </w:p>
          <w:p w14:paraId="6B5DB0B4">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为确保路床范围内的路基具备足够的强度和稳定性，填方以、残积土、及强风化岩的路基时按以下要求进行。</w:t>
            </w:r>
          </w:p>
          <w:p w14:paraId="36D2A04C">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①、填方路基：车行道路床顶面超挖80cm，人行道路床顶面超挖50cm，回填复核要求的填料。</w:t>
            </w:r>
          </w:p>
          <w:p w14:paraId="5E6561EC">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②、挖方路基：车行道路床顶面超挖80cm，人行道路床顶面超挖50cm，之后采用符合路床填料要求的材料。</w:t>
            </w:r>
          </w:p>
          <w:p w14:paraId="02ADF2AB">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2、斜坡路基</w:t>
            </w:r>
          </w:p>
          <w:p w14:paraId="7F627546">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稳定斜坡上地基表层的处理，应符合下列要求：</w:t>
            </w:r>
          </w:p>
          <w:p w14:paraId="6913C06F">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1)、地面横坡缓于1:5时，在清除地表草皮、腐殖土后，可直接在天然地面上填筑路堤。</w:t>
            </w:r>
          </w:p>
          <w:p w14:paraId="70AA04B4">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2)、地面横坡陡于1:5时，原地面应挖台阶，台阶宽度为2m.。每级台阶底部挖成向内倾斜4%的反坡。</w:t>
            </w:r>
          </w:p>
          <w:p w14:paraId="386D9F5D">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③、填挖交界处路基</w:t>
            </w:r>
          </w:p>
          <w:p w14:paraId="68D7557A">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为了减小路基纵向、横向的不均匀沉降，提高路基压实度，在靠近填挖交界的挖方路基一侧，对路基超挖1.3m后再换填土方。</w:t>
            </w:r>
          </w:p>
          <w:p w14:paraId="3C287694">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3、路基填料</w:t>
            </w:r>
          </w:p>
          <w:p w14:paraId="7AF62854">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本项目挖方大于填方，填方全部利用挖方。</w:t>
            </w:r>
          </w:p>
          <w:p w14:paraId="514D4C88">
            <w:pPr>
              <w:spacing w:line="360" w:lineRule="auto"/>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路基填料应符合规范要求，具体如下：</w:t>
            </w:r>
          </w:p>
          <w:p w14:paraId="79BF7F35">
            <w:pPr>
              <w:pStyle w:val="6"/>
              <w:rPr>
                <w:rFonts w:hint="default" w:ascii="Times New Roman" w:hAnsi="Times New Roman" w:eastAsia="宋体" w:cs="Times New Roman"/>
                <w:b/>
                <w:bCs/>
                <w:color w:val="000000"/>
                <w:sz w:val="21"/>
                <w:szCs w:val="21"/>
                <w:lang w:val="en-US" w:eastAsia="zh-CN" w:bidi="ar"/>
              </w:rPr>
            </w:pPr>
            <w:r>
              <w:rPr>
                <w:rFonts w:hint="default" w:ascii="Times New Roman" w:hAnsi="Times New Roman" w:eastAsia="宋体" w:cs="Times New Roman"/>
                <w:b/>
                <w:bCs/>
                <w:color w:val="000000"/>
                <w:sz w:val="21"/>
                <w:szCs w:val="21"/>
                <w:lang w:bidi="ar"/>
              </w:rPr>
              <w:t>表2</w:t>
            </w:r>
            <w:r>
              <w:rPr>
                <w:rFonts w:hint="default" w:ascii="Times New Roman" w:hAnsi="Times New Roman" w:eastAsia="宋体" w:cs="Times New Roman"/>
                <w:b/>
                <w:bCs/>
                <w:color w:val="000000"/>
                <w:sz w:val="21"/>
                <w:szCs w:val="21"/>
                <w:lang w:val="en-US" w:eastAsia="zh-CN" w:bidi="ar"/>
              </w:rPr>
              <w:t>.2</w:t>
            </w:r>
            <w:r>
              <w:rPr>
                <w:rFonts w:hint="default" w:ascii="Times New Roman" w:hAnsi="Times New Roman" w:eastAsia="宋体" w:cs="Times New Roman"/>
                <w:b/>
                <w:bCs/>
                <w:color w:val="000000"/>
                <w:sz w:val="21"/>
                <w:szCs w:val="21"/>
                <w:lang w:bidi="ar"/>
              </w:rPr>
              <w:t>-</w:t>
            </w:r>
            <w:r>
              <w:rPr>
                <w:rFonts w:hint="default" w:ascii="Times New Roman" w:hAnsi="Times New Roman" w:eastAsia="宋体" w:cs="Times New Roman"/>
                <w:b/>
                <w:bCs/>
                <w:color w:val="000000"/>
                <w:sz w:val="21"/>
                <w:szCs w:val="21"/>
                <w:lang w:val="en-US" w:eastAsia="zh-CN" w:bidi="ar"/>
              </w:rPr>
              <w:t xml:space="preserve">4 </w:t>
            </w:r>
            <w:r>
              <w:rPr>
                <w:rFonts w:hint="default" w:ascii="Times New Roman" w:hAnsi="Times New Roman" w:eastAsia="宋体" w:cs="Times New Roman"/>
                <w:b/>
                <w:bCs/>
                <w:color w:val="000000"/>
                <w:sz w:val="21"/>
                <w:szCs w:val="21"/>
                <w:lang w:bidi="ar"/>
              </w:rPr>
              <w:t xml:space="preserve"> </w:t>
            </w:r>
            <w:r>
              <w:rPr>
                <w:rFonts w:hint="default" w:ascii="Times New Roman" w:hAnsi="Times New Roman" w:eastAsia="宋体" w:cs="Times New Roman"/>
                <w:b/>
                <w:bCs/>
                <w:color w:val="000000"/>
                <w:sz w:val="21"/>
                <w:szCs w:val="21"/>
                <w:lang w:val="en-US" w:eastAsia="zh-CN" w:bidi="ar"/>
              </w:rPr>
              <w:t>路基填料最小CBR值和最大粒径要求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354"/>
              <w:gridCol w:w="5"/>
              <w:gridCol w:w="2230"/>
              <w:gridCol w:w="1651"/>
              <w:gridCol w:w="1795"/>
            </w:tblGrid>
            <w:tr w14:paraId="0106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10" w:type="dxa"/>
                  <w:gridSpan w:val="3"/>
                  <w:noWrap w:val="0"/>
                  <w:vAlign w:val="center"/>
                </w:tcPr>
                <w:p w14:paraId="72F4D440">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填挖类型</w:t>
                  </w:r>
                </w:p>
              </w:tc>
              <w:tc>
                <w:tcPr>
                  <w:tcW w:w="2230" w:type="dxa"/>
                  <w:noWrap w:val="0"/>
                  <w:vAlign w:val="center"/>
                </w:tcPr>
                <w:p w14:paraId="29EA1A44">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路床</w:t>
                  </w:r>
                  <w:r>
                    <w:rPr>
                      <w:rFonts w:hint="default" w:ascii="Times New Roman" w:hAnsi="Times New Roman" w:cs="Times New Roman"/>
                      <w:color w:val="000000"/>
                      <w:szCs w:val="21"/>
                      <w:lang w:val="en-US" w:eastAsia="zh-CN"/>
                    </w:rPr>
                    <w:t>顶</w:t>
                  </w:r>
                  <w:r>
                    <w:rPr>
                      <w:rFonts w:hint="default" w:ascii="Times New Roman" w:hAnsi="Times New Roman" w:cs="Times New Roman"/>
                      <w:color w:val="000000"/>
                      <w:szCs w:val="21"/>
                    </w:rPr>
                    <w:t>以下深度(</w:t>
                  </w:r>
                  <w:r>
                    <w:rPr>
                      <w:rFonts w:hint="default" w:ascii="Times New Roman" w:hAnsi="Times New Roman" w:cs="Times New Roman"/>
                      <w:color w:val="000000"/>
                      <w:szCs w:val="21"/>
                      <w:lang w:val="en-US" w:eastAsia="zh-CN"/>
                    </w:rPr>
                    <w:t>cm</w:t>
                  </w:r>
                  <w:r>
                    <w:rPr>
                      <w:rFonts w:hint="default" w:ascii="Times New Roman" w:hAnsi="Times New Roman" w:cs="Times New Roman"/>
                      <w:color w:val="000000"/>
                      <w:szCs w:val="21"/>
                    </w:rPr>
                    <w:t>)</w:t>
                  </w:r>
                </w:p>
              </w:tc>
              <w:tc>
                <w:tcPr>
                  <w:tcW w:w="1651" w:type="dxa"/>
                  <w:noWrap w:val="0"/>
                  <w:vAlign w:val="center"/>
                </w:tcPr>
                <w:p w14:paraId="3223BEA7">
                  <w:pPr>
                    <w:spacing w:line="276" w:lineRule="auto"/>
                    <w:ind w:right="18"/>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填料最小CBR值</w:t>
                  </w:r>
                </w:p>
              </w:tc>
              <w:tc>
                <w:tcPr>
                  <w:tcW w:w="1795" w:type="dxa"/>
                  <w:noWrap w:val="0"/>
                  <w:vAlign w:val="center"/>
                </w:tcPr>
                <w:p w14:paraId="5E5593FC">
                  <w:pPr>
                    <w:spacing w:line="276" w:lineRule="auto"/>
                    <w:ind w:right="18"/>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填料最大粒径（cm）</w:t>
                  </w:r>
                </w:p>
              </w:tc>
            </w:tr>
            <w:tr w14:paraId="4BE1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1" w:type="dxa"/>
                  <w:vMerge w:val="restart"/>
                  <w:noWrap w:val="0"/>
                  <w:vAlign w:val="center"/>
                </w:tcPr>
                <w:p w14:paraId="0B0892DD">
                  <w:pPr>
                    <w:spacing w:line="276" w:lineRule="auto"/>
                    <w:ind w:right="18"/>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路堤</w:t>
                  </w:r>
                </w:p>
              </w:tc>
              <w:tc>
                <w:tcPr>
                  <w:tcW w:w="1359" w:type="dxa"/>
                  <w:gridSpan w:val="2"/>
                  <w:noWrap w:val="0"/>
                  <w:vAlign w:val="center"/>
                </w:tcPr>
                <w:p w14:paraId="65BCA5E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上路床</w:t>
                  </w:r>
                </w:p>
              </w:tc>
              <w:tc>
                <w:tcPr>
                  <w:tcW w:w="2230" w:type="dxa"/>
                  <w:noWrap w:val="0"/>
                  <w:vAlign w:val="center"/>
                </w:tcPr>
                <w:p w14:paraId="14C23B33">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30</w:t>
                  </w:r>
                </w:p>
              </w:tc>
              <w:tc>
                <w:tcPr>
                  <w:tcW w:w="1651" w:type="dxa"/>
                  <w:noWrap w:val="0"/>
                  <w:vAlign w:val="center"/>
                </w:tcPr>
                <w:p w14:paraId="08DBC22E">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8</w:t>
                  </w:r>
                </w:p>
              </w:tc>
              <w:tc>
                <w:tcPr>
                  <w:tcW w:w="1795" w:type="dxa"/>
                  <w:noWrap w:val="0"/>
                  <w:vAlign w:val="center"/>
                </w:tcPr>
                <w:p w14:paraId="745447E5">
                  <w:pPr>
                    <w:spacing w:line="276" w:lineRule="auto"/>
                    <w:ind w:right="18" w:right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r>
            <w:tr w14:paraId="7B08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1" w:type="dxa"/>
                  <w:vMerge w:val="continue"/>
                  <w:noWrap w:val="0"/>
                  <w:vAlign w:val="center"/>
                </w:tcPr>
                <w:p w14:paraId="01DB9FFC">
                  <w:pPr>
                    <w:spacing w:line="276" w:lineRule="auto"/>
                    <w:ind w:right="18" w:firstLine="420"/>
                    <w:jc w:val="center"/>
                    <w:rPr>
                      <w:rFonts w:hint="default" w:ascii="Times New Roman" w:hAnsi="Times New Roman" w:cs="Times New Roman"/>
                      <w:color w:val="000000"/>
                      <w:szCs w:val="21"/>
                    </w:rPr>
                  </w:pPr>
                </w:p>
              </w:tc>
              <w:tc>
                <w:tcPr>
                  <w:tcW w:w="1359" w:type="dxa"/>
                  <w:gridSpan w:val="2"/>
                  <w:noWrap w:val="0"/>
                  <w:vAlign w:val="center"/>
                </w:tcPr>
                <w:p w14:paraId="2D2C48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下路床</w:t>
                  </w:r>
                </w:p>
              </w:tc>
              <w:tc>
                <w:tcPr>
                  <w:tcW w:w="2230" w:type="dxa"/>
                  <w:noWrap w:val="0"/>
                  <w:vAlign w:val="center"/>
                </w:tcPr>
                <w:p w14:paraId="56FEEE6E">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3</w:t>
                  </w:r>
                  <w:r>
                    <w:rPr>
                      <w:rFonts w:hint="default" w:ascii="Times New Roman" w:hAnsi="Times New Roman" w:cs="Times New Roman"/>
                      <w:color w:val="000000"/>
                      <w:szCs w:val="21"/>
                      <w:lang w:val="en-US" w:eastAsia="zh-CN"/>
                    </w:rPr>
                    <w:t>0</w:t>
                  </w:r>
                  <w:r>
                    <w:rPr>
                      <w:rFonts w:hint="default" w:ascii="Times New Roman" w:hAnsi="Times New Roman" w:cs="Times New Roman"/>
                      <w:color w:val="000000"/>
                      <w:szCs w:val="21"/>
                    </w:rPr>
                    <w:t>~</w:t>
                  </w:r>
                  <w:r>
                    <w:rPr>
                      <w:rFonts w:hint="default" w:ascii="Times New Roman" w:hAnsi="Times New Roman" w:cs="Times New Roman"/>
                      <w:color w:val="000000"/>
                      <w:szCs w:val="21"/>
                      <w:lang w:val="en-US" w:eastAsia="zh-CN"/>
                    </w:rPr>
                    <w:t>80</w:t>
                  </w:r>
                </w:p>
              </w:tc>
              <w:tc>
                <w:tcPr>
                  <w:tcW w:w="1651" w:type="dxa"/>
                  <w:noWrap w:val="0"/>
                  <w:vAlign w:val="center"/>
                </w:tcPr>
                <w:p w14:paraId="685E4315">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w:t>
                  </w:r>
                </w:p>
              </w:tc>
              <w:tc>
                <w:tcPr>
                  <w:tcW w:w="1795" w:type="dxa"/>
                  <w:noWrap w:val="0"/>
                  <w:vAlign w:val="center"/>
                </w:tcPr>
                <w:p w14:paraId="6FF14EA5">
                  <w:pPr>
                    <w:spacing w:line="276" w:lineRule="auto"/>
                    <w:ind w:right="18" w:right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r>
            <w:tr w14:paraId="306A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1" w:type="dxa"/>
                  <w:vMerge w:val="continue"/>
                  <w:noWrap w:val="0"/>
                  <w:vAlign w:val="center"/>
                </w:tcPr>
                <w:p w14:paraId="5F89BCAF">
                  <w:pPr>
                    <w:spacing w:line="276" w:lineRule="auto"/>
                    <w:ind w:right="18" w:firstLine="420"/>
                    <w:jc w:val="center"/>
                    <w:rPr>
                      <w:rFonts w:hint="default" w:ascii="Times New Roman" w:hAnsi="Times New Roman" w:cs="Times New Roman"/>
                      <w:color w:val="000000"/>
                      <w:szCs w:val="21"/>
                    </w:rPr>
                  </w:pPr>
                </w:p>
              </w:tc>
              <w:tc>
                <w:tcPr>
                  <w:tcW w:w="1359" w:type="dxa"/>
                  <w:gridSpan w:val="2"/>
                  <w:noWrap w:val="0"/>
                  <w:vAlign w:val="center"/>
                </w:tcPr>
                <w:p w14:paraId="04DFA0E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上路堤</w:t>
                  </w:r>
                </w:p>
              </w:tc>
              <w:tc>
                <w:tcPr>
                  <w:tcW w:w="2230" w:type="dxa"/>
                  <w:noWrap w:val="0"/>
                  <w:vAlign w:val="center"/>
                </w:tcPr>
                <w:p w14:paraId="0C1B30AB">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8</w:t>
                  </w:r>
                  <w:r>
                    <w:rPr>
                      <w:rFonts w:hint="default" w:ascii="Times New Roman" w:hAnsi="Times New Roman" w:cs="Times New Roman"/>
                      <w:color w:val="000000"/>
                      <w:szCs w:val="21"/>
                      <w:lang w:val="en-US" w:eastAsia="zh-CN"/>
                    </w:rPr>
                    <w:t>0</w:t>
                  </w:r>
                  <w:r>
                    <w:rPr>
                      <w:rFonts w:hint="default" w:ascii="Times New Roman" w:hAnsi="Times New Roman" w:cs="Times New Roman"/>
                      <w:color w:val="000000"/>
                      <w:szCs w:val="21"/>
                    </w:rPr>
                    <w:t>～</w:t>
                  </w:r>
                  <w:r>
                    <w:rPr>
                      <w:rFonts w:hint="default" w:ascii="Times New Roman" w:hAnsi="Times New Roman" w:cs="Times New Roman"/>
                      <w:color w:val="000000"/>
                      <w:szCs w:val="21"/>
                      <w:lang w:val="en-US" w:eastAsia="zh-CN"/>
                    </w:rPr>
                    <w:t>150</w:t>
                  </w:r>
                </w:p>
              </w:tc>
              <w:tc>
                <w:tcPr>
                  <w:tcW w:w="1651" w:type="dxa"/>
                  <w:noWrap w:val="0"/>
                  <w:vAlign w:val="center"/>
                </w:tcPr>
                <w:p w14:paraId="3BEECC0A">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w:t>
                  </w:r>
                </w:p>
              </w:tc>
              <w:tc>
                <w:tcPr>
                  <w:tcW w:w="1795" w:type="dxa"/>
                  <w:noWrap w:val="0"/>
                  <w:vAlign w:val="center"/>
                </w:tcPr>
                <w:p w14:paraId="73560D61">
                  <w:pPr>
                    <w:spacing w:line="276" w:lineRule="auto"/>
                    <w:ind w:right="18" w:right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15</w:t>
                  </w:r>
                </w:p>
              </w:tc>
            </w:tr>
            <w:tr w14:paraId="3F3D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1" w:type="dxa"/>
                  <w:vMerge w:val="continue"/>
                  <w:noWrap w:val="0"/>
                  <w:vAlign w:val="center"/>
                </w:tcPr>
                <w:p w14:paraId="6AD2C3E5">
                  <w:pPr>
                    <w:spacing w:line="276" w:lineRule="auto"/>
                    <w:ind w:right="18" w:firstLine="420"/>
                    <w:jc w:val="center"/>
                    <w:rPr>
                      <w:rFonts w:hint="default" w:ascii="Times New Roman" w:hAnsi="Times New Roman" w:cs="Times New Roman"/>
                      <w:color w:val="000000"/>
                      <w:szCs w:val="21"/>
                    </w:rPr>
                  </w:pPr>
                </w:p>
              </w:tc>
              <w:tc>
                <w:tcPr>
                  <w:tcW w:w="1359" w:type="dxa"/>
                  <w:gridSpan w:val="2"/>
                  <w:noWrap w:val="0"/>
                  <w:vAlign w:val="center"/>
                </w:tcPr>
                <w:p w14:paraId="152C046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下路堤</w:t>
                  </w:r>
                </w:p>
              </w:tc>
              <w:tc>
                <w:tcPr>
                  <w:tcW w:w="2230" w:type="dxa"/>
                  <w:noWrap w:val="0"/>
                  <w:vAlign w:val="center"/>
                </w:tcPr>
                <w:p w14:paraId="28D76665">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＞1</w:t>
                  </w:r>
                  <w:r>
                    <w:rPr>
                      <w:rFonts w:hint="default" w:ascii="Times New Roman" w:hAnsi="Times New Roman" w:cs="Times New Roman"/>
                      <w:color w:val="000000"/>
                      <w:szCs w:val="21"/>
                      <w:lang w:val="en-US" w:eastAsia="zh-CN"/>
                    </w:rPr>
                    <w:t>50</w:t>
                  </w:r>
                </w:p>
              </w:tc>
              <w:tc>
                <w:tcPr>
                  <w:tcW w:w="1651" w:type="dxa"/>
                  <w:noWrap w:val="0"/>
                  <w:vAlign w:val="center"/>
                </w:tcPr>
                <w:p w14:paraId="7F965671">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w:t>
                  </w:r>
                </w:p>
              </w:tc>
              <w:tc>
                <w:tcPr>
                  <w:tcW w:w="1795" w:type="dxa"/>
                  <w:noWrap w:val="0"/>
                  <w:vAlign w:val="center"/>
                </w:tcPr>
                <w:p w14:paraId="62557ECA">
                  <w:pPr>
                    <w:spacing w:line="276" w:lineRule="auto"/>
                    <w:ind w:right="18" w:right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15</w:t>
                  </w:r>
                </w:p>
              </w:tc>
            </w:tr>
            <w:tr w14:paraId="56D4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5" w:type="dxa"/>
                  <w:gridSpan w:val="2"/>
                  <w:vMerge w:val="restart"/>
                  <w:tcBorders>
                    <w:right w:val="single" w:color="auto" w:sz="4" w:space="0"/>
                  </w:tcBorders>
                  <w:noWrap w:val="0"/>
                  <w:vAlign w:val="center"/>
                </w:tcPr>
                <w:p w14:paraId="443A323F">
                  <w:pPr>
                    <w:spacing w:line="276" w:lineRule="auto"/>
                    <w:ind w:right="18"/>
                    <w:jc w:val="center"/>
                    <w:rPr>
                      <w:rFonts w:hint="default" w:ascii="Times New Roman" w:hAnsi="Times New Roman" w:cs="Times New Roman"/>
                      <w:color w:val="000000"/>
                      <w:szCs w:val="21"/>
                      <w:lang w:val="en-US"/>
                    </w:rPr>
                  </w:pPr>
                  <w:r>
                    <w:rPr>
                      <w:rFonts w:hint="default" w:ascii="Times New Roman" w:hAnsi="Times New Roman" w:cs="Times New Roman"/>
                      <w:color w:val="000000"/>
                      <w:szCs w:val="21"/>
                    </w:rPr>
                    <w:t>零填及</w:t>
                  </w:r>
                  <w:r>
                    <w:rPr>
                      <w:rFonts w:hint="default" w:ascii="Times New Roman" w:hAnsi="Times New Roman" w:cs="Times New Roman"/>
                      <w:color w:val="000000"/>
                      <w:szCs w:val="21"/>
                      <w:lang w:val="en-US" w:eastAsia="zh-CN"/>
                    </w:rPr>
                    <w:t>路堑</w:t>
                  </w:r>
                </w:p>
              </w:tc>
              <w:tc>
                <w:tcPr>
                  <w:tcW w:w="2235" w:type="dxa"/>
                  <w:gridSpan w:val="2"/>
                  <w:tcBorders>
                    <w:left w:val="single" w:color="auto" w:sz="4" w:space="0"/>
                  </w:tcBorders>
                  <w:noWrap w:val="0"/>
                  <w:vAlign w:val="center"/>
                </w:tcPr>
                <w:p w14:paraId="6454410A">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0～3</w:t>
                  </w:r>
                  <w:r>
                    <w:rPr>
                      <w:rFonts w:hint="default" w:ascii="Times New Roman" w:hAnsi="Times New Roman" w:cs="Times New Roman"/>
                      <w:color w:val="000000"/>
                      <w:szCs w:val="21"/>
                      <w:lang w:val="en-US" w:eastAsia="zh-CN"/>
                    </w:rPr>
                    <w:t>0</w:t>
                  </w:r>
                </w:p>
              </w:tc>
              <w:tc>
                <w:tcPr>
                  <w:tcW w:w="1651" w:type="dxa"/>
                  <w:noWrap w:val="0"/>
                  <w:vAlign w:val="center"/>
                </w:tcPr>
                <w:p w14:paraId="4727B2B8">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8</w:t>
                  </w:r>
                </w:p>
              </w:tc>
              <w:tc>
                <w:tcPr>
                  <w:tcW w:w="1795" w:type="dxa"/>
                  <w:noWrap w:val="0"/>
                  <w:vAlign w:val="center"/>
                </w:tcPr>
                <w:p w14:paraId="2245DA59">
                  <w:pPr>
                    <w:spacing w:line="276" w:lineRule="auto"/>
                    <w:ind w:right="18" w:right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r>
            <w:tr w14:paraId="326A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5" w:type="dxa"/>
                  <w:gridSpan w:val="2"/>
                  <w:vMerge w:val="continue"/>
                  <w:tcBorders>
                    <w:right w:val="single" w:color="auto" w:sz="4" w:space="0"/>
                  </w:tcBorders>
                  <w:noWrap w:val="0"/>
                  <w:vAlign w:val="center"/>
                </w:tcPr>
                <w:p w14:paraId="1FD93E98">
                  <w:pPr>
                    <w:spacing w:line="276" w:lineRule="auto"/>
                    <w:ind w:right="18"/>
                    <w:jc w:val="center"/>
                    <w:rPr>
                      <w:rFonts w:hint="default" w:ascii="Times New Roman" w:hAnsi="Times New Roman" w:cs="Times New Roman"/>
                      <w:color w:val="000000"/>
                      <w:szCs w:val="21"/>
                    </w:rPr>
                  </w:pPr>
                </w:p>
              </w:tc>
              <w:tc>
                <w:tcPr>
                  <w:tcW w:w="2235" w:type="dxa"/>
                  <w:gridSpan w:val="2"/>
                  <w:tcBorders>
                    <w:left w:val="single" w:color="auto" w:sz="4" w:space="0"/>
                  </w:tcBorders>
                  <w:noWrap w:val="0"/>
                  <w:vAlign w:val="center"/>
                </w:tcPr>
                <w:p w14:paraId="48A33D13">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3</w:t>
                  </w:r>
                  <w:r>
                    <w:rPr>
                      <w:rFonts w:hint="default" w:ascii="Times New Roman" w:hAnsi="Times New Roman" w:cs="Times New Roman"/>
                      <w:color w:val="000000"/>
                      <w:szCs w:val="21"/>
                      <w:lang w:val="en-US" w:eastAsia="zh-CN"/>
                    </w:rPr>
                    <w:t>0</w:t>
                  </w:r>
                  <w:r>
                    <w:rPr>
                      <w:rFonts w:hint="default" w:ascii="Times New Roman" w:hAnsi="Times New Roman" w:cs="Times New Roman"/>
                      <w:color w:val="000000"/>
                      <w:szCs w:val="21"/>
                    </w:rPr>
                    <w:t>～8</w:t>
                  </w:r>
                  <w:r>
                    <w:rPr>
                      <w:rFonts w:hint="default" w:ascii="Times New Roman" w:hAnsi="Times New Roman" w:cs="Times New Roman"/>
                      <w:color w:val="000000"/>
                      <w:szCs w:val="21"/>
                      <w:lang w:val="en-US" w:eastAsia="zh-CN"/>
                    </w:rPr>
                    <w:t>0</w:t>
                  </w:r>
                </w:p>
              </w:tc>
              <w:tc>
                <w:tcPr>
                  <w:tcW w:w="1651" w:type="dxa"/>
                  <w:noWrap w:val="0"/>
                  <w:vAlign w:val="center"/>
                </w:tcPr>
                <w:p w14:paraId="144C4F79">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w:t>
                  </w:r>
                </w:p>
              </w:tc>
              <w:tc>
                <w:tcPr>
                  <w:tcW w:w="1795" w:type="dxa"/>
                  <w:noWrap w:val="0"/>
                  <w:vAlign w:val="center"/>
                </w:tcPr>
                <w:p w14:paraId="54063DE7">
                  <w:pPr>
                    <w:spacing w:line="276" w:lineRule="auto"/>
                    <w:ind w:right="18" w:rightChars="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r>
          </w:tbl>
          <w:p w14:paraId="0FB69E00">
            <w:pPr>
              <w:pStyle w:val="11"/>
              <w:spacing w:line="360" w:lineRule="auto"/>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4、路基压实</w:t>
            </w:r>
          </w:p>
          <w:p w14:paraId="7D972094">
            <w:pPr>
              <w:pStyle w:val="11"/>
              <w:spacing w:line="360" w:lineRule="auto"/>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路基压实时，应控制好土的含水量，当填土超过最佳含水量允许含量时，应采取晾晒或掺入石灰固化材料等技术措施进行处理。</w:t>
            </w:r>
          </w:p>
          <w:p w14:paraId="1F164678">
            <w:pPr>
              <w:pStyle w:val="6"/>
              <w:rPr>
                <w:rFonts w:hint="default" w:ascii="Times New Roman" w:hAnsi="Times New Roman" w:eastAsia="宋体" w:cs="Times New Roman"/>
                <w:b/>
                <w:bCs/>
                <w:color w:val="000000"/>
                <w:sz w:val="21"/>
                <w:szCs w:val="21"/>
                <w:lang w:val="en-US" w:eastAsia="zh-CN" w:bidi="ar"/>
              </w:rPr>
            </w:pPr>
            <w:r>
              <w:rPr>
                <w:rFonts w:hint="default" w:ascii="Times New Roman" w:hAnsi="Times New Roman" w:eastAsia="宋体" w:cs="Times New Roman"/>
                <w:b/>
                <w:bCs/>
                <w:color w:val="000000"/>
                <w:sz w:val="21"/>
                <w:szCs w:val="21"/>
                <w:lang w:bidi="ar"/>
              </w:rPr>
              <w:t>表2</w:t>
            </w:r>
            <w:r>
              <w:rPr>
                <w:rFonts w:hint="default" w:ascii="Times New Roman" w:hAnsi="Times New Roman" w:eastAsia="宋体" w:cs="Times New Roman"/>
                <w:b/>
                <w:bCs/>
                <w:color w:val="000000"/>
                <w:sz w:val="21"/>
                <w:szCs w:val="21"/>
                <w:lang w:val="en-US" w:eastAsia="zh-CN" w:bidi="ar"/>
              </w:rPr>
              <w:t>.2</w:t>
            </w:r>
            <w:r>
              <w:rPr>
                <w:rFonts w:hint="default" w:ascii="Times New Roman" w:hAnsi="Times New Roman" w:eastAsia="宋体" w:cs="Times New Roman"/>
                <w:b/>
                <w:bCs/>
                <w:color w:val="000000"/>
                <w:sz w:val="21"/>
                <w:szCs w:val="21"/>
                <w:lang w:bidi="ar"/>
              </w:rPr>
              <w:t>-</w:t>
            </w:r>
            <w:r>
              <w:rPr>
                <w:rFonts w:hint="default" w:ascii="Times New Roman" w:hAnsi="Times New Roman" w:eastAsia="宋体" w:cs="Times New Roman"/>
                <w:b/>
                <w:bCs/>
                <w:color w:val="000000"/>
                <w:sz w:val="21"/>
                <w:szCs w:val="21"/>
                <w:lang w:val="en-US" w:eastAsia="zh-CN" w:bidi="ar"/>
              </w:rPr>
              <w:t xml:space="preserve">5 </w:t>
            </w:r>
            <w:r>
              <w:rPr>
                <w:rFonts w:hint="default" w:ascii="Times New Roman" w:hAnsi="Times New Roman" w:eastAsia="宋体" w:cs="Times New Roman"/>
                <w:b/>
                <w:bCs/>
                <w:color w:val="000000"/>
                <w:sz w:val="21"/>
                <w:szCs w:val="21"/>
                <w:lang w:bidi="ar"/>
              </w:rPr>
              <w:t xml:space="preserve"> </w:t>
            </w:r>
            <w:r>
              <w:rPr>
                <w:rFonts w:hint="default" w:ascii="Times New Roman" w:hAnsi="Times New Roman" w:eastAsia="宋体" w:cs="Times New Roman"/>
                <w:b/>
                <w:bCs/>
                <w:color w:val="000000"/>
                <w:sz w:val="21"/>
                <w:szCs w:val="21"/>
                <w:lang w:val="en-US" w:eastAsia="zh-CN" w:bidi="ar"/>
              </w:rPr>
              <w:t>路基压实度标准（重型）</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748"/>
              <w:gridCol w:w="9"/>
              <w:gridCol w:w="2878"/>
              <w:gridCol w:w="2131"/>
            </w:tblGrid>
            <w:tr w14:paraId="7792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056" w:type="pct"/>
                  <w:gridSpan w:val="3"/>
                  <w:vMerge w:val="restart"/>
                  <w:noWrap w:val="0"/>
                  <w:vAlign w:val="center"/>
                </w:tcPr>
                <w:p w14:paraId="04267590">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填挖类型</w:t>
                  </w:r>
                </w:p>
              </w:tc>
              <w:tc>
                <w:tcPr>
                  <w:tcW w:w="1691" w:type="pct"/>
                  <w:vMerge w:val="restart"/>
                  <w:noWrap w:val="0"/>
                  <w:vAlign w:val="center"/>
                </w:tcPr>
                <w:p w14:paraId="158CF2C9">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路床</w:t>
                  </w:r>
                  <w:r>
                    <w:rPr>
                      <w:rFonts w:hint="default" w:ascii="Times New Roman" w:hAnsi="Times New Roman" w:cs="Times New Roman"/>
                      <w:color w:val="000000"/>
                      <w:szCs w:val="21"/>
                      <w:lang w:val="en-US" w:eastAsia="zh-CN"/>
                    </w:rPr>
                    <w:t>顶</w:t>
                  </w:r>
                  <w:r>
                    <w:rPr>
                      <w:rFonts w:hint="default" w:ascii="Times New Roman" w:hAnsi="Times New Roman" w:cs="Times New Roman"/>
                      <w:color w:val="000000"/>
                      <w:szCs w:val="21"/>
                    </w:rPr>
                    <w:t>以下深度(</w:t>
                  </w:r>
                  <w:r>
                    <w:rPr>
                      <w:rFonts w:hint="default" w:ascii="Times New Roman" w:hAnsi="Times New Roman" w:cs="Times New Roman"/>
                      <w:color w:val="000000"/>
                      <w:szCs w:val="21"/>
                      <w:lang w:val="en-US" w:eastAsia="zh-CN"/>
                    </w:rPr>
                    <w:t>cm</w:t>
                  </w:r>
                  <w:r>
                    <w:rPr>
                      <w:rFonts w:hint="default" w:ascii="Times New Roman" w:hAnsi="Times New Roman" w:cs="Times New Roman"/>
                      <w:color w:val="000000"/>
                      <w:szCs w:val="21"/>
                    </w:rPr>
                    <w:t>)</w:t>
                  </w:r>
                </w:p>
              </w:tc>
              <w:tc>
                <w:tcPr>
                  <w:tcW w:w="1252" w:type="pct"/>
                  <w:noWrap w:val="0"/>
                  <w:vAlign w:val="center"/>
                </w:tcPr>
                <w:p w14:paraId="1ADACCD8">
                  <w:pPr>
                    <w:spacing w:line="276" w:lineRule="auto"/>
                    <w:ind w:right="18"/>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压实度(％)</w:t>
                  </w:r>
                </w:p>
              </w:tc>
            </w:tr>
            <w:tr w14:paraId="1D62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2056" w:type="pct"/>
                  <w:gridSpan w:val="3"/>
                  <w:vMerge w:val="continue"/>
                  <w:noWrap w:val="0"/>
                  <w:vAlign w:val="center"/>
                </w:tcPr>
                <w:p w14:paraId="0244F929">
                  <w:pPr>
                    <w:spacing w:line="276" w:lineRule="auto"/>
                    <w:ind w:right="18"/>
                    <w:jc w:val="center"/>
                    <w:rPr>
                      <w:rFonts w:hint="default" w:ascii="Times New Roman" w:hAnsi="Times New Roman" w:cs="Times New Roman"/>
                      <w:color w:val="000000"/>
                      <w:szCs w:val="21"/>
                      <w:lang w:val="en-US" w:eastAsia="zh-CN"/>
                    </w:rPr>
                  </w:pPr>
                </w:p>
              </w:tc>
              <w:tc>
                <w:tcPr>
                  <w:tcW w:w="1691" w:type="pct"/>
                  <w:vMerge w:val="continue"/>
                  <w:noWrap w:val="0"/>
                  <w:vAlign w:val="center"/>
                </w:tcPr>
                <w:p w14:paraId="4F47A9E4">
                  <w:pPr>
                    <w:spacing w:line="276" w:lineRule="auto"/>
                    <w:ind w:right="18"/>
                    <w:jc w:val="center"/>
                    <w:rPr>
                      <w:rFonts w:hint="default" w:ascii="Times New Roman" w:hAnsi="Times New Roman" w:cs="Times New Roman"/>
                      <w:color w:val="000000"/>
                      <w:szCs w:val="21"/>
                    </w:rPr>
                  </w:pPr>
                </w:p>
              </w:tc>
              <w:tc>
                <w:tcPr>
                  <w:tcW w:w="1252" w:type="pct"/>
                  <w:noWrap w:val="0"/>
                  <w:vAlign w:val="center"/>
                </w:tcPr>
                <w:p w14:paraId="7C951593">
                  <w:pPr>
                    <w:spacing w:line="276" w:lineRule="auto"/>
                    <w:ind w:right="18"/>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主干路</w:t>
                  </w:r>
                </w:p>
              </w:tc>
            </w:tr>
            <w:tr w14:paraId="2FBC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24" w:type="pct"/>
                  <w:vMerge w:val="restart"/>
                  <w:noWrap w:val="0"/>
                  <w:vAlign w:val="center"/>
                </w:tcPr>
                <w:p w14:paraId="147AD314">
                  <w:pPr>
                    <w:spacing w:line="276" w:lineRule="auto"/>
                    <w:ind w:right="18"/>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路堤</w:t>
                  </w:r>
                </w:p>
              </w:tc>
              <w:tc>
                <w:tcPr>
                  <w:tcW w:w="1031" w:type="pct"/>
                  <w:gridSpan w:val="2"/>
                  <w:noWrap w:val="0"/>
                  <w:vAlign w:val="center"/>
                </w:tcPr>
                <w:p w14:paraId="428C9FD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上路床</w:t>
                  </w:r>
                </w:p>
              </w:tc>
              <w:tc>
                <w:tcPr>
                  <w:tcW w:w="1691" w:type="pct"/>
                  <w:noWrap w:val="0"/>
                  <w:vAlign w:val="center"/>
                </w:tcPr>
                <w:p w14:paraId="2FE1937D">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30</w:t>
                  </w:r>
                </w:p>
              </w:tc>
              <w:tc>
                <w:tcPr>
                  <w:tcW w:w="1252" w:type="pct"/>
                  <w:noWrap w:val="0"/>
                  <w:vAlign w:val="center"/>
                </w:tcPr>
                <w:p w14:paraId="15672B99">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≥96</w:t>
                  </w:r>
                </w:p>
              </w:tc>
            </w:tr>
            <w:tr w14:paraId="71A6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24" w:type="pct"/>
                  <w:vMerge w:val="continue"/>
                  <w:noWrap w:val="0"/>
                  <w:vAlign w:val="center"/>
                </w:tcPr>
                <w:p w14:paraId="2E03FB92">
                  <w:pPr>
                    <w:spacing w:line="276" w:lineRule="auto"/>
                    <w:ind w:right="18" w:firstLine="420"/>
                    <w:jc w:val="center"/>
                    <w:rPr>
                      <w:rFonts w:hint="default" w:ascii="Times New Roman" w:hAnsi="Times New Roman" w:cs="Times New Roman"/>
                      <w:color w:val="000000"/>
                      <w:szCs w:val="21"/>
                    </w:rPr>
                  </w:pPr>
                </w:p>
              </w:tc>
              <w:tc>
                <w:tcPr>
                  <w:tcW w:w="1031" w:type="pct"/>
                  <w:gridSpan w:val="2"/>
                  <w:noWrap w:val="0"/>
                  <w:vAlign w:val="center"/>
                </w:tcPr>
                <w:p w14:paraId="1131153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下路床</w:t>
                  </w:r>
                </w:p>
              </w:tc>
              <w:tc>
                <w:tcPr>
                  <w:tcW w:w="1691" w:type="pct"/>
                  <w:noWrap w:val="0"/>
                  <w:vAlign w:val="center"/>
                </w:tcPr>
                <w:p w14:paraId="7CA12DFC">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3</w:t>
                  </w:r>
                  <w:r>
                    <w:rPr>
                      <w:rFonts w:hint="default" w:ascii="Times New Roman" w:hAnsi="Times New Roman" w:cs="Times New Roman"/>
                      <w:color w:val="000000"/>
                      <w:szCs w:val="21"/>
                      <w:lang w:val="en-US" w:eastAsia="zh-CN"/>
                    </w:rPr>
                    <w:t>0</w:t>
                  </w:r>
                  <w:r>
                    <w:rPr>
                      <w:rFonts w:hint="default" w:ascii="Times New Roman" w:hAnsi="Times New Roman" w:cs="Times New Roman"/>
                      <w:color w:val="000000"/>
                      <w:szCs w:val="21"/>
                    </w:rPr>
                    <w:t>~</w:t>
                  </w:r>
                  <w:r>
                    <w:rPr>
                      <w:rFonts w:hint="default" w:ascii="Times New Roman" w:hAnsi="Times New Roman" w:cs="Times New Roman"/>
                      <w:color w:val="000000"/>
                      <w:szCs w:val="21"/>
                      <w:lang w:val="en-US" w:eastAsia="zh-CN"/>
                    </w:rPr>
                    <w:t>80</w:t>
                  </w:r>
                </w:p>
              </w:tc>
              <w:tc>
                <w:tcPr>
                  <w:tcW w:w="1252" w:type="pct"/>
                  <w:noWrap w:val="0"/>
                  <w:vAlign w:val="center"/>
                </w:tcPr>
                <w:p w14:paraId="21D0B9D3">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≥96</w:t>
                  </w:r>
                </w:p>
              </w:tc>
            </w:tr>
            <w:tr w14:paraId="5D70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24" w:type="pct"/>
                  <w:vMerge w:val="continue"/>
                  <w:noWrap w:val="0"/>
                  <w:vAlign w:val="center"/>
                </w:tcPr>
                <w:p w14:paraId="1E414C43">
                  <w:pPr>
                    <w:spacing w:line="276" w:lineRule="auto"/>
                    <w:ind w:right="18" w:firstLine="420"/>
                    <w:jc w:val="center"/>
                    <w:rPr>
                      <w:rFonts w:hint="default" w:ascii="Times New Roman" w:hAnsi="Times New Roman" w:cs="Times New Roman"/>
                      <w:color w:val="000000"/>
                      <w:szCs w:val="21"/>
                    </w:rPr>
                  </w:pPr>
                </w:p>
              </w:tc>
              <w:tc>
                <w:tcPr>
                  <w:tcW w:w="1031" w:type="pct"/>
                  <w:gridSpan w:val="2"/>
                  <w:noWrap w:val="0"/>
                  <w:vAlign w:val="center"/>
                </w:tcPr>
                <w:p w14:paraId="35992F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上路堤</w:t>
                  </w:r>
                </w:p>
              </w:tc>
              <w:tc>
                <w:tcPr>
                  <w:tcW w:w="1691" w:type="pct"/>
                  <w:noWrap w:val="0"/>
                  <w:vAlign w:val="center"/>
                </w:tcPr>
                <w:p w14:paraId="3D8301DD">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8</w:t>
                  </w:r>
                  <w:r>
                    <w:rPr>
                      <w:rFonts w:hint="default" w:ascii="Times New Roman" w:hAnsi="Times New Roman" w:cs="Times New Roman"/>
                      <w:color w:val="000000"/>
                      <w:szCs w:val="21"/>
                      <w:lang w:val="en-US" w:eastAsia="zh-CN"/>
                    </w:rPr>
                    <w:t>0</w:t>
                  </w:r>
                  <w:r>
                    <w:rPr>
                      <w:rFonts w:hint="default" w:ascii="Times New Roman" w:hAnsi="Times New Roman" w:cs="Times New Roman"/>
                      <w:color w:val="000000"/>
                      <w:szCs w:val="21"/>
                    </w:rPr>
                    <w:t>～</w:t>
                  </w:r>
                  <w:r>
                    <w:rPr>
                      <w:rFonts w:hint="default" w:ascii="Times New Roman" w:hAnsi="Times New Roman" w:cs="Times New Roman"/>
                      <w:color w:val="000000"/>
                      <w:szCs w:val="21"/>
                      <w:lang w:val="en-US" w:eastAsia="zh-CN"/>
                    </w:rPr>
                    <w:t>150</w:t>
                  </w:r>
                </w:p>
              </w:tc>
              <w:tc>
                <w:tcPr>
                  <w:tcW w:w="1252" w:type="pct"/>
                  <w:noWrap w:val="0"/>
                  <w:vAlign w:val="center"/>
                </w:tcPr>
                <w:p w14:paraId="754DC6D1">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≥96</w:t>
                  </w:r>
                </w:p>
              </w:tc>
            </w:tr>
            <w:tr w14:paraId="3CDF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24" w:type="pct"/>
                  <w:vMerge w:val="continue"/>
                  <w:noWrap w:val="0"/>
                  <w:vAlign w:val="center"/>
                </w:tcPr>
                <w:p w14:paraId="0B6E21A4">
                  <w:pPr>
                    <w:spacing w:line="276" w:lineRule="auto"/>
                    <w:ind w:right="18" w:firstLine="420"/>
                    <w:jc w:val="center"/>
                    <w:rPr>
                      <w:rFonts w:hint="default" w:ascii="Times New Roman" w:hAnsi="Times New Roman" w:cs="Times New Roman"/>
                      <w:color w:val="000000"/>
                      <w:szCs w:val="21"/>
                    </w:rPr>
                  </w:pPr>
                </w:p>
              </w:tc>
              <w:tc>
                <w:tcPr>
                  <w:tcW w:w="1031" w:type="pct"/>
                  <w:gridSpan w:val="2"/>
                  <w:noWrap w:val="0"/>
                  <w:vAlign w:val="center"/>
                </w:tcPr>
                <w:p w14:paraId="7ECAF4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下路堤</w:t>
                  </w:r>
                </w:p>
              </w:tc>
              <w:tc>
                <w:tcPr>
                  <w:tcW w:w="1691" w:type="pct"/>
                  <w:noWrap w:val="0"/>
                  <w:vAlign w:val="center"/>
                </w:tcPr>
                <w:p w14:paraId="43C4F57F">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＞1</w:t>
                  </w:r>
                  <w:r>
                    <w:rPr>
                      <w:rFonts w:hint="default" w:ascii="Times New Roman" w:hAnsi="Times New Roman" w:cs="Times New Roman"/>
                      <w:color w:val="000000"/>
                      <w:szCs w:val="21"/>
                      <w:lang w:val="en-US" w:eastAsia="zh-CN"/>
                    </w:rPr>
                    <w:t>50</w:t>
                  </w:r>
                </w:p>
              </w:tc>
              <w:tc>
                <w:tcPr>
                  <w:tcW w:w="1252" w:type="pct"/>
                  <w:noWrap w:val="0"/>
                  <w:vAlign w:val="center"/>
                </w:tcPr>
                <w:p w14:paraId="1F92403D">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≥96</w:t>
                  </w:r>
                </w:p>
              </w:tc>
            </w:tr>
            <w:tr w14:paraId="57D4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1" w:type="pct"/>
                  <w:gridSpan w:val="2"/>
                  <w:tcBorders>
                    <w:right w:val="single" w:color="auto" w:sz="4" w:space="0"/>
                  </w:tcBorders>
                  <w:noWrap w:val="0"/>
                  <w:vAlign w:val="center"/>
                </w:tcPr>
                <w:p w14:paraId="5B19C7CF">
                  <w:pPr>
                    <w:spacing w:line="276" w:lineRule="auto"/>
                    <w:ind w:right="18"/>
                    <w:jc w:val="center"/>
                    <w:rPr>
                      <w:rFonts w:hint="default" w:ascii="Times New Roman" w:hAnsi="Times New Roman" w:cs="Times New Roman"/>
                      <w:color w:val="000000"/>
                      <w:szCs w:val="21"/>
                      <w:lang w:val="en-US"/>
                    </w:rPr>
                  </w:pPr>
                  <w:r>
                    <w:rPr>
                      <w:rFonts w:hint="default" w:ascii="Times New Roman" w:hAnsi="Times New Roman" w:cs="Times New Roman"/>
                      <w:color w:val="000000"/>
                      <w:szCs w:val="21"/>
                    </w:rPr>
                    <w:t>零填及</w:t>
                  </w:r>
                  <w:r>
                    <w:rPr>
                      <w:rFonts w:hint="default" w:ascii="Times New Roman" w:hAnsi="Times New Roman" w:cs="Times New Roman"/>
                      <w:color w:val="000000"/>
                      <w:szCs w:val="21"/>
                      <w:lang w:val="en-US" w:eastAsia="zh-CN"/>
                    </w:rPr>
                    <w:t>路堑</w:t>
                  </w:r>
                </w:p>
              </w:tc>
              <w:tc>
                <w:tcPr>
                  <w:tcW w:w="1695" w:type="pct"/>
                  <w:gridSpan w:val="2"/>
                  <w:tcBorders>
                    <w:left w:val="single" w:color="auto" w:sz="4" w:space="0"/>
                  </w:tcBorders>
                  <w:noWrap w:val="0"/>
                  <w:vAlign w:val="center"/>
                </w:tcPr>
                <w:p w14:paraId="71B88B3D">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0～3</w:t>
                  </w:r>
                  <w:r>
                    <w:rPr>
                      <w:rFonts w:hint="default" w:ascii="Times New Roman" w:hAnsi="Times New Roman" w:cs="Times New Roman"/>
                      <w:color w:val="000000"/>
                      <w:szCs w:val="21"/>
                      <w:lang w:val="en-US" w:eastAsia="zh-CN"/>
                    </w:rPr>
                    <w:t>0</w:t>
                  </w:r>
                </w:p>
              </w:tc>
              <w:tc>
                <w:tcPr>
                  <w:tcW w:w="1252" w:type="pct"/>
                  <w:noWrap w:val="0"/>
                  <w:vAlign w:val="center"/>
                </w:tcPr>
                <w:p w14:paraId="6FBAD858">
                  <w:pPr>
                    <w:spacing w:line="276" w:lineRule="auto"/>
                    <w:ind w:right="18"/>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≥96</w:t>
                  </w:r>
                </w:p>
              </w:tc>
            </w:tr>
          </w:tbl>
          <w:p w14:paraId="6E8E5F46">
            <w:pPr>
              <w:pStyle w:val="11"/>
              <w:spacing w:line="360" w:lineRule="auto"/>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路基应分层填筑、均匀压实，路基压实采用重型击实标准，路床填料及压实标准应严格按要求执行，以确保土路基顶面回弹模量不小于40Mpa。</w:t>
            </w:r>
          </w:p>
          <w:p w14:paraId="078CAC0C">
            <w:pPr>
              <w:pStyle w:val="11"/>
              <w:spacing w:line="360" w:lineRule="auto"/>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人行道压实度要求同机动车道。</w:t>
            </w:r>
          </w:p>
          <w:p w14:paraId="66F021BD">
            <w:pPr>
              <w:pStyle w:val="11"/>
              <w:spacing w:line="360" w:lineRule="auto"/>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施工期间宜将交通疏解的临时便道、施工便道设置在新建路基上，利用施工期间的行车碾压和自然沉降，使新旧搭接路基的自身沉降得以释放，减少工后沉降。</w:t>
            </w:r>
          </w:p>
          <w:p w14:paraId="6123ADAA">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6、边坡防护设计</w:t>
            </w:r>
          </w:p>
          <w:p w14:paraId="0E3D2C9A">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本项目为市政道路，且周边地块即将开发，根据本项目的特点，路基边坡分为2种类型：</w:t>
            </w:r>
          </w:p>
          <w:p w14:paraId="2281C1CD">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A、同步建设的地块边坡：</w:t>
            </w:r>
          </w:p>
          <w:p w14:paraId="583E5C08">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位于交叉口西南侧。建设期间同步建设，施工时做好协调。不考虑边坡防护及其他。</w:t>
            </w:r>
          </w:p>
          <w:p w14:paraId="20709207">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B、中远期会开发的地块边坡：</w:t>
            </w:r>
          </w:p>
          <w:p w14:paraId="62B1F94A">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周边其他方向的边坡，近期不会开发，中远期会开发时将平整的地块，这部分边坡需按永久边坡进行防护，确保使用期间不会出现问题。为减少浪费，采用放缓坡率和选用价格较低防护方式的综合措施进行防护。</w:t>
            </w:r>
          </w:p>
          <w:p w14:paraId="571D7ADC">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填方边坡</w:t>
            </w:r>
          </w:p>
          <w:p w14:paraId="5A0E2458">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边坡坡率1：1.5，边坡高度大于8m时，超过8m部分坡率为1：1.75，高度3m以下采用喷播植草，大于3m采用三维网植草防护。</w:t>
            </w:r>
          </w:p>
          <w:p w14:paraId="5E75DDBE">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挖方边坡：</w:t>
            </w:r>
          </w:p>
          <w:p w14:paraId="608E5811">
            <w:pPr>
              <w:widowControl/>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边坡坡率1：1，每级边坡高度不超过8m，级与级之间设2米宽台阶，高度3m以下采用喷播植草，大于3m采用三维网植草防护。</w:t>
            </w:r>
          </w:p>
          <w:p w14:paraId="736D2278">
            <w:pPr>
              <w:spacing w:line="360" w:lineRule="auto"/>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2.3排水工程</w:t>
            </w:r>
          </w:p>
          <w:p w14:paraId="27F17900">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（1）雨水工程</w:t>
            </w:r>
          </w:p>
          <w:p w14:paraId="3A363F7F">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在道路南北两侧各新建1根DN1200管，接樊陈路（一期）</w:t>
            </w:r>
            <w:r>
              <w:rPr>
                <w:rFonts w:hint="default" w:ascii="Times New Roman" w:hAnsi="Times New Roman" w:cs="Times New Roman"/>
                <w:color w:val="000000"/>
                <w:kern w:val="0"/>
                <w:sz w:val="24"/>
                <w:lang w:val="en-US" w:eastAsia="zh-CN" w:bidi="ar"/>
              </w:rPr>
              <w:t>拟</w:t>
            </w:r>
            <w:r>
              <w:rPr>
                <w:rFonts w:hint="default" w:ascii="Times New Roman" w:hAnsi="Times New Roman" w:cs="Times New Roman"/>
                <w:color w:val="000000"/>
                <w:kern w:val="0"/>
                <w:sz w:val="24"/>
                <w:lang w:bidi="ar"/>
              </w:rPr>
              <w:t>建两根DN1200的雨水管，过东坡路交叉口后，合为1根DN1500的管。</w:t>
            </w:r>
          </w:p>
          <w:p w14:paraId="10675343">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线外樊陈路二期规划雨水管道的铺设位置（道路北侧车行道下）铺设DN1500的雨水管，新建管道长约387m，自西向东近期临时排入现状排洪沟；</w:t>
            </w:r>
          </w:p>
          <w:p w14:paraId="008133D7">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远期樊陈路二期建设时可利用本次新建的雨水管，取消临时排入排洪沟的出水口，向东继续新建DN1500雨水管，远期最终以郭麻路现状河涌作为永久雨水出口，道路南侧新建DN800-1000的雨水管即可。</w:t>
            </w:r>
          </w:p>
          <w:p w14:paraId="14046510">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（2）污水工程</w:t>
            </w:r>
          </w:p>
          <w:p w14:paraId="15859374">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污水管道负责收集道路沿线街区范围内的污水，并在现状及规划道路路口预留污水管道接口，预留接其他道路污水。</w:t>
            </w:r>
          </w:p>
          <w:p w14:paraId="5794A84A">
            <w:pPr>
              <w:widowControl/>
              <w:spacing w:line="360" w:lineRule="auto"/>
              <w:ind w:firstLine="480" w:firstLineChars="200"/>
              <w:jc w:val="left"/>
              <w:rPr>
                <w:rFonts w:hint="default" w:ascii="Times New Roman" w:hAnsi="Times New Roman" w:eastAsia="宋体" w:cs="Times New Roman"/>
                <w:color w:val="000000"/>
                <w:kern w:val="0"/>
                <w:sz w:val="24"/>
                <w:lang w:eastAsia="zh-CN" w:bidi="ar"/>
              </w:rPr>
            </w:pPr>
            <w:r>
              <w:rPr>
                <w:rFonts w:hint="default" w:ascii="Times New Roman" w:hAnsi="Times New Roman" w:cs="Times New Roman"/>
                <w:color w:val="000000"/>
                <w:kern w:val="0"/>
                <w:sz w:val="24"/>
                <w:lang w:bidi="ar"/>
              </w:rPr>
              <w:t>污水管每隔约30m设一检查井；管道在起点、变径、变坡、方向改变及支管接入处均设检查井；污水检查井采用钢筋混凝土结构，现场浇筑</w:t>
            </w:r>
            <w:r>
              <w:rPr>
                <w:rFonts w:hint="default" w:ascii="Times New Roman" w:hAnsi="Times New Roman" w:cs="Times New Roman"/>
                <w:color w:val="000000"/>
                <w:kern w:val="0"/>
                <w:sz w:val="24"/>
                <w:lang w:eastAsia="zh-CN" w:bidi="ar"/>
              </w:rPr>
              <w:t>。</w:t>
            </w:r>
          </w:p>
          <w:p w14:paraId="0AB45B00">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（4）管材的选择</w:t>
            </w:r>
          </w:p>
          <w:p w14:paraId="5990AB32">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雨水管材：采用II级钢筋混凝土管，O型橡胶圈连接，管径小于等于d1200时采用承插管，大于d1200的采用企口管，管材材质应符合《混凝土和钢筋混凝土排水管》（GB/T11836‐2023）的相关要求。</w:t>
            </w:r>
          </w:p>
          <w:p w14:paraId="1EACBBD8">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污水管材：采用HDPE结构壁B型管，承插电热熔连接，管道环刚度8KN/M2，管材材质应符合《埋地用聚乙烯(PE)结构壁管道系统第2部分:聚乙烯缠绕结构壁管材》（GB/T19472.2-2017）的相关要求。</w:t>
            </w:r>
          </w:p>
          <w:p w14:paraId="6E0D4C9B">
            <w:pPr>
              <w:spacing w:line="360" w:lineRule="auto"/>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w:t>
            </w:r>
            <w:r>
              <w:rPr>
                <w:rFonts w:hint="default" w:ascii="Times New Roman" w:hAnsi="Times New Roman" w:cs="Times New Roman"/>
                <w:b/>
                <w:color w:val="000000"/>
                <w:sz w:val="28"/>
                <w:szCs w:val="28"/>
                <w:highlight w:val="none"/>
                <w:lang w:val="en-US" w:eastAsia="zh-CN"/>
              </w:rPr>
              <w:t>4</w:t>
            </w:r>
            <w:r>
              <w:rPr>
                <w:rFonts w:hint="default" w:ascii="Times New Roman" w:hAnsi="Times New Roman" w:cs="Times New Roman"/>
                <w:b/>
                <w:color w:val="000000"/>
                <w:sz w:val="28"/>
                <w:szCs w:val="28"/>
                <w:highlight w:val="none"/>
              </w:rPr>
              <w:t>照明工程</w:t>
            </w:r>
          </w:p>
          <w:p w14:paraId="66CD68E7">
            <w:pPr>
              <w:pStyle w:val="11"/>
              <w:numPr>
                <w:ilvl w:val="0"/>
                <w:numId w:val="0"/>
              </w:numPr>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路横断面不对称，路灯布置如下：</w:t>
            </w:r>
          </w:p>
          <w:p w14:paraId="1AA39853">
            <w:pPr>
              <w:pStyle w:val="11"/>
              <w:numPr>
                <w:ilvl w:val="0"/>
                <w:numId w:val="0"/>
              </w:numPr>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北侧路灯</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布置在道路侧绿化带内，灯具安装高度12.0m</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机动车道一侧采用260WLED灯具，路灯悬臂长2.5m，人行道一侧采用160WLED灯具，灯具安装高度12.0m，路灯悬臂长2.5m，灯杆间距35.0m，路灯悬臂长1.0m。</w:t>
            </w:r>
          </w:p>
          <w:p w14:paraId="06948993">
            <w:pPr>
              <w:pStyle w:val="11"/>
              <w:numPr>
                <w:ilvl w:val="0"/>
                <w:numId w:val="0"/>
              </w:numPr>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南侧路灯</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布置在人行道边缘，采用中杆三头投光灯，灯杆高15m，采用3×300WLED灯具。</w:t>
            </w:r>
          </w:p>
          <w:p w14:paraId="530E94BD">
            <w:pPr>
              <w:spacing w:line="360" w:lineRule="auto"/>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w:t>
            </w:r>
            <w:r>
              <w:rPr>
                <w:rFonts w:hint="default" w:ascii="Times New Roman" w:hAnsi="Times New Roman" w:cs="Times New Roman"/>
                <w:b/>
                <w:color w:val="000000"/>
                <w:sz w:val="28"/>
                <w:szCs w:val="28"/>
                <w:highlight w:val="none"/>
                <w:lang w:val="en-US" w:eastAsia="zh-CN"/>
              </w:rPr>
              <w:t>5</w:t>
            </w:r>
            <w:r>
              <w:rPr>
                <w:rFonts w:hint="default" w:ascii="Times New Roman" w:hAnsi="Times New Roman" w:cs="Times New Roman"/>
                <w:b/>
                <w:color w:val="000000"/>
                <w:sz w:val="28"/>
                <w:szCs w:val="28"/>
                <w:highlight w:val="none"/>
              </w:rPr>
              <w:t>海绵城市设计</w:t>
            </w:r>
          </w:p>
          <w:p w14:paraId="67A8999F">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(1)低影响开发LID设计控制目标:该项目属于拟建区，年径流量控制率85%,设计降雨量为28mm，径流污染控制率50%。</w:t>
            </w:r>
          </w:p>
          <w:p w14:paraId="6128EB13">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(2)人行道采用透水铺装，截流部分初期雨水。</w:t>
            </w:r>
          </w:p>
          <w:p w14:paraId="161A4A33">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(3)雨水口井内加设截污挂篮(采用海绵专业厂家产品)，井底下降30cm沉泥。</w:t>
            </w:r>
          </w:p>
          <w:p w14:paraId="674FAFBB">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(4)交叉路口，雨水量较大，流速较快，且无绿化带，设置双雨水口，保证交叉路口不积水。</w:t>
            </w:r>
          </w:p>
          <w:p w14:paraId="7FB2FC09">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(5)室外给排水管道覆土深度不够0.7m的均采用360度C15混凝土包管处理,厚20cm。</w:t>
            </w:r>
          </w:p>
          <w:p w14:paraId="5B04BA5C">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(6)由于本项目设计的道路宽度有限，植草沟难以实施，人行道采用透水铺装对初期雨水进行截流，近期对雨水的径流控制能力有限，根据现状水域情况，建议未来在现状水域的景观规划及设计中考虑设置终端处理设施，对初期雨水进行净化处理，保证径流量和径流污染控制率。</w:t>
            </w:r>
          </w:p>
          <w:p w14:paraId="3E11D94E">
            <w:pPr>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(7)未尽事宜请按国家现行有关规范和规定执行。</w:t>
            </w:r>
          </w:p>
          <w:p w14:paraId="770FF728">
            <w:pPr>
              <w:spacing w:line="360" w:lineRule="auto"/>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w:t>
            </w:r>
            <w:r>
              <w:rPr>
                <w:rFonts w:hint="default" w:ascii="Times New Roman" w:hAnsi="Times New Roman" w:cs="Times New Roman"/>
                <w:b/>
                <w:color w:val="000000"/>
                <w:sz w:val="28"/>
                <w:szCs w:val="28"/>
                <w:highlight w:val="none"/>
                <w:lang w:val="en-US" w:eastAsia="zh-CN"/>
              </w:rPr>
              <w:t>6</w:t>
            </w:r>
            <w:r>
              <w:rPr>
                <w:rFonts w:hint="default" w:ascii="Times New Roman" w:hAnsi="Times New Roman" w:cs="Times New Roman"/>
                <w:b/>
                <w:color w:val="000000"/>
                <w:sz w:val="28"/>
                <w:szCs w:val="28"/>
                <w:highlight w:val="none"/>
              </w:rPr>
              <w:t>绿化工程</w:t>
            </w:r>
          </w:p>
          <w:p w14:paraId="1995EE88">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设计方案与樊陈路一期保持一致，确保景观的一致性。</w:t>
            </w:r>
          </w:p>
          <w:p w14:paraId="42D82FAA">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1)北侧机非绿化带:</w:t>
            </w:r>
          </w:p>
          <w:p w14:paraId="677C0935">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全线草皮铺满作为地被，以常绿乔木香樟，变色叶树种栾树作为上层乔木，布置全线，组成规整大气、韵律十足型迎宾景观大道。</w:t>
            </w:r>
          </w:p>
          <w:p w14:paraId="6DE44EBC">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2)南侧人行道树池(树池加大树风格):</w:t>
            </w:r>
          </w:p>
          <w:p w14:paraId="4BCEF8DB">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南侧人行道设置1.5m树池，行道树采用香樟，一般间距7m。</w:t>
            </w:r>
          </w:p>
          <w:p w14:paraId="738D1F6E">
            <w:pPr>
              <w:spacing w:line="360" w:lineRule="auto"/>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w:t>
            </w:r>
            <w:r>
              <w:rPr>
                <w:rFonts w:hint="default" w:ascii="Times New Roman" w:hAnsi="Times New Roman" w:cs="Times New Roman"/>
                <w:b/>
                <w:color w:val="000000"/>
                <w:sz w:val="28"/>
                <w:szCs w:val="28"/>
                <w:highlight w:val="none"/>
                <w:lang w:val="en-US" w:eastAsia="zh-CN"/>
              </w:rPr>
              <w:t>7</w:t>
            </w:r>
            <w:r>
              <w:rPr>
                <w:rFonts w:hint="default" w:ascii="Times New Roman" w:hAnsi="Times New Roman" w:cs="Times New Roman"/>
                <w:b/>
                <w:color w:val="000000"/>
                <w:sz w:val="28"/>
                <w:szCs w:val="28"/>
                <w:highlight w:val="none"/>
              </w:rPr>
              <w:t>交通量预测</w:t>
            </w:r>
          </w:p>
          <w:p w14:paraId="6E9ADAC5">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（1）车型构成</w:t>
            </w:r>
          </w:p>
          <w:p w14:paraId="334CD608">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根据《公路建设项目环境影响评价规范》（JTGB03-2006）的要求，将汽车车型分为大、中、小三种，车型分类标准见</w:t>
            </w:r>
            <w:r>
              <w:rPr>
                <w:rFonts w:hint="default" w:ascii="Times New Roman" w:hAnsi="Times New Roman" w:cs="Times New Roman"/>
                <w:color w:val="000000"/>
                <w:kern w:val="0"/>
                <w:sz w:val="24"/>
                <w:lang w:val="en-US" w:eastAsia="zh-CN" w:bidi="ar"/>
              </w:rPr>
              <w:t>下表</w:t>
            </w:r>
            <w:r>
              <w:rPr>
                <w:rFonts w:hint="default" w:ascii="Times New Roman" w:hAnsi="Times New Roman" w:cs="Times New Roman"/>
                <w:color w:val="000000"/>
                <w:kern w:val="0"/>
                <w:sz w:val="24"/>
                <w:lang w:bidi="ar"/>
              </w:rPr>
              <w:t>。</w:t>
            </w:r>
          </w:p>
          <w:p w14:paraId="797D3E70">
            <w:pPr>
              <w:pStyle w:val="6"/>
              <w:spacing w:line="360" w:lineRule="auto"/>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2.7-1</w:t>
            </w:r>
            <w:r>
              <w:rPr>
                <w:rFonts w:hint="default" w:ascii="Times New Roman" w:hAnsi="Times New Roman" w:eastAsia="宋体" w:cs="Times New Roman"/>
                <w:b/>
                <w:bCs/>
                <w:color w:val="000000"/>
                <w:sz w:val="21"/>
                <w:szCs w:val="21"/>
                <w:lang w:bidi="ar"/>
              </w:rPr>
              <w:t xml:space="preserve"> </w:t>
            </w:r>
            <w:r>
              <w:rPr>
                <w:rFonts w:hint="default" w:ascii="Times New Roman" w:hAnsi="Times New Roman" w:eastAsia="宋体" w:cs="Times New Roman"/>
                <w:b/>
                <w:bCs/>
                <w:color w:val="000000"/>
                <w:sz w:val="21"/>
                <w:szCs w:val="21"/>
                <w:lang w:val="en-US" w:eastAsia="zh-CN" w:bidi="ar"/>
              </w:rPr>
              <w:t xml:space="preserve"> </w:t>
            </w:r>
            <w:r>
              <w:rPr>
                <w:rFonts w:hint="default" w:ascii="Times New Roman" w:hAnsi="Times New Roman" w:eastAsia="宋体" w:cs="Times New Roman"/>
                <w:b/>
                <w:bCs/>
                <w:color w:val="000000"/>
                <w:sz w:val="21"/>
                <w:szCs w:val="21"/>
                <w:lang w:bidi="ar"/>
              </w:rPr>
              <w:t>车型分类标准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2072"/>
              <w:gridCol w:w="4402"/>
            </w:tblGrid>
            <w:tr w14:paraId="428B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3" w:type="dxa"/>
                  <w:noWrap w:val="0"/>
                  <w:vAlign w:val="center"/>
                </w:tcPr>
                <w:p w14:paraId="2429AF3C">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车型</w:t>
                  </w:r>
                </w:p>
              </w:tc>
              <w:tc>
                <w:tcPr>
                  <w:tcW w:w="2072" w:type="dxa"/>
                  <w:noWrap w:val="0"/>
                  <w:vAlign w:val="center"/>
                </w:tcPr>
                <w:p w14:paraId="5F4F47C0">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汽车总质量</w:t>
                  </w:r>
                </w:p>
              </w:tc>
              <w:tc>
                <w:tcPr>
                  <w:tcW w:w="4402" w:type="dxa"/>
                  <w:noWrap w:val="0"/>
                  <w:vAlign w:val="center"/>
                </w:tcPr>
                <w:p w14:paraId="65EC2660">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主要汽车类型</w:t>
                  </w:r>
                </w:p>
              </w:tc>
            </w:tr>
            <w:tr w14:paraId="778C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3" w:type="dxa"/>
                  <w:noWrap w:val="0"/>
                  <w:vAlign w:val="center"/>
                </w:tcPr>
                <w:p w14:paraId="4A154FD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小型车（s）</w:t>
                  </w:r>
                </w:p>
              </w:tc>
              <w:tc>
                <w:tcPr>
                  <w:tcW w:w="2072" w:type="dxa"/>
                  <w:noWrap w:val="0"/>
                  <w:vAlign w:val="center"/>
                </w:tcPr>
                <w:p w14:paraId="788DF191">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3.5t以下</w:t>
                  </w:r>
                </w:p>
              </w:tc>
              <w:tc>
                <w:tcPr>
                  <w:tcW w:w="4402" w:type="dxa"/>
                  <w:noWrap w:val="0"/>
                  <w:vAlign w:val="center"/>
                </w:tcPr>
                <w:p w14:paraId="5AEEC0A8">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7座以下中小型客车、小型货车、轿车</w:t>
                  </w:r>
                </w:p>
              </w:tc>
            </w:tr>
            <w:tr w14:paraId="7E20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3" w:type="dxa"/>
                  <w:noWrap w:val="0"/>
                  <w:vAlign w:val="center"/>
                </w:tcPr>
                <w:p w14:paraId="4E460D3F">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中型车（m）</w:t>
                  </w:r>
                </w:p>
              </w:tc>
              <w:tc>
                <w:tcPr>
                  <w:tcW w:w="2072" w:type="dxa"/>
                  <w:noWrap w:val="0"/>
                  <w:vAlign w:val="center"/>
                </w:tcPr>
                <w:p w14:paraId="54F7DB3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3.5t以上～12t</w:t>
                  </w:r>
                </w:p>
              </w:tc>
              <w:tc>
                <w:tcPr>
                  <w:tcW w:w="4402" w:type="dxa"/>
                  <w:noWrap w:val="0"/>
                  <w:vAlign w:val="center"/>
                </w:tcPr>
                <w:p w14:paraId="41D3277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农用三轮车、四轮车、中型客车、中型货车</w:t>
                  </w:r>
                </w:p>
              </w:tc>
            </w:tr>
            <w:tr w14:paraId="541B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3" w:type="dxa"/>
                  <w:noWrap w:val="0"/>
                  <w:vAlign w:val="center"/>
                </w:tcPr>
                <w:p w14:paraId="409B9A48">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大型车（L）</w:t>
                  </w:r>
                </w:p>
              </w:tc>
              <w:tc>
                <w:tcPr>
                  <w:tcW w:w="2072" w:type="dxa"/>
                  <w:noWrap w:val="0"/>
                  <w:vAlign w:val="center"/>
                </w:tcPr>
                <w:p w14:paraId="2B89C4C3">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12t以上</w:t>
                  </w:r>
                </w:p>
              </w:tc>
              <w:tc>
                <w:tcPr>
                  <w:tcW w:w="4402" w:type="dxa"/>
                  <w:noWrap w:val="0"/>
                  <w:vAlign w:val="center"/>
                </w:tcPr>
                <w:p w14:paraId="114C028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大客车、大货车、集装箱车、拖挂车、工程车等</w:t>
                  </w:r>
                </w:p>
              </w:tc>
            </w:tr>
          </w:tbl>
          <w:p w14:paraId="5EA0DA7A">
            <w:pPr>
              <w:widowControl/>
              <w:spacing w:line="360" w:lineRule="auto"/>
              <w:ind w:firstLine="480" w:firstLineChars="200"/>
              <w:jc w:val="left"/>
              <w:rPr>
                <w:rFonts w:hint="default" w:ascii="Times New Roman" w:hAnsi="Times New Roman" w:cs="Times New Roman"/>
                <w:color w:val="000000"/>
                <w:kern w:val="0"/>
                <w:sz w:val="24"/>
                <w:lang w:val="en-US" w:eastAsia="zh-CN" w:bidi="ar"/>
              </w:rPr>
            </w:pPr>
            <w:r>
              <w:rPr>
                <w:rFonts w:hint="default" w:ascii="Times New Roman" w:hAnsi="Times New Roman" w:cs="Times New Roman"/>
                <w:color w:val="000000"/>
                <w:kern w:val="0"/>
                <w:sz w:val="24"/>
                <w:lang w:bidi="ar"/>
              </w:rPr>
              <w:t>（2）</w:t>
            </w:r>
            <w:r>
              <w:rPr>
                <w:rFonts w:hint="default" w:ascii="Times New Roman" w:hAnsi="Times New Roman" w:cs="Times New Roman"/>
                <w:color w:val="000000"/>
                <w:kern w:val="0"/>
                <w:sz w:val="24"/>
                <w:lang w:val="en-US" w:eastAsia="zh-CN" w:bidi="ar"/>
              </w:rPr>
              <w:t>当量换算系数</w:t>
            </w:r>
          </w:p>
          <w:p w14:paraId="02592D15">
            <w:pPr>
              <w:widowControl/>
              <w:spacing w:line="360" w:lineRule="auto"/>
              <w:ind w:firstLine="480" w:firstLineChars="200"/>
              <w:jc w:val="left"/>
              <w:rPr>
                <w:rFonts w:hint="default" w:ascii="Times New Roman" w:hAnsi="Times New Roman" w:cs="Times New Roman"/>
                <w:color w:val="000000"/>
                <w:kern w:val="0"/>
                <w:sz w:val="24"/>
                <w:lang w:val="en-US" w:eastAsia="zh-CN" w:bidi="ar"/>
              </w:rPr>
            </w:pPr>
            <w:r>
              <w:rPr>
                <w:rFonts w:hint="default" w:ascii="Times New Roman" w:hAnsi="Times New Roman" w:cs="Times New Roman"/>
                <w:color w:val="000000"/>
                <w:kern w:val="0"/>
                <w:sz w:val="24"/>
                <w:lang w:val="en-US" w:eastAsia="zh-CN" w:bidi="ar"/>
              </w:rPr>
              <w:t>按照《城市道路交通规划设计规范》所列标准，各类车型与单位小汽车换算如下表:</w:t>
            </w:r>
          </w:p>
          <w:p w14:paraId="14601CFB">
            <w:pPr>
              <w:pStyle w:val="6"/>
              <w:spacing w:line="360" w:lineRule="auto"/>
              <w:rPr>
                <w:rFonts w:hint="default" w:ascii="Times New Roman" w:hAnsi="Times New Roman" w:eastAsia="宋体" w:cs="Times New Roman"/>
                <w:b/>
                <w:bCs/>
                <w:color w:val="000000"/>
                <w:sz w:val="21"/>
                <w:szCs w:val="21"/>
                <w:lang w:val="en-US" w:eastAsia="zh-CN" w:bidi="ar"/>
              </w:rPr>
            </w:pPr>
            <w:r>
              <w:rPr>
                <w:rFonts w:hint="default" w:ascii="Times New Roman" w:hAnsi="Times New Roman" w:eastAsia="宋体" w:cs="Times New Roman"/>
                <w:b/>
                <w:bCs/>
                <w:color w:val="000000"/>
                <w:sz w:val="21"/>
                <w:szCs w:val="21"/>
                <w:lang w:val="en-US" w:eastAsia="zh-CN" w:bidi="ar"/>
              </w:rPr>
              <w:t>表2.7-2  各车型与当量小汽车换算系数表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9"/>
              <w:gridCol w:w="4200"/>
            </w:tblGrid>
            <w:tr w14:paraId="61C7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67C51D12">
                  <w:pPr>
                    <w:rPr>
                      <w:rFonts w:hint="default" w:ascii="Times New Roman" w:hAnsi="Times New Roman" w:cs="Times New Roman"/>
                      <w:vertAlign w:val="baseline"/>
                      <w:lang w:val="en-US" w:eastAsia="zh-CN"/>
                    </w:rPr>
                  </w:pPr>
                  <w:r>
                    <w:rPr>
                      <w:rFonts w:hint="default" w:ascii="Times New Roman" w:hAnsi="Times New Roman" w:cs="Times New Roman"/>
                    </w:rPr>
                    <w:t>车辆总类</w:t>
                  </w:r>
                </w:p>
              </w:tc>
              <w:tc>
                <w:tcPr>
                  <w:tcW w:w="4200" w:type="dxa"/>
                </w:tcPr>
                <w:p w14:paraId="508E266B">
                  <w:pPr>
                    <w:rPr>
                      <w:rFonts w:hint="default" w:ascii="Times New Roman" w:hAnsi="Times New Roman" w:cs="Times New Roman"/>
                      <w:vertAlign w:val="baseline"/>
                      <w:lang w:val="en-US" w:eastAsia="zh-CN"/>
                    </w:rPr>
                  </w:pPr>
                  <w:r>
                    <w:rPr>
                      <w:rFonts w:hint="default" w:ascii="Times New Roman" w:hAnsi="Times New Roman" w:cs="Times New Roman"/>
                    </w:rPr>
                    <w:t>当量小汽车</w:t>
                  </w:r>
                </w:p>
              </w:tc>
            </w:tr>
            <w:tr w14:paraId="3E1A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35CEBD23">
                  <w:pPr>
                    <w:rPr>
                      <w:rFonts w:hint="default" w:ascii="Times New Roman" w:hAnsi="Times New Roman" w:cs="Times New Roman"/>
                      <w:vertAlign w:val="baseline"/>
                      <w:lang w:val="en-US" w:eastAsia="zh-CN"/>
                    </w:rPr>
                  </w:pPr>
                  <w:r>
                    <w:rPr>
                      <w:rFonts w:hint="default" w:ascii="Times New Roman" w:hAnsi="Times New Roman" w:cs="Times New Roman"/>
                    </w:rPr>
                    <w:t>公交车、较节车</w:t>
                  </w:r>
                </w:p>
              </w:tc>
              <w:tc>
                <w:tcPr>
                  <w:tcW w:w="4200" w:type="dxa"/>
                </w:tcPr>
                <w:p w14:paraId="243E4C38">
                  <w:pPr>
                    <w:rPr>
                      <w:rFonts w:hint="default" w:ascii="Times New Roman" w:hAnsi="Times New Roman" w:cs="Times New Roman"/>
                      <w:vertAlign w:val="baseline"/>
                      <w:lang w:val="en-US" w:eastAsia="zh-CN"/>
                    </w:rPr>
                  </w:pPr>
                  <w:r>
                    <w:rPr>
                      <w:rFonts w:hint="default" w:ascii="Times New Roman" w:hAnsi="Times New Roman" w:cs="Times New Roman"/>
                    </w:rPr>
                    <w:t>2.5</w:t>
                  </w:r>
                </w:p>
              </w:tc>
            </w:tr>
            <w:tr w14:paraId="0A6A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4199" w:type="dxa"/>
                </w:tcPr>
                <w:p w14:paraId="3309D058">
                  <w:pPr>
                    <w:rPr>
                      <w:rFonts w:hint="default" w:ascii="Times New Roman" w:hAnsi="Times New Roman" w:cs="Times New Roman"/>
                      <w:vertAlign w:val="baseline"/>
                      <w:lang w:val="en-US" w:eastAsia="zh-CN"/>
                    </w:rPr>
                  </w:pPr>
                  <w:r>
                    <w:rPr>
                      <w:rFonts w:hint="default" w:ascii="Times New Roman" w:hAnsi="Times New Roman" w:cs="Times New Roman"/>
                    </w:rPr>
                    <w:t>公交小巴小货车</w:t>
                  </w:r>
                </w:p>
              </w:tc>
              <w:tc>
                <w:tcPr>
                  <w:tcW w:w="4200" w:type="dxa"/>
                </w:tcPr>
                <w:p w14:paraId="25F24BF1">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1.2</w:t>
                  </w:r>
                </w:p>
              </w:tc>
            </w:tr>
            <w:tr w14:paraId="4074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3831140E">
                  <w:pPr>
                    <w:rPr>
                      <w:rFonts w:hint="default" w:ascii="Times New Roman" w:hAnsi="Times New Roman" w:cs="Times New Roman"/>
                      <w:vertAlign w:val="baseline"/>
                      <w:lang w:val="en-US" w:eastAsia="zh-CN"/>
                    </w:rPr>
                  </w:pPr>
                  <w:r>
                    <w:rPr>
                      <w:rFonts w:hint="default" w:ascii="Times New Roman" w:hAnsi="Times New Roman" w:cs="Times New Roman"/>
                    </w:rPr>
                    <w:t>大客车(含公交单节车)</w:t>
                  </w:r>
                </w:p>
              </w:tc>
              <w:tc>
                <w:tcPr>
                  <w:tcW w:w="4200" w:type="dxa"/>
                </w:tcPr>
                <w:p w14:paraId="0C768A46">
                  <w:pPr>
                    <w:rPr>
                      <w:rFonts w:hint="default" w:ascii="Times New Roman" w:hAnsi="Times New Roman" w:cs="Times New Roman"/>
                      <w:vertAlign w:val="baseline"/>
                      <w:lang w:val="en-US" w:eastAsia="zh-CN"/>
                    </w:rPr>
                  </w:pPr>
                  <w:r>
                    <w:rPr>
                      <w:rFonts w:hint="default" w:ascii="Times New Roman" w:hAnsi="Times New Roman" w:cs="Times New Roman"/>
                    </w:rPr>
                    <w:t>2</w:t>
                  </w:r>
                </w:p>
              </w:tc>
            </w:tr>
            <w:tr w14:paraId="6A7D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1D203035">
                  <w:pPr>
                    <w:rPr>
                      <w:rFonts w:hint="default" w:ascii="Times New Roman" w:hAnsi="Times New Roman" w:cs="Times New Roman"/>
                      <w:vertAlign w:val="baseline"/>
                      <w:lang w:val="en-US" w:eastAsia="zh-CN"/>
                    </w:rPr>
                  </w:pPr>
                  <w:r>
                    <w:rPr>
                      <w:rFonts w:hint="default" w:ascii="Times New Roman" w:hAnsi="Times New Roman" w:cs="Times New Roman"/>
                    </w:rPr>
                    <w:t>大货车</w:t>
                  </w:r>
                </w:p>
              </w:tc>
              <w:tc>
                <w:tcPr>
                  <w:tcW w:w="4200" w:type="dxa"/>
                </w:tcPr>
                <w:p w14:paraId="2079EA7B">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2.3</w:t>
                  </w:r>
                </w:p>
              </w:tc>
            </w:tr>
            <w:tr w14:paraId="47A7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654A11CC">
                  <w:pPr>
                    <w:rPr>
                      <w:rFonts w:hint="default" w:ascii="Times New Roman" w:hAnsi="Times New Roman" w:cs="Times New Roman"/>
                      <w:vertAlign w:val="baseline"/>
                      <w:lang w:val="en-US" w:eastAsia="zh-CN"/>
                    </w:rPr>
                  </w:pPr>
                  <w:r>
                    <w:rPr>
                      <w:rFonts w:hint="default" w:ascii="Times New Roman" w:hAnsi="Times New Roman" w:cs="Times New Roman"/>
                    </w:rPr>
                    <w:t>小客车(含出租车)</w:t>
                  </w:r>
                </w:p>
              </w:tc>
              <w:tc>
                <w:tcPr>
                  <w:tcW w:w="4200" w:type="dxa"/>
                </w:tcPr>
                <w:p w14:paraId="455763E9">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r>
            <w:tr w14:paraId="729E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18D4B68B">
                  <w:pPr>
                    <w:rPr>
                      <w:rFonts w:hint="default" w:ascii="Times New Roman" w:hAnsi="Times New Roman" w:cs="Times New Roman"/>
                      <w:vertAlign w:val="baseline"/>
                      <w:lang w:val="en-US" w:eastAsia="zh-CN"/>
                    </w:rPr>
                  </w:pPr>
                  <w:r>
                    <w:rPr>
                      <w:rFonts w:hint="default" w:ascii="Times New Roman" w:hAnsi="Times New Roman" w:cs="Times New Roman"/>
                    </w:rPr>
                    <w:t>集装箱卡车</w:t>
                  </w:r>
                </w:p>
              </w:tc>
              <w:tc>
                <w:tcPr>
                  <w:tcW w:w="4200" w:type="dxa"/>
                </w:tcPr>
                <w:p w14:paraId="5AC64DB0">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w:t>
                  </w:r>
                </w:p>
              </w:tc>
            </w:tr>
            <w:tr w14:paraId="1F7C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9" w:type="dxa"/>
                </w:tcPr>
                <w:p w14:paraId="3AE71A14">
                  <w:pPr>
                    <w:rPr>
                      <w:rFonts w:hint="default" w:ascii="Times New Roman" w:hAnsi="Times New Roman" w:cs="Times New Roman"/>
                      <w:vertAlign w:val="baseline"/>
                      <w:lang w:val="en-US" w:eastAsia="zh-CN"/>
                    </w:rPr>
                  </w:pPr>
                  <w:r>
                    <w:rPr>
                      <w:rFonts w:hint="default" w:ascii="Times New Roman" w:hAnsi="Times New Roman" w:cs="Times New Roman"/>
                    </w:rPr>
                    <w:t>摩托车</w:t>
                  </w:r>
                </w:p>
              </w:tc>
              <w:tc>
                <w:tcPr>
                  <w:tcW w:w="4200" w:type="dxa"/>
                </w:tcPr>
                <w:p w14:paraId="2F106CDE">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0.6</w:t>
                  </w:r>
                </w:p>
              </w:tc>
            </w:tr>
          </w:tbl>
          <w:p w14:paraId="47425E93">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w:t>
            </w:r>
            <w:r>
              <w:rPr>
                <w:rFonts w:hint="default" w:ascii="Times New Roman" w:hAnsi="Times New Roman" w:cs="Times New Roman"/>
                <w:color w:val="000000"/>
                <w:kern w:val="0"/>
                <w:sz w:val="24"/>
                <w:lang w:val="en-US" w:eastAsia="zh-CN" w:bidi="ar"/>
              </w:rPr>
              <w:t>3</w:t>
            </w:r>
            <w:r>
              <w:rPr>
                <w:rFonts w:hint="default" w:ascii="Times New Roman" w:hAnsi="Times New Roman" w:cs="Times New Roman"/>
                <w:color w:val="000000"/>
                <w:kern w:val="0"/>
                <w:sz w:val="24"/>
                <w:lang w:bidi="ar"/>
              </w:rPr>
              <w:t>）交通量预测</w:t>
            </w:r>
          </w:p>
          <w:p w14:paraId="000356A4">
            <w:pPr>
              <w:widowControl/>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kern w:val="0"/>
                <w:sz w:val="24"/>
                <w:lang w:val="en-US" w:eastAsia="zh-CN" w:bidi="ar"/>
              </w:rPr>
              <w:t>根据可研报告，</w:t>
            </w:r>
            <w:r>
              <w:rPr>
                <w:rFonts w:hint="default" w:ascii="Times New Roman" w:hAnsi="Times New Roman" w:cs="Times New Roman"/>
                <w:color w:val="000000"/>
                <w:kern w:val="0"/>
                <w:sz w:val="24"/>
                <w:lang w:bidi="ar"/>
              </w:rPr>
              <w:t>各目标年车型构成比例均为小型车：中型车：大型车=</w:t>
            </w:r>
            <w:r>
              <w:rPr>
                <w:rFonts w:hint="default" w:ascii="Times New Roman" w:hAnsi="Times New Roman" w:cs="Times New Roman"/>
                <w:color w:val="000000"/>
                <w:kern w:val="0"/>
                <w:sz w:val="24"/>
                <w:lang w:val="en-US" w:eastAsia="zh-CN" w:bidi="ar"/>
              </w:rPr>
              <w:t>8</w:t>
            </w:r>
            <w:r>
              <w:rPr>
                <w:rFonts w:hint="default" w:ascii="Times New Roman" w:hAnsi="Times New Roman" w:cs="Times New Roman"/>
                <w:color w:val="000000"/>
                <w:kern w:val="0"/>
                <w:sz w:val="24"/>
                <w:lang w:bidi="ar"/>
              </w:rPr>
              <w:t>:</w:t>
            </w:r>
            <w:r>
              <w:rPr>
                <w:rFonts w:hint="default" w:ascii="Times New Roman" w:hAnsi="Times New Roman" w:cs="Times New Roman"/>
                <w:color w:val="000000"/>
                <w:kern w:val="0"/>
                <w:sz w:val="24"/>
                <w:lang w:val="en-US" w:eastAsia="zh-CN" w:bidi="ar"/>
              </w:rPr>
              <w:t>1</w:t>
            </w:r>
            <w:r>
              <w:rPr>
                <w:rFonts w:hint="default" w:ascii="Times New Roman" w:hAnsi="Times New Roman" w:cs="Times New Roman"/>
                <w:color w:val="000000"/>
                <w:kern w:val="0"/>
                <w:sz w:val="24"/>
                <w:lang w:bidi="ar"/>
              </w:rPr>
              <w:t>:1，</w:t>
            </w:r>
            <w:r>
              <w:rPr>
                <w:rFonts w:hint="default" w:ascii="Times New Roman" w:hAnsi="Times New Roman" w:cs="Times New Roman"/>
                <w:color w:val="000000"/>
                <w:kern w:val="0"/>
                <w:sz w:val="24"/>
              </w:rPr>
              <w:t>昼间为6:00-22:00，共计16h，夜间为22:00-6:00，共计8h，昼夜交通量比例约为6:1</w:t>
            </w:r>
            <w:r>
              <w:rPr>
                <w:rFonts w:hint="default" w:ascii="Times New Roman" w:hAnsi="Times New Roman" w:cs="Times New Roman"/>
                <w:color w:val="000000"/>
                <w:kern w:val="0"/>
                <w:sz w:val="24"/>
                <w:lang w:bidi="ar"/>
              </w:rPr>
              <w:t>。本项目各特征年交通量预测结果见</w:t>
            </w:r>
            <w:r>
              <w:rPr>
                <w:rFonts w:hint="default" w:ascii="Times New Roman" w:hAnsi="Times New Roman" w:cs="Times New Roman"/>
                <w:color w:val="000000"/>
                <w:kern w:val="0"/>
                <w:sz w:val="24"/>
                <w:lang w:bidi="ar"/>
              </w:rPr>
              <w:fldChar w:fldCharType="begin"/>
            </w:r>
            <w:r>
              <w:rPr>
                <w:rFonts w:hint="default" w:ascii="Times New Roman" w:hAnsi="Times New Roman" w:cs="Times New Roman"/>
                <w:color w:val="000000"/>
                <w:kern w:val="0"/>
                <w:sz w:val="24"/>
                <w:lang w:bidi="ar"/>
              </w:rPr>
              <w:instrText xml:space="preserve"> REF _Ref388291568 \h  \* MERGEFORMAT </w:instrText>
            </w:r>
            <w:r>
              <w:rPr>
                <w:rFonts w:hint="default" w:ascii="Times New Roman" w:hAnsi="Times New Roman" w:cs="Times New Roman"/>
                <w:color w:val="000000"/>
                <w:kern w:val="0"/>
                <w:sz w:val="24"/>
                <w:lang w:bidi="ar"/>
              </w:rPr>
              <w:fldChar w:fldCharType="separate"/>
            </w:r>
            <w:r>
              <w:rPr>
                <w:rFonts w:hint="default" w:ascii="Times New Roman" w:hAnsi="Times New Roman" w:cs="Times New Roman"/>
                <w:color w:val="000000"/>
                <w:kern w:val="0"/>
                <w:sz w:val="24"/>
                <w:lang w:bidi="ar"/>
              </w:rPr>
              <w:t>表</w:t>
            </w:r>
            <w:r>
              <w:rPr>
                <w:rFonts w:hint="default" w:ascii="Times New Roman" w:hAnsi="Times New Roman" w:cs="Times New Roman"/>
                <w:color w:val="000000"/>
                <w:kern w:val="0"/>
                <w:sz w:val="24"/>
                <w:lang w:bidi="ar"/>
              </w:rPr>
              <w:fldChar w:fldCharType="end"/>
            </w:r>
            <w:r>
              <w:rPr>
                <w:rFonts w:hint="default" w:ascii="Times New Roman" w:hAnsi="Times New Roman" w:cs="Times New Roman"/>
                <w:color w:val="000000"/>
                <w:kern w:val="0"/>
                <w:sz w:val="24"/>
                <w:lang w:bidi="ar"/>
              </w:rPr>
              <w:t>2-1</w:t>
            </w:r>
            <w:r>
              <w:rPr>
                <w:rFonts w:hint="default" w:ascii="Times New Roman" w:hAnsi="Times New Roman" w:cs="Times New Roman"/>
                <w:color w:val="000000"/>
                <w:kern w:val="0"/>
                <w:sz w:val="24"/>
                <w:lang w:val="en-US" w:eastAsia="zh-CN" w:bidi="ar"/>
              </w:rPr>
              <w:t>0</w:t>
            </w:r>
            <w:r>
              <w:rPr>
                <w:rFonts w:hint="default" w:ascii="Times New Roman" w:hAnsi="Times New Roman" w:cs="Times New Roman"/>
                <w:color w:val="000000"/>
                <w:kern w:val="0"/>
                <w:sz w:val="24"/>
                <w:lang w:bidi="ar"/>
              </w:rPr>
              <w:t>；昼夜平均交通量预测详见</w:t>
            </w:r>
            <w:r>
              <w:rPr>
                <w:rFonts w:hint="default" w:ascii="Times New Roman" w:hAnsi="Times New Roman" w:cs="Times New Roman"/>
                <w:color w:val="000000"/>
                <w:kern w:val="0"/>
                <w:sz w:val="24"/>
                <w:lang w:val="en-US" w:eastAsia="zh-CN" w:bidi="ar"/>
              </w:rPr>
              <w:t>下表</w:t>
            </w:r>
            <w:r>
              <w:rPr>
                <w:rFonts w:hint="default" w:ascii="Times New Roman" w:hAnsi="Times New Roman" w:cs="Times New Roman"/>
                <w:color w:val="000000"/>
                <w:kern w:val="0"/>
                <w:sz w:val="24"/>
                <w:lang w:bidi="ar"/>
              </w:rPr>
              <w:t>。</w:t>
            </w:r>
          </w:p>
          <w:p w14:paraId="3C05E738">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2.7-3</w:t>
            </w:r>
            <w:r>
              <w:rPr>
                <w:rFonts w:hint="default" w:ascii="Times New Roman" w:hAnsi="Times New Roman" w:eastAsia="宋体" w:cs="Times New Roman"/>
                <w:b/>
                <w:bCs/>
                <w:color w:val="000000"/>
                <w:sz w:val="21"/>
                <w:szCs w:val="21"/>
                <w:lang w:bidi="ar"/>
              </w:rPr>
              <w:t xml:space="preserve">  项目交通量预测表   （pcu/d）</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2801"/>
              <w:gridCol w:w="1186"/>
              <w:gridCol w:w="1254"/>
              <w:gridCol w:w="1397"/>
            </w:tblGrid>
            <w:tr w14:paraId="20B8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pct"/>
                  <w:noWrap w:val="0"/>
                  <w:vAlign w:val="center"/>
                </w:tcPr>
                <w:p w14:paraId="248837D1">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路段</w:t>
                  </w:r>
                </w:p>
              </w:tc>
              <w:tc>
                <w:tcPr>
                  <w:tcW w:w="1646" w:type="pct"/>
                  <w:noWrap w:val="0"/>
                  <w:vAlign w:val="center"/>
                </w:tcPr>
                <w:p w14:paraId="2108AA2F">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特征年</w:t>
                  </w:r>
                </w:p>
              </w:tc>
              <w:tc>
                <w:tcPr>
                  <w:tcW w:w="697" w:type="pct"/>
                  <w:noWrap w:val="0"/>
                  <w:vAlign w:val="center"/>
                </w:tcPr>
                <w:p w14:paraId="2DC9D7FD">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202</w:t>
                  </w:r>
                  <w:r>
                    <w:rPr>
                      <w:rFonts w:hint="default" w:ascii="Times New Roman" w:hAnsi="Times New Roman" w:cs="Times New Roman"/>
                      <w:color w:val="000000"/>
                      <w:szCs w:val="21"/>
                      <w:lang w:val="en-US" w:eastAsia="zh-CN"/>
                    </w:rPr>
                    <w:t>6</w:t>
                  </w:r>
                </w:p>
              </w:tc>
              <w:tc>
                <w:tcPr>
                  <w:tcW w:w="737" w:type="pct"/>
                  <w:noWrap w:val="0"/>
                  <w:vAlign w:val="center"/>
                </w:tcPr>
                <w:p w14:paraId="63B6E60F">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20</w:t>
                  </w:r>
                  <w:r>
                    <w:rPr>
                      <w:rFonts w:hint="default" w:ascii="Times New Roman" w:hAnsi="Times New Roman" w:cs="Times New Roman"/>
                      <w:color w:val="000000"/>
                      <w:szCs w:val="21"/>
                      <w:lang w:val="en-US" w:eastAsia="zh-CN"/>
                    </w:rPr>
                    <w:t>32</w:t>
                  </w:r>
                </w:p>
              </w:tc>
              <w:tc>
                <w:tcPr>
                  <w:tcW w:w="819" w:type="pct"/>
                  <w:noWrap w:val="0"/>
                  <w:vAlign w:val="center"/>
                </w:tcPr>
                <w:p w14:paraId="1850B0F4">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20</w:t>
                  </w:r>
                  <w:r>
                    <w:rPr>
                      <w:rFonts w:hint="default" w:ascii="Times New Roman" w:hAnsi="Times New Roman" w:cs="Times New Roman"/>
                      <w:color w:val="000000"/>
                      <w:szCs w:val="21"/>
                      <w:lang w:val="en-US" w:eastAsia="zh-CN"/>
                    </w:rPr>
                    <w:t>40</w:t>
                  </w:r>
                </w:p>
              </w:tc>
            </w:tr>
            <w:tr w14:paraId="60A8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pct"/>
                  <w:vMerge w:val="restart"/>
                  <w:noWrap w:val="0"/>
                  <w:vAlign w:val="center"/>
                </w:tcPr>
                <w:p w14:paraId="2C8FA015">
                  <w:pPr>
                    <w:jc w:val="center"/>
                    <w:rPr>
                      <w:rFonts w:hint="default" w:ascii="Times New Roman" w:hAnsi="Times New Roman" w:cs="Times New Roman"/>
                      <w:color w:val="000000"/>
                      <w:szCs w:val="21"/>
                    </w:rPr>
                  </w:pPr>
                  <w:r>
                    <w:rPr>
                      <w:rFonts w:hint="default" w:ascii="Times New Roman" w:hAnsi="Times New Roman" w:cs="Times New Roman"/>
                      <w:vertAlign w:val="baseline"/>
                      <w:lang w:val="en-US" w:eastAsia="zh-CN"/>
                    </w:rPr>
                    <w:t>樊陈路一期东延段</w:t>
                  </w:r>
                </w:p>
              </w:tc>
              <w:tc>
                <w:tcPr>
                  <w:tcW w:w="1646" w:type="pct"/>
                  <w:noWrap w:val="0"/>
                  <w:vAlign w:val="center"/>
                </w:tcPr>
                <w:p w14:paraId="72E58F5E">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交通量（标准小客车当量：pcu/d）</w:t>
                  </w:r>
                </w:p>
              </w:tc>
              <w:tc>
                <w:tcPr>
                  <w:tcW w:w="697" w:type="pct"/>
                  <w:noWrap w:val="0"/>
                  <w:vAlign w:val="center"/>
                </w:tcPr>
                <w:p w14:paraId="6703D6FA">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26375</w:t>
                  </w:r>
                </w:p>
              </w:tc>
              <w:tc>
                <w:tcPr>
                  <w:tcW w:w="737" w:type="pct"/>
                  <w:noWrap w:val="0"/>
                  <w:vAlign w:val="center"/>
                </w:tcPr>
                <w:p w14:paraId="04455AAE">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38036</w:t>
                  </w:r>
                </w:p>
              </w:tc>
              <w:tc>
                <w:tcPr>
                  <w:tcW w:w="819" w:type="pct"/>
                  <w:noWrap w:val="0"/>
                  <w:vAlign w:val="center"/>
                </w:tcPr>
                <w:p w14:paraId="151658FA">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47475</w:t>
                  </w:r>
                </w:p>
              </w:tc>
            </w:tr>
            <w:tr w14:paraId="7E1A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pct"/>
                  <w:vMerge w:val="continue"/>
                  <w:noWrap w:val="0"/>
                  <w:vAlign w:val="center"/>
                </w:tcPr>
                <w:p w14:paraId="54119EFD">
                  <w:pPr>
                    <w:jc w:val="center"/>
                    <w:rPr>
                      <w:rFonts w:hint="default" w:ascii="Times New Roman" w:hAnsi="Times New Roman" w:cs="Times New Roman"/>
                      <w:color w:val="000000"/>
                      <w:szCs w:val="21"/>
                    </w:rPr>
                  </w:pPr>
                </w:p>
              </w:tc>
              <w:tc>
                <w:tcPr>
                  <w:tcW w:w="1646" w:type="pct"/>
                  <w:noWrap w:val="0"/>
                  <w:vAlign w:val="center"/>
                </w:tcPr>
                <w:p w14:paraId="07D219A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实际车流量（辆/d）</w:t>
                  </w:r>
                </w:p>
              </w:tc>
              <w:tc>
                <w:tcPr>
                  <w:tcW w:w="697" w:type="pct"/>
                  <w:noWrap w:val="0"/>
                  <w:vAlign w:val="center"/>
                </w:tcPr>
                <w:p w14:paraId="35350A49">
                  <w:pPr>
                    <w:keepNext w:val="0"/>
                    <w:keepLines w:val="0"/>
                    <w:widowControl/>
                    <w:suppressLineNumbers w:val="0"/>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24030</w:t>
                  </w:r>
                </w:p>
              </w:tc>
              <w:tc>
                <w:tcPr>
                  <w:tcW w:w="737" w:type="pct"/>
                  <w:noWrap w:val="0"/>
                  <w:vAlign w:val="center"/>
                </w:tcPr>
                <w:p w14:paraId="3B0C0BCD">
                  <w:pPr>
                    <w:keepNext w:val="0"/>
                    <w:keepLines w:val="0"/>
                    <w:widowControl/>
                    <w:suppressLineNumbers w:val="0"/>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33075</w:t>
                  </w:r>
                </w:p>
              </w:tc>
              <w:tc>
                <w:tcPr>
                  <w:tcW w:w="819" w:type="pct"/>
                  <w:noWrap w:val="0"/>
                  <w:vAlign w:val="center"/>
                </w:tcPr>
                <w:p w14:paraId="5851C4E1">
                  <w:pPr>
                    <w:keepNext w:val="0"/>
                    <w:keepLines w:val="0"/>
                    <w:widowControl/>
                    <w:suppressLineNumbers w:val="0"/>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41283</w:t>
                  </w:r>
                </w:p>
              </w:tc>
            </w:tr>
            <w:tr w14:paraId="3B3B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14:paraId="0F1B8BA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车辆转换系数：小型车1.0、中型车1.5、大型车2.0</w:t>
                  </w:r>
                </w:p>
              </w:tc>
            </w:tr>
          </w:tbl>
          <w:p w14:paraId="63E52918">
            <w:pPr>
              <w:pStyle w:val="6"/>
              <w:spacing w:line="360" w:lineRule="auto"/>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2.7-4</w:t>
            </w:r>
            <w:r>
              <w:rPr>
                <w:rFonts w:hint="default" w:ascii="Times New Roman" w:hAnsi="Times New Roman" w:eastAsia="宋体" w:cs="Times New Roman"/>
                <w:b/>
                <w:bCs/>
                <w:color w:val="000000"/>
                <w:sz w:val="21"/>
                <w:szCs w:val="21"/>
                <w:lang w:bidi="ar"/>
              </w:rPr>
              <w:t xml:space="preserve">  不同车型的车流量预测结果表    单位：辆/h</w:t>
            </w:r>
          </w:p>
          <w:tbl>
            <w:tblPr>
              <w:tblStyle w:val="22"/>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2"/>
              <w:gridCol w:w="862"/>
              <w:gridCol w:w="830"/>
              <w:gridCol w:w="816"/>
              <w:gridCol w:w="816"/>
              <w:gridCol w:w="782"/>
              <w:gridCol w:w="799"/>
              <w:gridCol w:w="837"/>
              <w:gridCol w:w="799"/>
              <w:gridCol w:w="867"/>
            </w:tblGrid>
            <w:tr w14:paraId="09C62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14:paraId="3F13264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道路名称</w:t>
                  </w:r>
                </w:p>
              </w:tc>
              <w:tc>
                <w:tcPr>
                  <w:tcW w:w="507" w:type="pct"/>
                  <w:vMerge w:val="restart"/>
                  <w:noWrap w:val="0"/>
                  <w:vAlign w:val="center"/>
                </w:tcPr>
                <w:p w14:paraId="4002B12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预测年</w:t>
                  </w:r>
                </w:p>
              </w:tc>
              <w:tc>
                <w:tcPr>
                  <w:tcW w:w="1908" w:type="pct"/>
                  <w:gridSpan w:val="4"/>
                  <w:noWrap w:val="0"/>
                  <w:vAlign w:val="center"/>
                </w:tcPr>
                <w:p w14:paraId="391096C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昼间平均小时车流量</w:t>
                  </w:r>
                </w:p>
              </w:tc>
              <w:tc>
                <w:tcPr>
                  <w:tcW w:w="1941" w:type="pct"/>
                  <w:gridSpan w:val="4"/>
                  <w:noWrap w:val="0"/>
                  <w:vAlign w:val="center"/>
                </w:tcPr>
                <w:p w14:paraId="1BA4624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夜间平均小时车流量</w:t>
                  </w:r>
                </w:p>
              </w:tc>
            </w:tr>
            <w:tr w14:paraId="70B1A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14:paraId="6D231F12">
                  <w:pPr>
                    <w:jc w:val="center"/>
                    <w:rPr>
                      <w:rFonts w:hint="default" w:ascii="Times New Roman" w:hAnsi="Times New Roman" w:cs="Times New Roman"/>
                      <w:color w:val="000000"/>
                      <w:szCs w:val="21"/>
                    </w:rPr>
                  </w:pPr>
                </w:p>
              </w:tc>
              <w:tc>
                <w:tcPr>
                  <w:tcW w:w="507" w:type="pct"/>
                  <w:vMerge w:val="continue"/>
                  <w:noWrap w:val="0"/>
                  <w:vAlign w:val="center"/>
                </w:tcPr>
                <w:p w14:paraId="7972E45A">
                  <w:pPr>
                    <w:jc w:val="center"/>
                    <w:rPr>
                      <w:rFonts w:hint="default" w:ascii="Times New Roman" w:hAnsi="Times New Roman" w:cs="Times New Roman"/>
                      <w:color w:val="000000"/>
                      <w:szCs w:val="21"/>
                    </w:rPr>
                  </w:pPr>
                </w:p>
              </w:tc>
              <w:tc>
                <w:tcPr>
                  <w:tcW w:w="488" w:type="pct"/>
                  <w:noWrap w:val="0"/>
                  <w:vAlign w:val="center"/>
                </w:tcPr>
                <w:p w14:paraId="1FAB4A5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小型车</w:t>
                  </w:r>
                </w:p>
              </w:tc>
              <w:tc>
                <w:tcPr>
                  <w:tcW w:w="480" w:type="pct"/>
                  <w:noWrap w:val="0"/>
                  <w:vAlign w:val="center"/>
                </w:tcPr>
                <w:p w14:paraId="130A1D5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中型车</w:t>
                  </w:r>
                </w:p>
              </w:tc>
              <w:tc>
                <w:tcPr>
                  <w:tcW w:w="480" w:type="pct"/>
                  <w:noWrap w:val="0"/>
                  <w:vAlign w:val="center"/>
                </w:tcPr>
                <w:p w14:paraId="4A4874E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大型车</w:t>
                  </w:r>
                </w:p>
              </w:tc>
              <w:tc>
                <w:tcPr>
                  <w:tcW w:w="458" w:type="pct"/>
                  <w:noWrap w:val="0"/>
                  <w:vAlign w:val="center"/>
                </w:tcPr>
                <w:p w14:paraId="6B63BF9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合计</w:t>
                  </w:r>
                </w:p>
              </w:tc>
              <w:tc>
                <w:tcPr>
                  <w:tcW w:w="470" w:type="pct"/>
                  <w:noWrap w:val="0"/>
                  <w:vAlign w:val="center"/>
                </w:tcPr>
                <w:p w14:paraId="5140683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小型车</w:t>
                  </w:r>
                </w:p>
              </w:tc>
              <w:tc>
                <w:tcPr>
                  <w:tcW w:w="492" w:type="pct"/>
                  <w:noWrap w:val="0"/>
                  <w:vAlign w:val="center"/>
                </w:tcPr>
                <w:p w14:paraId="79F8DF8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中型车</w:t>
                  </w:r>
                </w:p>
              </w:tc>
              <w:tc>
                <w:tcPr>
                  <w:tcW w:w="470" w:type="pct"/>
                  <w:noWrap w:val="0"/>
                  <w:vAlign w:val="center"/>
                </w:tcPr>
                <w:p w14:paraId="4E6BFD9D">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大型车</w:t>
                  </w:r>
                </w:p>
              </w:tc>
              <w:tc>
                <w:tcPr>
                  <w:tcW w:w="508" w:type="pct"/>
                  <w:noWrap w:val="0"/>
                  <w:vAlign w:val="center"/>
                </w:tcPr>
                <w:p w14:paraId="4EB11C4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合计</w:t>
                  </w:r>
                </w:p>
              </w:tc>
            </w:tr>
            <w:tr w14:paraId="157F9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14:paraId="39B9242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樊陈路一期东延段</w:t>
                  </w:r>
                </w:p>
              </w:tc>
              <w:tc>
                <w:tcPr>
                  <w:tcW w:w="507" w:type="pct"/>
                  <w:noWrap w:val="0"/>
                  <w:vAlign w:val="center"/>
                </w:tcPr>
                <w:p w14:paraId="4B8EB3A0">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202</w:t>
                  </w:r>
                  <w:r>
                    <w:rPr>
                      <w:rFonts w:hint="default" w:ascii="Times New Roman" w:hAnsi="Times New Roman" w:cs="Times New Roman"/>
                      <w:color w:val="000000"/>
                      <w:szCs w:val="21"/>
                      <w:lang w:val="en-US" w:eastAsia="zh-CN"/>
                    </w:rPr>
                    <w:t>6</w:t>
                  </w:r>
                </w:p>
              </w:tc>
              <w:tc>
                <w:tcPr>
                  <w:tcW w:w="821" w:type="dxa"/>
                  <w:noWrap w:val="0"/>
                  <w:vAlign w:val="center"/>
                </w:tcPr>
                <w:p w14:paraId="38A9FE04">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983</w:t>
                  </w:r>
                </w:p>
              </w:tc>
              <w:tc>
                <w:tcPr>
                  <w:tcW w:w="808" w:type="dxa"/>
                  <w:noWrap w:val="0"/>
                  <w:vAlign w:val="center"/>
                </w:tcPr>
                <w:p w14:paraId="6D52A0D5">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808" w:type="dxa"/>
                  <w:noWrap w:val="0"/>
                  <w:vAlign w:val="center"/>
                </w:tcPr>
                <w:p w14:paraId="51130887">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774" w:type="dxa"/>
                  <w:noWrap w:val="0"/>
                  <w:vAlign w:val="center"/>
                </w:tcPr>
                <w:p w14:paraId="5591CD99">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1228</w:t>
                  </w:r>
                </w:p>
              </w:tc>
              <w:tc>
                <w:tcPr>
                  <w:tcW w:w="791" w:type="dxa"/>
                  <w:noWrap w:val="0"/>
                  <w:vAlign w:val="center"/>
                </w:tcPr>
                <w:p w14:paraId="529A1A01">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328</w:t>
                  </w:r>
                </w:p>
              </w:tc>
              <w:tc>
                <w:tcPr>
                  <w:tcW w:w="828" w:type="dxa"/>
                  <w:noWrap w:val="0"/>
                  <w:vAlign w:val="center"/>
                </w:tcPr>
                <w:p w14:paraId="6043FADC">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791" w:type="dxa"/>
                  <w:noWrap w:val="0"/>
                  <w:vAlign w:val="center"/>
                </w:tcPr>
                <w:p w14:paraId="7E430F16">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856" w:type="dxa"/>
                  <w:noWrap w:val="0"/>
                  <w:vAlign w:val="center"/>
                </w:tcPr>
                <w:p w14:paraId="48807B71">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4"/>
                      <w:szCs w:val="24"/>
                      <w:u w:val="none"/>
                      <w:lang w:val="en-US" w:eastAsia="zh-CN" w:bidi="ar"/>
                    </w:rPr>
                    <w:t>409</w:t>
                  </w:r>
                </w:p>
              </w:tc>
            </w:tr>
            <w:tr w14:paraId="2A6B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14:paraId="483EA4FD">
                  <w:pPr>
                    <w:jc w:val="center"/>
                    <w:rPr>
                      <w:rFonts w:hint="default" w:ascii="Times New Roman" w:hAnsi="Times New Roman" w:cs="Times New Roman"/>
                      <w:color w:val="000000"/>
                      <w:szCs w:val="21"/>
                    </w:rPr>
                  </w:pPr>
                </w:p>
              </w:tc>
              <w:tc>
                <w:tcPr>
                  <w:tcW w:w="507" w:type="pct"/>
                  <w:noWrap w:val="0"/>
                  <w:vAlign w:val="center"/>
                </w:tcPr>
                <w:p w14:paraId="77A42AE5">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20</w:t>
                  </w:r>
                  <w:r>
                    <w:rPr>
                      <w:rFonts w:hint="default" w:ascii="Times New Roman" w:hAnsi="Times New Roman" w:cs="Times New Roman"/>
                      <w:color w:val="000000"/>
                      <w:szCs w:val="21"/>
                      <w:lang w:val="en-US" w:eastAsia="zh-CN"/>
                    </w:rPr>
                    <w:t>32</w:t>
                  </w:r>
                </w:p>
              </w:tc>
              <w:tc>
                <w:tcPr>
                  <w:tcW w:w="821" w:type="dxa"/>
                  <w:noWrap w:val="0"/>
                  <w:vAlign w:val="center"/>
                </w:tcPr>
                <w:p w14:paraId="46CEF2BA">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1417</w:t>
                  </w:r>
                </w:p>
              </w:tc>
              <w:tc>
                <w:tcPr>
                  <w:tcW w:w="808" w:type="dxa"/>
                  <w:noWrap w:val="0"/>
                  <w:vAlign w:val="center"/>
                </w:tcPr>
                <w:p w14:paraId="024DEB1D">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808" w:type="dxa"/>
                  <w:noWrap w:val="0"/>
                  <w:vAlign w:val="center"/>
                </w:tcPr>
                <w:p w14:paraId="64FDA304">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774" w:type="dxa"/>
                  <w:noWrap w:val="0"/>
                  <w:vAlign w:val="center"/>
                </w:tcPr>
                <w:p w14:paraId="20672C89">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1772</w:t>
                  </w:r>
                </w:p>
              </w:tc>
              <w:tc>
                <w:tcPr>
                  <w:tcW w:w="791" w:type="dxa"/>
                  <w:noWrap w:val="0"/>
                  <w:vAlign w:val="center"/>
                </w:tcPr>
                <w:p w14:paraId="068B87C7">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828" w:type="dxa"/>
                  <w:noWrap w:val="0"/>
                  <w:vAlign w:val="center"/>
                </w:tcPr>
                <w:p w14:paraId="31BB88D0">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791" w:type="dxa"/>
                  <w:noWrap w:val="0"/>
                  <w:vAlign w:val="center"/>
                </w:tcPr>
                <w:p w14:paraId="453331F5">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856" w:type="dxa"/>
                  <w:noWrap w:val="0"/>
                  <w:vAlign w:val="center"/>
                </w:tcPr>
                <w:p w14:paraId="22990D1C">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4"/>
                      <w:szCs w:val="24"/>
                      <w:u w:val="none"/>
                      <w:lang w:val="en-US" w:eastAsia="zh-CN" w:bidi="ar"/>
                    </w:rPr>
                    <w:t>591</w:t>
                  </w:r>
                </w:p>
              </w:tc>
            </w:tr>
            <w:tr w14:paraId="5CEFF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14:paraId="04942EB1">
                  <w:pPr>
                    <w:jc w:val="center"/>
                    <w:rPr>
                      <w:rFonts w:hint="default" w:ascii="Times New Roman" w:hAnsi="Times New Roman" w:cs="Times New Roman"/>
                      <w:color w:val="000000"/>
                      <w:szCs w:val="21"/>
                    </w:rPr>
                  </w:pPr>
                </w:p>
              </w:tc>
              <w:tc>
                <w:tcPr>
                  <w:tcW w:w="507" w:type="pct"/>
                  <w:noWrap w:val="0"/>
                  <w:vAlign w:val="center"/>
                </w:tcPr>
                <w:p w14:paraId="7DF50546">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20</w:t>
                  </w:r>
                  <w:r>
                    <w:rPr>
                      <w:rFonts w:hint="default" w:ascii="Times New Roman" w:hAnsi="Times New Roman" w:cs="Times New Roman"/>
                      <w:color w:val="000000"/>
                      <w:szCs w:val="21"/>
                      <w:lang w:val="en-US" w:eastAsia="zh-CN"/>
                    </w:rPr>
                    <w:t>40</w:t>
                  </w:r>
                </w:p>
              </w:tc>
              <w:tc>
                <w:tcPr>
                  <w:tcW w:w="821" w:type="dxa"/>
                  <w:noWrap w:val="0"/>
                  <w:vAlign w:val="center"/>
                </w:tcPr>
                <w:p w14:paraId="60E6183E">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1769</w:t>
                  </w:r>
                </w:p>
              </w:tc>
              <w:tc>
                <w:tcPr>
                  <w:tcW w:w="808" w:type="dxa"/>
                  <w:noWrap w:val="0"/>
                  <w:vAlign w:val="center"/>
                </w:tcPr>
                <w:p w14:paraId="326FF6F2">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808" w:type="dxa"/>
                  <w:noWrap w:val="0"/>
                  <w:vAlign w:val="center"/>
                </w:tcPr>
                <w:p w14:paraId="219C242A">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774" w:type="dxa"/>
                  <w:noWrap w:val="0"/>
                  <w:vAlign w:val="center"/>
                </w:tcPr>
                <w:p w14:paraId="355AF8B6">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2211</w:t>
                  </w:r>
                </w:p>
              </w:tc>
              <w:tc>
                <w:tcPr>
                  <w:tcW w:w="791" w:type="dxa"/>
                  <w:noWrap w:val="0"/>
                  <w:vAlign w:val="center"/>
                </w:tcPr>
                <w:p w14:paraId="4021C1EA">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590</w:t>
                  </w:r>
                </w:p>
              </w:tc>
              <w:tc>
                <w:tcPr>
                  <w:tcW w:w="828" w:type="dxa"/>
                  <w:noWrap w:val="0"/>
                  <w:vAlign w:val="center"/>
                </w:tcPr>
                <w:p w14:paraId="3FED498F">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791" w:type="dxa"/>
                  <w:noWrap w:val="0"/>
                  <w:vAlign w:val="center"/>
                </w:tcPr>
                <w:p w14:paraId="738E14F1">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856" w:type="dxa"/>
                  <w:noWrap w:val="0"/>
                  <w:vAlign w:val="center"/>
                </w:tcPr>
                <w:p w14:paraId="428D5758">
                  <w:pPr>
                    <w:keepNext w:val="0"/>
                    <w:keepLines w:val="0"/>
                    <w:widowControl/>
                    <w:suppressLineNumbers w:val="0"/>
                    <w:jc w:val="center"/>
                    <w:textAlignment w:val="center"/>
                    <w:rPr>
                      <w:rFonts w:hint="default" w:ascii="Times New Roman" w:hAnsi="Times New Roman" w:cs="Times New Roman"/>
                      <w:color w:val="000000"/>
                      <w:szCs w:val="21"/>
                    </w:rPr>
                  </w:pPr>
                  <w:r>
                    <w:rPr>
                      <w:rFonts w:hint="default" w:ascii="Times New Roman" w:hAnsi="Times New Roman" w:eastAsia="宋体" w:cs="Times New Roman"/>
                      <w:i w:val="0"/>
                      <w:iCs w:val="0"/>
                      <w:color w:val="000000"/>
                      <w:kern w:val="0"/>
                      <w:sz w:val="24"/>
                      <w:szCs w:val="24"/>
                      <w:u w:val="none"/>
                      <w:lang w:val="en-US" w:eastAsia="zh-CN" w:bidi="ar"/>
                    </w:rPr>
                    <w:t>737</w:t>
                  </w:r>
                </w:p>
              </w:tc>
            </w:tr>
          </w:tbl>
          <w:p w14:paraId="18190207">
            <w:pPr>
              <w:spacing w:line="360" w:lineRule="auto"/>
              <w:ind w:firstLine="480" w:firstLineChars="200"/>
              <w:rPr>
                <w:rFonts w:hint="default" w:ascii="Times New Roman" w:hAnsi="Times New Roman" w:cs="Times New Roman"/>
                <w:color w:val="000000"/>
                <w:sz w:val="24"/>
              </w:rPr>
            </w:pPr>
          </w:p>
          <w:p w14:paraId="1EB73110">
            <w:pPr>
              <w:spacing w:line="360" w:lineRule="auto"/>
              <w:ind w:firstLine="480" w:firstLineChars="200"/>
              <w:rPr>
                <w:rFonts w:hint="default" w:ascii="Times New Roman" w:hAnsi="Times New Roman" w:cs="Times New Roman"/>
                <w:color w:val="000000"/>
                <w:sz w:val="24"/>
              </w:rPr>
            </w:pPr>
          </w:p>
        </w:tc>
      </w:tr>
      <w:tr w14:paraId="67EA5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6" w:type="dxa"/>
            <w:noWrap w:val="0"/>
            <w:vAlign w:val="center"/>
          </w:tcPr>
          <w:p w14:paraId="0C6638CE">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总平面及现场布置</w:t>
            </w:r>
          </w:p>
        </w:tc>
        <w:tc>
          <w:tcPr>
            <w:tcW w:w="8615" w:type="dxa"/>
            <w:noWrap w:val="0"/>
            <w:vAlign w:val="center"/>
          </w:tcPr>
          <w:p w14:paraId="33BB11EC">
            <w:pPr>
              <w:adjustRightInd w:val="0"/>
              <w:snapToGrid w:val="0"/>
              <w:spacing w:line="360" w:lineRule="auto"/>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cs="Times New Roman"/>
                <w:b/>
                <w:bCs/>
                <w:color w:val="000000"/>
                <w:kern w:val="0"/>
                <w:sz w:val="28"/>
                <w:szCs w:val="28"/>
                <w:highlight w:val="none"/>
                <w:lang w:bidi="ar"/>
              </w:rPr>
              <w:t>2.</w:t>
            </w:r>
            <w:r>
              <w:rPr>
                <w:rFonts w:hint="default" w:ascii="Times New Roman" w:hAnsi="Times New Roman" w:cs="Times New Roman"/>
                <w:b/>
                <w:bCs/>
                <w:color w:val="000000"/>
                <w:kern w:val="0"/>
                <w:sz w:val="28"/>
                <w:szCs w:val="28"/>
                <w:highlight w:val="none"/>
                <w:lang w:val="en-US" w:eastAsia="zh-CN" w:bidi="ar"/>
              </w:rPr>
              <w:t>8</w:t>
            </w:r>
            <w:r>
              <w:rPr>
                <w:rFonts w:hint="default" w:ascii="Times New Roman" w:hAnsi="Times New Roman" w:cs="Times New Roman"/>
                <w:b/>
                <w:bCs/>
                <w:color w:val="000000"/>
                <w:kern w:val="0"/>
                <w:sz w:val="28"/>
                <w:szCs w:val="28"/>
                <w:highlight w:val="none"/>
                <w:lang w:bidi="ar"/>
              </w:rPr>
              <w:t>施工布置</w:t>
            </w:r>
            <w:r>
              <w:rPr>
                <w:rFonts w:hint="default" w:ascii="Times New Roman" w:hAnsi="Times New Roman" w:cs="Times New Roman"/>
                <w:b/>
                <w:bCs/>
                <w:color w:val="000000"/>
                <w:kern w:val="0"/>
                <w:sz w:val="28"/>
                <w:szCs w:val="28"/>
                <w:highlight w:val="none"/>
                <w:lang w:val="en-US" w:eastAsia="zh-CN" w:bidi="ar"/>
              </w:rPr>
              <w:t>方案</w:t>
            </w:r>
          </w:p>
          <w:p w14:paraId="32320B34">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本项目位于岳阳市岳阳楼区郭镇乡赶山片区，道路自西往东穿越沿线耕地、林地、其他农用地和建设用地等，具体道路平面布置可见</w:t>
            </w:r>
            <w:r>
              <w:rPr>
                <w:rFonts w:hint="default" w:ascii="Times New Roman" w:hAnsi="Times New Roman" w:cs="Times New Roman" w:eastAsiaTheme="majorEastAsia"/>
                <w:sz w:val="24"/>
                <w:szCs w:val="32"/>
                <w:lang w:val="en-US" w:eastAsia="zh-CN"/>
              </w:rPr>
              <w:fldChar w:fldCharType="begin"/>
            </w:r>
            <w:r>
              <w:rPr>
                <w:rFonts w:hint="default" w:ascii="Times New Roman" w:hAnsi="Times New Roman" w:cs="Times New Roman" w:eastAsiaTheme="majorEastAsia"/>
                <w:sz w:val="24"/>
                <w:szCs w:val="32"/>
                <w:lang w:val="en-US" w:eastAsia="zh-CN"/>
              </w:rPr>
              <w:instrText xml:space="preserve"> REF _Ref10138 \r \h </w:instrText>
            </w:r>
            <w:r>
              <w:rPr>
                <w:rFonts w:hint="default" w:ascii="Times New Roman" w:hAnsi="Times New Roman" w:cs="Times New Roman" w:eastAsiaTheme="majorEastAsia"/>
                <w:sz w:val="24"/>
                <w:szCs w:val="32"/>
                <w:lang w:val="en-US" w:eastAsia="zh-CN"/>
              </w:rPr>
              <w:fldChar w:fldCharType="separate"/>
            </w:r>
            <w:r>
              <w:rPr>
                <w:rFonts w:hint="default" w:ascii="Times New Roman" w:hAnsi="Times New Roman" w:cs="Times New Roman" w:eastAsiaTheme="majorEastAsia"/>
                <w:sz w:val="24"/>
                <w:szCs w:val="32"/>
                <w:lang w:val="en-US" w:eastAsia="zh-CN"/>
              </w:rPr>
              <w:t>附图2</w:t>
            </w:r>
            <w:r>
              <w:rPr>
                <w:rFonts w:hint="default" w:ascii="Times New Roman" w:hAnsi="Times New Roman" w:cs="Times New Roman" w:eastAsiaTheme="majorEastAsia"/>
                <w:sz w:val="24"/>
                <w:szCs w:val="32"/>
                <w:lang w:val="en-US" w:eastAsia="zh-CN"/>
              </w:rPr>
              <w:fldChar w:fldCharType="end"/>
            </w:r>
            <w:r>
              <w:rPr>
                <w:rFonts w:hint="default" w:ascii="Times New Roman" w:hAnsi="Times New Roman" w:cs="Times New Roman" w:eastAsiaTheme="majorEastAsia"/>
                <w:sz w:val="24"/>
                <w:szCs w:val="32"/>
                <w:lang w:val="en-US" w:eastAsia="zh-CN"/>
              </w:rPr>
              <w:t>。</w:t>
            </w:r>
          </w:p>
          <w:p w14:paraId="5D96DA2F">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本项目不设取土场、弃土场和弃渣场，工程所需土石方由建设单位协调；本项目不设沥青拌合站，工程所用的混凝土直接外购商品混凝土；本项目不设施工临时生活区，施工人员生活食宿等生活活动借助周边村民设施；项目施工营地设置于道路占地范围内，主要用于施工设备和施工材料临时堆放。</w:t>
            </w:r>
          </w:p>
          <w:p w14:paraId="47700F60">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本项目施工作业带宽度控制在项目道路红线范围内，施工便道沿用樊陈路一期、东坡路施工便道，场内施工便道设置在道路红线内，施工机械停放在施工便道范围内，不需另外占用施工用地。</w:t>
            </w:r>
          </w:p>
          <w:p w14:paraId="773528DF">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本项目施工永久占地为道路占地，占地类型为耕地、林地、其他农用地和建设用地。</w:t>
            </w:r>
          </w:p>
          <w:p w14:paraId="71D6705B">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ajorEastAsia"/>
                <w:sz w:val="24"/>
                <w:szCs w:val="32"/>
              </w:rPr>
            </w:pPr>
            <w:r>
              <w:rPr>
                <w:rFonts w:hint="default" w:ascii="Times New Roman" w:hAnsi="Times New Roman" w:cs="Times New Roman" w:eastAsiaTheme="majorEastAsia"/>
                <w:sz w:val="24"/>
                <w:szCs w:val="32"/>
                <w:lang w:val="en-US" w:eastAsia="zh-CN"/>
              </w:rPr>
              <w:t>临时占地为临时表土堆场、临时材料堆放区、施工机械停放场等，</w:t>
            </w:r>
            <w:r>
              <w:rPr>
                <w:rFonts w:hint="default" w:ascii="Times New Roman" w:hAnsi="Times New Roman" w:cs="Times New Roman" w:eastAsiaTheme="majorEastAsia"/>
                <w:sz w:val="24"/>
                <w:szCs w:val="32"/>
                <w:lang w:eastAsia="zh-CN"/>
              </w:rPr>
              <w:t>设置在项目用地范围内</w:t>
            </w:r>
            <w:r>
              <w:rPr>
                <w:rFonts w:hint="default" w:ascii="Times New Roman" w:hAnsi="Times New Roman" w:cs="Times New Roman" w:eastAsiaTheme="majorEastAsia"/>
                <w:sz w:val="24"/>
                <w:szCs w:val="32"/>
                <w:lang w:val="en-US" w:eastAsia="zh-CN"/>
              </w:rPr>
              <w:t>。</w:t>
            </w:r>
          </w:p>
          <w:p w14:paraId="1D6F5B85">
            <w:pPr>
              <w:widowControl/>
              <w:spacing w:line="360" w:lineRule="auto"/>
              <w:jc w:val="left"/>
              <w:rPr>
                <w:rFonts w:hint="default" w:ascii="Times New Roman" w:hAnsi="Times New Roman" w:cs="Times New Roman"/>
                <w:color w:val="000000"/>
                <w:sz w:val="28"/>
                <w:szCs w:val="28"/>
                <w:highlight w:val="none"/>
              </w:rPr>
            </w:pPr>
            <w:r>
              <w:rPr>
                <w:rFonts w:hint="default" w:ascii="Times New Roman" w:hAnsi="Times New Roman" w:cs="Times New Roman"/>
                <w:b/>
                <w:color w:val="000000"/>
                <w:sz w:val="28"/>
                <w:szCs w:val="28"/>
                <w:highlight w:val="none"/>
              </w:rPr>
              <w:t>2.</w:t>
            </w:r>
            <w:r>
              <w:rPr>
                <w:rFonts w:hint="default" w:ascii="Times New Roman" w:hAnsi="Times New Roman" w:cs="Times New Roman"/>
                <w:b/>
                <w:color w:val="000000"/>
                <w:sz w:val="28"/>
                <w:szCs w:val="28"/>
                <w:highlight w:val="none"/>
                <w:lang w:val="en-US" w:eastAsia="zh-CN"/>
              </w:rPr>
              <w:t>9</w:t>
            </w:r>
            <w:r>
              <w:rPr>
                <w:rFonts w:hint="default" w:ascii="Times New Roman" w:hAnsi="Times New Roman" w:cs="Times New Roman"/>
                <w:b/>
                <w:bCs/>
                <w:color w:val="000000"/>
                <w:kern w:val="0"/>
                <w:sz w:val="28"/>
                <w:szCs w:val="28"/>
                <w:highlight w:val="none"/>
                <w:lang w:bidi="ar"/>
              </w:rPr>
              <w:t>土石方</w:t>
            </w:r>
          </w:p>
          <w:p w14:paraId="2731B04E">
            <w:pPr>
              <w:widowControl/>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根据</w:t>
            </w:r>
            <w:r>
              <w:rPr>
                <w:rFonts w:hint="default" w:ascii="Times New Roman" w:hAnsi="Times New Roman" w:cs="Times New Roman"/>
                <w:color w:val="000000"/>
                <w:kern w:val="0"/>
                <w:sz w:val="24"/>
                <w:lang w:val="en-US" w:eastAsia="zh-CN" w:bidi="ar"/>
              </w:rPr>
              <w:t>工程可行性研究报告</w:t>
            </w:r>
            <w:r>
              <w:rPr>
                <w:rFonts w:hint="default" w:ascii="Times New Roman" w:hAnsi="Times New Roman" w:cs="Times New Roman"/>
                <w:color w:val="000000"/>
                <w:kern w:val="0"/>
                <w:sz w:val="24"/>
                <w:szCs w:val="24"/>
                <w:lang w:bidi="ar"/>
              </w:rPr>
              <w:t>，全线挖方，1.54万立方，填方0.35万立方，弃方1.19万立方。</w:t>
            </w:r>
            <w:r>
              <w:rPr>
                <w:rFonts w:hint="default" w:ascii="Times New Roman" w:hAnsi="Times New Roman" w:eastAsia="宋体" w:cs="Times New Roman"/>
                <w:color w:val="000000"/>
                <w:kern w:val="0"/>
                <w:sz w:val="24"/>
                <w:szCs w:val="24"/>
                <w:lang w:bidi="ar"/>
              </w:rPr>
              <w:t>本项目不设置专用取土场</w:t>
            </w:r>
            <w:r>
              <w:rPr>
                <w:rFonts w:hint="default" w:ascii="Times New Roman" w:hAnsi="Times New Roman" w:cs="Times New Roman"/>
                <w:color w:val="000000"/>
                <w:kern w:val="0"/>
                <w:sz w:val="24"/>
                <w:szCs w:val="24"/>
                <w:lang w:eastAsia="zh-CN" w:bidi="ar"/>
              </w:rPr>
              <w:t>、</w:t>
            </w:r>
            <w:r>
              <w:rPr>
                <w:rFonts w:hint="default" w:ascii="Times New Roman" w:hAnsi="Times New Roman" w:cs="Times New Roman"/>
                <w:color w:val="000000"/>
                <w:kern w:val="0"/>
                <w:sz w:val="24"/>
                <w:szCs w:val="24"/>
                <w:lang w:val="en-US" w:eastAsia="zh-CN" w:bidi="ar"/>
              </w:rPr>
              <w:t>弃土场</w:t>
            </w:r>
            <w:r>
              <w:rPr>
                <w:rFonts w:hint="default" w:ascii="Times New Roman" w:hAnsi="Times New Roman" w:eastAsia="宋体" w:cs="Times New Roman"/>
                <w:color w:val="000000"/>
                <w:kern w:val="0"/>
                <w:sz w:val="24"/>
                <w:szCs w:val="24"/>
                <w:lang w:bidi="ar"/>
              </w:rPr>
              <w:t>、弃渣场，</w:t>
            </w:r>
            <w:r>
              <w:rPr>
                <w:rFonts w:hint="default" w:ascii="Times New Roman" w:hAnsi="Times New Roman" w:cs="Times New Roman"/>
                <w:color w:val="000000"/>
                <w:kern w:val="0"/>
                <w:sz w:val="24"/>
                <w:szCs w:val="24"/>
                <w:lang w:val="en-US" w:eastAsia="zh-CN" w:bidi="ar"/>
              </w:rPr>
              <w:t>弃方</w:t>
            </w:r>
            <w:r>
              <w:rPr>
                <w:rFonts w:hint="default" w:ascii="Times New Roman" w:hAnsi="Times New Roman" w:eastAsia="宋体" w:cs="Times New Roman"/>
                <w:color w:val="000000"/>
                <w:kern w:val="0"/>
                <w:sz w:val="24"/>
                <w:szCs w:val="24"/>
                <w:lang w:bidi="ar"/>
              </w:rPr>
              <w:t>委托渣土公司处置，按城管</w:t>
            </w:r>
            <w:r>
              <w:rPr>
                <w:rFonts w:hint="default" w:ascii="Times New Roman" w:hAnsi="Times New Roman" w:cs="Times New Roman"/>
                <w:color w:val="000000"/>
                <w:kern w:val="0"/>
                <w:sz w:val="24"/>
                <w:lang w:bidi="ar"/>
              </w:rPr>
              <w:t>部门指</w:t>
            </w:r>
            <w:r>
              <w:rPr>
                <w:rFonts w:hint="default" w:ascii="Times New Roman" w:hAnsi="Times New Roman" w:cs="Times New Roman"/>
                <w:color w:val="000000"/>
                <w:kern w:val="0"/>
                <w:sz w:val="24"/>
                <w:lang w:val="en-US" w:eastAsia="zh-CN" w:bidi="ar"/>
              </w:rPr>
              <w:t>定</w:t>
            </w:r>
            <w:r>
              <w:rPr>
                <w:rFonts w:hint="default" w:ascii="Times New Roman" w:hAnsi="Times New Roman" w:cs="Times New Roman"/>
                <w:color w:val="000000"/>
                <w:kern w:val="0"/>
                <w:sz w:val="24"/>
                <w:lang w:bidi="ar"/>
              </w:rPr>
              <w:t>场点消纳。工程土石方平衡表见</w:t>
            </w:r>
            <w:r>
              <w:rPr>
                <w:rFonts w:hint="default" w:ascii="Times New Roman" w:hAnsi="Times New Roman" w:cs="Times New Roman"/>
                <w:color w:val="000000"/>
                <w:kern w:val="0"/>
                <w:sz w:val="24"/>
                <w:lang w:val="en-US" w:eastAsia="zh-CN" w:bidi="ar"/>
              </w:rPr>
              <w:t>下表</w:t>
            </w:r>
            <w:r>
              <w:rPr>
                <w:rFonts w:hint="default" w:ascii="Times New Roman" w:hAnsi="Times New Roman" w:cs="Times New Roman"/>
                <w:color w:val="000000"/>
                <w:kern w:val="0"/>
                <w:sz w:val="24"/>
                <w:lang w:bidi="ar"/>
              </w:rPr>
              <w:t>。</w:t>
            </w:r>
          </w:p>
          <w:p w14:paraId="30E4EED9">
            <w:pPr>
              <w:widowControl/>
              <w:jc w:val="center"/>
              <w:rPr>
                <w:rFonts w:hint="default" w:ascii="Times New Roman" w:hAnsi="Times New Roman" w:cs="Times New Roman"/>
                <w:color w:val="000000"/>
                <w:kern w:val="0"/>
                <w:sz w:val="24"/>
                <w:vertAlign w:val="superscript"/>
                <w:lang w:bidi="ar"/>
              </w:rPr>
            </w:pPr>
            <w:r>
              <w:rPr>
                <w:rFonts w:hint="default" w:ascii="Times New Roman" w:hAnsi="Times New Roman" w:cs="Times New Roman"/>
                <w:b/>
                <w:bCs/>
                <w:color w:val="000000"/>
                <w:szCs w:val="21"/>
                <w:lang w:bidi="ar"/>
              </w:rPr>
              <w:t>表</w:t>
            </w:r>
            <w:r>
              <w:rPr>
                <w:rFonts w:hint="default" w:ascii="Times New Roman" w:hAnsi="Times New Roman" w:cs="Times New Roman"/>
                <w:b/>
                <w:bCs/>
                <w:color w:val="000000"/>
                <w:szCs w:val="21"/>
                <w:lang w:val="en-US" w:eastAsia="zh-CN" w:bidi="ar"/>
              </w:rPr>
              <w:t xml:space="preserve">2.9-1 </w:t>
            </w:r>
            <w:r>
              <w:rPr>
                <w:rFonts w:hint="default" w:ascii="Times New Roman" w:hAnsi="Times New Roman" w:cs="Times New Roman"/>
                <w:b/>
                <w:bCs/>
                <w:color w:val="000000"/>
                <w:szCs w:val="21"/>
                <w:lang w:bidi="ar"/>
              </w:rPr>
              <w:t xml:space="preserve"> 工程土石方量一览表 单位：</w:t>
            </w:r>
            <w:r>
              <w:rPr>
                <w:rFonts w:hint="default" w:ascii="Times New Roman" w:hAnsi="Times New Roman" w:cs="Times New Roman"/>
                <w:b/>
                <w:bCs/>
                <w:color w:val="000000"/>
                <w:szCs w:val="21"/>
                <w:lang w:val="en-US" w:eastAsia="zh-CN" w:bidi="ar"/>
              </w:rPr>
              <w:t>万</w:t>
            </w:r>
            <w:r>
              <w:rPr>
                <w:rFonts w:hint="default" w:ascii="Times New Roman" w:hAnsi="Times New Roman" w:cs="Times New Roman"/>
                <w:b/>
                <w:bCs/>
                <w:color w:val="000000"/>
                <w:szCs w:val="21"/>
                <w:lang w:bidi="ar"/>
              </w:rPr>
              <w:t>m</w:t>
            </w:r>
            <w:r>
              <w:rPr>
                <w:rFonts w:hint="default" w:ascii="Times New Roman" w:hAnsi="Times New Roman" w:cs="Times New Roman"/>
                <w:color w:val="000000"/>
                <w:kern w:val="0"/>
                <w:sz w:val="24"/>
                <w:vertAlign w:val="superscript"/>
                <w:lang w:bidi="ar"/>
              </w:rPr>
              <w:t>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2097"/>
              <w:gridCol w:w="2097"/>
              <w:gridCol w:w="2098"/>
            </w:tblGrid>
            <w:tr w14:paraId="775D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7" w:type="dxa"/>
                  <w:noWrap w:val="0"/>
                  <w:vAlign w:val="center"/>
                </w:tcPr>
                <w:p w14:paraId="30AFCAE9">
                  <w:pPr>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挖方</w:t>
                  </w:r>
                </w:p>
              </w:tc>
              <w:tc>
                <w:tcPr>
                  <w:tcW w:w="2097" w:type="dxa"/>
                  <w:noWrap w:val="0"/>
                  <w:vAlign w:val="center"/>
                </w:tcPr>
                <w:p w14:paraId="231FBC53">
                  <w:pPr>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填方</w:t>
                  </w:r>
                </w:p>
              </w:tc>
              <w:tc>
                <w:tcPr>
                  <w:tcW w:w="2097" w:type="dxa"/>
                  <w:noWrap w:val="0"/>
                  <w:vAlign w:val="center"/>
                </w:tcPr>
                <w:p w14:paraId="7C3EBE0B">
                  <w:pPr>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借方</w:t>
                  </w:r>
                </w:p>
              </w:tc>
              <w:tc>
                <w:tcPr>
                  <w:tcW w:w="2098" w:type="dxa"/>
                  <w:noWrap w:val="0"/>
                  <w:vAlign w:val="center"/>
                </w:tcPr>
                <w:p w14:paraId="6FBB0C2E">
                  <w:pPr>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弃方</w:t>
                  </w:r>
                </w:p>
              </w:tc>
            </w:tr>
            <w:tr w14:paraId="4DC0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7" w:type="dxa"/>
                  <w:noWrap w:val="0"/>
                  <w:vAlign w:val="center"/>
                </w:tcPr>
                <w:p w14:paraId="42E1AFE9">
                  <w:pPr>
                    <w:spacing w:line="360" w:lineRule="auto"/>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1.54</w:t>
                  </w:r>
                </w:p>
              </w:tc>
              <w:tc>
                <w:tcPr>
                  <w:tcW w:w="2097" w:type="dxa"/>
                  <w:noWrap w:val="0"/>
                  <w:vAlign w:val="center"/>
                </w:tcPr>
                <w:p w14:paraId="6CA4A45F">
                  <w:pPr>
                    <w:spacing w:line="360" w:lineRule="auto"/>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0.35</w:t>
                  </w:r>
                </w:p>
              </w:tc>
              <w:tc>
                <w:tcPr>
                  <w:tcW w:w="2097" w:type="dxa"/>
                  <w:noWrap w:val="0"/>
                  <w:vAlign w:val="center"/>
                </w:tcPr>
                <w:p w14:paraId="16B5F571">
                  <w:pPr>
                    <w:spacing w:line="360" w:lineRule="auto"/>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w:t>
                  </w:r>
                </w:p>
              </w:tc>
              <w:tc>
                <w:tcPr>
                  <w:tcW w:w="2098" w:type="dxa"/>
                  <w:noWrap w:val="0"/>
                  <w:vAlign w:val="center"/>
                </w:tcPr>
                <w:p w14:paraId="65C74567">
                  <w:pPr>
                    <w:spacing w:line="360" w:lineRule="auto"/>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1.19</w:t>
                  </w:r>
                </w:p>
              </w:tc>
            </w:tr>
          </w:tbl>
          <w:p w14:paraId="0F879DA1">
            <w:pPr>
              <w:spacing w:line="360" w:lineRule="auto"/>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2.1</w:t>
            </w:r>
            <w:r>
              <w:rPr>
                <w:rFonts w:hint="default" w:ascii="Times New Roman" w:hAnsi="Times New Roman" w:cs="Times New Roman"/>
                <w:b/>
                <w:color w:val="000000"/>
                <w:sz w:val="28"/>
                <w:szCs w:val="28"/>
                <w:highlight w:val="none"/>
                <w:lang w:val="en-US" w:eastAsia="zh-CN"/>
              </w:rPr>
              <w:t>0</w:t>
            </w:r>
            <w:r>
              <w:rPr>
                <w:rFonts w:hint="default" w:ascii="Times New Roman" w:hAnsi="Times New Roman" w:cs="Times New Roman"/>
                <w:b/>
                <w:bCs/>
                <w:iCs/>
                <w:sz w:val="24"/>
                <w:lang w:val="en-US" w:eastAsia="zh-CN"/>
              </w:rPr>
              <w:t>工程占地及工程拆迁</w:t>
            </w:r>
          </w:p>
          <w:p w14:paraId="6B69B536">
            <w:pPr>
              <w:spacing w:line="360" w:lineRule="auto"/>
              <w:rPr>
                <w:rFonts w:hint="default" w:ascii="Times New Roman" w:hAnsi="Times New Roman" w:cs="Times New Roman"/>
                <w:iCs/>
                <w:sz w:val="24"/>
              </w:rPr>
            </w:pPr>
            <w:r>
              <w:rPr>
                <w:rFonts w:hint="default" w:ascii="Times New Roman" w:hAnsi="Times New Roman" w:cs="Times New Roman"/>
                <w:iCs/>
                <w:sz w:val="24"/>
                <w:lang w:val="en-US" w:eastAsia="zh-CN"/>
              </w:rPr>
              <w:t>（1）工程占地</w:t>
            </w:r>
          </w:p>
          <w:p w14:paraId="3E84EC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Cs/>
                <w:sz w:val="24"/>
                <w:lang w:val="en-US" w:eastAsia="zh-CN"/>
              </w:rPr>
            </w:pPr>
            <w:r>
              <w:rPr>
                <w:rFonts w:hint="default" w:ascii="Times New Roman" w:hAnsi="Times New Roman" w:cs="Times New Roman"/>
                <w:iCs/>
                <w:sz w:val="24"/>
                <w:lang w:val="en-US" w:eastAsia="zh-CN"/>
              </w:rPr>
              <w:t>本项目路线全长175m，永久占地12362m</w:t>
            </w:r>
            <w:r>
              <w:rPr>
                <w:rFonts w:hint="default" w:ascii="Times New Roman" w:hAnsi="Times New Roman" w:cs="Times New Roman"/>
                <w:iCs/>
                <w:sz w:val="24"/>
                <w:vertAlign w:val="superscript"/>
                <w:lang w:val="en-US" w:eastAsia="zh-CN"/>
              </w:rPr>
              <w:t>2</w:t>
            </w:r>
            <w:r>
              <w:rPr>
                <w:rFonts w:hint="default" w:ascii="Times New Roman" w:hAnsi="Times New Roman" w:cs="Times New Roman"/>
                <w:iCs/>
                <w:sz w:val="24"/>
                <w:lang w:val="en-US" w:eastAsia="zh-CN"/>
              </w:rPr>
              <w:t>，</w:t>
            </w:r>
            <w:r>
              <w:rPr>
                <w:rFonts w:hint="default" w:ascii="Times New Roman" w:hAnsi="Times New Roman" w:cs="Times New Roman" w:eastAsiaTheme="majorEastAsia"/>
                <w:sz w:val="24"/>
                <w:szCs w:val="32"/>
                <w:lang w:val="en-US" w:eastAsia="zh-CN"/>
              </w:rPr>
              <w:t>临时占地为临时表土堆场、临时材料堆放区、施工机械停放场等，</w:t>
            </w:r>
            <w:r>
              <w:rPr>
                <w:rFonts w:hint="default" w:ascii="Times New Roman" w:hAnsi="Times New Roman" w:cs="Times New Roman" w:eastAsiaTheme="majorEastAsia"/>
                <w:sz w:val="24"/>
                <w:szCs w:val="32"/>
                <w:lang w:eastAsia="zh-CN"/>
              </w:rPr>
              <w:t>设置在项目用地范围内</w:t>
            </w:r>
            <w:r>
              <w:rPr>
                <w:rFonts w:hint="default" w:ascii="Times New Roman" w:hAnsi="Times New Roman" w:cs="Times New Roman"/>
                <w:iCs/>
                <w:sz w:val="24"/>
                <w:lang w:val="en-US" w:eastAsia="zh-CN"/>
              </w:rPr>
              <w:t>。</w:t>
            </w:r>
          </w:p>
          <w:p w14:paraId="5C2FE5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Cs/>
                <w:sz w:val="24"/>
                <w:lang w:val="en-US" w:eastAsia="zh-CN"/>
              </w:rPr>
            </w:pPr>
            <w:r>
              <w:rPr>
                <w:rFonts w:hint="default" w:ascii="Times New Roman" w:hAnsi="Times New Roman" w:cs="Times New Roman"/>
                <w:iCs/>
                <w:sz w:val="24"/>
                <w:lang w:val="en-US" w:eastAsia="zh-CN"/>
              </w:rPr>
              <w:t>1）永久占地</w:t>
            </w:r>
          </w:p>
          <w:p w14:paraId="1C1330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Cs/>
                <w:sz w:val="24"/>
                <w:lang w:val="en-US" w:eastAsia="zh-CN"/>
              </w:rPr>
            </w:pPr>
            <w:r>
              <w:rPr>
                <w:rFonts w:hint="default" w:ascii="Times New Roman" w:hAnsi="Times New Roman" w:cs="Times New Roman"/>
                <w:iCs/>
                <w:sz w:val="24"/>
                <w:lang w:val="en-US" w:eastAsia="zh-CN"/>
              </w:rPr>
              <w:t>本项目永久占地为12362m</w:t>
            </w:r>
            <w:r>
              <w:rPr>
                <w:rFonts w:hint="default" w:ascii="Times New Roman" w:hAnsi="Times New Roman" w:cs="Times New Roman"/>
                <w:iCs/>
                <w:sz w:val="24"/>
                <w:vertAlign w:val="superscript"/>
                <w:lang w:val="en-US" w:eastAsia="zh-CN"/>
              </w:rPr>
              <w:t>2</w:t>
            </w:r>
            <w:r>
              <w:rPr>
                <w:rFonts w:hint="default" w:ascii="Times New Roman" w:hAnsi="Times New Roman" w:cs="Times New Roman"/>
                <w:iCs/>
                <w:sz w:val="24"/>
                <w:lang w:val="en-US" w:eastAsia="zh-CN"/>
              </w:rPr>
              <w:t>，本项目用地均为集体用地，未侵占基本农田。具体土地类型见表2.10-1。</w:t>
            </w:r>
          </w:p>
          <w:p w14:paraId="67E0BA2E">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21"/>
                <w:szCs w:val="21"/>
                <w:lang w:val="en-US" w:eastAsia="zh-CN" w:bidi="ar"/>
              </w:rPr>
              <w:t>表2</w:t>
            </w:r>
            <w:r>
              <w:rPr>
                <w:rFonts w:hint="default" w:ascii="Times New Roman" w:hAnsi="Times New Roman" w:cs="Times New Roman"/>
                <w:b/>
                <w:bCs/>
                <w:color w:val="000000"/>
                <w:kern w:val="0"/>
                <w:sz w:val="21"/>
                <w:szCs w:val="21"/>
                <w:lang w:val="en-US" w:eastAsia="zh-CN" w:bidi="ar"/>
              </w:rPr>
              <w:t xml:space="preserve">.10-1 </w:t>
            </w:r>
            <w:r>
              <w:rPr>
                <w:rFonts w:hint="default" w:ascii="Times New Roman" w:hAnsi="Times New Roman" w:eastAsia="宋体" w:cs="Times New Roman"/>
                <w:b/>
                <w:bCs/>
                <w:color w:val="000000"/>
                <w:kern w:val="0"/>
                <w:sz w:val="21"/>
                <w:szCs w:val="21"/>
                <w:lang w:val="en-US" w:eastAsia="zh-CN" w:bidi="ar"/>
              </w:rPr>
              <w:t xml:space="preserve"> 项目永久占地类型一览表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3"/>
              <w:gridCol w:w="4255"/>
            </w:tblGrid>
            <w:tr w14:paraId="1F97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4C45EC6E">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土地类型</w:t>
                  </w:r>
                </w:p>
              </w:tc>
              <w:tc>
                <w:tcPr>
                  <w:tcW w:w="2500" w:type="pct"/>
                  <w:vAlign w:val="center"/>
                </w:tcPr>
                <w:p w14:paraId="7C9E4244">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永久占地面积（m</w:t>
                  </w:r>
                  <w:r>
                    <w:rPr>
                      <w:rFonts w:hint="default" w:ascii="Times New Roman" w:hAnsi="Times New Roman" w:eastAsia="宋体" w:cs="Times New Roman"/>
                      <w:iCs/>
                      <w:sz w:val="21"/>
                      <w:szCs w:val="21"/>
                      <w:vertAlign w:val="superscript"/>
                      <w:lang w:val="en-US" w:eastAsia="zh-CN"/>
                    </w:rPr>
                    <w:t>2</w:t>
                  </w:r>
                  <w:r>
                    <w:rPr>
                      <w:rFonts w:hint="default" w:ascii="Times New Roman" w:hAnsi="Times New Roman" w:eastAsia="宋体" w:cs="Times New Roman"/>
                      <w:iCs/>
                      <w:sz w:val="21"/>
                      <w:szCs w:val="21"/>
                      <w:vertAlign w:val="baseline"/>
                      <w:lang w:val="en-US" w:eastAsia="zh-CN"/>
                    </w:rPr>
                    <w:t>）</w:t>
                  </w:r>
                </w:p>
              </w:tc>
            </w:tr>
            <w:tr w14:paraId="6ACF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4926C311">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水田</w:t>
                  </w:r>
                </w:p>
              </w:tc>
              <w:tc>
                <w:tcPr>
                  <w:tcW w:w="2500" w:type="pct"/>
                  <w:vAlign w:val="center"/>
                </w:tcPr>
                <w:p w14:paraId="14882112">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bottom"/>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576</w:t>
                  </w:r>
                </w:p>
              </w:tc>
            </w:tr>
            <w:tr w14:paraId="5ABB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1CC59B1A">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旱地</w:t>
                  </w:r>
                </w:p>
              </w:tc>
              <w:tc>
                <w:tcPr>
                  <w:tcW w:w="2500" w:type="pct"/>
                  <w:vAlign w:val="center"/>
                </w:tcPr>
                <w:p w14:paraId="1BCC131E">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bottom"/>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4145</w:t>
                  </w:r>
                </w:p>
              </w:tc>
            </w:tr>
            <w:tr w14:paraId="2C29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789AEFF2">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田坎</w:t>
                  </w:r>
                </w:p>
              </w:tc>
              <w:tc>
                <w:tcPr>
                  <w:tcW w:w="2500" w:type="pct"/>
                  <w:shd w:val="clear" w:color="auto" w:fill="auto"/>
                  <w:vAlign w:val="center"/>
                </w:tcPr>
                <w:p w14:paraId="1E4B03A4">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521</w:t>
                  </w:r>
                </w:p>
              </w:tc>
            </w:tr>
            <w:tr w14:paraId="5D4E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38082DC8">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农村道路</w:t>
                  </w:r>
                </w:p>
              </w:tc>
              <w:tc>
                <w:tcPr>
                  <w:tcW w:w="2500" w:type="pct"/>
                  <w:shd w:val="clear" w:color="auto" w:fill="auto"/>
                  <w:vAlign w:val="center"/>
                </w:tcPr>
                <w:p w14:paraId="326694AD">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602</w:t>
                  </w:r>
                </w:p>
              </w:tc>
            </w:tr>
            <w:tr w14:paraId="4665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37A73D7B">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农村宅基地</w:t>
                  </w:r>
                </w:p>
              </w:tc>
              <w:tc>
                <w:tcPr>
                  <w:tcW w:w="2500" w:type="pct"/>
                  <w:shd w:val="clear" w:color="auto" w:fill="auto"/>
                  <w:vAlign w:val="center"/>
                </w:tcPr>
                <w:p w14:paraId="169B31C0">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p>
              </w:tc>
            </w:tr>
            <w:tr w14:paraId="4C60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5573ED0A">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其他园地</w:t>
                  </w:r>
                </w:p>
              </w:tc>
              <w:tc>
                <w:tcPr>
                  <w:tcW w:w="2500" w:type="pct"/>
                  <w:vAlign w:val="center"/>
                </w:tcPr>
                <w:p w14:paraId="0C772BB4">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1463</w:t>
                  </w:r>
                </w:p>
              </w:tc>
            </w:tr>
            <w:tr w14:paraId="43E5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4D8702B7">
                  <w:pPr>
                    <w:pStyle w:val="8"/>
                    <w:keepNext w:val="0"/>
                    <w:keepLines w:val="0"/>
                    <w:pageBreakBefore w:val="0"/>
                    <w:widowControl/>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iCs/>
                      <w:sz w:val="21"/>
                      <w:szCs w:val="21"/>
                      <w:vertAlign w:val="baseline"/>
                      <w:lang w:val="en-US" w:eastAsia="zh-CN"/>
                    </w:rPr>
                  </w:pPr>
                  <w:r>
                    <w:rPr>
                      <w:rFonts w:hint="default" w:ascii="Times New Roman" w:hAnsi="Times New Roman" w:eastAsia="宋体" w:cs="Times New Roman"/>
                      <w:iCs/>
                      <w:sz w:val="21"/>
                      <w:szCs w:val="21"/>
                      <w:vertAlign w:val="baseline"/>
                      <w:lang w:val="en-US" w:eastAsia="zh-CN"/>
                    </w:rPr>
                    <w:t>乔木林地</w:t>
                  </w:r>
                </w:p>
              </w:tc>
              <w:tc>
                <w:tcPr>
                  <w:tcW w:w="2500" w:type="pct"/>
                  <w:vAlign w:val="center"/>
                </w:tcPr>
                <w:p w14:paraId="3842C46D">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5018</w:t>
                  </w:r>
                </w:p>
              </w:tc>
            </w:tr>
          </w:tbl>
          <w:p w14:paraId="3FB2F47C">
            <w:pPr>
              <w:autoSpaceDE w:val="0"/>
              <w:autoSpaceDN w:val="0"/>
              <w:adjustRightInd w:val="0"/>
              <w:spacing w:line="360" w:lineRule="auto"/>
              <w:ind w:firstLine="480" w:firstLineChars="200"/>
              <w:rPr>
                <w:rFonts w:hint="default" w:ascii="Times New Roman" w:hAnsi="Times New Roman" w:cs="Times New Roman"/>
                <w:iCs/>
                <w:sz w:val="24"/>
                <w:lang w:val="en-US" w:eastAsia="zh-CN"/>
              </w:rPr>
            </w:pPr>
            <w:r>
              <w:rPr>
                <w:rFonts w:hint="default" w:ascii="Times New Roman" w:hAnsi="Times New Roman" w:cs="Times New Roman"/>
                <w:iCs/>
                <w:sz w:val="24"/>
                <w:lang w:val="en-US" w:eastAsia="zh-CN"/>
              </w:rPr>
              <w:t>2）临时工程占地</w:t>
            </w:r>
          </w:p>
          <w:p w14:paraId="6542D38C">
            <w:pPr>
              <w:autoSpaceDE w:val="0"/>
              <w:autoSpaceDN w:val="0"/>
              <w:adjustRightInd w:val="0"/>
              <w:spacing w:line="360" w:lineRule="auto"/>
              <w:ind w:firstLine="480" w:firstLineChars="200"/>
              <w:rPr>
                <w:rFonts w:hint="default" w:ascii="Times New Roman" w:hAnsi="Times New Roman" w:cs="Times New Roman"/>
                <w:iCs/>
                <w:sz w:val="24"/>
                <w:u w:val="single"/>
                <w:lang w:val="en-US" w:eastAsia="zh-CN"/>
              </w:rPr>
            </w:pPr>
            <w:r>
              <w:rPr>
                <w:rFonts w:hint="default" w:ascii="Times New Roman" w:hAnsi="Times New Roman" w:cs="Times New Roman" w:eastAsiaTheme="majorEastAsia"/>
                <w:sz w:val="24"/>
                <w:szCs w:val="32"/>
                <w:lang w:val="en-US" w:eastAsia="zh-CN"/>
              </w:rPr>
              <w:t>本项目不设取土场、弃土场和弃渣场，临时占地为临时表土堆场、临时材料堆放区、施工机械停放场等，</w:t>
            </w:r>
            <w:r>
              <w:rPr>
                <w:rFonts w:hint="default" w:ascii="Times New Roman" w:hAnsi="Times New Roman" w:cs="Times New Roman" w:eastAsiaTheme="majorEastAsia"/>
                <w:sz w:val="24"/>
                <w:szCs w:val="32"/>
                <w:lang w:eastAsia="zh-CN"/>
              </w:rPr>
              <w:t>设置在项目用地范围内</w:t>
            </w:r>
            <w:r>
              <w:rPr>
                <w:rFonts w:hint="default" w:ascii="Times New Roman" w:hAnsi="Times New Roman" w:cs="Times New Roman"/>
                <w:iCs/>
                <w:sz w:val="24"/>
                <w:u w:val="none"/>
                <w:lang w:val="en-US" w:eastAsia="zh-CN"/>
              </w:rPr>
              <w:t>。</w:t>
            </w:r>
          </w:p>
          <w:p w14:paraId="4ED40FAF">
            <w:pPr>
              <w:pStyle w:val="8"/>
              <w:widowControl w:val="0"/>
              <w:snapToGrid/>
              <w:spacing w:after="0" w:line="360" w:lineRule="auto"/>
              <w:ind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（2）工程拆迁</w:t>
            </w:r>
          </w:p>
          <w:p w14:paraId="6022C858">
            <w:pPr>
              <w:pStyle w:val="8"/>
              <w:widowControl w:val="0"/>
              <w:snapToGrid/>
              <w:spacing w:after="0" w:line="360" w:lineRule="auto"/>
              <w:ind w:firstLine="480" w:firstLineChars="200"/>
              <w:rPr>
                <w:rFonts w:hint="default" w:ascii="Times New Roman" w:hAnsi="Times New Roman" w:cs="Times New Roman"/>
                <w:color w:val="000000"/>
                <w:sz w:val="24"/>
                <w:lang w:val="en-US"/>
              </w:rPr>
            </w:pPr>
            <w:r>
              <w:rPr>
                <w:rFonts w:hint="default" w:ascii="Times New Roman" w:hAnsi="Times New Roman" w:cs="Times New Roman"/>
                <w:color w:val="000000"/>
                <w:sz w:val="24"/>
                <w:szCs w:val="24"/>
                <w:lang w:val="en-US" w:eastAsia="zh-CN"/>
              </w:rPr>
              <w:t>本道路拆迁房屋宅基地为37m</w:t>
            </w:r>
            <w:r>
              <w:rPr>
                <w:rFonts w:hint="default" w:ascii="Times New Roman" w:hAnsi="Times New Roman" w:cs="Times New Roman"/>
                <w:color w:val="000000"/>
                <w:sz w:val="24"/>
                <w:szCs w:val="24"/>
                <w:vertAlign w:val="superscript"/>
                <w:lang w:val="en-US" w:eastAsia="zh-CN"/>
              </w:rPr>
              <w:t>2</w:t>
            </w:r>
            <w:r>
              <w:rPr>
                <w:rFonts w:hint="default" w:ascii="Times New Roman" w:hAnsi="Times New Roman" w:cs="Times New Roman"/>
                <w:color w:val="000000"/>
                <w:sz w:val="24"/>
                <w:szCs w:val="24"/>
                <w:vertAlign w:val="baseline"/>
                <w:lang w:val="en-US" w:eastAsia="zh-CN"/>
              </w:rPr>
              <w:t>，</w:t>
            </w:r>
            <w:r>
              <w:rPr>
                <w:rFonts w:hint="default" w:ascii="Times New Roman" w:hAnsi="Times New Roman" w:cs="Times New Roman"/>
                <w:color w:val="000000"/>
                <w:sz w:val="24"/>
                <w:szCs w:val="24"/>
                <w:lang w:val="en-US" w:eastAsia="zh-CN"/>
              </w:rPr>
              <w:t>本项目拆迁均为工程拆迁，不涉及环保拆迁。</w:t>
            </w:r>
          </w:p>
        </w:tc>
      </w:tr>
      <w:tr w14:paraId="65C8D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56" w:type="dxa"/>
            <w:noWrap w:val="0"/>
            <w:vAlign w:val="center"/>
          </w:tcPr>
          <w:p w14:paraId="4A1E5DB5">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施工方案</w:t>
            </w:r>
          </w:p>
        </w:tc>
        <w:tc>
          <w:tcPr>
            <w:tcW w:w="8615" w:type="dxa"/>
            <w:noWrap w:val="0"/>
            <w:vAlign w:val="center"/>
          </w:tcPr>
          <w:p w14:paraId="47CA66F7">
            <w:pPr>
              <w:adjustRightInd w:val="0"/>
              <w:snapToGrid w:val="0"/>
              <w:spacing w:line="360" w:lineRule="auto"/>
              <w:rPr>
                <w:rFonts w:hint="default" w:ascii="Times New Roman" w:hAnsi="Times New Roman" w:cs="Times New Roman"/>
                <w:color w:val="000000"/>
                <w:kern w:val="0"/>
                <w:sz w:val="24"/>
                <w:highlight w:val="none"/>
              </w:rPr>
            </w:pPr>
            <w:r>
              <w:rPr>
                <w:rFonts w:hint="default" w:ascii="Times New Roman" w:hAnsi="Times New Roman" w:cs="Times New Roman"/>
                <w:b/>
                <w:color w:val="000000"/>
                <w:sz w:val="28"/>
                <w:szCs w:val="28"/>
                <w:highlight w:val="none"/>
              </w:rPr>
              <w:t>2.1</w:t>
            </w:r>
            <w:r>
              <w:rPr>
                <w:rFonts w:hint="default" w:ascii="Times New Roman" w:hAnsi="Times New Roman" w:cs="Times New Roman"/>
                <w:b/>
                <w:color w:val="000000"/>
                <w:sz w:val="28"/>
                <w:szCs w:val="28"/>
                <w:highlight w:val="none"/>
                <w:lang w:val="en-US" w:eastAsia="zh-CN"/>
              </w:rPr>
              <w:t>1</w:t>
            </w:r>
            <w:r>
              <w:rPr>
                <w:rFonts w:hint="default" w:ascii="Times New Roman" w:hAnsi="Times New Roman" w:cs="Times New Roman"/>
                <w:b/>
                <w:color w:val="000000"/>
                <w:sz w:val="28"/>
                <w:szCs w:val="28"/>
                <w:highlight w:val="none"/>
              </w:rPr>
              <w:t>施工工艺</w:t>
            </w:r>
          </w:p>
          <w:p w14:paraId="53F0BB3F">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本项目属于城市道路</w:t>
            </w:r>
            <w:r>
              <w:rPr>
                <w:rFonts w:hint="eastAsia" w:ascii="Times New Roman" w:hAnsi="Times New Roman" w:cs="Times New Roman"/>
                <w:color w:val="000000"/>
                <w:kern w:val="0"/>
                <w:sz w:val="24"/>
                <w:lang w:eastAsia="zh-CN"/>
              </w:rPr>
              <w:t>建设项目</w:t>
            </w:r>
            <w:r>
              <w:rPr>
                <w:rFonts w:hint="default" w:ascii="Times New Roman" w:hAnsi="Times New Roman" w:cs="Times New Roman"/>
                <w:color w:val="000000"/>
                <w:kern w:val="0"/>
                <w:sz w:val="24"/>
              </w:rPr>
              <w:t>，主要包括施工期和营运期两个阶段。工艺流程及主要污染因子如下图：</w:t>
            </w:r>
          </w:p>
          <w:p w14:paraId="280EAAA5">
            <w:pPr>
              <w:pStyle w:val="8"/>
              <w:spacing w:before="0" w:after="0" w:line="360" w:lineRule="auto"/>
              <w:ind w:right="0"/>
              <w:jc w:val="center"/>
              <w:rPr>
                <w:rFonts w:hint="default" w:ascii="Times New Roman" w:hAnsi="Times New Roman" w:cs="Times New Roman"/>
                <w:color w:val="000000"/>
                <w:lang w:val="en-US" w:eastAsia="zh-CN"/>
              </w:rPr>
            </w:pPr>
            <w:r>
              <w:rPr>
                <w:rFonts w:hint="default" w:ascii="Times New Roman" w:hAnsi="Times New Roman" w:cs="Times New Roman"/>
                <w:sz w:val="18"/>
              </w:rPr>
              <mc:AlternateContent>
                <mc:Choice Requires="wps">
                  <w:drawing>
                    <wp:anchor distT="0" distB="0" distL="114300" distR="114300" simplePos="0" relativeHeight="251660288" behindDoc="0" locked="0" layoutInCell="1" allowOverlap="1">
                      <wp:simplePos x="0" y="0"/>
                      <wp:positionH relativeFrom="column">
                        <wp:posOffset>1332865</wp:posOffset>
                      </wp:positionH>
                      <wp:positionV relativeFrom="paragraph">
                        <wp:posOffset>1739265</wp:posOffset>
                      </wp:positionV>
                      <wp:extent cx="910590" cy="523875"/>
                      <wp:effectExtent l="0" t="0" r="3810" b="9525"/>
                      <wp:wrapNone/>
                      <wp:docPr id="6" name="文本框 6"/>
                      <wp:cNvGraphicFramePr/>
                      <a:graphic xmlns:a="http://schemas.openxmlformats.org/drawingml/2006/main">
                        <a:graphicData uri="http://schemas.microsoft.com/office/word/2010/wordprocessingShape">
                          <wps:wsp>
                            <wps:cNvSpPr txBox="1"/>
                            <wps:spPr>
                              <a:xfrm>
                                <a:off x="2589530" y="5624830"/>
                                <a:ext cx="910590" cy="52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7B81F8">
                                  <w:pPr>
                                    <w:keepNext w:val="0"/>
                                    <w:keepLines w:val="0"/>
                                    <w:pageBreakBefore w:val="0"/>
                                    <w:widowControl w:val="0"/>
                                    <w:kinsoku/>
                                    <w:wordWrap/>
                                    <w:overflowPunct/>
                                    <w:topLinePunct w:val="0"/>
                                    <w:bidi w:val="0"/>
                                    <w:adjustRightInd/>
                                    <w:snapToGrid/>
                                    <w:spacing w:before="0" w:beforeLines="50"/>
                                    <w:jc w:val="center"/>
                                    <w:textAlignment w:val="auto"/>
                                    <w:rPr>
                                      <w:rFonts w:hint="default" w:eastAsia="宋体"/>
                                      <w:b/>
                                      <w:bCs/>
                                      <w:sz w:val="18"/>
                                      <w:szCs w:val="18"/>
                                      <w:lang w:val="en-US" w:eastAsia="zh-CN"/>
                                    </w:rPr>
                                  </w:pPr>
                                  <w:r>
                                    <w:rPr>
                                      <w:rFonts w:hint="eastAsia"/>
                                      <w:b/>
                                      <w:bCs/>
                                      <w:sz w:val="18"/>
                                      <w:szCs w:val="18"/>
                                      <w:lang w:val="en-US" w:eastAsia="zh-CN"/>
                                    </w:rPr>
                                    <w:t>路面</w:t>
                                  </w:r>
                                  <w:r>
                                    <w:rPr>
                                      <w:rFonts w:hint="eastAsia"/>
                                      <w:b/>
                                      <w:bCs/>
                                      <w:w w:val="150"/>
                                      <w:sz w:val="18"/>
                                      <w:szCs w:val="18"/>
                                      <w:lang w:val="en-US" w:eastAsia="zh-CN"/>
                                    </w:rPr>
                                    <w:t>、</w:t>
                                  </w:r>
                                  <w:r>
                                    <w:rPr>
                                      <w:rFonts w:hint="eastAsia"/>
                                      <w:b/>
                                      <w:bCs/>
                                      <w:sz w:val="18"/>
                                      <w:szCs w:val="18"/>
                                      <w:lang w:val="en-US" w:eastAsia="zh-CN"/>
                                    </w:rPr>
                                    <w:t>路基施工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95pt;margin-top:136.95pt;height:41.25pt;width:71.7pt;z-index:251660288;mso-width-relative:page;mso-height-relative:page;" fillcolor="#FFFFFF [3201]" filled="t" stroked="f" coordsize="21600,21600" o:gfxdata="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PKmHtUAAAAL&#10;AQAADwAAAAAAAAABACAAAAAiAAAAZHJzL2Rvd25yZXYueG1sUEsBAhQAFAAAAAgAh07iQDFsNqhY&#10;AgAAmgQAAA4AAAAAAAAAAQAgAAAAJAEAAGRycy9lMm9Eb2MueG1sUEsFBgAAAAAGAAYAWQEAAO4F&#10;AAAAAA==&#10;">
                      <v:fill on="t" focussize="0,0"/>
                      <v:stroke on="f" weight="0.5pt"/>
                      <v:imagedata o:title=""/>
                      <o:lock v:ext="edit" aspectratio="f"/>
                      <v:textbox>
                        <w:txbxContent>
                          <w:p w14:paraId="047B81F8">
                            <w:pPr>
                              <w:keepNext w:val="0"/>
                              <w:keepLines w:val="0"/>
                              <w:pageBreakBefore w:val="0"/>
                              <w:widowControl w:val="0"/>
                              <w:kinsoku/>
                              <w:wordWrap/>
                              <w:overflowPunct/>
                              <w:topLinePunct w:val="0"/>
                              <w:bidi w:val="0"/>
                              <w:adjustRightInd/>
                              <w:snapToGrid/>
                              <w:spacing w:before="0" w:beforeLines="50"/>
                              <w:jc w:val="center"/>
                              <w:textAlignment w:val="auto"/>
                              <w:rPr>
                                <w:rFonts w:hint="default" w:eastAsia="宋体"/>
                                <w:b/>
                                <w:bCs/>
                                <w:sz w:val="18"/>
                                <w:szCs w:val="18"/>
                                <w:lang w:val="en-US" w:eastAsia="zh-CN"/>
                              </w:rPr>
                            </w:pPr>
                            <w:r>
                              <w:rPr>
                                <w:rFonts w:hint="eastAsia"/>
                                <w:b/>
                                <w:bCs/>
                                <w:sz w:val="18"/>
                                <w:szCs w:val="18"/>
                                <w:lang w:val="en-US" w:eastAsia="zh-CN"/>
                              </w:rPr>
                              <w:t>路面</w:t>
                            </w:r>
                            <w:r>
                              <w:rPr>
                                <w:rFonts w:hint="eastAsia"/>
                                <w:b/>
                                <w:bCs/>
                                <w:w w:val="150"/>
                                <w:sz w:val="18"/>
                                <w:szCs w:val="18"/>
                                <w:lang w:val="en-US" w:eastAsia="zh-CN"/>
                              </w:rPr>
                              <w:t>、</w:t>
                            </w:r>
                            <w:r>
                              <w:rPr>
                                <w:rFonts w:hint="eastAsia"/>
                                <w:b/>
                                <w:bCs/>
                                <w:sz w:val="18"/>
                                <w:szCs w:val="18"/>
                                <w:lang w:val="en-US" w:eastAsia="zh-CN"/>
                              </w:rPr>
                              <w:t>路基施工</w:t>
                            </w:r>
                          </w:p>
                        </w:txbxContent>
                      </v:textbox>
                    </v:shape>
                  </w:pict>
                </mc:Fallback>
              </mc:AlternateContent>
            </w:r>
            <w:r>
              <w:rPr>
                <w:rFonts w:hint="default" w:ascii="Times New Roman" w:hAnsi="Times New Roman" w:cs="Times New Roman"/>
              </w:rPr>
              <w:drawing>
                <wp:inline distT="0" distB="0" distL="114300" distR="114300">
                  <wp:extent cx="3371850" cy="4543425"/>
                  <wp:effectExtent l="0" t="0" r="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3371850" cy="4543425"/>
                          </a:xfrm>
                          <a:prstGeom prst="rect">
                            <a:avLst/>
                          </a:prstGeom>
                          <a:noFill/>
                          <a:ln>
                            <a:noFill/>
                          </a:ln>
                        </pic:spPr>
                      </pic:pic>
                    </a:graphicData>
                  </a:graphic>
                </wp:inline>
              </w:drawing>
            </w:r>
          </w:p>
          <w:p w14:paraId="65F93DE2">
            <w:pPr>
              <w:spacing w:line="360" w:lineRule="auto"/>
              <w:jc w:val="center"/>
              <w:rPr>
                <w:rFonts w:hint="default" w:ascii="Times New Roman" w:hAnsi="Times New Roman" w:cs="Times New Roman"/>
                <w:color w:val="000000"/>
              </w:rPr>
            </w:pPr>
            <w:r>
              <w:rPr>
                <w:rFonts w:hint="default" w:ascii="Times New Roman" w:hAnsi="Times New Roman" w:cs="Times New Roman"/>
                <w:b/>
                <w:bCs/>
                <w:color w:val="000000"/>
              </w:rPr>
              <w:t>图2</w:t>
            </w:r>
            <w:r>
              <w:rPr>
                <w:rFonts w:hint="default" w:ascii="Times New Roman" w:hAnsi="Times New Roman" w:cs="Times New Roman"/>
                <w:b/>
                <w:bCs/>
                <w:color w:val="000000"/>
                <w:lang w:val="en-US" w:eastAsia="zh-CN"/>
              </w:rPr>
              <w:t>.11-1</w:t>
            </w:r>
            <w:r>
              <w:rPr>
                <w:rFonts w:hint="default" w:ascii="Times New Roman" w:hAnsi="Times New Roman" w:cs="Times New Roman"/>
                <w:b/>
                <w:bCs/>
                <w:color w:val="000000"/>
              </w:rPr>
              <w:t xml:space="preserve">  项目建设施工流程及排污节点图</w:t>
            </w:r>
          </w:p>
          <w:p w14:paraId="5976B964">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施工工艺流程简述：</w:t>
            </w:r>
          </w:p>
          <w:p w14:paraId="57FFF55E">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（1）清表</w:t>
            </w:r>
          </w:p>
          <w:p w14:paraId="0E35C1B3">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路基施工前对场地表面进行清理、填土和夯实。建筑工人利用推土机等设备将该地块平整，产生的碎石、砂土、粘土共同用作填土材料。此工程产生施工扬尘、施工机械尾气、建筑垃圾、弃渣和噪声。</w:t>
            </w:r>
          </w:p>
          <w:p w14:paraId="7E336470">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（2）道路施工</w:t>
            </w:r>
          </w:p>
          <w:p w14:paraId="176E52CF">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1）路基施工</w:t>
            </w:r>
          </w:p>
          <w:p w14:paraId="1207A072">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路基施工工艺流程为：施工准备→路基挖填→路基临时排水设施→路基基地处理与填前碾压→填料运输与卸</w:t>
            </w:r>
            <w:r>
              <w:rPr>
                <w:rFonts w:hint="eastAsia" w:ascii="Times New Roman" w:hAnsi="Times New Roman" w:cs="Times New Roman"/>
                <w:color w:val="000000"/>
                <w:kern w:val="0"/>
                <w:sz w:val="24"/>
                <w:lang w:val="en-US" w:eastAsia="zh-CN"/>
              </w:rPr>
              <w:t>料</w:t>
            </w:r>
            <w:r>
              <w:rPr>
                <w:rFonts w:hint="default" w:ascii="Times New Roman" w:hAnsi="Times New Roman" w:cs="Times New Roman"/>
                <w:color w:val="000000"/>
                <w:kern w:val="0"/>
                <w:sz w:val="24"/>
              </w:rPr>
              <w:t>→推平与翻拌晾晒→碾压→压实度检测。</w:t>
            </w:r>
          </w:p>
          <w:p w14:paraId="7A0A3435">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2）路面施工</w:t>
            </w:r>
          </w:p>
          <w:p w14:paraId="1FBC1AC3">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沥青路面施工工艺流程为：测量放线→沥青混合料运输→摊铺→静压（初压）→振动碾压（复压）→静压（终压）→接缝处理→检查验收。</w:t>
            </w:r>
          </w:p>
          <w:p w14:paraId="0DAA9035">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（3）配套设施及环保工程施工</w:t>
            </w:r>
          </w:p>
          <w:p w14:paraId="2823A684">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kern w:val="0"/>
                <w:sz w:val="24"/>
              </w:rPr>
              <w:t>主要包括管线工程、照明工程、绿化工程、交通设施工程等。</w:t>
            </w:r>
          </w:p>
          <w:p w14:paraId="30F9E30E">
            <w:pPr>
              <w:adjustRightInd w:val="0"/>
              <w:snapToGrid w:val="0"/>
              <w:spacing w:line="360" w:lineRule="auto"/>
              <w:ind w:firstLine="480" w:firstLineChars="200"/>
              <w:rPr>
                <w:rFonts w:hint="default" w:ascii="Times New Roman" w:hAnsi="Times New Roman" w:cs="Times New Roman"/>
                <w:color w:val="000000"/>
                <w:kern w:val="0"/>
                <w:sz w:val="24"/>
                <w:highlight w:val="none"/>
              </w:rPr>
            </w:pPr>
            <w:r>
              <w:rPr>
                <w:rFonts w:hint="default" w:ascii="Times New Roman" w:hAnsi="Times New Roman" w:cs="Times New Roman"/>
                <w:color w:val="000000"/>
                <w:sz w:val="24"/>
              </w:rPr>
              <w:t>本工程采用全封闭施工，</w:t>
            </w:r>
            <w:r>
              <w:rPr>
                <w:rFonts w:hint="default" w:ascii="Times New Roman" w:hAnsi="Times New Roman" w:cs="Times New Roman"/>
                <w:color w:val="000000"/>
                <w:kern w:val="0"/>
                <w:sz w:val="24"/>
              </w:rPr>
              <w:t>进入施工现场的任何人员均必须佩带安全帽，</w:t>
            </w:r>
            <w:r>
              <w:rPr>
                <w:rFonts w:hint="default" w:ascii="Times New Roman" w:hAnsi="Times New Roman" w:cs="Times New Roman"/>
                <w:color w:val="000000"/>
                <w:sz w:val="24"/>
              </w:rPr>
              <w:t>禁止非施工人员进入，为避免和减少水土流失，在雨天特别是暴雨的时候，禁止施工</w:t>
            </w:r>
            <w:r>
              <w:rPr>
                <w:rFonts w:hint="default" w:ascii="Times New Roman" w:hAnsi="Times New Roman" w:cs="Times New Roman"/>
                <w:color w:val="000000"/>
                <w:kern w:val="0"/>
                <w:sz w:val="24"/>
              </w:rPr>
              <w:t>；开工前，设置必要的、足够的警戒标志，准备好施工警示牌、安全标识牌和交通安全设施；定期检查各种施工设备，确保施工机械正常运转，并将经检修不合格的机械设备清除出施工现场；施工机械有专门人员进行指挥，严禁违章驾驶，严禁施工机械驶入过往车辆行驶车道；</w:t>
            </w:r>
            <w:r>
              <w:rPr>
                <w:rFonts w:hint="default" w:ascii="Times New Roman" w:hAnsi="Times New Roman" w:cs="Times New Roman"/>
                <w:color w:val="000000"/>
                <w:sz w:val="24"/>
              </w:rPr>
              <w:t>噪声大的施工机械在白天施工，以避免扰民；施工中现有植被尽量保留或移植；</w:t>
            </w:r>
            <w:r>
              <w:rPr>
                <w:rFonts w:hint="default" w:ascii="Times New Roman" w:hAnsi="Times New Roman" w:cs="Times New Roman"/>
                <w:color w:val="000000"/>
                <w:kern w:val="0"/>
                <w:sz w:val="24"/>
              </w:rPr>
              <w:t>及时发现不良地质情况并消除隐患；定期进行</w:t>
            </w:r>
            <w:r>
              <w:rPr>
                <w:rFonts w:hint="default" w:ascii="Times New Roman" w:hAnsi="Times New Roman" w:cs="Times New Roman"/>
                <w:color w:val="000000"/>
                <w:kern w:val="0"/>
                <w:sz w:val="24"/>
                <w:highlight w:val="none"/>
              </w:rPr>
              <w:t>安全文明检查等。</w:t>
            </w:r>
          </w:p>
          <w:p w14:paraId="74226EAE">
            <w:pPr>
              <w:adjustRightInd w:val="0"/>
              <w:snapToGrid w:val="0"/>
              <w:spacing w:line="360" w:lineRule="auto"/>
              <w:ind w:firstLine="480" w:firstLineChars="200"/>
              <w:rPr>
                <w:rFonts w:hint="default" w:ascii="Times New Roman" w:hAnsi="Times New Roman" w:cs="Times New Roman"/>
                <w:color w:val="000000"/>
                <w:kern w:val="0"/>
                <w:sz w:val="24"/>
                <w:highlight w:val="none"/>
              </w:rPr>
            </w:pPr>
          </w:p>
          <w:p w14:paraId="0B89041D">
            <w:pPr>
              <w:adjustRightInd w:val="0"/>
              <w:snapToGrid w:val="0"/>
              <w:spacing w:line="360" w:lineRule="auto"/>
              <w:ind w:firstLine="480" w:firstLineChars="200"/>
              <w:rPr>
                <w:rFonts w:hint="eastAsia" w:ascii="Times New Roman" w:hAnsi="Times New Roman" w:eastAsia="宋体" w:cs="Times New Roman"/>
                <w:color w:val="000000"/>
                <w:kern w:val="0"/>
                <w:sz w:val="24"/>
                <w:lang w:val="en-US" w:eastAsia="zh-CN"/>
              </w:rPr>
            </w:pPr>
          </w:p>
        </w:tc>
      </w:tr>
      <w:tr w14:paraId="6A8E0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6" w:hRule="atLeast"/>
          <w:jc w:val="center"/>
        </w:trPr>
        <w:tc>
          <w:tcPr>
            <w:tcW w:w="456" w:type="dxa"/>
            <w:noWrap w:val="0"/>
            <w:vAlign w:val="center"/>
          </w:tcPr>
          <w:p w14:paraId="3F8D823B">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其他</w:t>
            </w:r>
          </w:p>
        </w:tc>
        <w:tc>
          <w:tcPr>
            <w:tcW w:w="8615" w:type="dxa"/>
            <w:noWrap w:val="0"/>
            <w:vAlign w:val="center"/>
          </w:tcPr>
          <w:p w14:paraId="3D1359B6">
            <w:pPr>
              <w:adjustRightInd w:val="0"/>
              <w:snapToGrid w:val="0"/>
              <w:spacing w:line="360" w:lineRule="auto"/>
              <w:ind w:firstLine="480" w:firstLineChars="200"/>
              <w:rPr>
                <w:rFonts w:hint="default" w:ascii="Times New Roman" w:hAnsi="Times New Roman" w:cs="Times New Roman"/>
                <w:color w:val="000000"/>
                <w:kern w:val="0"/>
                <w:sz w:val="24"/>
                <w:lang w:val="en-US" w:eastAsia="zh-CN"/>
              </w:rPr>
            </w:pPr>
            <w:r>
              <w:rPr>
                <w:rFonts w:hint="default" w:ascii="Times New Roman" w:hAnsi="Times New Roman" w:cs="Times New Roman"/>
                <w:color w:val="000000"/>
                <w:kern w:val="0"/>
                <w:sz w:val="24"/>
                <w:lang w:val="en-US" w:eastAsia="zh-CN"/>
              </w:rPr>
              <w:t>沿樊陈路二期新建排水管</w:t>
            </w:r>
          </w:p>
          <w:p w14:paraId="36688B68">
            <w:pPr>
              <w:adjustRightInd w:val="0"/>
              <w:snapToGrid w:val="0"/>
              <w:spacing w:line="360" w:lineRule="auto"/>
              <w:ind w:firstLine="480" w:firstLineChars="200"/>
              <w:rPr>
                <w:rFonts w:hint="default" w:ascii="Times New Roman" w:hAnsi="Times New Roman" w:cs="Times New Roman"/>
                <w:color w:val="000000"/>
                <w:kern w:val="0"/>
                <w:sz w:val="24"/>
                <w:lang w:val="en-US" w:eastAsia="zh-CN"/>
              </w:rPr>
            </w:pPr>
            <w:r>
              <w:rPr>
                <w:rFonts w:hint="default" w:ascii="Times New Roman" w:hAnsi="Times New Roman" w:cs="Times New Roman"/>
                <w:color w:val="000000"/>
                <w:kern w:val="0"/>
                <w:sz w:val="24"/>
                <w:lang w:val="en-US" w:eastAsia="zh-CN"/>
              </w:rPr>
              <w:t>樊陈路一期东延段的2根DN1200雨水管汇流为1根DN1500的雨水管后，沿樊陈</w:t>
            </w:r>
            <w:r>
              <w:rPr>
                <w:rFonts w:hint="eastAsia" w:ascii="Times New Roman" w:hAnsi="Times New Roman" w:cs="Times New Roman"/>
                <w:color w:val="000000"/>
                <w:kern w:val="0"/>
                <w:sz w:val="24"/>
                <w:lang w:val="en-US" w:eastAsia="zh-CN"/>
              </w:rPr>
              <w:t>路</w:t>
            </w:r>
            <w:r>
              <w:rPr>
                <w:rFonts w:hint="default" w:ascii="Times New Roman" w:hAnsi="Times New Roman" w:cs="Times New Roman"/>
                <w:color w:val="000000"/>
                <w:kern w:val="0"/>
                <w:sz w:val="24"/>
                <w:lang w:val="en-US" w:eastAsia="zh-CN"/>
              </w:rPr>
              <w:t>二期的道路走向，开挖现状山体（最大开挖深度约11m），新建DN1500的排水管387m，设雨水排出口接现状水塘及排水渠（宽1.6~2.2m，深0.9~1.5m），最终将雨水接入郭麻路水渠（渠顶宽6m）。</w:t>
            </w:r>
          </w:p>
          <w:p w14:paraId="4A4D9438">
            <w:pPr>
              <w:adjustRightInd w:val="0"/>
              <w:snapToGrid w:val="0"/>
              <w:spacing w:line="360" w:lineRule="auto"/>
              <w:ind w:firstLine="480" w:firstLineChars="200"/>
              <w:rPr>
                <w:rFonts w:hint="default" w:ascii="Times New Roman" w:hAnsi="Times New Roman" w:cs="Times New Roman"/>
                <w:color w:val="000000"/>
                <w:kern w:val="0"/>
                <w:sz w:val="24"/>
                <w:lang w:val="en-US" w:eastAsia="zh-CN"/>
              </w:rPr>
            </w:pPr>
            <w:r>
              <w:rPr>
                <w:rFonts w:hint="default" w:ascii="Times New Roman" w:hAnsi="Times New Roman" w:cs="Times New Roman"/>
                <w:color w:val="000000"/>
                <w:kern w:val="0"/>
                <w:sz w:val="24"/>
                <w:lang w:val="en-US" w:eastAsia="zh-CN"/>
              </w:rPr>
              <w:t>排水走向与规划一致。雨水排水独立接入现状排水体系，不受现有东坡路、枫树山的制约。但污水仍依靠东坡路的建设才能与市政管网无缝衔接，但由于东坡路的建设业主与本项目业主不同，存在协调上的问题。如东坡路未能同步建成，将导致樊陈路一期东延段的污水无法接入市政管网。</w:t>
            </w:r>
          </w:p>
        </w:tc>
      </w:tr>
    </w:tbl>
    <w:tbl>
      <w:tblPr>
        <w:tblStyle w:val="23"/>
        <w:tblpPr w:leftFromText="180" w:rightFromText="180" w:vertAnchor="text" w:tblpX="10214" w:tblpY="13017"/>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14:paraId="5D45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24" w:type="dxa"/>
          </w:tcPr>
          <w:p w14:paraId="6CB72E00">
            <w:pPr>
              <w:pStyle w:val="21"/>
              <w:jc w:val="center"/>
              <w:outlineLvl w:val="0"/>
              <w:rPr>
                <w:rFonts w:hint="default" w:ascii="Times New Roman" w:hAnsi="Times New Roman" w:cs="Times New Roman"/>
                <w:b/>
                <w:bCs/>
                <w:color w:val="000000"/>
                <w:vertAlign w:val="baseline"/>
                <w:lang w:val="en-US" w:eastAsia="zh-CN"/>
              </w:rPr>
            </w:pPr>
          </w:p>
        </w:tc>
      </w:tr>
    </w:tbl>
    <w:p w14:paraId="1DC1404F">
      <w:pPr>
        <w:pStyle w:val="21"/>
        <w:jc w:val="center"/>
        <w:outlineLvl w:val="0"/>
        <w:rPr>
          <w:rFonts w:hint="default" w:ascii="Times New Roman" w:hAnsi="Times New Roman" w:cs="Times New Roman"/>
          <w:b/>
          <w:bCs/>
          <w:snapToGrid w:val="0"/>
          <w:color w:val="000000"/>
          <w:sz w:val="30"/>
          <w:szCs w:val="30"/>
        </w:rPr>
        <w:sectPr>
          <w:pgSz w:w="11906" w:h="16838"/>
          <w:pgMar w:top="1440" w:right="1800" w:bottom="1440" w:left="1800" w:header="851" w:footer="1077" w:gutter="0"/>
          <w:pgNumType w:fmt="decimal"/>
          <w:cols w:space="720" w:num="1"/>
          <w:docGrid w:linePitch="312" w:charSpace="0"/>
        </w:sectPr>
      </w:pPr>
    </w:p>
    <w:p w14:paraId="3CD73F85">
      <w:pPr>
        <w:pStyle w:val="21"/>
        <w:jc w:val="center"/>
        <w:outlineLvl w:val="0"/>
        <w:rPr>
          <w:rFonts w:hint="default" w:ascii="Times New Roman" w:hAnsi="Times New Roman" w:cs="Times New Roman"/>
          <w:snapToGrid w:val="0"/>
          <w:color w:val="000000"/>
          <w:sz w:val="30"/>
          <w:szCs w:val="30"/>
        </w:rPr>
      </w:pPr>
      <w:bookmarkStart w:id="13" w:name="_Toc32185"/>
      <w:r>
        <w:rPr>
          <w:rFonts w:hint="default" w:ascii="Times New Roman" w:hAnsi="Times New Roman" w:cs="Times New Roman"/>
          <w:b/>
          <w:bCs/>
          <w:snapToGrid w:val="0"/>
          <w:color w:val="000000"/>
          <w:sz w:val="30"/>
          <w:szCs w:val="30"/>
        </w:rPr>
        <w:t>三、生态环境现状、保护目标及评价标准</w:t>
      </w:r>
      <w:bookmarkEnd w:id="13"/>
    </w:p>
    <w:tbl>
      <w:tblPr>
        <w:tblStyle w:val="22"/>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19"/>
      </w:tblGrid>
      <w:tr w14:paraId="7B91E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77" w:type="dxa"/>
            <w:noWrap w:val="0"/>
            <w:vAlign w:val="center"/>
          </w:tcPr>
          <w:p w14:paraId="71122A10">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生态环境现状</w:t>
            </w:r>
          </w:p>
        </w:tc>
        <w:tc>
          <w:tcPr>
            <w:tcW w:w="8280" w:type="dxa"/>
            <w:noWrap w:val="0"/>
            <w:vAlign w:val="center"/>
          </w:tcPr>
          <w:p w14:paraId="53496ABD">
            <w:pPr>
              <w:pStyle w:val="31"/>
              <w:ind w:firstLine="0" w:firstLineChars="0"/>
              <w:rPr>
                <w:rFonts w:hint="default" w:ascii="Times New Roman" w:hAnsi="Times New Roman" w:cs="Times New Roman"/>
                <w:color w:val="000000"/>
                <w:sz w:val="24"/>
                <w:szCs w:val="24"/>
              </w:rPr>
            </w:pPr>
            <w:r>
              <w:rPr>
                <w:rFonts w:hint="default" w:ascii="Times New Roman" w:hAnsi="Times New Roman" w:cs="Times New Roman"/>
                <w:b/>
                <w:color w:val="000000"/>
              </w:rPr>
              <w:t>3.1生态环境现状</w:t>
            </w:r>
          </w:p>
          <w:p w14:paraId="78712CFB">
            <w:pPr>
              <w:pStyle w:val="31"/>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本项目位于</w:t>
            </w:r>
            <w:r>
              <w:rPr>
                <w:rFonts w:hint="default" w:ascii="Times New Roman" w:hAnsi="Times New Roman" w:cs="Times New Roman"/>
                <w:color w:val="000000"/>
                <w:sz w:val="24"/>
                <w:szCs w:val="24"/>
                <w:lang w:val="en-US" w:eastAsia="zh-CN"/>
              </w:rPr>
              <w:t>岳阳楼区赶山片区</w:t>
            </w:r>
            <w:r>
              <w:rPr>
                <w:rFonts w:hint="default" w:ascii="Times New Roman" w:hAnsi="Times New Roman" w:cs="Times New Roman"/>
                <w:color w:val="000000"/>
                <w:sz w:val="24"/>
                <w:szCs w:val="24"/>
              </w:rPr>
              <w:t>范围内</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是待开发区。根据现场调查，</w:t>
            </w:r>
            <w:r>
              <w:rPr>
                <w:rFonts w:hint="default" w:ascii="Times New Roman" w:hAnsi="Times New Roman" w:cs="Times New Roman"/>
                <w:color w:val="000000"/>
                <w:sz w:val="24"/>
                <w:szCs w:val="24"/>
              </w:rPr>
              <w:t>项目区域内土地肥沃，气候适宜，沿线以耕地、林地为主，少量民居，零散分布几处池塘，野生动物较少，偶尔可见燕子、山雀等鸟类，主要为适应人类活动的种类。已无大型野生哺乳动物、受国家和湖南省重点保护及关注物种，同时也无当地特有物种。</w:t>
            </w:r>
          </w:p>
          <w:p w14:paraId="51DAE926">
            <w:pPr>
              <w:pStyle w:val="31"/>
              <w:ind w:left="0" w:leftChars="0" w:firstLine="480"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拟建道路</w:t>
            </w:r>
            <w:r>
              <w:rPr>
                <w:rFonts w:hint="default" w:ascii="Times New Roman" w:hAnsi="Times New Roman" w:cs="Times New Roman"/>
                <w:color w:val="000000"/>
                <w:kern w:val="2"/>
                <w:sz w:val="24"/>
                <w:szCs w:val="24"/>
                <w:lang w:val="en-US" w:eastAsia="zh-CN" w:bidi="ar-SA"/>
              </w:rPr>
              <w:t>周边多耕地和水塘。农作物主要有水稻、白菜、萝卜等粮食和蔬菜。水生动物资源主要有鱼类。分布在水塘</w:t>
            </w:r>
            <w:r>
              <w:rPr>
                <w:rFonts w:hint="default" w:ascii="Times New Roman" w:hAnsi="Times New Roman" w:eastAsia="宋体" w:cs="Times New Roman"/>
                <w:color w:val="000000"/>
                <w:kern w:val="2"/>
                <w:sz w:val="24"/>
                <w:szCs w:val="24"/>
                <w:lang w:val="en-US" w:eastAsia="zh-CN" w:bidi="ar-SA"/>
              </w:rPr>
              <w:t>处。此路段评价范围内主要分布为阔叶混林；桩号K1+297.962~K</w:t>
            </w:r>
            <w:r>
              <w:rPr>
                <w:rFonts w:hint="default" w:ascii="Times New Roman" w:hAnsi="Times New Roman"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default" w:ascii="Times New Roman" w:hAnsi="Times New Roman" w:cs="Times New Roman"/>
                <w:color w:val="000000"/>
                <w:kern w:val="2"/>
                <w:sz w:val="24"/>
                <w:szCs w:val="24"/>
                <w:lang w:val="en-US" w:eastAsia="zh-CN" w:bidi="ar-SA"/>
              </w:rPr>
              <w:t>472.962</w:t>
            </w:r>
            <w:r>
              <w:rPr>
                <w:rFonts w:hint="default" w:ascii="Times New Roman" w:hAnsi="Times New Roman" w:eastAsia="宋体" w:cs="Times New Roman"/>
                <w:color w:val="000000"/>
                <w:kern w:val="2"/>
                <w:sz w:val="24"/>
                <w:szCs w:val="24"/>
                <w:lang w:val="en-US" w:eastAsia="zh-CN" w:bidi="ar-SA"/>
              </w:rPr>
              <w:t>占地主要为林地、农田，此路段评价范围内主要分布有毛竹、栎类、柑桔、国外松和杉木；</w:t>
            </w:r>
          </w:p>
          <w:p w14:paraId="3875B7C0">
            <w:pPr>
              <w:pStyle w:val="31"/>
              <w:ind w:left="0" w:leftChars="0" w:firstLine="480" w:firstLineChars="200"/>
              <w:rPr>
                <w:rFonts w:hint="default" w:ascii="Times New Roman" w:hAnsi="Times New Roman" w:cs="Times New Roman"/>
                <w:color w:val="000000"/>
                <w:kern w:val="2"/>
                <w:sz w:val="24"/>
                <w:szCs w:val="24"/>
                <w:lang w:val="en-US" w:eastAsia="zh-CN" w:bidi="ar-SA"/>
              </w:rPr>
            </w:pPr>
            <w:r>
              <w:rPr>
                <w:rFonts w:hint="default" w:ascii="Times New Roman" w:hAnsi="Times New Roman" w:cs="Times New Roman"/>
                <w:color w:val="000000"/>
                <w:sz w:val="24"/>
                <w:szCs w:val="24"/>
              </w:rPr>
              <w:t>根据现场勘查，项目全线路段均无古大树赋存；道路不经过自然保护区、风景名胜区和森林公园等生态敏感区，评价区内未见珍稀保护植物物种。此外，项目评价范围内不涉及生态保护红线。</w:t>
            </w:r>
          </w:p>
          <w:p w14:paraId="7753F473">
            <w:pPr>
              <w:pStyle w:val="31"/>
              <w:ind w:firstLine="0" w:firstLineChars="0"/>
              <w:rPr>
                <w:rFonts w:hint="default" w:ascii="Times New Roman" w:hAnsi="Times New Roman" w:cs="Times New Roman"/>
                <w:b/>
                <w:color w:val="000000"/>
              </w:rPr>
            </w:pPr>
            <w:r>
              <w:rPr>
                <w:rFonts w:hint="default" w:ascii="Times New Roman" w:hAnsi="Times New Roman" w:cs="Times New Roman"/>
                <w:b/>
                <w:color w:val="000000"/>
              </w:rPr>
              <w:t>3.2环境空气质量现状</w:t>
            </w:r>
          </w:p>
          <w:p w14:paraId="57EB2B96">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大气环境》（HJ2.2-2018），判定项目所在区域达标情况，优先采用国家或地方生态环境主管部门发布的近3年中相对完整的1个日历年环境质量公告或环境质量报告中的数据或结论，评价基准年为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p>
          <w:p w14:paraId="4C8B647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val="en-US" w:eastAsia="zh-CN"/>
              </w:rPr>
              <w:t>岳阳市岳阳楼区</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rPr>
              <w:t>本次收集了</w:t>
            </w:r>
            <w:r>
              <w:rPr>
                <w:rFonts w:hint="default" w:ascii="Times New Roman" w:hAnsi="Times New Roman" w:cs="Times New Roman"/>
                <w:color w:val="auto"/>
                <w:sz w:val="24"/>
                <w:szCs w:val="24"/>
                <w:highlight w:val="none"/>
                <w:lang w:val="en-US" w:eastAsia="zh-CN"/>
              </w:rPr>
              <w:t>岳阳市</w:t>
            </w:r>
            <w:r>
              <w:rPr>
                <w:rFonts w:hint="default" w:ascii="Times New Roman" w:hAnsi="Times New Roman" w:cs="Times New Roman"/>
                <w:color w:val="auto"/>
                <w:sz w:val="24"/>
                <w:szCs w:val="24"/>
                <w:highlight w:val="none"/>
              </w:rPr>
              <w:t>生态环境</w:t>
            </w:r>
            <w:r>
              <w:rPr>
                <w:rFonts w:hint="default" w:ascii="Times New Roman" w:hAnsi="Times New Roman" w:cs="Times New Roman"/>
                <w:color w:val="auto"/>
                <w:sz w:val="24"/>
                <w:szCs w:val="24"/>
                <w:highlight w:val="none"/>
                <w:lang w:val="en-US" w:eastAsia="zh-CN"/>
              </w:rPr>
              <w:t>局</w:t>
            </w:r>
            <w:r>
              <w:rPr>
                <w:rFonts w:hint="default" w:ascii="Times New Roman" w:hAnsi="Times New Roman" w:cs="Times New Roman"/>
                <w:color w:val="auto"/>
                <w:sz w:val="24"/>
                <w:szCs w:val="24"/>
                <w:highlight w:val="none"/>
              </w:rPr>
              <w:t>发布的《岳阳市2023年度生态环境质量公报》中</w:t>
            </w:r>
            <w:r>
              <w:rPr>
                <w:rFonts w:hint="default" w:ascii="Times New Roman" w:hAnsi="Times New Roman" w:cs="Times New Roman"/>
                <w:color w:val="auto"/>
                <w:sz w:val="24"/>
                <w:szCs w:val="24"/>
                <w:highlight w:val="none"/>
                <w:lang w:val="en-US" w:eastAsia="zh-CN"/>
              </w:rPr>
              <w:t>岳阳市城区</w:t>
            </w:r>
            <w:r>
              <w:rPr>
                <w:rFonts w:hint="default" w:ascii="Times New Roman" w:hAnsi="Times New Roman" w:cs="Times New Roman"/>
                <w:color w:val="auto"/>
                <w:sz w:val="24"/>
                <w:szCs w:val="24"/>
                <w:highlight w:val="none"/>
              </w:rPr>
              <w:t>空气质量情况对项目所在区域环境空气质量现状进行评价</w:t>
            </w:r>
            <w:r>
              <w:rPr>
                <w:rFonts w:hint="default" w:ascii="Times New Roman" w:hAnsi="Times New Roman" w:cs="Times New Roman"/>
                <w:color w:val="auto"/>
                <w:sz w:val="24"/>
                <w:szCs w:val="24"/>
              </w:rPr>
              <w:t>。区域环境空气质量数据见下表。</w:t>
            </w:r>
          </w:p>
          <w:p w14:paraId="56EF601B">
            <w:pPr>
              <w:pStyle w:val="32"/>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 xml:space="preserve">  </w:t>
            </w:r>
            <w:r>
              <w:rPr>
                <w:rFonts w:hint="default" w:ascii="Times New Roman" w:hAnsi="Times New Roman" w:cs="Times New Roman"/>
                <w:lang w:val="en-US" w:eastAsia="zh-CN"/>
              </w:rPr>
              <w:t>岳阳市2023</w:t>
            </w:r>
            <w:r>
              <w:rPr>
                <w:rFonts w:hint="default" w:ascii="Times New Roman" w:hAnsi="Times New Roman" w:cs="Times New Roman"/>
              </w:rPr>
              <w:t>年环境空气质量现状监测统计结果</w:t>
            </w:r>
          </w:p>
          <w:tbl>
            <w:tblPr>
              <w:tblStyle w:val="22"/>
              <w:tblW w:w="8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230"/>
              <w:gridCol w:w="1964"/>
              <w:gridCol w:w="1219"/>
              <w:gridCol w:w="1299"/>
              <w:gridCol w:w="1098"/>
              <w:gridCol w:w="1098"/>
            </w:tblGrid>
            <w:tr w14:paraId="383C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noWrap w:val="0"/>
                  <w:vAlign w:val="center"/>
                </w:tcPr>
                <w:p w14:paraId="03CDDCA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所在区域</w:t>
                  </w:r>
                </w:p>
              </w:tc>
              <w:tc>
                <w:tcPr>
                  <w:tcW w:w="1230" w:type="dxa"/>
                  <w:noWrap w:val="0"/>
                  <w:vAlign w:val="center"/>
                </w:tcPr>
                <w:p w14:paraId="5A22077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监测</w:t>
                  </w:r>
                </w:p>
                <w:p w14:paraId="6F8B044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项目</w:t>
                  </w:r>
                </w:p>
              </w:tc>
              <w:tc>
                <w:tcPr>
                  <w:tcW w:w="1964" w:type="dxa"/>
                  <w:noWrap w:val="0"/>
                  <w:vAlign w:val="center"/>
                </w:tcPr>
                <w:p w14:paraId="5D424D8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年评价指标</w:t>
                  </w:r>
                </w:p>
              </w:tc>
              <w:tc>
                <w:tcPr>
                  <w:tcW w:w="1219" w:type="dxa"/>
                  <w:noWrap w:val="0"/>
                  <w:vAlign w:val="center"/>
                </w:tcPr>
                <w:p w14:paraId="1581050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现状浓度（μg/</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rPr>
                    <w:t>）</w:t>
                  </w:r>
                </w:p>
              </w:tc>
              <w:tc>
                <w:tcPr>
                  <w:tcW w:w="1299" w:type="dxa"/>
                  <w:noWrap w:val="0"/>
                  <w:vAlign w:val="center"/>
                </w:tcPr>
                <w:p w14:paraId="0548737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标准值（μg/</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rPr>
                    <w:t>）</w:t>
                  </w:r>
                </w:p>
              </w:tc>
              <w:tc>
                <w:tcPr>
                  <w:tcW w:w="1098" w:type="dxa"/>
                  <w:noWrap w:val="0"/>
                  <w:vAlign w:val="center"/>
                </w:tcPr>
                <w:p w14:paraId="7B002A6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lang w:val="en-US" w:eastAsia="zh-CN"/>
                    </w:rPr>
                    <w:t>占标率</w:t>
                  </w:r>
                  <w:r>
                    <w:rPr>
                      <w:rFonts w:hint="default" w:ascii="Times New Roman" w:hAnsi="Times New Roman" w:cs="Times New Roman"/>
                    </w:rPr>
                    <w:t>（</w:t>
                  </w:r>
                  <w:r>
                    <w:rPr>
                      <w:rFonts w:hint="default" w:ascii="Times New Roman" w:hAnsi="Times New Roman" w:cs="Times New Roman"/>
                      <w:lang w:val="en-US" w:eastAsia="zh-CN"/>
                    </w:rPr>
                    <w:t>%</w:t>
                  </w:r>
                  <w:r>
                    <w:rPr>
                      <w:rFonts w:hint="default" w:ascii="Times New Roman" w:hAnsi="Times New Roman" w:cs="Times New Roman"/>
                    </w:rPr>
                    <w:t>）</w:t>
                  </w:r>
                </w:p>
              </w:tc>
              <w:tc>
                <w:tcPr>
                  <w:tcW w:w="1098" w:type="dxa"/>
                  <w:noWrap w:val="0"/>
                  <w:vAlign w:val="center"/>
                </w:tcPr>
                <w:p w14:paraId="6D58C87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是否</w:t>
                  </w:r>
                </w:p>
                <w:p w14:paraId="56214F1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达标</w:t>
                  </w:r>
                </w:p>
              </w:tc>
            </w:tr>
            <w:tr w14:paraId="736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restart"/>
                  <w:noWrap w:val="0"/>
                  <w:vAlign w:val="center"/>
                </w:tcPr>
                <w:p w14:paraId="5D9E9EA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岳阳市城区</w:t>
                  </w:r>
                </w:p>
              </w:tc>
              <w:tc>
                <w:tcPr>
                  <w:tcW w:w="1230" w:type="dxa"/>
                  <w:noWrap w:val="0"/>
                  <w:vAlign w:val="center"/>
                </w:tcPr>
                <w:p w14:paraId="0FAE6B5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964" w:type="dxa"/>
                  <w:noWrap w:val="0"/>
                  <w:vAlign w:val="center"/>
                </w:tcPr>
                <w:p w14:paraId="60F929D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年平均质量浓度</w:t>
                  </w:r>
                </w:p>
              </w:tc>
              <w:tc>
                <w:tcPr>
                  <w:tcW w:w="1219" w:type="dxa"/>
                  <w:noWrap w:val="0"/>
                  <w:vAlign w:val="center"/>
                </w:tcPr>
                <w:p w14:paraId="6C782A9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1299" w:type="dxa"/>
                  <w:noWrap w:val="0"/>
                  <w:vAlign w:val="center"/>
                </w:tcPr>
                <w:p w14:paraId="0F4CB07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60</w:t>
                  </w:r>
                </w:p>
              </w:tc>
              <w:tc>
                <w:tcPr>
                  <w:tcW w:w="1098" w:type="dxa"/>
                  <w:noWrap w:val="0"/>
                  <w:vAlign w:val="center"/>
                </w:tcPr>
                <w:p w14:paraId="659C86D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13.33</w:t>
                  </w:r>
                </w:p>
              </w:tc>
              <w:tc>
                <w:tcPr>
                  <w:tcW w:w="1098" w:type="dxa"/>
                  <w:noWrap w:val="0"/>
                  <w:vAlign w:val="center"/>
                </w:tcPr>
                <w:p w14:paraId="4B63556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达标</w:t>
                  </w:r>
                </w:p>
              </w:tc>
            </w:tr>
            <w:tr w14:paraId="249C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noWrap w:val="0"/>
                  <w:vAlign w:val="center"/>
                </w:tcPr>
                <w:p w14:paraId="48BE385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p>
              </w:tc>
              <w:tc>
                <w:tcPr>
                  <w:tcW w:w="1230" w:type="dxa"/>
                  <w:noWrap w:val="0"/>
                  <w:vAlign w:val="center"/>
                </w:tcPr>
                <w:p w14:paraId="0002403E">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964" w:type="dxa"/>
                  <w:noWrap w:val="0"/>
                  <w:vAlign w:val="center"/>
                </w:tcPr>
                <w:p w14:paraId="507CCDF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年平均质量浓度</w:t>
                  </w:r>
                </w:p>
              </w:tc>
              <w:tc>
                <w:tcPr>
                  <w:tcW w:w="1219" w:type="dxa"/>
                  <w:noWrap w:val="0"/>
                  <w:vAlign w:val="center"/>
                </w:tcPr>
                <w:p w14:paraId="33A024E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22</w:t>
                  </w:r>
                </w:p>
              </w:tc>
              <w:tc>
                <w:tcPr>
                  <w:tcW w:w="1299" w:type="dxa"/>
                  <w:noWrap w:val="0"/>
                  <w:vAlign w:val="center"/>
                </w:tcPr>
                <w:p w14:paraId="4FE96B7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40</w:t>
                  </w:r>
                </w:p>
              </w:tc>
              <w:tc>
                <w:tcPr>
                  <w:tcW w:w="1098" w:type="dxa"/>
                  <w:noWrap w:val="0"/>
                  <w:vAlign w:val="center"/>
                </w:tcPr>
                <w:p w14:paraId="533C43D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55</w:t>
                  </w:r>
                </w:p>
              </w:tc>
              <w:tc>
                <w:tcPr>
                  <w:tcW w:w="1098" w:type="dxa"/>
                  <w:noWrap w:val="0"/>
                  <w:vAlign w:val="center"/>
                </w:tcPr>
                <w:p w14:paraId="6CB82B2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达标</w:t>
                  </w:r>
                </w:p>
              </w:tc>
            </w:tr>
            <w:tr w14:paraId="778F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noWrap w:val="0"/>
                  <w:vAlign w:val="center"/>
                </w:tcPr>
                <w:p w14:paraId="7D7E0554">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p>
              </w:tc>
              <w:tc>
                <w:tcPr>
                  <w:tcW w:w="1230" w:type="dxa"/>
                  <w:noWrap w:val="0"/>
                  <w:vAlign w:val="center"/>
                </w:tcPr>
                <w:p w14:paraId="4E8AA55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964" w:type="dxa"/>
                  <w:noWrap w:val="0"/>
                  <w:vAlign w:val="center"/>
                </w:tcPr>
                <w:p w14:paraId="0E2A866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年平均质量浓度</w:t>
                  </w:r>
                </w:p>
              </w:tc>
              <w:tc>
                <w:tcPr>
                  <w:tcW w:w="1219" w:type="dxa"/>
                  <w:noWrap w:val="0"/>
                  <w:vAlign w:val="center"/>
                </w:tcPr>
                <w:p w14:paraId="08EBFC2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56</w:t>
                  </w:r>
                </w:p>
              </w:tc>
              <w:tc>
                <w:tcPr>
                  <w:tcW w:w="1299" w:type="dxa"/>
                  <w:noWrap w:val="0"/>
                  <w:vAlign w:val="center"/>
                </w:tcPr>
                <w:p w14:paraId="2772678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70</w:t>
                  </w:r>
                </w:p>
              </w:tc>
              <w:tc>
                <w:tcPr>
                  <w:tcW w:w="1098" w:type="dxa"/>
                  <w:noWrap w:val="0"/>
                  <w:vAlign w:val="center"/>
                </w:tcPr>
                <w:p w14:paraId="6A72303E">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80</w:t>
                  </w:r>
                </w:p>
              </w:tc>
              <w:tc>
                <w:tcPr>
                  <w:tcW w:w="1098" w:type="dxa"/>
                  <w:noWrap w:val="0"/>
                  <w:vAlign w:val="center"/>
                </w:tcPr>
                <w:p w14:paraId="1D3A8AE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达标</w:t>
                  </w:r>
                </w:p>
              </w:tc>
            </w:tr>
            <w:tr w14:paraId="4B47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noWrap w:val="0"/>
                  <w:vAlign w:val="center"/>
                </w:tcPr>
                <w:p w14:paraId="620357F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p>
              </w:tc>
              <w:tc>
                <w:tcPr>
                  <w:tcW w:w="1230" w:type="dxa"/>
                  <w:noWrap w:val="0"/>
                  <w:vAlign w:val="center"/>
                </w:tcPr>
                <w:p w14:paraId="10759B6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1964" w:type="dxa"/>
                  <w:noWrap w:val="0"/>
                  <w:vAlign w:val="center"/>
                </w:tcPr>
                <w:p w14:paraId="02A726A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年平均质量浓度</w:t>
                  </w:r>
                </w:p>
              </w:tc>
              <w:tc>
                <w:tcPr>
                  <w:tcW w:w="1219" w:type="dxa"/>
                  <w:noWrap w:val="0"/>
                  <w:vAlign w:val="center"/>
                </w:tcPr>
                <w:p w14:paraId="1140818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36</w:t>
                  </w:r>
                </w:p>
              </w:tc>
              <w:tc>
                <w:tcPr>
                  <w:tcW w:w="1299" w:type="dxa"/>
                  <w:noWrap w:val="0"/>
                  <w:vAlign w:val="center"/>
                </w:tcPr>
                <w:p w14:paraId="5ADE760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35</w:t>
                  </w:r>
                </w:p>
              </w:tc>
              <w:tc>
                <w:tcPr>
                  <w:tcW w:w="1098" w:type="dxa"/>
                  <w:noWrap w:val="0"/>
                  <w:vAlign w:val="center"/>
                </w:tcPr>
                <w:p w14:paraId="4AEB2ED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102.86</w:t>
                  </w:r>
                </w:p>
              </w:tc>
              <w:tc>
                <w:tcPr>
                  <w:tcW w:w="1098" w:type="dxa"/>
                  <w:noWrap w:val="0"/>
                  <w:vAlign w:val="center"/>
                </w:tcPr>
                <w:p w14:paraId="749FF6B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超标</w:t>
                  </w:r>
                </w:p>
              </w:tc>
            </w:tr>
            <w:tr w14:paraId="1A1B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noWrap w:val="0"/>
                  <w:vAlign w:val="center"/>
                </w:tcPr>
                <w:p w14:paraId="4A6C9A0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p>
              </w:tc>
              <w:tc>
                <w:tcPr>
                  <w:tcW w:w="1230" w:type="dxa"/>
                  <w:noWrap w:val="0"/>
                  <w:vAlign w:val="center"/>
                </w:tcPr>
                <w:p w14:paraId="33CE88F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CO</w:t>
                  </w:r>
                </w:p>
              </w:tc>
              <w:tc>
                <w:tcPr>
                  <w:tcW w:w="1964" w:type="dxa"/>
                  <w:noWrap w:val="0"/>
                  <w:vAlign w:val="center"/>
                </w:tcPr>
                <w:p w14:paraId="4D5184F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95百分位数日平均质量浓度</w:t>
                  </w:r>
                </w:p>
              </w:tc>
              <w:tc>
                <w:tcPr>
                  <w:tcW w:w="1219" w:type="dxa"/>
                  <w:noWrap w:val="0"/>
                  <w:vAlign w:val="center"/>
                </w:tcPr>
                <w:p w14:paraId="19353BD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eastAsia="zh-CN"/>
                    </w:rPr>
                  </w:pP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mg/</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p>
              </w:tc>
              <w:tc>
                <w:tcPr>
                  <w:tcW w:w="1299" w:type="dxa"/>
                  <w:noWrap w:val="0"/>
                  <w:vAlign w:val="center"/>
                </w:tcPr>
                <w:p w14:paraId="07C4806E">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eastAsia="zh-CN"/>
                    </w:rPr>
                  </w:pPr>
                  <w:r>
                    <w:rPr>
                      <w:rFonts w:hint="default" w:ascii="Times New Roman" w:hAnsi="Times New Roman" w:cs="Times New Roman"/>
                    </w:rPr>
                    <w:t>4mg/</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p>
              </w:tc>
              <w:tc>
                <w:tcPr>
                  <w:tcW w:w="1098" w:type="dxa"/>
                  <w:noWrap w:val="0"/>
                  <w:vAlign w:val="center"/>
                </w:tcPr>
                <w:p w14:paraId="64ABAFD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27.5</w:t>
                  </w:r>
                </w:p>
              </w:tc>
              <w:tc>
                <w:tcPr>
                  <w:tcW w:w="1098" w:type="dxa"/>
                  <w:noWrap w:val="0"/>
                  <w:vAlign w:val="center"/>
                </w:tcPr>
                <w:p w14:paraId="5797223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达标</w:t>
                  </w:r>
                </w:p>
              </w:tc>
            </w:tr>
            <w:tr w14:paraId="387D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dxa"/>
                  <w:vMerge w:val="continue"/>
                  <w:noWrap w:val="0"/>
                  <w:vAlign w:val="center"/>
                </w:tcPr>
                <w:p w14:paraId="3234F62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p>
              </w:tc>
              <w:tc>
                <w:tcPr>
                  <w:tcW w:w="1230" w:type="dxa"/>
                  <w:noWrap w:val="0"/>
                  <w:vAlign w:val="center"/>
                </w:tcPr>
                <w:p w14:paraId="65259A8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1964" w:type="dxa"/>
                  <w:noWrap w:val="0"/>
                  <w:vAlign w:val="center"/>
                </w:tcPr>
                <w:p w14:paraId="0518E61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90百分位数最大8小时平均质量浓度</w:t>
                  </w:r>
                </w:p>
              </w:tc>
              <w:tc>
                <w:tcPr>
                  <w:tcW w:w="1219" w:type="dxa"/>
                  <w:noWrap w:val="0"/>
                  <w:vAlign w:val="center"/>
                </w:tcPr>
                <w:p w14:paraId="722CCF1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149</w:t>
                  </w:r>
                </w:p>
              </w:tc>
              <w:tc>
                <w:tcPr>
                  <w:tcW w:w="1299" w:type="dxa"/>
                  <w:noWrap w:val="0"/>
                  <w:vAlign w:val="center"/>
                </w:tcPr>
                <w:p w14:paraId="53B24B2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160</w:t>
                  </w:r>
                </w:p>
              </w:tc>
              <w:tc>
                <w:tcPr>
                  <w:tcW w:w="1098" w:type="dxa"/>
                  <w:noWrap w:val="0"/>
                  <w:vAlign w:val="center"/>
                </w:tcPr>
                <w:p w14:paraId="0A9A7A4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93.13</w:t>
                  </w:r>
                </w:p>
              </w:tc>
              <w:tc>
                <w:tcPr>
                  <w:tcW w:w="1098" w:type="dxa"/>
                  <w:noWrap w:val="0"/>
                  <w:vAlign w:val="center"/>
                </w:tcPr>
                <w:p w14:paraId="2ED4595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rPr>
                  </w:pPr>
                  <w:r>
                    <w:rPr>
                      <w:rFonts w:hint="default" w:ascii="Times New Roman" w:hAnsi="Times New Roman" w:cs="Times New Roman"/>
                    </w:rPr>
                    <w:t>达标</w:t>
                  </w:r>
                </w:p>
              </w:tc>
            </w:tr>
          </w:tbl>
          <w:p w14:paraId="1336582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w:t>
            </w:r>
            <w:r>
              <w:rPr>
                <w:rFonts w:hint="default" w:ascii="Times New Roman" w:hAnsi="Times New Roman" w:cs="Times New Roman"/>
                <w:color w:val="auto"/>
                <w:sz w:val="24"/>
                <w:szCs w:val="24"/>
                <w:lang w:val="en-US" w:eastAsia="zh-CN"/>
              </w:rPr>
              <w:t>2023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岳阳市</w:t>
            </w:r>
            <w:r>
              <w:rPr>
                <w:rFonts w:hint="default" w:ascii="Times New Roman" w:hAnsi="Times New Roman" w:cs="Times New Roman"/>
                <w:color w:val="auto"/>
                <w:sz w:val="24"/>
                <w:szCs w:val="24"/>
              </w:rPr>
              <w:t>范围内环境空气中SO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监测平均浓度均符合《环境空气质量标准》（GB3095-2012）中的二级标准要求，环境空气中PM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年平均浓度超过《环境空气质量标准》（GB3095-2012）中二级标准，故判定项目所在区域为环境空气不达标区域。</w:t>
            </w:r>
          </w:p>
          <w:p w14:paraId="74308B5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highlight w:val="none"/>
              </w:rPr>
              <w:t>《岳阳市环境空气质量限期达标规划(2020-2026)》提出：通过优化产业结构调整、推进能源结构调整，不断强化扬尘污染治理，深化砖瓦、有色、陶瓷、水泥、火电等重点污染源减排等措施，达到规划目标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到2026年，全市二氧化硫、二氧化氮、臭氧、PM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和CO大气污染物的年统计浓度全部稳定达到国家空气质量二级标准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616B597B">
            <w:pPr>
              <w:pStyle w:val="31"/>
              <w:ind w:firstLine="0" w:firstLineChars="0"/>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3.</w:t>
            </w:r>
            <w:r>
              <w:rPr>
                <w:rFonts w:hint="default" w:ascii="Times New Roman" w:hAnsi="Times New Roman" w:cs="Times New Roman"/>
                <w:b/>
                <w:color w:val="000000"/>
                <w:highlight w:val="none"/>
                <w:lang w:val="en-US" w:eastAsia="zh-CN"/>
              </w:rPr>
              <w:t>2</w:t>
            </w:r>
            <w:r>
              <w:rPr>
                <w:rFonts w:hint="default" w:ascii="Times New Roman" w:hAnsi="Times New Roman" w:cs="Times New Roman"/>
                <w:b/>
                <w:color w:val="000000"/>
                <w:highlight w:val="none"/>
              </w:rPr>
              <w:t>地表水环境质量现状</w:t>
            </w:r>
          </w:p>
          <w:p w14:paraId="3E757ED0">
            <w:pPr>
              <w:tabs>
                <w:tab w:val="left" w:pos="3225"/>
              </w:tabs>
              <w:spacing w:line="360" w:lineRule="auto"/>
              <w:ind w:firstLine="480"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拟建项目属于非污染生态影响项目，营运期本身不产生污水；水文环境影响主要表现在施工期间可能造成的水体污染。施工期水体污染主要是来自暴雨的地表径流夹带大量泥砂及施工人员的生活污水。</w:t>
            </w:r>
          </w:p>
          <w:p w14:paraId="425617F1">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根据岳阳市</w:t>
            </w:r>
            <w:r>
              <w:rPr>
                <w:rFonts w:hint="default" w:ascii="Times New Roman" w:hAnsi="Times New Roman" w:cs="Times New Roman"/>
                <w:color w:val="auto"/>
                <w:sz w:val="24"/>
                <w:szCs w:val="24"/>
                <w:highlight w:val="none"/>
              </w:rPr>
              <w:t>生态环境</w:t>
            </w:r>
            <w:r>
              <w:rPr>
                <w:rFonts w:hint="default" w:ascii="Times New Roman" w:hAnsi="Times New Roman" w:cs="Times New Roman"/>
                <w:color w:val="auto"/>
                <w:sz w:val="24"/>
                <w:szCs w:val="24"/>
                <w:highlight w:val="none"/>
                <w:lang w:val="en-US" w:eastAsia="zh-CN"/>
              </w:rPr>
              <w:t>局</w:t>
            </w:r>
            <w:r>
              <w:rPr>
                <w:rFonts w:hint="default" w:ascii="Times New Roman" w:hAnsi="Times New Roman" w:cs="Times New Roman"/>
                <w:color w:val="auto"/>
                <w:sz w:val="24"/>
                <w:szCs w:val="24"/>
                <w:highlight w:val="none"/>
              </w:rPr>
              <w:t>发布的《岳阳市2023年度生态环境质量公报》</w:t>
            </w:r>
            <w:r>
              <w:rPr>
                <w:rFonts w:hint="default" w:ascii="Times New Roman" w:hAnsi="Times New Roman" w:cs="Times New Roman"/>
                <w:color w:val="auto"/>
                <w:sz w:val="24"/>
                <w:szCs w:val="24"/>
                <w:highlight w:val="none"/>
                <w:lang w:eastAsia="zh-CN"/>
              </w:rPr>
              <w:t>，2023年岳阳市地表水水质总体为良，水环境质量整体状况稳定，局部水域水质有所改善。Ⅰ至Ⅲ类水质比例为84.0%；Ⅳ类水质比例为14.0%；Ⅴ类水质比例为2.0%；无劣Ⅴ类水质。</w:t>
            </w:r>
          </w:p>
          <w:p w14:paraId="73D23603">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（1）饮用水源地水质状况</w:t>
            </w:r>
          </w:p>
          <w:p w14:paraId="1B4451C9">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城市集中式饮用水源地金凤水库水质达到国家《地表水环境质量标准》（GB3838-2002）Ⅱ类标准，水质为优。</w:t>
            </w:r>
          </w:p>
          <w:p w14:paraId="34D76121">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（2）主要江河水质状况</w:t>
            </w:r>
          </w:p>
          <w:p w14:paraId="1F8E2850">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2023年，38个全市江河考核断面中，Ⅰ至Ⅲ类水质断面38个，占比100%。</w:t>
            </w:r>
          </w:p>
          <w:p w14:paraId="139168C9">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2023年长江干流岳阳段水体水质总体为优。5个监测断面水质均达到Ⅱ类。</w:t>
            </w:r>
          </w:p>
          <w:p w14:paraId="4E16C6CE">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湘江干、支流岳阳段水体水质总体为优。5个监测断面水质均达到Ⅱ类。</w:t>
            </w:r>
          </w:p>
          <w:p w14:paraId="3CBA3548">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环洞庭湖河流水质状况总体为优。Ⅰ～Ⅲ类水质断面28个，占比100%。其中汨罗江水质总体为优，10个控制断面水质均达到或优于Ⅱ类；新墙河水质总体为优，9个控制断面水质均达到或优于Ⅱ类；藕池河东支岳阳段水质总体为优，4个控制断面水质均达到Ⅲ类；华容河水质总体为优，2个控制断面水质均达到Ⅲ类；其他水体（资江洪道、坦渡河和源潭河）3个控制断面水质均达到Ⅱ类。</w:t>
            </w:r>
          </w:p>
          <w:p w14:paraId="7856184F">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（3）岳阳洞庭湖水质</w:t>
            </w:r>
          </w:p>
          <w:p w14:paraId="4ECCA755">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2023年，岳阳洞庭湖湖体整体水质为轻度污染（Ⅳ类），7个断面均为Ⅳ类水质，超标污染物为总磷。</w:t>
            </w:r>
          </w:p>
          <w:p w14:paraId="69D5C49E">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岳阳洞庭湖湖体总体处于中营养水平，7个断面中有5个断面为中营养状态，2个断面为轻度富营养状态。洞庭湖水质综合评价达到考核要求，岳阳洞庭湖总磷浓度均值为0.059mg/l。</w:t>
            </w:r>
          </w:p>
          <w:p w14:paraId="68EEC708">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（4）洞庭湖内湖水质</w:t>
            </w:r>
          </w:p>
          <w:p w14:paraId="2CEF646E">
            <w:pPr>
              <w:pStyle w:val="31"/>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2023年，岳阳洞庭湖内湖5个控制断面中有4个断面为Ⅲ类水质，1个断面（华容东湖）为Ⅴ类水质。超标污染物为总磷。华容东湖水质综合评价达到考核要求。洞庭湖内湖5个断面中有2个断面属中营养状态，3个断面为轻度富营养状态。</w:t>
            </w:r>
          </w:p>
          <w:p w14:paraId="0F8D9963">
            <w:pPr>
              <w:pStyle w:val="31"/>
              <w:ind w:firstLine="0" w:firstLineChars="0"/>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3.</w:t>
            </w:r>
            <w:r>
              <w:rPr>
                <w:rFonts w:hint="default" w:ascii="Times New Roman" w:hAnsi="Times New Roman" w:cs="Times New Roman"/>
                <w:b/>
                <w:color w:val="000000"/>
                <w:highlight w:val="none"/>
                <w:lang w:val="en-US" w:eastAsia="zh-CN"/>
              </w:rPr>
              <w:t>3</w:t>
            </w:r>
            <w:r>
              <w:rPr>
                <w:rFonts w:hint="default" w:ascii="Times New Roman" w:hAnsi="Times New Roman" w:cs="Times New Roman"/>
                <w:b/>
                <w:color w:val="000000"/>
                <w:highlight w:val="none"/>
              </w:rPr>
              <w:t>声环境质量现状</w:t>
            </w:r>
          </w:p>
          <w:p w14:paraId="75EA4240">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为了解项目所在地声环境质量</w:t>
            </w:r>
            <w:r>
              <w:rPr>
                <w:rFonts w:hint="default" w:ascii="Times New Roman" w:hAnsi="Times New Roman" w:cs="Times New Roman"/>
                <w:color w:val="auto"/>
                <w:sz w:val="24"/>
              </w:rPr>
              <w:t>，本次环评委托</w:t>
            </w:r>
            <w:r>
              <w:rPr>
                <w:rFonts w:hint="default" w:ascii="Times New Roman" w:hAnsi="Times New Roman" w:cs="Times New Roman"/>
                <w:color w:val="auto"/>
                <w:sz w:val="24"/>
                <w:highlight w:val="none"/>
                <w:lang w:val="en-US" w:eastAsia="zh-CN"/>
              </w:rPr>
              <w:t>湖景倡源检测（湖南）有限公司</w:t>
            </w:r>
            <w:r>
              <w:rPr>
                <w:rFonts w:hint="default" w:ascii="Times New Roman" w:hAnsi="Times New Roman" w:cs="Times New Roman"/>
                <w:color w:val="auto"/>
                <w:sz w:val="24"/>
                <w:highlight w:val="none"/>
              </w:rPr>
              <w:t>于202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lang w:val="en-US" w:eastAsia="zh-CN"/>
              </w:rPr>
              <w:t>31</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rPr>
              <w:t>对项目敏感点进行了</w:t>
            </w:r>
            <w:r>
              <w:rPr>
                <w:rFonts w:hint="default" w:ascii="Times New Roman" w:hAnsi="Times New Roman" w:cs="Times New Roman"/>
                <w:color w:val="000000"/>
                <w:sz w:val="24"/>
              </w:rPr>
              <w:t>噪声现场监测。</w:t>
            </w:r>
          </w:p>
          <w:p w14:paraId="2D854AA1">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（1）监测因子与测量方法</w:t>
            </w:r>
          </w:p>
          <w:p w14:paraId="47E090C2">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声环境现状监测因子为等效连续A声级。按《声环境质量标准》（GB3096-2008）规定的方法和要求进行。</w:t>
            </w:r>
          </w:p>
          <w:p w14:paraId="7F9ADF3F">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（2）测量点位</w:t>
            </w:r>
          </w:p>
          <w:p w14:paraId="3FDC030E">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根据沿线敏感点分布情况，本次监测布点如下：</w:t>
            </w:r>
          </w:p>
          <w:p w14:paraId="2BF2D536">
            <w:pPr>
              <w:pStyle w:val="8"/>
              <w:spacing w:before="0" w:after="0" w:line="360" w:lineRule="auto"/>
              <w:ind w:right="0"/>
              <w:jc w:val="center"/>
              <w:rPr>
                <w:rFonts w:hint="default" w:ascii="Times New Roman" w:hAnsi="Times New Roman" w:cs="Times New Roman"/>
                <w:b/>
                <w:bCs/>
                <w:color w:val="000000"/>
                <w:sz w:val="21"/>
                <w:szCs w:val="21"/>
                <w:highlight w:val="none"/>
                <w:lang w:eastAsia="zh-CN"/>
              </w:rPr>
            </w:pPr>
            <w:r>
              <w:rPr>
                <w:rFonts w:hint="default" w:ascii="Times New Roman" w:hAnsi="Times New Roman" w:cs="Times New Roman"/>
                <w:b/>
                <w:bCs/>
                <w:color w:val="000000"/>
                <w:sz w:val="21"/>
                <w:szCs w:val="21"/>
                <w:highlight w:val="none"/>
              </w:rPr>
              <w:t>表</w:t>
            </w:r>
            <w:r>
              <w:rPr>
                <w:rFonts w:hint="default" w:ascii="Times New Roman" w:hAnsi="Times New Roman" w:cs="Times New Roman"/>
                <w:b/>
                <w:bCs/>
                <w:color w:val="000000"/>
                <w:sz w:val="21"/>
                <w:szCs w:val="21"/>
                <w:highlight w:val="none"/>
                <w:lang w:val="en-US" w:eastAsia="zh-CN"/>
              </w:rPr>
              <w:t>3.3-1</w:t>
            </w:r>
            <w:r>
              <w:rPr>
                <w:rFonts w:hint="default" w:ascii="Times New Roman" w:hAnsi="Times New Roman" w:cs="Times New Roman"/>
                <w:b/>
                <w:bCs/>
                <w:color w:val="000000"/>
                <w:sz w:val="21"/>
                <w:szCs w:val="21"/>
                <w:highlight w:val="none"/>
                <w:lang w:eastAsia="zh-CN"/>
              </w:rPr>
              <w:t xml:space="preserve">  </w:t>
            </w:r>
            <w:r>
              <w:rPr>
                <w:rFonts w:hint="default" w:ascii="Times New Roman" w:hAnsi="Times New Roman" w:cs="Times New Roman"/>
                <w:b/>
                <w:bCs/>
                <w:color w:val="000000"/>
                <w:sz w:val="21"/>
                <w:szCs w:val="21"/>
                <w:highlight w:val="none"/>
              </w:rPr>
              <w:t>声环境监测点与道路位置、距离关系</w:t>
            </w:r>
          </w:p>
          <w:tbl>
            <w:tblPr>
              <w:tblStyle w:val="2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3" w:type="dxa"/>
                <w:bottom w:w="0" w:type="dxa"/>
                <w:right w:w="113" w:type="dxa"/>
              </w:tblCellMar>
            </w:tblPr>
            <w:tblGrid>
              <w:gridCol w:w="570"/>
              <w:gridCol w:w="1506"/>
              <w:gridCol w:w="1434"/>
              <w:gridCol w:w="1291"/>
              <w:gridCol w:w="1388"/>
              <w:gridCol w:w="876"/>
              <w:gridCol w:w="876"/>
              <w:gridCol w:w="747"/>
            </w:tblGrid>
            <w:tr w14:paraId="6D74A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noWrap w:val="0"/>
                  <w:vAlign w:val="center"/>
                </w:tcPr>
                <w:p w14:paraId="597813C3">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序号</w:t>
                  </w:r>
                </w:p>
              </w:tc>
              <w:tc>
                <w:tcPr>
                  <w:tcW w:w="867" w:type="pct"/>
                  <w:vMerge w:val="restart"/>
                  <w:tcBorders>
                    <w:top w:val="single" w:color="000000" w:sz="4" w:space="0"/>
                    <w:left w:val="single" w:color="000000" w:sz="4" w:space="0"/>
                    <w:bottom w:val="single" w:color="000000" w:sz="4" w:space="0"/>
                    <w:right w:val="single" w:color="000000" w:sz="4" w:space="0"/>
                  </w:tcBorders>
                  <w:noWrap w:val="0"/>
                  <w:vAlign w:val="center"/>
                </w:tcPr>
                <w:p w14:paraId="7D45E370">
                  <w:pPr>
                    <w:jc w:val="center"/>
                    <w:rPr>
                      <w:rFonts w:hint="default" w:ascii="Times New Roman" w:hAnsi="Times New Roman" w:cs="Times New Roman"/>
                      <w:color w:val="000000"/>
                      <w:szCs w:val="21"/>
                      <w:lang w:eastAsia="en-US"/>
                    </w:rPr>
                  </w:pPr>
                  <w:r>
                    <w:rPr>
                      <w:rFonts w:hint="default" w:ascii="Times New Roman" w:hAnsi="Times New Roman" w:cs="Times New Roman"/>
                      <w:color w:val="000000" w:themeColor="text1"/>
                      <w:sz w:val="21"/>
                      <w:szCs w:val="21"/>
                      <w14:textFill>
                        <w14:solidFill>
                          <w14:schemeClr w14:val="tx1"/>
                        </w14:solidFill>
                      </w14:textFill>
                    </w:rPr>
                    <w:t>监测点</w:t>
                  </w:r>
                  <w:r>
                    <w:rPr>
                      <w:rFonts w:hint="default" w:ascii="Times New Roman" w:hAnsi="Times New Roman" w:cs="Times New Roman"/>
                      <w:color w:val="000000" w:themeColor="text1"/>
                      <w:sz w:val="21"/>
                      <w:szCs w:val="21"/>
                      <w:lang w:eastAsia="en-US"/>
                      <w14:textFill>
                        <w14:solidFill>
                          <w14:schemeClr w14:val="tx1"/>
                        </w14:solidFill>
                      </w14:textFill>
                    </w:rPr>
                    <w:t>名称</w:t>
                  </w:r>
                </w:p>
              </w:tc>
              <w:tc>
                <w:tcPr>
                  <w:tcW w:w="1568" w:type="pct"/>
                  <w:gridSpan w:val="2"/>
                  <w:tcBorders>
                    <w:top w:val="single" w:color="000000" w:sz="4" w:space="0"/>
                    <w:left w:val="single" w:color="000000" w:sz="4" w:space="0"/>
                    <w:bottom w:val="single" w:color="000000" w:sz="4" w:space="0"/>
                    <w:right w:val="single" w:color="000000" w:sz="4" w:space="0"/>
                  </w:tcBorders>
                  <w:noWrap w:val="0"/>
                  <w:vAlign w:val="center"/>
                </w:tcPr>
                <w:p w14:paraId="186D3B0A">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坐标</w:t>
                  </w:r>
                </w:p>
              </w:tc>
              <w:tc>
                <w:tcPr>
                  <w:tcW w:w="799" w:type="pct"/>
                  <w:vMerge w:val="restart"/>
                  <w:tcBorders>
                    <w:top w:val="single" w:color="000000" w:sz="4" w:space="0"/>
                    <w:left w:val="single" w:color="000000" w:sz="4" w:space="0"/>
                    <w:bottom w:val="single" w:color="000000" w:sz="4" w:space="0"/>
                    <w:right w:val="single" w:color="000000" w:sz="4" w:space="0"/>
                  </w:tcBorders>
                  <w:noWrap w:val="0"/>
                  <w:vAlign w:val="center"/>
                </w:tcPr>
                <w:p w14:paraId="652D3563">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桩号</w:t>
                  </w:r>
                </w:p>
              </w:tc>
              <w:tc>
                <w:tcPr>
                  <w:tcW w:w="504" w:type="pct"/>
                  <w:vMerge w:val="restart"/>
                  <w:tcBorders>
                    <w:top w:val="single" w:color="000000" w:sz="4" w:space="0"/>
                    <w:left w:val="single" w:color="000000" w:sz="4" w:space="0"/>
                    <w:bottom w:val="single" w:color="000000" w:sz="4" w:space="0"/>
                    <w:right w:val="single" w:color="000000" w:sz="4" w:space="0"/>
                  </w:tcBorders>
                  <w:noWrap w:val="0"/>
                  <w:vAlign w:val="center"/>
                </w:tcPr>
                <w:p w14:paraId="74C98468">
                  <w:pPr>
                    <w:widowControl/>
                    <w:jc w:val="center"/>
                    <w:textAlignment w:val="center"/>
                    <w:rPr>
                      <w:rFonts w:hint="default" w:ascii="Times New Roman" w:hAnsi="Times New Roman" w:cs="Times New Roman"/>
                      <w:color w:val="000000"/>
                      <w:kern w:val="0"/>
                      <w:szCs w:val="21"/>
                    </w:rPr>
                  </w:pPr>
                  <w:r>
                    <w:rPr>
                      <w:rFonts w:hint="default" w:ascii="Times New Roman" w:hAnsi="Times New Roman" w:cs="Times New Roman"/>
                      <w:color w:val="000000" w:themeColor="text1"/>
                      <w:sz w:val="21"/>
                      <w:szCs w:val="21"/>
                      <w14:textFill>
                        <w14:solidFill>
                          <w14:schemeClr w14:val="tx1"/>
                        </w14:solidFill>
                      </w14:textFill>
                    </w:rPr>
                    <w:t>监测点距道路红线距离（m）</w:t>
                  </w:r>
                </w:p>
              </w:tc>
              <w:tc>
                <w:tcPr>
                  <w:tcW w:w="504" w:type="pct"/>
                  <w:vMerge w:val="restart"/>
                  <w:tcBorders>
                    <w:top w:val="single" w:color="000000" w:sz="4" w:space="0"/>
                    <w:left w:val="single" w:color="000000" w:sz="4" w:space="0"/>
                    <w:bottom w:val="single" w:color="000000" w:sz="4" w:space="0"/>
                    <w:right w:val="single" w:color="000000" w:sz="4" w:space="0"/>
                  </w:tcBorders>
                  <w:noWrap w:val="0"/>
                  <w:vAlign w:val="center"/>
                </w:tcPr>
                <w:p w14:paraId="061AE255">
                  <w:pPr>
                    <w:widowControl/>
                    <w:jc w:val="center"/>
                    <w:textAlignment w:val="center"/>
                    <w:rPr>
                      <w:rFonts w:hint="default" w:ascii="Times New Roman" w:hAnsi="Times New Roman" w:cs="Times New Roman"/>
                      <w:color w:val="000000"/>
                      <w:kern w:val="0"/>
                      <w:szCs w:val="21"/>
                    </w:rPr>
                  </w:pPr>
                  <w:r>
                    <w:rPr>
                      <w:rFonts w:hint="default" w:ascii="Times New Roman" w:hAnsi="Times New Roman" w:cs="Times New Roman"/>
                      <w:color w:val="000000" w:themeColor="text1"/>
                      <w:sz w:val="21"/>
                      <w:szCs w:val="21"/>
                      <w14:textFill>
                        <w14:solidFill>
                          <w14:schemeClr w14:val="tx1"/>
                        </w14:solidFill>
                      </w14:textFill>
                    </w:rPr>
                    <w:t>监测点距道路中心线距离（m）</w:t>
                  </w:r>
                </w:p>
              </w:tc>
              <w:tc>
                <w:tcPr>
                  <w:tcW w:w="425" w:type="pct"/>
                  <w:vMerge w:val="restart"/>
                  <w:tcBorders>
                    <w:top w:val="single" w:color="000000" w:sz="4" w:space="0"/>
                    <w:left w:val="single" w:color="000000" w:sz="4" w:space="0"/>
                    <w:bottom w:val="single" w:color="000000" w:sz="4" w:space="0"/>
                    <w:right w:val="single" w:color="000000" w:sz="4" w:space="0"/>
                  </w:tcBorders>
                  <w:noWrap w:val="0"/>
                  <w:vAlign w:val="center"/>
                </w:tcPr>
                <w:p w14:paraId="5D83377C">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监测位置</w:t>
                  </w:r>
                </w:p>
              </w:tc>
            </w:tr>
            <w:tr w14:paraId="1BC3B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843E96">
                  <w:pPr>
                    <w:widowControl/>
                    <w:jc w:val="center"/>
                    <w:rPr>
                      <w:rFonts w:hint="default" w:ascii="Times New Roman" w:hAnsi="Times New Roman" w:cs="Times New Roman"/>
                      <w:color w:val="000000"/>
                      <w:szCs w:val="21"/>
                    </w:rPr>
                  </w:pPr>
                </w:p>
              </w:tc>
              <w:tc>
                <w:tcPr>
                  <w:tcW w:w="86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B3DBAF">
                  <w:pPr>
                    <w:widowControl/>
                    <w:jc w:val="center"/>
                    <w:rPr>
                      <w:rFonts w:hint="default" w:ascii="Times New Roman" w:hAnsi="Times New Roman" w:cs="Times New Roman"/>
                      <w:color w:val="000000"/>
                      <w:szCs w:val="21"/>
                      <w:lang w:eastAsia="en-US"/>
                    </w:rPr>
                  </w:pP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1E540A61">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经度</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6BD4F94B">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纬度</w:t>
                  </w:r>
                </w:p>
              </w:tc>
              <w:tc>
                <w:tcPr>
                  <w:tcW w:w="79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DC1566">
                  <w:pPr>
                    <w:widowControl/>
                    <w:jc w:val="center"/>
                    <w:rPr>
                      <w:rFonts w:hint="default" w:ascii="Times New Roman" w:hAnsi="Times New Roman" w:cs="Times New Roman"/>
                      <w:color w:val="000000"/>
                      <w:szCs w:val="21"/>
                    </w:rPr>
                  </w:pPr>
                </w:p>
              </w:tc>
              <w:tc>
                <w:tcPr>
                  <w:tcW w:w="50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9B2590">
                  <w:pPr>
                    <w:widowControl/>
                    <w:jc w:val="center"/>
                    <w:rPr>
                      <w:rFonts w:hint="default" w:ascii="Times New Roman" w:hAnsi="Times New Roman" w:cs="Times New Roman"/>
                      <w:color w:val="000000"/>
                      <w:kern w:val="0"/>
                      <w:szCs w:val="21"/>
                    </w:rPr>
                  </w:pPr>
                </w:p>
              </w:tc>
              <w:tc>
                <w:tcPr>
                  <w:tcW w:w="50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71D814">
                  <w:pPr>
                    <w:widowControl/>
                    <w:jc w:val="center"/>
                    <w:rPr>
                      <w:rFonts w:hint="default" w:ascii="Times New Roman" w:hAnsi="Times New Roman" w:cs="Times New Roman"/>
                      <w:color w:val="000000"/>
                      <w:kern w:val="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905C91">
                  <w:pPr>
                    <w:widowControl/>
                    <w:jc w:val="center"/>
                    <w:rPr>
                      <w:rFonts w:hint="default" w:ascii="Times New Roman" w:hAnsi="Times New Roman" w:cs="Times New Roman"/>
                      <w:color w:val="000000"/>
                      <w:szCs w:val="21"/>
                    </w:rPr>
                  </w:pPr>
                </w:p>
              </w:tc>
            </w:tr>
            <w:tr w14:paraId="5250B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5AABA3C5">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1</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665FE5D4">
                  <w:pPr>
                    <w:spacing w:beforeLines="0" w:afterLines="0"/>
                    <w:jc w:val="center"/>
                    <w:rPr>
                      <w:rFonts w:hint="default" w:ascii="Times New Roman" w:hAnsi="Times New Roman" w:cs="Times New Roman"/>
                      <w:color w:val="000000"/>
                      <w:szCs w:val="21"/>
                    </w:rPr>
                  </w:pPr>
                  <w:r>
                    <w:rPr>
                      <w:rFonts w:hint="default" w:ascii="Times New Roman" w:hAnsi="Times New Roman" w:cs="Times New Roman"/>
                      <w:color w:val="000000"/>
                      <w:szCs w:val="21"/>
                    </w:rPr>
                    <w:t>N1榨屋居民点1</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3074BE2C">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zCs w:val="21"/>
                      <w:lang w:eastAsia="en-US"/>
                    </w:rPr>
                  </w:pPr>
                  <w:r>
                    <w:rPr>
                      <w:rFonts w:hint="default" w:ascii="Times New Roman" w:hAnsi="Times New Roman" w:cs="Times New Roman"/>
                      <w:sz w:val="21"/>
                      <w:szCs w:val="21"/>
                      <w:lang w:val="en-US" w:eastAsia="zh-CN"/>
                    </w:rPr>
                    <w:t>113.119205</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6664E545">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zCs w:val="21"/>
                      <w:lang w:eastAsia="en-US"/>
                    </w:rPr>
                  </w:pPr>
                  <w:r>
                    <w:rPr>
                      <w:rFonts w:hint="default" w:ascii="Times New Roman" w:hAnsi="Times New Roman" w:cs="Times New Roman"/>
                      <w:sz w:val="21"/>
                      <w:szCs w:val="21"/>
                      <w:lang w:val="en-US" w:eastAsia="zh-CN"/>
                    </w:rPr>
                    <w:t>29.296827</w:t>
                  </w:r>
                </w:p>
              </w:tc>
              <w:tc>
                <w:tcPr>
                  <w:tcW w:w="799" w:type="pct"/>
                  <w:vMerge w:val="restart"/>
                  <w:tcBorders>
                    <w:top w:val="single" w:color="000000" w:sz="4" w:space="0"/>
                    <w:left w:val="single" w:color="000000" w:sz="4" w:space="0"/>
                    <w:right w:val="single" w:color="000000" w:sz="4" w:space="0"/>
                  </w:tcBorders>
                  <w:noWrap w:val="0"/>
                  <w:vAlign w:val="center"/>
                </w:tcPr>
                <w:p w14:paraId="66D05692">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K1+297.962</w:t>
                  </w:r>
                  <w:r>
                    <w:rPr>
                      <w:rFonts w:hint="default" w:ascii="Times New Roman" w:hAnsi="Times New Roman" w:cs="Times New Roman"/>
                      <w:color w:val="000000"/>
                      <w:szCs w:val="21"/>
                      <w:lang w:val="en-US" w:eastAsia="zh-CN"/>
                    </w:rPr>
                    <w:t>路左</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99ABA52">
                  <w:pPr>
                    <w:widowControl/>
                    <w:jc w:val="center"/>
                    <w:textAlignment w:val="center"/>
                    <w:rPr>
                      <w:rFonts w:hint="default" w:ascii="Times New Roman" w:hAnsi="Times New Roman" w:cs="Times New Roman"/>
                      <w:color w:val="000000"/>
                      <w:kern w:val="0"/>
                      <w:szCs w:val="21"/>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7</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239D83B8">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27</w:t>
                  </w:r>
                </w:p>
              </w:tc>
              <w:tc>
                <w:tcPr>
                  <w:tcW w:w="425" w:type="pct"/>
                  <w:vMerge w:val="restart"/>
                  <w:tcBorders>
                    <w:top w:val="single" w:color="000000" w:sz="4" w:space="0"/>
                    <w:left w:val="single" w:color="000000" w:sz="4" w:space="0"/>
                    <w:right w:val="single" w:color="000000" w:sz="4" w:space="0"/>
                  </w:tcBorders>
                  <w:noWrap w:val="0"/>
                  <w:vAlign w:val="center"/>
                </w:tcPr>
                <w:p w14:paraId="4B072228">
                  <w:pPr>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14:textFill>
                        <w14:solidFill>
                          <w14:schemeClr w14:val="tx1"/>
                        </w14:solidFill>
                      </w14:textFill>
                    </w:rPr>
                    <w:t>靠近道路一侧，居住楼前1m</w:t>
                  </w:r>
                </w:p>
              </w:tc>
            </w:tr>
            <w:tr w14:paraId="6097A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5EAC81A1">
                  <w:pPr>
                    <w:pStyle w:val="8"/>
                    <w:ind w:right="113" w:rightChars="0"/>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77546DA7">
                  <w:pPr>
                    <w:jc w:val="center"/>
                    <w:rPr>
                      <w:rFonts w:hint="default" w:ascii="Times New Roman" w:hAnsi="Times New Roman" w:cs="Times New Roman"/>
                      <w:color w:val="000000"/>
                      <w:kern w:val="0"/>
                      <w:szCs w:val="21"/>
                    </w:rPr>
                  </w:pPr>
                  <w:r>
                    <w:rPr>
                      <w:rFonts w:hint="default" w:ascii="Times New Roman" w:hAnsi="Times New Roman" w:cs="Times New Roman"/>
                      <w:szCs w:val="21"/>
                    </w:rPr>
                    <w:t>N</w:t>
                  </w:r>
                  <w:r>
                    <w:rPr>
                      <w:rFonts w:hint="default" w:ascii="Times New Roman" w:hAnsi="Times New Roman" w:cs="Times New Roman"/>
                      <w:szCs w:val="21"/>
                      <w:lang w:val="en-US" w:eastAsia="zh-CN"/>
                    </w:rPr>
                    <w:t>2榨屋居民点2</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5FCF7A61">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113.119542</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2635185B">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29.297326</w:t>
                  </w:r>
                </w:p>
              </w:tc>
              <w:tc>
                <w:tcPr>
                  <w:tcW w:w="799" w:type="pct"/>
                  <w:vMerge w:val="continue"/>
                  <w:tcBorders>
                    <w:left w:val="single" w:color="000000" w:sz="4" w:space="0"/>
                    <w:bottom w:val="single" w:color="000000" w:sz="4" w:space="0"/>
                    <w:right w:val="single" w:color="000000" w:sz="4" w:space="0"/>
                  </w:tcBorders>
                  <w:noWrap w:val="0"/>
                  <w:vAlign w:val="center"/>
                </w:tcPr>
                <w:p w14:paraId="111B4F1D">
                  <w:pPr>
                    <w:widowControl/>
                    <w:jc w:val="center"/>
                    <w:textAlignment w:val="center"/>
                    <w:rPr>
                      <w:rFonts w:hint="default" w:ascii="Times New Roman" w:hAnsi="Times New Roman" w:cs="Times New Roman"/>
                      <w:color w:val="000000"/>
                      <w:kern w:val="0"/>
                      <w:szCs w:val="21"/>
                      <w:lang w:eastAsia="en-US"/>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4D3C12E">
                  <w:pPr>
                    <w:widowControl/>
                    <w:jc w:val="center"/>
                    <w:textAlignment w:val="center"/>
                    <w:rPr>
                      <w:rFonts w:hint="default" w:ascii="Times New Roman" w:hAnsi="Times New Roman" w:cs="Times New Roman"/>
                      <w:color w:val="000000"/>
                      <w:kern w:val="0"/>
                      <w:szCs w:val="21"/>
                      <w:lang w:val="en-US"/>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40</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F726009">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60</w:t>
                  </w:r>
                </w:p>
              </w:tc>
              <w:tc>
                <w:tcPr>
                  <w:tcW w:w="425" w:type="pct"/>
                  <w:vMerge w:val="continue"/>
                  <w:tcBorders>
                    <w:left w:val="single" w:color="000000" w:sz="4" w:space="0"/>
                    <w:right w:val="single" w:color="000000" w:sz="4" w:space="0"/>
                  </w:tcBorders>
                  <w:noWrap w:val="0"/>
                  <w:vAlign w:val="center"/>
                </w:tcPr>
                <w:p w14:paraId="7C2F43D9">
                  <w:pPr>
                    <w:jc w:val="center"/>
                    <w:rPr>
                      <w:rFonts w:hint="default" w:ascii="Times New Roman" w:hAnsi="Times New Roman" w:cs="Times New Roman"/>
                      <w:color w:val="000000"/>
                      <w:kern w:val="0"/>
                      <w:szCs w:val="21"/>
                    </w:rPr>
                  </w:pPr>
                </w:p>
              </w:tc>
            </w:tr>
            <w:tr w14:paraId="7E2FF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75060086">
                  <w:pPr>
                    <w:pStyle w:val="8"/>
                    <w:ind w:right="113" w:rightChars="0"/>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361F6327">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N3岳阳中心医院</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4C488965">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113.118102</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377CE7C4">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29.295904</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D2B1E2F">
                  <w:pPr>
                    <w:widowControl/>
                    <w:jc w:val="center"/>
                    <w:textAlignment w:val="center"/>
                    <w:rPr>
                      <w:rFonts w:hint="default" w:ascii="Times New Roman" w:hAnsi="Times New Roman" w:eastAsia="宋体" w:cs="Times New Roman"/>
                      <w:color w:val="000000"/>
                      <w:kern w:val="0"/>
                      <w:szCs w:val="21"/>
                      <w:lang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C4CE9FA">
                  <w:pPr>
                    <w:widowControl/>
                    <w:jc w:val="center"/>
                    <w:textAlignment w:val="center"/>
                    <w:rPr>
                      <w:rFonts w:hint="default" w:ascii="Times New Roman" w:hAnsi="Times New Roman" w:cs="Times New Roman"/>
                      <w:color w:val="000000"/>
                      <w:kern w:val="0"/>
                      <w:szCs w:val="21"/>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0016E40">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w:t>
                  </w:r>
                </w:p>
              </w:tc>
              <w:tc>
                <w:tcPr>
                  <w:tcW w:w="425" w:type="pct"/>
                  <w:vMerge w:val="continue"/>
                  <w:tcBorders>
                    <w:left w:val="single" w:color="000000" w:sz="4" w:space="0"/>
                    <w:right w:val="single" w:color="000000" w:sz="4" w:space="0"/>
                  </w:tcBorders>
                  <w:noWrap w:val="0"/>
                  <w:vAlign w:val="center"/>
                </w:tcPr>
                <w:p w14:paraId="671FF253">
                  <w:pPr>
                    <w:jc w:val="center"/>
                    <w:rPr>
                      <w:rFonts w:hint="default" w:ascii="Times New Roman" w:hAnsi="Times New Roman" w:cs="Times New Roman"/>
                      <w:color w:val="000000"/>
                      <w:kern w:val="0"/>
                      <w:szCs w:val="21"/>
                    </w:rPr>
                  </w:pPr>
                </w:p>
              </w:tc>
            </w:tr>
            <w:tr w14:paraId="7C7AF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03E6F34B">
                  <w:pPr>
                    <w:pStyle w:val="8"/>
                    <w:ind w:right="113" w:rightChars="0"/>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10418ABA">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N4陈家垄居民点1</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0C69EEC9">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113.120302</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0BF7A366">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29.295341</w:t>
                  </w:r>
                </w:p>
              </w:tc>
              <w:tc>
                <w:tcPr>
                  <w:tcW w:w="799" w:type="pct"/>
                  <w:vMerge w:val="restart"/>
                  <w:tcBorders>
                    <w:top w:val="single" w:color="000000" w:sz="4" w:space="0"/>
                    <w:left w:val="single" w:color="000000" w:sz="4" w:space="0"/>
                    <w:right w:val="single" w:color="000000" w:sz="4" w:space="0"/>
                  </w:tcBorders>
                  <w:noWrap w:val="0"/>
                  <w:vAlign w:val="center"/>
                </w:tcPr>
                <w:p w14:paraId="5610C905">
                  <w:pPr>
                    <w:widowControl/>
                    <w:jc w:val="center"/>
                    <w:textAlignment w:val="center"/>
                    <w:rPr>
                      <w:rFonts w:hint="default" w:ascii="Times New Roman" w:hAnsi="Times New Roman" w:cs="Times New Roman"/>
                      <w:color w:val="000000"/>
                      <w:kern w:val="0"/>
                      <w:szCs w:val="21"/>
                      <w:lang w:val="en-US" w:eastAsia="en-US"/>
                    </w:rPr>
                  </w:pPr>
                  <w:r>
                    <w:rPr>
                      <w:rFonts w:hint="default" w:ascii="Times New Roman" w:hAnsi="Times New Roman" w:cs="Times New Roman"/>
                    </w:rPr>
                    <w:t>K</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540路右</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2831A75">
                  <w:pPr>
                    <w:widowControl/>
                    <w:jc w:val="center"/>
                    <w:textAlignment w:val="center"/>
                    <w:rPr>
                      <w:rFonts w:hint="default" w:ascii="Times New Roman" w:hAnsi="Times New Roman" w:cs="Times New Roman"/>
                      <w:color w:val="000000"/>
                      <w:kern w:val="0"/>
                      <w:szCs w:val="21"/>
                      <w:lang w:val="en-US"/>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32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5516450">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52</w:t>
                  </w:r>
                </w:p>
              </w:tc>
              <w:tc>
                <w:tcPr>
                  <w:tcW w:w="425" w:type="pct"/>
                  <w:vMerge w:val="continue"/>
                  <w:tcBorders>
                    <w:left w:val="single" w:color="000000" w:sz="4" w:space="0"/>
                    <w:right w:val="single" w:color="000000" w:sz="4" w:space="0"/>
                  </w:tcBorders>
                  <w:noWrap w:val="0"/>
                  <w:vAlign w:val="center"/>
                </w:tcPr>
                <w:p w14:paraId="53953879">
                  <w:pPr>
                    <w:jc w:val="center"/>
                    <w:rPr>
                      <w:rFonts w:hint="default" w:ascii="Times New Roman" w:hAnsi="Times New Roman" w:cs="Times New Roman"/>
                      <w:color w:val="000000"/>
                      <w:kern w:val="0"/>
                      <w:szCs w:val="21"/>
                    </w:rPr>
                  </w:pPr>
                </w:p>
              </w:tc>
            </w:tr>
            <w:tr w14:paraId="6BB94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3288C298">
                  <w:pPr>
                    <w:pStyle w:val="8"/>
                    <w:ind w:right="113" w:rightChars="0"/>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0E860935">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N5陈家垄居民点2</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7FE7B2A9">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113.120511</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6DA6D4F3">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29.294670</w:t>
                  </w:r>
                </w:p>
              </w:tc>
              <w:tc>
                <w:tcPr>
                  <w:tcW w:w="799" w:type="pct"/>
                  <w:vMerge w:val="continue"/>
                  <w:tcBorders>
                    <w:left w:val="single" w:color="000000" w:sz="4" w:space="0"/>
                    <w:bottom w:val="single" w:color="000000" w:sz="4" w:space="0"/>
                    <w:right w:val="single" w:color="000000" w:sz="4" w:space="0"/>
                  </w:tcBorders>
                  <w:noWrap w:val="0"/>
                  <w:vAlign w:val="center"/>
                </w:tcPr>
                <w:p w14:paraId="14A05D26">
                  <w:pPr>
                    <w:widowControl/>
                    <w:jc w:val="center"/>
                    <w:textAlignment w:val="center"/>
                    <w:rPr>
                      <w:rFonts w:hint="default" w:ascii="Times New Roman" w:hAnsi="Times New Roman" w:cs="Times New Roman"/>
                      <w:color w:val="000000"/>
                      <w:kern w:val="0"/>
                      <w:szCs w:val="21"/>
                      <w:lang w:eastAsia="en-US"/>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F979ADA">
                  <w:pPr>
                    <w:widowControl/>
                    <w:jc w:val="center"/>
                    <w:textAlignment w:val="center"/>
                    <w:rPr>
                      <w:rFonts w:hint="default" w:ascii="Times New Roman" w:hAnsi="Times New Roman" w:cs="Times New Roman"/>
                      <w:color w:val="000000"/>
                      <w:kern w:val="0"/>
                      <w:szCs w:val="21"/>
                      <w:lang w:val="en-US"/>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40</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4053E10">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60</w:t>
                  </w:r>
                </w:p>
              </w:tc>
              <w:tc>
                <w:tcPr>
                  <w:tcW w:w="425" w:type="pct"/>
                  <w:vMerge w:val="continue"/>
                  <w:tcBorders>
                    <w:left w:val="single" w:color="000000" w:sz="4" w:space="0"/>
                    <w:right w:val="single" w:color="000000" w:sz="4" w:space="0"/>
                  </w:tcBorders>
                  <w:noWrap w:val="0"/>
                  <w:vAlign w:val="center"/>
                </w:tcPr>
                <w:p w14:paraId="12A7BB77">
                  <w:pPr>
                    <w:jc w:val="center"/>
                    <w:rPr>
                      <w:rFonts w:hint="default" w:ascii="Times New Roman" w:hAnsi="Times New Roman" w:cs="Times New Roman"/>
                      <w:color w:val="000000"/>
                      <w:kern w:val="0"/>
                      <w:szCs w:val="21"/>
                    </w:rPr>
                  </w:pPr>
                </w:p>
              </w:tc>
            </w:tr>
            <w:tr w14:paraId="51FD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61EED3C0">
                  <w:pPr>
                    <w:pStyle w:val="8"/>
                    <w:ind w:right="113" w:rightChars="0"/>
                    <w:jc w:val="center"/>
                    <w:rPr>
                      <w:rFonts w:hint="default" w:ascii="Times New Roman" w:hAnsi="Times New Roman" w:cs="Times New Roman"/>
                      <w:color w:val="000000"/>
                      <w:szCs w:val="21"/>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3422AB22">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N6赶山片区全民</w:t>
                  </w:r>
                  <w:r>
                    <w:rPr>
                      <w:rFonts w:hint="eastAsia" w:ascii="Times New Roman" w:hAnsi="Times New Roman" w:cs="Times New Roman"/>
                      <w:szCs w:val="21"/>
                      <w:lang w:val="en-US" w:eastAsia="zh-CN"/>
                    </w:rPr>
                    <w:t>健身</w:t>
                  </w:r>
                  <w:r>
                    <w:rPr>
                      <w:rFonts w:hint="default" w:ascii="Times New Roman" w:hAnsi="Times New Roman" w:cs="Times New Roman"/>
                      <w:szCs w:val="21"/>
                      <w:lang w:val="en-US" w:eastAsia="zh-CN"/>
                    </w:rPr>
                    <w:t>中心1</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5751559C">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113.119669</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735DB548">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29.295936</w:t>
                  </w:r>
                </w:p>
              </w:tc>
              <w:tc>
                <w:tcPr>
                  <w:tcW w:w="799" w:type="pct"/>
                  <w:vMerge w:val="restart"/>
                  <w:tcBorders>
                    <w:top w:val="single" w:color="000000" w:sz="4" w:space="0"/>
                    <w:left w:val="single" w:color="000000" w:sz="4" w:space="0"/>
                    <w:right w:val="single" w:color="000000" w:sz="4" w:space="0"/>
                  </w:tcBorders>
                  <w:noWrap w:val="0"/>
                  <w:vAlign w:val="center"/>
                </w:tcPr>
                <w:p w14:paraId="61E9B9BD">
                  <w:pPr>
                    <w:widowControl/>
                    <w:jc w:val="center"/>
                    <w:textAlignment w:val="center"/>
                    <w:rPr>
                      <w:rFonts w:hint="default" w:ascii="Times New Roman" w:hAnsi="Times New Roman" w:cs="Times New Roman"/>
                      <w:color w:val="000000"/>
                      <w:kern w:val="0"/>
                      <w:szCs w:val="21"/>
                      <w:lang w:eastAsia="en-US"/>
                    </w:rPr>
                  </w:pP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320</w:t>
                  </w:r>
                  <w:r>
                    <w:rPr>
                      <w:rFonts w:hint="default" w:ascii="Times New Roman" w:hAnsi="Times New Roman" w:cs="Times New Roman"/>
                      <w:color w:val="000000" w:themeColor="text1"/>
                      <w:sz w:val="21"/>
                      <w:szCs w:val="21"/>
                      <w14:textFill>
                        <w14:solidFill>
                          <w14:schemeClr w14:val="tx1"/>
                        </w14:solidFill>
                      </w14:textFill>
                    </w:rPr>
                    <w:t>路</w:t>
                  </w:r>
                  <w:r>
                    <w:rPr>
                      <w:rFonts w:hint="default" w:ascii="Times New Roman" w:hAnsi="Times New Roman" w:cs="Times New Roman"/>
                      <w:color w:val="000000" w:themeColor="text1"/>
                      <w:sz w:val="21"/>
                      <w:szCs w:val="21"/>
                      <w:lang w:val="en-US" w:eastAsia="zh-CN"/>
                      <w14:textFill>
                        <w14:solidFill>
                          <w14:schemeClr w14:val="tx1"/>
                        </w14:solidFill>
                      </w14:textFill>
                    </w:rPr>
                    <w:t>右</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19D5B77C">
                  <w:pPr>
                    <w:widowControl/>
                    <w:jc w:val="center"/>
                    <w:textAlignment w:val="center"/>
                    <w:rPr>
                      <w:rFonts w:hint="default" w:ascii="Times New Roman" w:hAnsi="Times New Roman" w:cs="Times New Roman"/>
                      <w:color w:val="000000"/>
                      <w:kern w:val="0"/>
                      <w:szCs w:val="21"/>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78F5EC0">
                  <w:pPr>
                    <w:jc w:val="center"/>
                    <w:rPr>
                      <w:rFonts w:hint="default" w:ascii="Times New Roman" w:hAnsi="Times New Roman" w:cs="Times New Roman"/>
                      <w:color w:val="000000"/>
                      <w:kern w:val="0"/>
                      <w:szCs w:val="21"/>
                    </w:rPr>
                  </w:pPr>
                  <w:r>
                    <w:rPr>
                      <w:rFonts w:hint="default" w:ascii="Times New Roman" w:hAnsi="Times New Roman" w:cs="Times New Roman"/>
                      <w:szCs w:val="21"/>
                      <w:lang w:val="en-US" w:eastAsia="zh-CN"/>
                    </w:rPr>
                    <w:t>25</w:t>
                  </w:r>
                </w:p>
              </w:tc>
              <w:tc>
                <w:tcPr>
                  <w:tcW w:w="425" w:type="pct"/>
                  <w:vMerge w:val="continue"/>
                  <w:tcBorders>
                    <w:left w:val="single" w:color="000000" w:sz="4" w:space="0"/>
                    <w:bottom w:val="nil"/>
                    <w:right w:val="single" w:color="000000" w:sz="4" w:space="0"/>
                  </w:tcBorders>
                  <w:noWrap w:val="0"/>
                  <w:vAlign w:val="center"/>
                </w:tcPr>
                <w:p w14:paraId="427909F5">
                  <w:pPr>
                    <w:jc w:val="center"/>
                    <w:rPr>
                      <w:rFonts w:hint="default" w:ascii="Times New Roman" w:hAnsi="Times New Roman" w:cs="Times New Roman"/>
                      <w:color w:val="000000"/>
                      <w:kern w:val="0"/>
                      <w:szCs w:val="21"/>
                    </w:rPr>
                  </w:pPr>
                </w:p>
              </w:tc>
            </w:tr>
            <w:tr w14:paraId="4560A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0"/>
                  <w:vAlign w:val="center"/>
                </w:tcPr>
                <w:p w14:paraId="0BB9EF5C">
                  <w:pPr>
                    <w:pStyle w:val="8"/>
                    <w:ind w:right="113" w:rightChars="0"/>
                    <w:jc w:val="center"/>
                    <w:rPr>
                      <w:rFonts w:hint="default" w:ascii="Times New Roman" w:hAnsi="Times New Roman" w:cs="Times New Roman"/>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0AAB3A2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N7赶山片区全民</w:t>
                  </w:r>
                  <w:r>
                    <w:rPr>
                      <w:rFonts w:hint="eastAsia" w:ascii="Times New Roman" w:hAnsi="Times New Roman" w:cs="Times New Roman"/>
                      <w:szCs w:val="21"/>
                      <w:lang w:val="en-US" w:eastAsia="zh-CN"/>
                    </w:rPr>
                    <w:t>健身</w:t>
                  </w:r>
                  <w:r>
                    <w:rPr>
                      <w:rFonts w:hint="default" w:ascii="Times New Roman" w:hAnsi="Times New Roman" w:cs="Times New Roman"/>
                      <w:szCs w:val="21"/>
                      <w:lang w:val="en-US" w:eastAsia="zh-CN"/>
                    </w:rPr>
                    <w:t>中心2</w:t>
                  </w:r>
                </w:p>
              </w:tc>
              <w:tc>
                <w:tcPr>
                  <w:tcW w:w="825" w:type="pct"/>
                  <w:tcBorders>
                    <w:top w:val="single" w:color="000000" w:sz="4" w:space="0"/>
                    <w:left w:val="single" w:color="000000" w:sz="4" w:space="0"/>
                    <w:bottom w:val="single" w:color="000000" w:sz="4" w:space="0"/>
                    <w:right w:val="single" w:color="000000" w:sz="4" w:space="0"/>
                  </w:tcBorders>
                  <w:noWrap w:val="0"/>
                  <w:vAlign w:val="center"/>
                </w:tcPr>
                <w:p w14:paraId="7B7D33EA">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113.119406</w:t>
                  </w:r>
                </w:p>
              </w:tc>
              <w:tc>
                <w:tcPr>
                  <w:tcW w:w="742" w:type="pct"/>
                  <w:tcBorders>
                    <w:top w:val="single" w:color="000000" w:sz="4" w:space="0"/>
                    <w:left w:val="single" w:color="000000" w:sz="4" w:space="0"/>
                    <w:bottom w:val="single" w:color="000000" w:sz="4" w:space="0"/>
                    <w:right w:val="single" w:color="000000" w:sz="4" w:space="0"/>
                  </w:tcBorders>
                  <w:noWrap w:val="0"/>
                  <w:vAlign w:val="center"/>
                </w:tcPr>
                <w:p w14:paraId="5DB9992E">
                  <w:pPr>
                    <w:pStyle w:val="21"/>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29.295550</w:t>
                  </w:r>
                </w:p>
              </w:tc>
              <w:tc>
                <w:tcPr>
                  <w:tcW w:w="799" w:type="pct"/>
                  <w:vMerge w:val="continue"/>
                  <w:tcBorders>
                    <w:left w:val="single" w:color="000000" w:sz="4" w:space="0"/>
                    <w:right w:val="single" w:color="000000" w:sz="4" w:space="0"/>
                  </w:tcBorders>
                  <w:noWrap w:val="0"/>
                  <w:vAlign w:val="center"/>
                </w:tcPr>
                <w:p w14:paraId="75F954AC">
                  <w:pPr>
                    <w:jc w:val="center"/>
                    <w:rPr>
                      <w:rFonts w:hint="default" w:ascii="Times New Roman" w:hAnsi="Times New Roman" w:cs="Times New Roman"/>
                      <w:color w:val="000000"/>
                      <w:sz w:val="21"/>
                      <w:szCs w:val="21"/>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9C1F262">
                  <w:pPr>
                    <w:widowControl/>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DCD583D">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szCs w:val="21"/>
                      <w:lang w:val="en-US" w:eastAsia="zh-CN"/>
                    </w:rPr>
                    <w:t>60</w:t>
                  </w:r>
                </w:p>
              </w:tc>
              <w:tc>
                <w:tcPr>
                  <w:tcW w:w="425" w:type="pct"/>
                  <w:vMerge w:val="continue"/>
                  <w:tcBorders>
                    <w:top w:val="nil"/>
                    <w:left w:val="single" w:color="000000" w:sz="4" w:space="0"/>
                    <w:bottom w:val="nil"/>
                    <w:right w:val="single" w:color="000000" w:sz="4" w:space="0"/>
                  </w:tcBorders>
                  <w:noWrap w:val="0"/>
                  <w:vAlign w:val="center"/>
                </w:tcPr>
                <w:p w14:paraId="3BF2D399">
                  <w:pPr>
                    <w:jc w:val="center"/>
                    <w:rPr>
                      <w:rFonts w:hint="default" w:ascii="Times New Roman" w:hAnsi="Times New Roman" w:cs="Times New Roman"/>
                      <w:color w:val="000000"/>
                      <w:kern w:val="0"/>
                      <w:szCs w:val="21"/>
                    </w:rPr>
                  </w:pPr>
                </w:p>
              </w:tc>
            </w:tr>
            <w:tr w14:paraId="5AD3D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23"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4EF46A2D">
                  <w:pPr>
                    <w:jc w:val="both"/>
                    <w:rPr>
                      <w:rFonts w:hint="default" w:ascii="Times New Roman" w:hAnsi="Times New Roman" w:cs="Times New Roman"/>
                      <w:color w:val="000000"/>
                      <w:kern w:val="0"/>
                      <w:szCs w:val="21"/>
                      <w:lang w:val="en-US"/>
                    </w:rPr>
                  </w:pPr>
                  <w:r>
                    <w:rPr>
                      <w:rFonts w:hint="default" w:ascii="Times New Roman" w:hAnsi="Times New Roman" w:cs="Times New Roman"/>
                      <w:szCs w:val="21"/>
                      <w:lang w:val="en-US" w:eastAsia="zh-CN"/>
                    </w:rPr>
                    <w:t>岳阳中心医院位于本项目起点西侧</w:t>
                  </w:r>
                </w:p>
              </w:tc>
            </w:tr>
          </w:tbl>
          <w:p w14:paraId="2B752195">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（3）监测频次</w:t>
            </w:r>
          </w:p>
          <w:p w14:paraId="0FE63F36">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每个监测点连续监测2天，昼夜各监测</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次。</w:t>
            </w:r>
          </w:p>
          <w:p w14:paraId="3CDD2DF1">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（4）执行标准</w:t>
            </w:r>
          </w:p>
          <w:p w14:paraId="184C0345">
            <w:pPr>
              <w:autoSpaceDE w:val="0"/>
              <w:autoSpaceDN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执行《声环境质量标准》（GB3096-2008）中的2类</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4a类</w:t>
            </w:r>
            <w:r>
              <w:rPr>
                <w:rFonts w:hint="default" w:ascii="Times New Roman" w:hAnsi="Times New Roman" w:cs="Times New Roman"/>
                <w:color w:val="000000"/>
                <w:sz w:val="24"/>
              </w:rPr>
              <w:t>标准。</w:t>
            </w:r>
          </w:p>
          <w:p w14:paraId="459A56E0">
            <w:pPr>
              <w:autoSpaceDE w:val="0"/>
              <w:autoSpaceDN w:val="0"/>
              <w:spacing w:line="360" w:lineRule="auto"/>
              <w:ind w:firstLine="440" w:firstLineChars="200"/>
              <w:rPr>
                <w:rFonts w:hint="default" w:ascii="Times New Roman" w:hAnsi="Times New Roman" w:cs="Times New Roman"/>
                <w:color w:val="000000"/>
                <w:sz w:val="24"/>
              </w:rPr>
            </w:pPr>
            <w:bookmarkStart w:id="14" w:name="_bookmark10"/>
            <w:bookmarkEnd w:id="14"/>
            <w:r>
              <w:rPr>
                <w:rFonts w:hint="default" w:ascii="Times New Roman" w:hAnsi="Times New Roman" w:cs="Times New Roman"/>
                <w:color w:val="000000"/>
                <w:sz w:val="22"/>
                <w:szCs w:val="22"/>
              </w:rPr>
              <w:t>（5）</w:t>
            </w:r>
            <w:r>
              <w:rPr>
                <w:rFonts w:hint="default" w:ascii="Times New Roman" w:hAnsi="Times New Roman" w:cs="Times New Roman"/>
                <w:bCs/>
                <w:color w:val="000000"/>
                <w:sz w:val="24"/>
              </w:rPr>
              <w:t>监测结果与分析评价</w:t>
            </w:r>
          </w:p>
          <w:p w14:paraId="0C28E19E">
            <w:pPr>
              <w:pStyle w:val="6"/>
              <w:rPr>
                <w:rFonts w:hint="default" w:ascii="Times New Roman" w:hAnsi="Times New Roman" w:eastAsia="宋体" w:cs="Times New Roman"/>
                <w:b/>
                <w:bCs/>
                <w:color w:val="000000"/>
                <w:sz w:val="21"/>
                <w:szCs w:val="21"/>
                <w:highlight w:val="none"/>
                <w:lang w:bidi="ar"/>
              </w:rPr>
            </w:pPr>
            <w:r>
              <w:rPr>
                <w:rFonts w:hint="default" w:ascii="Times New Roman" w:hAnsi="Times New Roman" w:eastAsia="宋体" w:cs="Times New Roman"/>
                <w:b/>
                <w:bCs/>
                <w:color w:val="000000"/>
                <w:sz w:val="21"/>
                <w:szCs w:val="21"/>
                <w:highlight w:val="none"/>
                <w:lang w:bidi="ar"/>
              </w:rPr>
              <w:t>表</w:t>
            </w:r>
            <w:r>
              <w:rPr>
                <w:rFonts w:hint="default" w:ascii="Times New Roman" w:hAnsi="Times New Roman" w:eastAsia="宋体" w:cs="Times New Roman"/>
                <w:b/>
                <w:bCs/>
                <w:color w:val="000000"/>
                <w:sz w:val="21"/>
                <w:szCs w:val="21"/>
                <w:highlight w:val="none"/>
                <w:lang w:val="en-US" w:eastAsia="zh-CN" w:bidi="ar"/>
              </w:rPr>
              <w:t>.3-2</w:t>
            </w:r>
            <w:r>
              <w:rPr>
                <w:rFonts w:hint="default" w:ascii="Times New Roman" w:hAnsi="Times New Roman" w:eastAsia="宋体" w:cs="Times New Roman"/>
                <w:b/>
                <w:bCs/>
                <w:color w:val="000000"/>
                <w:sz w:val="21"/>
                <w:szCs w:val="21"/>
                <w:highlight w:val="none"/>
                <w:lang w:bidi="ar"/>
              </w:rPr>
              <w:t>声环境现状监测结果（单位：dB(A)）</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1517"/>
              <w:gridCol w:w="889"/>
              <w:gridCol w:w="718"/>
              <w:gridCol w:w="2238"/>
              <w:gridCol w:w="1188"/>
            </w:tblGrid>
            <w:tr w14:paraId="3E91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31" w:type="pct"/>
                  <w:vMerge w:val="restart"/>
                  <w:tcBorders>
                    <w:top w:val="single" w:color="auto" w:sz="4" w:space="0"/>
                    <w:left w:val="single" w:color="auto" w:sz="4" w:space="0"/>
                    <w:bottom w:val="single" w:color="auto" w:sz="4" w:space="0"/>
                    <w:right w:val="single" w:color="auto" w:sz="4" w:space="0"/>
                  </w:tcBorders>
                  <w:noWrap w:val="0"/>
                  <w:vAlign w:val="center"/>
                </w:tcPr>
                <w:p w14:paraId="671C6630">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872" w:type="pct"/>
                  <w:vMerge w:val="restart"/>
                  <w:tcBorders>
                    <w:top w:val="single" w:color="auto" w:sz="4" w:space="0"/>
                    <w:left w:val="single" w:color="auto" w:sz="4" w:space="0"/>
                    <w:bottom w:val="single" w:color="auto" w:sz="4" w:space="0"/>
                    <w:right w:val="single" w:color="auto" w:sz="4" w:space="0"/>
                  </w:tcBorders>
                  <w:noWrap w:val="0"/>
                  <w:vAlign w:val="center"/>
                </w:tcPr>
                <w:p w14:paraId="085FA75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监测时间</w:t>
                  </w:r>
                </w:p>
              </w:tc>
              <w:tc>
                <w:tcPr>
                  <w:tcW w:w="924" w:type="pct"/>
                  <w:gridSpan w:val="2"/>
                  <w:tcBorders>
                    <w:top w:val="single" w:color="auto" w:sz="4" w:space="0"/>
                    <w:left w:val="single" w:color="auto" w:sz="4" w:space="0"/>
                    <w:bottom w:val="single" w:color="auto" w:sz="4" w:space="0"/>
                    <w:right w:val="single" w:color="auto" w:sz="4" w:space="0"/>
                  </w:tcBorders>
                  <w:noWrap w:val="0"/>
                  <w:vAlign w:val="center"/>
                </w:tcPr>
                <w:p w14:paraId="7934BF7C">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监测结果</w:t>
                  </w:r>
                </w:p>
              </w:tc>
              <w:tc>
                <w:tcPr>
                  <w:tcW w:w="1287" w:type="pct"/>
                  <w:vMerge w:val="restart"/>
                  <w:tcBorders>
                    <w:top w:val="single" w:color="auto" w:sz="4" w:space="0"/>
                    <w:left w:val="single" w:color="auto" w:sz="4" w:space="0"/>
                    <w:bottom w:val="single" w:color="auto" w:sz="4" w:space="0"/>
                    <w:right w:val="single" w:color="auto" w:sz="4" w:space="0"/>
                  </w:tcBorders>
                  <w:noWrap w:val="0"/>
                  <w:vAlign w:val="center"/>
                </w:tcPr>
                <w:p w14:paraId="5EB3DBD3">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标准限值昼间：60</w:t>
                  </w:r>
                </w:p>
                <w:p w14:paraId="1C08AD7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夜间：50</w:t>
                  </w:r>
                </w:p>
              </w:tc>
              <w:tc>
                <w:tcPr>
                  <w:tcW w:w="683" w:type="pct"/>
                  <w:vMerge w:val="restart"/>
                  <w:tcBorders>
                    <w:top w:val="single" w:color="auto" w:sz="4" w:space="0"/>
                    <w:left w:val="single" w:color="auto" w:sz="4" w:space="0"/>
                    <w:bottom w:val="single" w:color="auto" w:sz="4" w:space="0"/>
                    <w:right w:val="single" w:color="auto" w:sz="4" w:space="0"/>
                  </w:tcBorders>
                  <w:noWrap w:val="0"/>
                  <w:vAlign w:val="center"/>
                </w:tcPr>
                <w:p w14:paraId="0A7F293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是否达标</w:t>
                  </w:r>
                </w:p>
              </w:tc>
            </w:tr>
            <w:tr w14:paraId="53DA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31" w:type="pct"/>
                  <w:vMerge w:val="continue"/>
                  <w:tcBorders>
                    <w:top w:val="single" w:color="auto" w:sz="4" w:space="0"/>
                    <w:left w:val="single" w:color="auto" w:sz="4" w:space="0"/>
                    <w:bottom w:val="single" w:color="auto" w:sz="4" w:space="0"/>
                    <w:right w:val="single" w:color="auto" w:sz="4" w:space="0"/>
                  </w:tcBorders>
                  <w:noWrap w:val="0"/>
                  <w:vAlign w:val="center"/>
                </w:tcPr>
                <w:p w14:paraId="26B19364">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872" w:type="pct"/>
                  <w:vMerge w:val="continue"/>
                  <w:tcBorders>
                    <w:top w:val="single" w:color="auto" w:sz="4" w:space="0"/>
                    <w:left w:val="single" w:color="auto" w:sz="4" w:space="0"/>
                    <w:bottom w:val="single" w:color="auto" w:sz="4" w:space="0"/>
                    <w:right w:val="single" w:color="auto" w:sz="4" w:space="0"/>
                  </w:tcBorders>
                  <w:noWrap w:val="0"/>
                  <w:vAlign w:val="center"/>
                </w:tcPr>
                <w:p w14:paraId="41F6D0C7">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511" w:type="pct"/>
                  <w:tcBorders>
                    <w:top w:val="single" w:color="auto" w:sz="4" w:space="0"/>
                    <w:left w:val="single" w:color="auto" w:sz="4" w:space="0"/>
                    <w:bottom w:val="single" w:color="auto" w:sz="4" w:space="0"/>
                    <w:right w:val="single" w:color="auto" w:sz="4" w:space="0"/>
                  </w:tcBorders>
                  <w:noWrap w:val="0"/>
                  <w:vAlign w:val="center"/>
                </w:tcPr>
                <w:p w14:paraId="17C6D239">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 w:val="22"/>
                      <w:szCs w:val="22"/>
                      <w:lang w:bidi="zh-CN"/>
                    </w:rPr>
                  </w:pPr>
                  <w:r>
                    <w:rPr>
                      <w:rFonts w:hint="default" w:ascii="Times New Roman" w:hAnsi="Times New Roman" w:cs="Times New Roman"/>
                      <w:color w:val="000000"/>
                    </w:rPr>
                    <w:t>昼间</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7C5420EC">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 w:val="22"/>
                      <w:szCs w:val="22"/>
                      <w:lang w:val="zh-CN" w:bidi="zh-CN"/>
                    </w:rPr>
                  </w:pPr>
                  <w:r>
                    <w:rPr>
                      <w:rFonts w:hint="default" w:ascii="Times New Roman" w:hAnsi="Times New Roman" w:cs="Times New Roman"/>
                      <w:color w:val="000000"/>
                    </w:rPr>
                    <w:t>夜间</w:t>
                  </w:r>
                </w:p>
              </w:tc>
              <w:tc>
                <w:tcPr>
                  <w:tcW w:w="1287" w:type="pct"/>
                  <w:vMerge w:val="continue"/>
                  <w:tcBorders>
                    <w:top w:val="single" w:color="auto" w:sz="4" w:space="0"/>
                    <w:left w:val="single" w:color="auto" w:sz="4" w:space="0"/>
                    <w:bottom w:val="single" w:color="auto" w:sz="4" w:space="0"/>
                    <w:right w:val="single" w:color="auto" w:sz="4" w:space="0"/>
                  </w:tcBorders>
                  <w:noWrap w:val="0"/>
                  <w:vAlign w:val="center"/>
                </w:tcPr>
                <w:p w14:paraId="4BDCF3F9">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top w:val="single" w:color="auto" w:sz="4" w:space="0"/>
                    <w:left w:val="single" w:color="auto" w:sz="4" w:space="0"/>
                    <w:bottom w:val="single" w:color="auto" w:sz="4" w:space="0"/>
                    <w:right w:val="single" w:color="auto" w:sz="4" w:space="0"/>
                  </w:tcBorders>
                  <w:noWrap w:val="0"/>
                  <w:vAlign w:val="center"/>
                </w:tcPr>
                <w:p w14:paraId="1F2B671D">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r>
            <w:tr w14:paraId="7944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restart"/>
                  <w:tcBorders>
                    <w:top w:val="single" w:color="auto" w:sz="4" w:space="0"/>
                    <w:left w:val="single" w:color="auto" w:sz="4" w:space="0"/>
                    <w:right w:val="single" w:color="auto" w:sz="4" w:space="0"/>
                  </w:tcBorders>
                  <w:noWrap w:val="0"/>
                  <w:vAlign w:val="center"/>
                </w:tcPr>
                <w:p w14:paraId="17A79F52">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N1榨屋居民点1</w:t>
                  </w:r>
                </w:p>
              </w:tc>
              <w:tc>
                <w:tcPr>
                  <w:tcW w:w="872" w:type="pct"/>
                  <w:tcBorders>
                    <w:top w:val="single" w:color="auto" w:sz="4" w:space="0"/>
                    <w:left w:val="single" w:color="auto" w:sz="4" w:space="0"/>
                    <w:right w:val="single" w:color="auto" w:sz="4" w:space="0"/>
                  </w:tcBorders>
                  <w:noWrap w:val="0"/>
                  <w:vAlign w:val="center"/>
                </w:tcPr>
                <w:p w14:paraId="6863FF2F">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right w:val="single" w:color="auto" w:sz="4" w:space="0"/>
                  </w:tcBorders>
                  <w:noWrap w:val="0"/>
                  <w:vAlign w:val="center"/>
                </w:tcPr>
                <w:p w14:paraId="7A813535">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51</w:t>
                  </w:r>
                </w:p>
              </w:tc>
              <w:tc>
                <w:tcPr>
                  <w:tcW w:w="413" w:type="pct"/>
                  <w:tcBorders>
                    <w:top w:val="single" w:color="auto" w:sz="4" w:space="0"/>
                    <w:left w:val="single" w:color="auto" w:sz="4" w:space="0"/>
                    <w:right w:val="single" w:color="auto" w:sz="4" w:space="0"/>
                  </w:tcBorders>
                  <w:noWrap w:val="0"/>
                  <w:vAlign w:val="center"/>
                </w:tcPr>
                <w:p w14:paraId="6D93412C">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45</w:t>
                  </w:r>
                </w:p>
              </w:tc>
              <w:tc>
                <w:tcPr>
                  <w:tcW w:w="1287" w:type="pct"/>
                  <w:vMerge w:val="restart"/>
                  <w:tcBorders>
                    <w:top w:val="single" w:color="auto" w:sz="4" w:space="0"/>
                    <w:left w:val="single" w:color="auto" w:sz="4" w:space="0"/>
                    <w:right w:val="single" w:color="auto" w:sz="4" w:space="0"/>
                  </w:tcBorders>
                  <w:noWrap w:val="0"/>
                  <w:vAlign w:val="center"/>
                </w:tcPr>
                <w:p w14:paraId="2F56643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昼间：</w:t>
                  </w:r>
                  <w:r>
                    <w:rPr>
                      <w:rFonts w:hint="default" w:ascii="Times New Roman" w:hAnsi="Times New Roman" w:cs="Times New Roman"/>
                      <w:color w:val="000000"/>
                      <w:szCs w:val="21"/>
                      <w:lang w:val="en-US" w:eastAsia="zh-CN"/>
                    </w:rPr>
                    <w:t>70</w:t>
                  </w:r>
                </w:p>
                <w:p w14:paraId="5B6140E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夜间：5</w:t>
                  </w:r>
                  <w:r>
                    <w:rPr>
                      <w:rFonts w:hint="default" w:ascii="Times New Roman" w:hAnsi="Times New Roman" w:cs="Times New Roman"/>
                      <w:color w:val="000000"/>
                      <w:szCs w:val="21"/>
                      <w:lang w:val="en-US" w:eastAsia="zh-CN"/>
                    </w:rPr>
                    <w:t>5</w:t>
                  </w:r>
                </w:p>
              </w:tc>
              <w:tc>
                <w:tcPr>
                  <w:tcW w:w="683" w:type="pct"/>
                  <w:vMerge w:val="restart"/>
                  <w:tcBorders>
                    <w:top w:val="single" w:color="auto" w:sz="4" w:space="0"/>
                    <w:left w:val="single" w:color="auto" w:sz="4" w:space="0"/>
                    <w:right w:val="single" w:color="auto" w:sz="4" w:space="0"/>
                  </w:tcBorders>
                  <w:noWrap w:val="0"/>
                  <w:vAlign w:val="center"/>
                </w:tcPr>
                <w:p w14:paraId="774F4F58">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达标</w:t>
                  </w:r>
                </w:p>
              </w:tc>
            </w:tr>
            <w:tr w14:paraId="5159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continue"/>
                  <w:tcBorders>
                    <w:top w:val="single" w:color="auto" w:sz="4" w:space="0"/>
                    <w:left w:val="single" w:color="auto" w:sz="4" w:space="0"/>
                    <w:bottom w:val="single" w:color="auto" w:sz="4" w:space="0"/>
                    <w:right w:val="single" w:color="auto" w:sz="4" w:space="0"/>
                  </w:tcBorders>
                  <w:noWrap w:val="0"/>
                  <w:vAlign w:val="center"/>
                </w:tcPr>
                <w:p w14:paraId="7073C1AD">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872" w:type="pct"/>
                  <w:tcBorders>
                    <w:top w:val="single" w:color="auto" w:sz="4" w:space="0"/>
                    <w:left w:val="single" w:color="auto" w:sz="4" w:space="0"/>
                    <w:right w:val="single" w:color="auto" w:sz="4" w:space="0"/>
                  </w:tcBorders>
                  <w:noWrap w:val="0"/>
                  <w:vAlign w:val="center"/>
                </w:tcPr>
                <w:p w14:paraId="1EB2F112">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2025.5.31</w:t>
                  </w:r>
                </w:p>
              </w:tc>
              <w:tc>
                <w:tcPr>
                  <w:tcW w:w="51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0884ED">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52</w:t>
                  </w:r>
                </w:p>
              </w:tc>
              <w:tc>
                <w:tcPr>
                  <w:tcW w:w="4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BBAAB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45</w:t>
                  </w:r>
                </w:p>
              </w:tc>
              <w:tc>
                <w:tcPr>
                  <w:tcW w:w="1287" w:type="pct"/>
                  <w:vMerge w:val="continue"/>
                  <w:tcBorders>
                    <w:top w:val="single" w:color="auto" w:sz="4" w:space="0"/>
                    <w:left w:val="single" w:color="auto" w:sz="4" w:space="0"/>
                    <w:bottom w:val="single" w:color="auto" w:sz="4" w:space="0"/>
                    <w:right w:val="single" w:color="auto" w:sz="4" w:space="0"/>
                  </w:tcBorders>
                  <w:noWrap w:val="0"/>
                  <w:vAlign w:val="center"/>
                </w:tcPr>
                <w:p w14:paraId="663FB0DB">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6264089C">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r w14:paraId="7073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restart"/>
                  <w:tcBorders>
                    <w:top w:val="single" w:color="auto" w:sz="4" w:space="0"/>
                    <w:left w:val="single" w:color="auto" w:sz="4" w:space="0"/>
                    <w:right w:val="single" w:color="auto" w:sz="4" w:space="0"/>
                  </w:tcBorders>
                  <w:noWrap w:val="0"/>
                  <w:vAlign w:val="center"/>
                </w:tcPr>
                <w:p w14:paraId="08933078">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r>
                    <w:rPr>
                      <w:rFonts w:hint="default" w:ascii="Times New Roman" w:hAnsi="Times New Roman" w:cs="Times New Roman"/>
                      <w:szCs w:val="21"/>
                    </w:rPr>
                    <w:t>N</w:t>
                  </w:r>
                  <w:r>
                    <w:rPr>
                      <w:rFonts w:hint="default" w:ascii="Times New Roman" w:hAnsi="Times New Roman" w:cs="Times New Roman"/>
                      <w:szCs w:val="21"/>
                      <w:lang w:val="en-US" w:eastAsia="zh-CN"/>
                    </w:rPr>
                    <w:t>2榨屋居民点2</w:t>
                  </w:r>
                </w:p>
              </w:tc>
              <w:tc>
                <w:tcPr>
                  <w:tcW w:w="872" w:type="pct"/>
                  <w:tcBorders>
                    <w:top w:val="single" w:color="auto" w:sz="4" w:space="0"/>
                    <w:left w:val="single" w:color="auto" w:sz="4" w:space="0"/>
                    <w:right w:val="single" w:color="auto" w:sz="4" w:space="0"/>
                  </w:tcBorders>
                  <w:noWrap w:val="0"/>
                  <w:vAlign w:val="center"/>
                </w:tcPr>
                <w:p w14:paraId="3E4ABEF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5BD4FA3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51</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433169B3">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44</w:t>
                  </w:r>
                </w:p>
              </w:tc>
              <w:tc>
                <w:tcPr>
                  <w:tcW w:w="1287" w:type="pct"/>
                  <w:vMerge w:val="restart"/>
                  <w:tcBorders>
                    <w:top w:val="single" w:color="auto" w:sz="4" w:space="0"/>
                    <w:left w:val="single" w:color="auto" w:sz="4" w:space="0"/>
                    <w:right w:val="single" w:color="auto" w:sz="4" w:space="0"/>
                  </w:tcBorders>
                  <w:noWrap w:val="0"/>
                  <w:vAlign w:val="center"/>
                </w:tcPr>
                <w:p w14:paraId="43CFDAB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昼间：60</w:t>
                  </w:r>
                </w:p>
                <w:p w14:paraId="442E9FB4">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夜间：50</w:t>
                  </w:r>
                </w:p>
              </w:tc>
              <w:tc>
                <w:tcPr>
                  <w:tcW w:w="683" w:type="pct"/>
                  <w:vMerge w:val="restart"/>
                  <w:tcBorders>
                    <w:top w:val="single" w:color="auto" w:sz="4" w:space="0"/>
                    <w:left w:val="single" w:color="auto" w:sz="4" w:space="0"/>
                    <w:right w:val="single" w:color="auto" w:sz="4" w:space="0"/>
                  </w:tcBorders>
                  <w:noWrap w:val="0"/>
                  <w:vAlign w:val="center"/>
                </w:tcPr>
                <w:p w14:paraId="2AE12FE5">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达标</w:t>
                  </w:r>
                </w:p>
              </w:tc>
            </w:tr>
            <w:tr w14:paraId="4933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continue"/>
                  <w:tcBorders>
                    <w:top w:val="single" w:color="auto" w:sz="4" w:space="0"/>
                    <w:left w:val="single" w:color="auto" w:sz="4" w:space="0"/>
                    <w:bottom w:val="single" w:color="auto" w:sz="4" w:space="0"/>
                    <w:right w:val="single" w:color="auto" w:sz="4" w:space="0"/>
                  </w:tcBorders>
                  <w:noWrap w:val="0"/>
                  <w:vAlign w:val="center"/>
                </w:tcPr>
                <w:p w14:paraId="630B1BF3">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p>
              </w:tc>
              <w:tc>
                <w:tcPr>
                  <w:tcW w:w="872" w:type="pct"/>
                  <w:tcBorders>
                    <w:top w:val="single" w:color="auto" w:sz="4" w:space="0"/>
                    <w:left w:val="single" w:color="auto" w:sz="4" w:space="0"/>
                    <w:right w:val="single" w:color="auto" w:sz="4" w:space="0"/>
                  </w:tcBorders>
                  <w:noWrap w:val="0"/>
                  <w:vAlign w:val="center"/>
                </w:tcPr>
                <w:p w14:paraId="7E931170">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2025.5.31</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7D58FC7A">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51</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6BF9A109">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43</w:t>
                  </w:r>
                </w:p>
              </w:tc>
              <w:tc>
                <w:tcPr>
                  <w:tcW w:w="1287" w:type="pct"/>
                  <w:vMerge w:val="continue"/>
                  <w:tcBorders>
                    <w:top w:val="single" w:color="auto" w:sz="4" w:space="0"/>
                    <w:left w:val="single" w:color="auto" w:sz="4" w:space="0"/>
                    <w:bottom w:val="single" w:color="auto" w:sz="4" w:space="0"/>
                    <w:right w:val="single" w:color="auto" w:sz="4" w:space="0"/>
                  </w:tcBorders>
                  <w:noWrap w:val="0"/>
                  <w:vAlign w:val="center"/>
                </w:tcPr>
                <w:p w14:paraId="7F5F423F">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762E2F5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r w14:paraId="652B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restart"/>
                  <w:tcBorders>
                    <w:top w:val="single" w:color="auto" w:sz="4" w:space="0"/>
                    <w:left w:val="single" w:color="auto" w:sz="4" w:space="0"/>
                    <w:right w:val="single" w:color="auto" w:sz="4" w:space="0"/>
                  </w:tcBorders>
                  <w:noWrap w:val="0"/>
                  <w:vAlign w:val="center"/>
                </w:tcPr>
                <w:p w14:paraId="35621ADE">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r>
                    <w:rPr>
                      <w:rFonts w:hint="default" w:ascii="Times New Roman" w:hAnsi="Times New Roman" w:cs="Times New Roman"/>
                      <w:szCs w:val="21"/>
                      <w:lang w:val="en-US" w:eastAsia="zh-CN"/>
                    </w:rPr>
                    <w:t>N3岳阳中心医院</w:t>
                  </w:r>
                </w:p>
              </w:tc>
              <w:tc>
                <w:tcPr>
                  <w:tcW w:w="872" w:type="pct"/>
                  <w:tcBorders>
                    <w:top w:val="single" w:color="auto" w:sz="4" w:space="0"/>
                    <w:left w:val="single" w:color="auto" w:sz="4" w:space="0"/>
                    <w:right w:val="single" w:color="auto" w:sz="4" w:space="0"/>
                  </w:tcBorders>
                  <w:noWrap w:val="0"/>
                  <w:vAlign w:val="center"/>
                </w:tcPr>
                <w:p w14:paraId="505D5C5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7F9A3745">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46</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01055378">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40</w:t>
                  </w:r>
                </w:p>
              </w:tc>
              <w:tc>
                <w:tcPr>
                  <w:tcW w:w="1287" w:type="pct"/>
                  <w:vMerge w:val="restart"/>
                  <w:tcBorders>
                    <w:top w:val="single" w:color="auto" w:sz="4" w:space="0"/>
                    <w:left w:val="single" w:color="auto" w:sz="4" w:space="0"/>
                    <w:right w:val="single" w:color="auto" w:sz="4" w:space="0"/>
                  </w:tcBorders>
                  <w:noWrap w:val="0"/>
                  <w:vAlign w:val="center"/>
                </w:tcPr>
                <w:p w14:paraId="5E0DC018">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昼间：</w:t>
                  </w:r>
                  <w:r>
                    <w:rPr>
                      <w:rFonts w:hint="default" w:ascii="Times New Roman" w:hAnsi="Times New Roman" w:cs="Times New Roman"/>
                      <w:color w:val="000000"/>
                      <w:szCs w:val="21"/>
                      <w:lang w:val="en-US" w:eastAsia="zh-CN"/>
                    </w:rPr>
                    <w:t>70</w:t>
                  </w:r>
                </w:p>
                <w:p w14:paraId="52695697">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夜间：5</w:t>
                  </w:r>
                  <w:r>
                    <w:rPr>
                      <w:rFonts w:hint="default" w:ascii="Times New Roman" w:hAnsi="Times New Roman" w:cs="Times New Roman"/>
                      <w:color w:val="000000"/>
                      <w:szCs w:val="21"/>
                      <w:lang w:val="en-US" w:eastAsia="zh-CN"/>
                    </w:rPr>
                    <w:t>5</w:t>
                  </w:r>
                </w:p>
              </w:tc>
              <w:tc>
                <w:tcPr>
                  <w:tcW w:w="683" w:type="pct"/>
                  <w:vMerge w:val="restart"/>
                  <w:tcBorders>
                    <w:top w:val="single" w:color="auto" w:sz="4" w:space="0"/>
                    <w:left w:val="single" w:color="auto" w:sz="4" w:space="0"/>
                    <w:right w:val="single" w:color="auto" w:sz="4" w:space="0"/>
                  </w:tcBorders>
                  <w:noWrap w:val="0"/>
                  <w:vAlign w:val="center"/>
                </w:tcPr>
                <w:p w14:paraId="53325DA6">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达标</w:t>
                  </w:r>
                </w:p>
              </w:tc>
            </w:tr>
            <w:tr w14:paraId="75E4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continue"/>
                  <w:tcBorders>
                    <w:top w:val="single" w:color="auto" w:sz="4" w:space="0"/>
                    <w:left w:val="single" w:color="auto" w:sz="4" w:space="0"/>
                    <w:bottom w:val="single" w:color="auto" w:sz="4" w:space="0"/>
                    <w:right w:val="single" w:color="auto" w:sz="4" w:space="0"/>
                  </w:tcBorders>
                  <w:noWrap w:val="0"/>
                  <w:vAlign w:val="center"/>
                </w:tcPr>
                <w:p w14:paraId="7CA8DEAE">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p>
              </w:tc>
              <w:tc>
                <w:tcPr>
                  <w:tcW w:w="872" w:type="pct"/>
                  <w:tcBorders>
                    <w:top w:val="single" w:color="auto" w:sz="4" w:space="0"/>
                    <w:left w:val="single" w:color="auto" w:sz="4" w:space="0"/>
                    <w:right w:val="single" w:color="auto" w:sz="4" w:space="0"/>
                  </w:tcBorders>
                  <w:noWrap w:val="0"/>
                  <w:vAlign w:val="center"/>
                </w:tcPr>
                <w:p w14:paraId="2073899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2025.5.31</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49197AA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47</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505005DE">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41</w:t>
                  </w:r>
                </w:p>
              </w:tc>
              <w:tc>
                <w:tcPr>
                  <w:tcW w:w="1287" w:type="pct"/>
                  <w:vMerge w:val="continue"/>
                  <w:tcBorders>
                    <w:top w:val="single" w:color="auto" w:sz="4" w:space="0"/>
                    <w:left w:val="single" w:color="auto" w:sz="4" w:space="0"/>
                    <w:bottom w:val="single" w:color="auto" w:sz="4" w:space="0"/>
                    <w:right w:val="single" w:color="auto" w:sz="4" w:space="0"/>
                  </w:tcBorders>
                  <w:noWrap w:val="0"/>
                  <w:vAlign w:val="center"/>
                </w:tcPr>
                <w:p w14:paraId="248BC1F1">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253D746F">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r w14:paraId="28AA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restart"/>
                  <w:tcBorders>
                    <w:top w:val="single" w:color="auto" w:sz="4" w:space="0"/>
                    <w:left w:val="single" w:color="auto" w:sz="4" w:space="0"/>
                    <w:right w:val="single" w:color="auto" w:sz="4" w:space="0"/>
                  </w:tcBorders>
                  <w:noWrap w:val="0"/>
                  <w:vAlign w:val="center"/>
                </w:tcPr>
                <w:p w14:paraId="4228A0DD">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r>
                    <w:rPr>
                      <w:rFonts w:hint="default" w:ascii="Times New Roman" w:hAnsi="Times New Roman" w:cs="Times New Roman"/>
                      <w:szCs w:val="21"/>
                      <w:lang w:val="en-US" w:eastAsia="zh-CN"/>
                    </w:rPr>
                    <w:t>N4陈家垄居民点1</w:t>
                  </w:r>
                </w:p>
              </w:tc>
              <w:tc>
                <w:tcPr>
                  <w:tcW w:w="872" w:type="pct"/>
                  <w:tcBorders>
                    <w:top w:val="single" w:color="auto" w:sz="4" w:space="0"/>
                    <w:left w:val="single" w:color="auto" w:sz="4" w:space="0"/>
                    <w:right w:val="single" w:color="auto" w:sz="4" w:space="0"/>
                  </w:tcBorders>
                  <w:noWrap w:val="0"/>
                  <w:vAlign w:val="center"/>
                </w:tcPr>
                <w:p w14:paraId="319D0330">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7390475E">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49</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3A4843ED">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44</w:t>
                  </w:r>
                </w:p>
              </w:tc>
              <w:tc>
                <w:tcPr>
                  <w:tcW w:w="1287" w:type="pct"/>
                  <w:vMerge w:val="restart"/>
                  <w:tcBorders>
                    <w:top w:val="single" w:color="auto" w:sz="4" w:space="0"/>
                    <w:left w:val="single" w:color="auto" w:sz="4" w:space="0"/>
                    <w:right w:val="single" w:color="auto" w:sz="4" w:space="0"/>
                  </w:tcBorders>
                  <w:shd w:val="clear" w:color="auto" w:fill="auto"/>
                  <w:noWrap w:val="0"/>
                  <w:vAlign w:val="center"/>
                </w:tcPr>
                <w:p w14:paraId="7396A3C0">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昼间：</w:t>
                  </w:r>
                  <w:r>
                    <w:rPr>
                      <w:rFonts w:hint="default" w:ascii="Times New Roman" w:hAnsi="Times New Roman" w:cs="Times New Roman"/>
                      <w:color w:val="000000"/>
                      <w:szCs w:val="21"/>
                      <w:lang w:val="en-US" w:eastAsia="zh-CN"/>
                    </w:rPr>
                    <w:t>70</w:t>
                  </w:r>
                </w:p>
                <w:p w14:paraId="005CE519">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夜间：5</w:t>
                  </w:r>
                  <w:r>
                    <w:rPr>
                      <w:rFonts w:hint="default" w:ascii="Times New Roman" w:hAnsi="Times New Roman" w:cs="Times New Roman"/>
                      <w:color w:val="000000"/>
                      <w:szCs w:val="21"/>
                      <w:lang w:val="en-US" w:eastAsia="zh-CN"/>
                    </w:rPr>
                    <w:t>5</w:t>
                  </w:r>
                </w:p>
              </w:tc>
              <w:tc>
                <w:tcPr>
                  <w:tcW w:w="683" w:type="pct"/>
                  <w:vMerge w:val="restart"/>
                  <w:tcBorders>
                    <w:top w:val="single" w:color="auto" w:sz="4" w:space="0"/>
                    <w:left w:val="single" w:color="auto" w:sz="4" w:space="0"/>
                    <w:right w:val="single" w:color="auto" w:sz="4" w:space="0"/>
                  </w:tcBorders>
                  <w:noWrap w:val="0"/>
                  <w:vAlign w:val="center"/>
                </w:tcPr>
                <w:p w14:paraId="459181EF">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达标</w:t>
                  </w:r>
                </w:p>
              </w:tc>
            </w:tr>
            <w:tr w14:paraId="19C7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231" w:type="pct"/>
                  <w:vMerge w:val="continue"/>
                  <w:tcBorders>
                    <w:left w:val="single" w:color="auto" w:sz="4" w:space="0"/>
                    <w:bottom w:val="single" w:color="auto" w:sz="4" w:space="0"/>
                    <w:right w:val="single" w:color="auto" w:sz="4" w:space="0"/>
                  </w:tcBorders>
                  <w:noWrap w:val="0"/>
                  <w:vAlign w:val="center"/>
                </w:tcPr>
                <w:p w14:paraId="3CBF58BA">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rPr>
                  </w:pPr>
                </w:p>
              </w:tc>
              <w:tc>
                <w:tcPr>
                  <w:tcW w:w="872" w:type="pct"/>
                  <w:tcBorders>
                    <w:top w:val="single" w:color="auto" w:sz="4" w:space="0"/>
                    <w:left w:val="single" w:color="auto" w:sz="4" w:space="0"/>
                    <w:right w:val="single" w:color="auto" w:sz="4" w:space="0"/>
                  </w:tcBorders>
                  <w:noWrap w:val="0"/>
                  <w:vAlign w:val="center"/>
                </w:tcPr>
                <w:p w14:paraId="370D680F">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2025.5.31</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4E4E13EA">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49</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6257BC2A">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45</w:t>
                  </w:r>
                </w:p>
              </w:tc>
              <w:tc>
                <w:tcPr>
                  <w:tcW w:w="1287" w:type="pct"/>
                  <w:vMerge w:val="continue"/>
                  <w:tcBorders>
                    <w:left w:val="single" w:color="auto" w:sz="4" w:space="0"/>
                    <w:bottom w:val="single" w:color="auto" w:sz="4" w:space="0"/>
                    <w:right w:val="single" w:color="auto" w:sz="4" w:space="0"/>
                  </w:tcBorders>
                  <w:noWrap w:val="0"/>
                  <w:vAlign w:val="center"/>
                </w:tcPr>
                <w:p w14:paraId="219DCABD">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3E48E8C4">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r w14:paraId="4E03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restart"/>
                  <w:tcBorders>
                    <w:top w:val="single" w:color="auto" w:sz="4" w:space="0"/>
                    <w:left w:val="single" w:color="auto" w:sz="4" w:space="0"/>
                    <w:right w:val="single" w:color="auto" w:sz="4" w:space="0"/>
                  </w:tcBorders>
                  <w:noWrap w:val="0"/>
                  <w:vAlign w:val="center"/>
                </w:tcPr>
                <w:p w14:paraId="6F3F1B09">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r>
                    <w:rPr>
                      <w:rFonts w:hint="default" w:ascii="Times New Roman" w:hAnsi="Times New Roman" w:cs="Times New Roman"/>
                      <w:szCs w:val="21"/>
                      <w:lang w:val="en-US" w:eastAsia="zh-CN"/>
                    </w:rPr>
                    <w:t>N5陈家垄居民点2</w:t>
                  </w:r>
                </w:p>
              </w:tc>
              <w:tc>
                <w:tcPr>
                  <w:tcW w:w="872" w:type="pct"/>
                  <w:tcBorders>
                    <w:top w:val="single" w:color="auto" w:sz="4" w:space="0"/>
                    <w:left w:val="single" w:color="auto" w:sz="4" w:space="0"/>
                    <w:right w:val="single" w:color="auto" w:sz="4" w:space="0"/>
                  </w:tcBorders>
                  <w:noWrap w:val="0"/>
                  <w:vAlign w:val="center"/>
                </w:tcPr>
                <w:p w14:paraId="2B9DD9DF">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297F1F02">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48</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7FA9BF13">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45</w:t>
                  </w:r>
                </w:p>
              </w:tc>
              <w:tc>
                <w:tcPr>
                  <w:tcW w:w="1287" w:type="pct"/>
                  <w:vMerge w:val="restart"/>
                  <w:tcBorders>
                    <w:top w:val="single" w:color="auto" w:sz="4" w:space="0"/>
                    <w:left w:val="single" w:color="auto" w:sz="4" w:space="0"/>
                    <w:right w:val="single" w:color="auto" w:sz="4" w:space="0"/>
                  </w:tcBorders>
                  <w:shd w:val="clear" w:color="auto" w:fill="auto"/>
                  <w:noWrap w:val="0"/>
                  <w:vAlign w:val="center"/>
                </w:tcPr>
                <w:p w14:paraId="1E2F85F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昼间：60</w:t>
                  </w:r>
                </w:p>
                <w:p w14:paraId="078002D9">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夜间：50</w:t>
                  </w:r>
                </w:p>
              </w:tc>
              <w:tc>
                <w:tcPr>
                  <w:tcW w:w="683" w:type="pct"/>
                  <w:vMerge w:val="restart"/>
                  <w:tcBorders>
                    <w:top w:val="single" w:color="auto" w:sz="4" w:space="0"/>
                    <w:left w:val="single" w:color="auto" w:sz="4" w:space="0"/>
                    <w:right w:val="single" w:color="auto" w:sz="4" w:space="0"/>
                  </w:tcBorders>
                  <w:noWrap w:val="0"/>
                  <w:vAlign w:val="center"/>
                </w:tcPr>
                <w:p w14:paraId="2D57E32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达标</w:t>
                  </w:r>
                </w:p>
              </w:tc>
            </w:tr>
            <w:tr w14:paraId="7BE0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continue"/>
                  <w:tcBorders>
                    <w:left w:val="single" w:color="auto" w:sz="4" w:space="0"/>
                    <w:bottom w:val="single" w:color="auto" w:sz="4" w:space="0"/>
                    <w:right w:val="single" w:color="auto" w:sz="4" w:space="0"/>
                  </w:tcBorders>
                  <w:noWrap w:val="0"/>
                  <w:vAlign w:val="center"/>
                </w:tcPr>
                <w:p w14:paraId="05B906F5">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rPr>
                  </w:pPr>
                </w:p>
              </w:tc>
              <w:tc>
                <w:tcPr>
                  <w:tcW w:w="872" w:type="pct"/>
                  <w:tcBorders>
                    <w:top w:val="single" w:color="auto" w:sz="4" w:space="0"/>
                    <w:left w:val="single" w:color="auto" w:sz="4" w:space="0"/>
                    <w:right w:val="single" w:color="auto" w:sz="4" w:space="0"/>
                  </w:tcBorders>
                  <w:noWrap w:val="0"/>
                  <w:vAlign w:val="center"/>
                </w:tcPr>
                <w:p w14:paraId="6D938F12">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2025.5.31</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2E2EFD1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48</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407DA8E6">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45</w:t>
                  </w:r>
                </w:p>
              </w:tc>
              <w:tc>
                <w:tcPr>
                  <w:tcW w:w="1287" w:type="pct"/>
                  <w:vMerge w:val="continue"/>
                  <w:tcBorders>
                    <w:left w:val="single" w:color="auto" w:sz="4" w:space="0"/>
                    <w:bottom w:val="single" w:color="auto" w:sz="4" w:space="0"/>
                    <w:right w:val="single" w:color="auto" w:sz="4" w:space="0"/>
                  </w:tcBorders>
                  <w:noWrap w:val="0"/>
                  <w:vAlign w:val="center"/>
                </w:tcPr>
                <w:p w14:paraId="3565538E">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4D0FFB52">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r w14:paraId="1CD6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restart"/>
                  <w:tcBorders>
                    <w:top w:val="single" w:color="auto" w:sz="4" w:space="0"/>
                    <w:left w:val="single" w:color="auto" w:sz="4" w:space="0"/>
                    <w:right w:val="single" w:color="auto" w:sz="4" w:space="0"/>
                  </w:tcBorders>
                  <w:noWrap w:val="0"/>
                  <w:vAlign w:val="center"/>
                </w:tcPr>
                <w:p w14:paraId="1C344897">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r>
                    <w:rPr>
                      <w:rFonts w:hint="default" w:ascii="Times New Roman" w:hAnsi="Times New Roman" w:cs="Times New Roman"/>
                      <w:szCs w:val="21"/>
                      <w:lang w:val="en-US" w:eastAsia="zh-CN"/>
                    </w:rPr>
                    <w:t>N6赶山片区全民</w:t>
                  </w:r>
                  <w:r>
                    <w:rPr>
                      <w:rFonts w:hint="eastAsia" w:ascii="Times New Roman" w:hAnsi="Times New Roman" w:cs="Times New Roman"/>
                      <w:szCs w:val="21"/>
                      <w:lang w:val="en-US" w:eastAsia="zh-CN"/>
                    </w:rPr>
                    <w:t>健身</w:t>
                  </w:r>
                  <w:r>
                    <w:rPr>
                      <w:rFonts w:hint="default" w:ascii="Times New Roman" w:hAnsi="Times New Roman" w:cs="Times New Roman"/>
                      <w:szCs w:val="21"/>
                      <w:lang w:val="en-US" w:eastAsia="zh-CN"/>
                    </w:rPr>
                    <w:t>中心1</w:t>
                  </w:r>
                </w:p>
              </w:tc>
              <w:tc>
                <w:tcPr>
                  <w:tcW w:w="872" w:type="pct"/>
                  <w:tcBorders>
                    <w:top w:val="single" w:color="auto" w:sz="4" w:space="0"/>
                    <w:left w:val="single" w:color="auto" w:sz="4" w:space="0"/>
                    <w:right w:val="single" w:color="auto" w:sz="4" w:space="0"/>
                  </w:tcBorders>
                  <w:noWrap w:val="0"/>
                  <w:vAlign w:val="center"/>
                </w:tcPr>
                <w:p w14:paraId="3A84E868">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4A1BE715">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51</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223017BD">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44</w:t>
                  </w:r>
                </w:p>
              </w:tc>
              <w:tc>
                <w:tcPr>
                  <w:tcW w:w="1287" w:type="pct"/>
                  <w:vMerge w:val="restart"/>
                  <w:tcBorders>
                    <w:top w:val="single" w:color="auto" w:sz="4" w:space="0"/>
                    <w:left w:val="single" w:color="auto" w:sz="4" w:space="0"/>
                    <w:right w:val="single" w:color="auto" w:sz="4" w:space="0"/>
                  </w:tcBorders>
                  <w:shd w:val="clear" w:color="auto" w:fill="auto"/>
                  <w:noWrap w:val="0"/>
                  <w:vAlign w:val="center"/>
                </w:tcPr>
                <w:p w14:paraId="7960ABE5">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昼间：</w:t>
                  </w:r>
                  <w:r>
                    <w:rPr>
                      <w:rFonts w:hint="default" w:ascii="Times New Roman" w:hAnsi="Times New Roman" w:cs="Times New Roman"/>
                      <w:color w:val="000000"/>
                      <w:szCs w:val="21"/>
                      <w:lang w:val="en-US" w:eastAsia="zh-CN"/>
                    </w:rPr>
                    <w:t>70</w:t>
                  </w:r>
                </w:p>
                <w:p w14:paraId="6DEB3ECA">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夜间：5</w:t>
                  </w:r>
                  <w:r>
                    <w:rPr>
                      <w:rFonts w:hint="default" w:ascii="Times New Roman" w:hAnsi="Times New Roman" w:cs="Times New Roman"/>
                      <w:color w:val="000000"/>
                      <w:szCs w:val="21"/>
                      <w:lang w:val="en-US" w:eastAsia="zh-CN"/>
                    </w:rPr>
                    <w:t>5</w:t>
                  </w:r>
                </w:p>
              </w:tc>
              <w:tc>
                <w:tcPr>
                  <w:tcW w:w="683" w:type="pct"/>
                  <w:vMerge w:val="restart"/>
                  <w:tcBorders>
                    <w:top w:val="single" w:color="auto" w:sz="4" w:space="0"/>
                    <w:left w:val="single" w:color="auto" w:sz="4" w:space="0"/>
                    <w:right w:val="single" w:color="auto" w:sz="4" w:space="0"/>
                  </w:tcBorders>
                  <w:noWrap w:val="0"/>
                  <w:vAlign w:val="center"/>
                </w:tcPr>
                <w:p w14:paraId="0AC4C69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达标</w:t>
                  </w:r>
                </w:p>
              </w:tc>
            </w:tr>
            <w:tr w14:paraId="2D87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231" w:type="pct"/>
                  <w:vMerge w:val="continue"/>
                  <w:tcBorders>
                    <w:left w:val="single" w:color="auto" w:sz="4" w:space="0"/>
                    <w:bottom w:val="single" w:color="auto" w:sz="4" w:space="0"/>
                    <w:right w:val="single" w:color="auto" w:sz="4" w:space="0"/>
                  </w:tcBorders>
                  <w:noWrap w:val="0"/>
                  <w:vAlign w:val="center"/>
                </w:tcPr>
                <w:p w14:paraId="0C77002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rPr>
                  </w:pPr>
                </w:p>
              </w:tc>
              <w:tc>
                <w:tcPr>
                  <w:tcW w:w="872" w:type="pct"/>
                  <w:tcBorders>
                    <w:top w:val="single" w:color="auto" w:sz="4" w:space="0"/>
                    <w:left w:val="single" w:color="auto" w:sz="4" w:space="0"/>
                    <w:right w:val="single" w:color="auto" w:sz="4" w:space="0"/>
                  </w:tcBorders>
                  <w:noWrap w:val="0"/>
                  <w:vAlign w:val="center"/>
                </w:tcPr>
                <w:p w14:paraId="76E9F1CA">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2025.5.31</w:t>
                  </w:r>
                </w:p>
              </w:tc>
              <w:tc>
                <w:tcPr>
                  <w:tcW w:w="511" w:type="pct"/>
                  <w:tcBorders>
                    <w:top w:val="single" w:color="auto" w:sz="4" w:space="0"/>
                    <w:left w:val="single" w:color="auto" w:sz="4" w:space="0"/>
                    <w:bottom w:val="single" w:color="auto" w:sz="4" w:space="0"/>
                    <w:right w:val="single" w:color="auto" w:sz="4" w:space="0"/>
                  </w:tcBorders>
                  <w:noWrap w:val="0"/>
                  <w:vAlign w:val="center"/>
                </w:tcPr>
                <w:p w14:paraId="38BE2876">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52</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262D81F9">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45</w:t>
                  </w:r>
                </w:p>
              </w:tc>
              <w:tc>
                <w:tcPr>
                  <w:tcW w:w="1287" w:type="pct"/>
                  <w:vMerge w:val="continue"/>
                  <w:tcBorders>
                    <w:left w:val="single" w:color="auto" w:sz="4" w:space="0"/>
                    <w:bottom w:val="single" w:color="auto" w:sz="4" w:space="0"/>
                    <w:right w:val="single" w:color="auto" w:sz="4" w:space="0"/>
                  </w:tcBorders>
                  <w:noWrap w:val="0"/>
                  <w:vAlign w:val="center"/>
                </w:tcPr>
                <w:p w14:paraId="568BED07">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597FFC29">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r w14:paraId="6DDA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231" w:type="pct"/>
                  <w:vMerge w:val="restart"/>
                  <w:tcBorders>
                    <w:top w:val="single" w:color="auto" w:sz="4" w:space="0"/>
                    <w:left w:val="single" w:color="auto" w:sz="4" w:space="0"/>
                    <w:right w:val="single" w:color="auto" w:sz="4" w:space="0"/>
                  </w:tcBorders>
                  <w:noWrap w:val="0"/>
                  <w:vAlign w:val="center"/>
                </w:tcPr>
                <w:p w14:paraId="481F8650">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lang w:val="zh-CN" w:bidi="zh-CN"/>
                    </w:rPr>
                  </w:pPr>
                  <w:r>
                    <w:rPr>
                      <w:rFonts w:hint="default" w:ascii="Times New Roman" w:hAnsi="Times New Roman" w:cs="Times New Roman"/>
                      <w:szCs w:val="21"/>
                      <w:lang w:val="en-US" w:eastAsia="zh-CN"/>
                    </w:rPr>
                    <w:t>N7赶山片区全民</w:t>
                  </w:r>
                  <w:r>
                    <w:rPr>
                      <w:rFonts w:hint="eastAsia" w:ascii="Times New Roman" w:hAnsi="Times New Roman" w:cs="Times New Roman"/>
                      <w:szCs w:val="21"/>
                      <w:lang w:val="en-US" w:eastAsia="zh-CN"/>
                    </w:rPr>
                    <w:t>健身</w:t>
                  </w:r>
                  <w:r>
                    <w:rPr>
                      <w:rFonts w:hint="default" w:ascii="Times New Roman" w:hAnsi="Times New Roman" w:cs="Times New Roman"/>
                      <w:szCs w:val="21"/>
                      <w:lang w:val="en-US" w:eastAsia="zh-CN"/>
                    </w:rPr>
                    <w:t>中心2</w:t>
                  </w:r>
                </w:p>
              </w:tc>
              <w:tc>
                <w:tcPr>
                  <w:tcW w:w="872" w:type="pct"/>
                  <w:tcBorders>
                    <w:left w:val="single" w:color="auto" w:sz="4" w:space="0"/>
                    <w:right w:val="single" w:color="auto" w:sz="4" w:space="0"/>
                  </w:tcBorders>
                  <w:noWrap w:val="0"/>
                  <w:vAlign w:val="center"/>
                </w:tcPr>
                <w:p w14:paraId="4A0462BB">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2025.5.30</w:t>
                  </w:r>
                </w:p>
              </w:tc>
              <w:tc>
                <w:tcPr>
                  <w:tcW w:w="511" w:type="pct"/>
                  <w:tcBorders>
                    <w:top w:val="single" w:color="auto" w:sz="4" w:space="0"/>
                    <w:left w:val="single" w:color="auto" w:sz="4" w:space="0"/>
                    <w:right w:val="single" w:color="auto" w:sz="4" w:space="0"/>
                  </w:tcBorders>
                  <w:noWrap w:val="0"/>
                  <w:vAlign w:val="center"/>
                </w:tcPr>
                <w:p w14:paraId="30ED13FE">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48</w:t>
                  </w:r>
                </w:p>
              </w:tc>
              <w:tc>
                <w:tcPr>
                  <w:tcW w:w="413" w:type="pct"/>
                  <w:tcBorders>
                    <w:top w:val="single" w:color="auto" w:sz="4" w:space="0"/>
                    <w:left w:val="single" w:color="auto" w:sz="4" w:space="0"/>
                    <w:right w:val="single" w:color="auto" w:sz="4" w:space="0"/>
                  </w:tcBorders>
                  <w:noWrap w:val="0"/>
                  <w:vAlign w:val="center"/>
                </w:tcPr>
                <w:p w14:paraId="31EEA432">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43</w:t>
                  </w:r>
                </w:p>
              </w:tc>
              <w:tc>
                <w:tcPr>
                  <w:tcW w:w="1287" w:type="pct"/>
                  <w:vMerge w:val="restart"/>
                  <w:tcBorders>
                    <w:top w:val="nil"/>
                    <w:left w:val="single" w:color="auto" w:sz="4" w:space="0"/>
                    <w:right w:val="single" w:color="auto" w:sz="4" w:space="0"/>
                  </w:tcBorders>
                  <w:shd w:val="clear" w:color="auto" w:fill="auto"/>
                  <w:noWrap w:val="0"/>
                  <w:vAlign w:val="center"/>
                </w:tcPr>
                <w:p w14:paraId="6C44FF8D">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昼间：60</w:t>
                  </w:r>
                </w:p>
                <w:p w14:paraId="79574CB2">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夜间：50</w:t>
                  </w:r>
                </w:p>
              </w:tc>
              <w:tc>
                <w:tcPr>
                  <w:tcW w:w="683" w:type="pct"/>
                  <w:vMerge w:val="restart"/>
                  <w:tcBorders>
                    <w:left w:val="single" w:color="auto" w:sz="4" w:space="0"/>
                    <w:right w:val="single" w:color="auto" w:sz="4" w:space="0"/>
                  </w:tcBorders>
                  <w:noWrap w:val="0"/>
                  <w:vAlign w:val="center"/>
                </w:tcPr>
                <w:p w14:paraId="6FBF1C58">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达标</w:t>
                  </w:r>
                </w:p>
              </w:tc>
            </w:tr>
            <w:tr w14:paraId="7F46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31" w:type="pct"/>
                  <w:vMerge w:val="continue"/>
                  <w:tcBorders>
                    <w:left w:val="single" w:color="auto" w:sz="4" w:space="0"/>
                    <w:bottom w:val="single" w:color="auto" w:sz="4" w:space="0"/>
                    <w:right w:val="single" w:color="auto" w:sz="4" w:space="0"/>
                  </w:tcBorders>
                  <w:noWrap w:val="0"/>
                  <w:vAlign w:val="center"/>
                </w:tcPr>
                <w:p w14:paraId="226DFB67">
                  <w:pPr>
                    <w:keepNext w:val="0"/>
                    <w:keepLines w:val="0"/>
                    <w:pageBreakBefore w:val="0"/>
                    <w:kinsoku/>
                    <w:wordWrap/>
                    <w:overflowPunct/>
                    <w:topLinePunct w:val="0"/>
                    <w:autoSpaceDE/>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72" w:type="pct"/>
                  <w:tcBorders>
                    <w:left w:val="single" w:color="auto" w:sz="4" w:space="0"/>
                    <w:right w:val="single" w:color="auto" w:sz="4" w:space="0"/>
                  </w:tcBorders>
                  <w:noWrap w:val="0"/>
                  <w:vAlign w:val="center"/>
                </w:tcPr>
                <w:p w14:paraId="07AAF22D">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2025.5.31</w:t>
                  </w:r>
                </w:p>
              </w:tc>
              <w:tc>
                <w:tcPr>
                  <w:tcW w:w="511" w:type="pct"/>
                  <w:tcBorders>
                    <w:left w:val="single" w:color="auto" w:sz="4" w:space="0"/>
                    <w:bottom w:val="single" w:color="auto" w:sz="4" w:space="0"/>
                    <w:right w:val="single" w:color="auto" w:sz="4" w:space="0"/>
                  </w:tcBorders>
                  <w:noWrap w:val="0"/>
                  <w:vAlign w:val="center"/>
                </w:tcPr>
                <w:p w14:paraId="36E2A68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48</w:t>
                  </w:r>
                </w:p>
              </w:tc>
              <w:tc>
                <w:tcPr>
                  <w:tcW w:w="413" w:type="pct"/>
                  <w:tcBorders>
                    <w:left w:val="single" w:color="auto" w:sz="4" w:space="0"/>
                    <w:bottom w:val="single" w:color="auto" w:sz="4" w:space="0"/>
                    <w:right w:val="single" w:color="auto" w:sz="4" w:space="0"/>
                  </w:tcBorders>
                  <w:noWrap w:val="0"/>
                  <w:vAlign w:val="center"/>
                </w:tcPr>
                <w:p w14:paraId="186C8741">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43</w:t>
                  </w:r>
                </w:p>
              </w:tc>
              <w:tc>
                <w:tcPr>
                  <w:tcW w:w="1287" w:type="pct"/>
                  <w:vMerge w:val="continue"/>
                  <w:tcBorders>
                    <w:left w:val="single" w:color="auto" w:sz="4" w:space="0"/>
                    <w:right w:val="single" w:color="auto" w:sz="4" w:space="0"/>
                  </w:tcBorders>
                  <w:noWrap w:val="0"/>
                  <w:vAlign w:val="center"/>
                </w:tcPr>
                <w:p w14:paraId="20AAF148">
                  <w:pPr>
                    <w:keepNext w:val="0"/>
                    <w:keepLines w:val="0"/>
                    <w:pageBreakBefore w:val="0"/>
                    <w:widowControl/>
                    <w:kinsoku/>
                    <w:wordWrap/>
                    <w:overflowPunct/>
                    <w:topLinePunct w:val="0"/>
                    <w:autoSpaceDE/>
                    <w:bidi w:val="0"/>
                    <w:adjustRightInd/>
                    <w:snapToGrid/>
                    <w:spacing w:line="240" w:lineRule="auto"/>
                    <w:jc w:val="center"/>
                    <w:textAlignment w:val="auto"/>
                    <w:rPr>
                      <w:rFonts w:hint="default" w:ascii="Times New Roman" w:hAnsi="Times New Roman" w:cs="Times New Roman"/>
                      <w:color w:val="000000"/>
                      <w:szCs w:val="21"/>
                    </w:rPr>
                  </w:pPr>
                </w:p>
              </w:tc>
              <w:tc>
                <w:tcPr>
                  <w:tcW w:w="683" w:type="pct"/>
                  <w:vMerge w:val="continue"/>
                  <w:tcBorders>
                    <w:left w:val="single" w:color="auto" w:sz="4" w:space="0"/>
                    <w:right w:val="single" w:color="auto" w:sz="4" w:space="0"/>
                  </w:tcBorders>
                  <w:noWrap w:val="0"/>
                  <w:vAlign w:val="center"/>
                </w:tcPr>
                <w:p w14:paraId="689839B8">
                  <w:pPr>
                    <w:keepNext w:val="0"/>
                    <w:keepLines w:val="0"/>
                    <w:pageBreakBefore w:val="0"/>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000000"/>
                      <w:szCs w:val="21"/>
                    </w:rPr>
                  </w:pPr>
                </w:p>
              </w:tc>
            </w:tr>
          </w:tbl>
          <w:p w14:paraId="2151820A">
            <w:pPr>
              <w:spacing w:before="120" w:beforeLines="5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szCs w:val="24"/>
              </w:rPr>
              <w:t>由上表可知：项目</w:t>
            </w:r>
            <w:r>
              <w:rPr>
                <w:rFonts w:hint="default" w:ascii="Times New Roman" w:hAnsi="Times New Roman" w:cs="Times New Roman"/>
                <w:sz w:val="24"/>
                <w:szCs w:val="24"/>
                <w:lang w:eastAsia="zh-CN"/>
              </w:rPr>
              <w:t>周边敏感点</w:t>
            </w:r>
            <w:r>
              <w:rPr>
                <w:rFonts w:hint="default" w:ascii="Times New Roman" w:hAnsi="Times New Roman" w:cs="Times New Roman"/>
                <w:sz w:val="24"/>
                <w:szCs w:val="24"/>
              </w:rPr>
              <w:t>噪声监测值均满足《声环境质量标准》(GB3096-2008)中</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4a类</w:t>
            </w:r>
            <w:r>
              <w:rPr>
                <w:rFonts w:hint="default" w:ascii="Times New Roman" w:hAnsi="Times New Roman" w:cs="Times New Roman"/>
                <w:sz w:val="24"/>
                <w:szCs w:val="24"/>
              </w:rPr>
              <w:t>标准。</w:t>
            </w:r>
          </w:p>
        </w:tc>
      </w:tr>
      <w:tr w14:paraId="07698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877" w:type="dxa"/>
            <w:noWrap w:val="0"/>
            <w:vAlign w:val="center"/>
          </w:tcPr>
          <w:p w14:paraId="2F6E791A">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bCs/>
                <w:color w:val="000000"/>
                <w:sz w:val="24"/>
              </w:rPr>
              <w:t>与项目有关的原有环境污染和生态破坏问题</w:t>
            </w:r>
          </w:p>
        </w:tc>
        <w:tc>
          <w:tcPr>
            <w:tcW w:w="8280" w:type="dxa"/>
            <w:noWrap w:val="0"/>
            <w:vAlign w:val="center"/>
          </w:tcPr>
          <w:p w14:paraId="13A9172E">
            <w:pPr>
              <w:spacing w:line="360" w:lineRule="auto"/>
              <w:ind w:firstLine="480" w:firstLineChars="200"/>
              <w:rPr>
                <w:rFonts w:hint="default" w:ascii="Times New Roman" w:hAnsi="Times New Roman" w:cs="Times New Roman"/>
                <w:b w:val="0"/>
                <w:color w:val="000000"/>
                <w:sz w:val="24"/>
              </w:rPr>
            </w:pPr>
            <w:r>
              <w:rPr>
                <w:rFonts w:hint="default" w:ascii="Times New Roman" w:hAnsi="Times New Roman" w:eastAsia="宋体" w:cs="Times New Roman"/>
                <w:color w:val="auto"/>
                <w:sz w:val="24"/>
                <w:u w:val="none"/>
              </w:rPr>
              <w:t>根据现场调查，项目区内现状为人工或自然植被，樊陈路一期</w:t>
            </w:r>
            <w:r>
              <w:rPr>
                <w:rFonts w:hint="default" w:ascii="Times New Roman" w:hAnsi="Times New Roman" w:eastAsia="宋体" w:cs="Times New Roman"/>
                <w:color w:val="auto"/>
                <w:sz w:val="24"/>
                <w:u w:val="none"/>
                <w:lang w:val="en-US" w:eastAsia="zh-CN"/>
              </w:rPr>
              <w:t>、东坡路及岳阳市中心医院正在建设施工，土地裸露区域较广，存在一定程度的施工扬尘及施工噪声环境污染。待</w:t>
            </w:r>
            <w:r>
              <w:rPr>
                <w:rFonts w:hint="default" w:ascii="Times New Roman" w:hAnsi="Times New Roman" w:eastAsia="宋体" w:cs="Times New Roman"/>
                <w:color w:val="auto"/>
                <w:sz w:val="24"/>
                <w:u w:val="none"/>
              </w:rPr>
              <w:t>樊陈路一期</w:t>
            </w:r>
            <w:r>
              <w:rPr>
                <w:rFonts w:hint="default" w:ascii="Times New Roman" w:hAnsi="Times New Roman" w:eastAsia="宋体" w:cs="Times New Roman"/>
                <w:color w:val="auto"/>
                <w:sz w:val="24"/>
                <w:u w:val="none"/>
                <w:lang w:val="en-US" w:eastAsia="zh-CN"/>
              </w:rPr>
              <w:t>、东坡路及岳阳市中心医院施工结束后，破坏的生态环境得到恢复。</w:t>
            </w:r>
          </w:p>
        </w:tc>
      </w:tr>
      <w:tr w14:paraId="2C301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1" w:hRule="atLeast"/>
          <w:jc w:val="center"/>
        </w:trPr>
        <w:tc>
          <w:tcPr>
            <w:tcW w:w="877" w:type="dxa"/>
            <w:noWrap w:val="0"/>
            <w:vAlign w:val="center"/>
          </w:tcPr>
          <w:p w14:paraId="59331B20">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生态环境保护目标</w:t>
            </w:r>
          </w:p>
        </w:tc>
        <w:tc>
          <w:tcPr>
            <w:tcW w:w="8280" w:type="dxa"/>
            <w:noWrap w:val="0"/>
            <w:vAlign w:val="center"/>
          </w:tcPr>
          <w:p w14:paraId="44178AD5">
            <w:pPr>
              <w:pStyle w:val="31"/>
              <w:ind w:firstLine="0" w:firstLineChars="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环境保护目标</w:t>
            </w:r>
          </w:p>
          <w:p w14:paraId="74270402">
            <w:pPr>
              <w:spacing w:line="360" w:lineRule="auto"/>
              <w:rPr>
                <w:rFonts w:hint="default" w:ascii="Times New Roman" w:hAnsi="Times New Roman" w:cs="Times New Roman"/>
                <w:sz w:val="24"/>
                <w:szCs w:val="32"/>
              </w:rPr>
            </w:pPr>
            <w:r>
              <w:rPr>
                <w:rFonts w:hint="default" w:ascii="Times New Roman" w:hAnsi="Times New Roman" w:cs="Times New Roman"/>
                <w:sz w:val="24"/>
                <w:szCs w:val="32"/>
              </w:rPr>
              <w:t>3.</w:t>
            </w:r>
            <w:r>
              <w:rPr>
                <w:rFonts w:hint="default" w:ascii="Times New Roman" w:hAnsi="Times New Roman" w:cs="Times New Roman"/>
                <w:sz w:val="24"/>
                <w:szCs w:val="32"/>
                <w:lang w:val="en-US" w:eastAsia="zh-CN"/>
              </w:rPr>
              <w:t>4</w:t>
            </w:r>
            <w:r>
              <w:rPr>
                <w:rFonts w:hint="default" w:ascii="Times New Roman" w:hAnsi="Times New Roman" w:cs="Times New Roman"/>
                <w:sz w:val="24"/>
                <w:szCs w:val="32"/>
              </w:rPr>
              <w:t>.1生态环境保护目标</w:t>
            </w:r>
          </w:p>
          <w:p w14:paraId="1A5C5A34">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color w:val="000000"/>
                <w:sz w:val="24"/>
                <w:szCs w:val="24"/>
              </w:rPr>
              <w:t>本项目均位于待开发区</w:t>
            </w:r>
            <w:r>
              <w:rPr>
                <w:rFonts w:hint="default" w:ascii="Times New Roman" w:hAnsi="Times New Roman" w:cs="Times New Roman"/>
                <w:color w:val="000000"/>
                <w:sz w:val="24"/>
                <w:szCs w:val="24"/>
                <w:lang w:eastAsia="zh-CN"/>
              </w:rPr>
              <w:t>。</w:t>
            </w:r>
            <w:r>
              <w:rPr>
                <w:rFonts w:hint="default" w:ascii="Times New Roman" w:hAnsi="Times New Roman" w:cs="Times New Roman"/>
                <w:sz w:val="24"/>
                <w:szCs w:val="32"/>
              </w:rPr>
              <w:t>本工程不涉及自然保护区、世界文化和自然遗产地、风景名胜区、森林公园、珍稀濒危野生动植物天然集中分布区等特殊和重要生态敏感区，不涉及需要特殊保护的珍稀动植物。</w:t>
            </w:r>
          </w:p>
          <w:p w14:paraId="0E5B6620">
            <w:pPr>
              <w:pStyle w:val="2"/>
              <w:spacing w:line="360" w:lineRule="auto"/>
              <w:ind w:firstLine="422"/>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表3</w:t>
            </w:r>
            <w:r>
              <w:rPr>
                <w:rFonts w:hint="default" w:ascii="Times New Roman" w:hAnsi="Times New Roman" w:cs="Times New Roman"/>
                <w:b/>
                <w:bCs/>
                <w:sz w:val="21"/>
                <w:szCs w:val="21"/>
                <w:lang w:val="en-US" w:eastAsia="zh-CN"/>
              </w:rPr>
              <w:t xml:space="preserve">.4-1 </w:t>
            </w:r>
            <w:r>
              <w:rPr>
                <w:rFonts w:hint="default" w:ascii="Times New Roman" w:hAnsi="Times New Roman" w:cs="Times New Roman"/>
                <w:b/>
                <w:bCs/>
                <w:sz w:val="21"/>
                <w:szCs w:val="21"/>
              </w:rPr>
              <w:t xml:space="preserve"> 生态环境保护目标一览表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49"/>
              <w:gridCol w:w="1115"/>
              <w:gridCol w:w="2229"/>
              <w:gridCol w:w="2452"/>
              <w:gridCol w:w="2450"/>
            </w:tblGrid>
            <w:tr w14:paraId="3380F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58" w:type="pct"/>
                  <w:tcBorders>
                    <w:top w:val="single" w:color="000000" w:sz="2" w:space="0"/>
                    <w:left w:val="single" w:color="000000" w:sz="2" w:space="0"/>
                    <w:bottom w:val="single" w:color="000000" w:sz="2" w:space="0"/>
                    <w:right w:val="single" w:color="000000" w:sz="2" w:space="0"/>
                  </w:tcBorders>
                  <w:noWrap w:val="0"/>
                  <w:vAlign w:val="center"/>
                </w:tcPr>
                <w:p w14:paraId="575B5810">
                  <w:pPr>
                    <w:pStyle w:val="34"/>
                    <w:rPr>
                      <w:rFonts w:hint="default" w:ascii="Times New Roman" w:hAnsi="Times New Roman" w:cs="Times New Roman"/>
                    </w:rPr>
                  </w:pPr>
                  <w:r>
                    <w:rPr>
                      <w:rFonts w:hint="default" w:ascii="Times New Roman" w:hAnsi="Times New Roman" w:cs="Times New Roman"/>
                    </w:rPr>
                    <w:t>序号</w:t>
                  </w:r>
                </w:p>
              </w:tc>
              <w:tc>
                <w:tcPr>
                  <w:tcW w:w="641" w:type="pct"/>
                  <w:tcBorders>
                    <w:top w:val="single" w:color="000000" w:sz="2" w:space="0"/>
                    <w:left w:val="single" w:color="000000" w:sz="2" w:space="0"/>
                    <w:bottom w:val="single" w:color="000000" w:sz="2" w:space="0"/>
                    <w:right w:val="single" w:color="000000" w:sz="2" w:space="0"/>
                  </w:tcBorders>
                  <w:noWrap w:val="0"/>
                  <w:vAlign w:val="center"/>
                </w:tcPr>
                <w:p w14:paraId="07392489">
                  <w:pPr>
                    <w:pStyle w:val="34"/>
                    <w:rPr>
                      <w:rFonts w:hint="default" w:ascii="Times New Roman" w:hAnsi="Times New Roman" w:cs="Times New Roman"/>
                    </w:rPr>
                  </w:pPr>
                  <w:r>
                    <w:rPr>
                      <w:rFonts w:hint="default" w:ascii="Times New Roman" w:hAnsi="Times New Roman" w:cs="Times New Roman"/>
                    </w:rPr>
                    <w:t>保护目标</w:t>
                  </w:r>
                </w:p>
              </w:tc>
              <w:tc>
                <w:tcPr>
                  <w:tcW w:w="1281" w:type="pct"/>
                  <w:tcBorders>
                    <w:top w:val="single" w:color="000000" w:sz="2" w:space="0"/>
                    <w:left w:val="single" w:color="000000" w:sz="2" w:space="0"/>
                    <w:bottom w:val="single" w:color="000000" w:sz="2" w:space="0"/>
                    <w:right w:val="single" w:color="000000" w:sz="2" w:space="0"/>
                  </w:tcBorders>
                  <w:noWrap w:val="0"/>
                  <w:vAlign w:val="center"/>
                </w:tcPr>
                <w:p w14:paraId="43B83A42">
                  <w:pPr>
                    <w:pStyle w:val="34"/>
                    <w:rPr>
                      <w:rFonts w:hint="default" w:ascii="Times New Roman" w:hAnsi="Times New Roman" w:cs="Times New Roman"/>
                    </w:rPr>
                  </w:pPr>
                  <w:r>
                    <w:rPr>
                      <w:rFonts w:hint="default" w:ascii="Times New Roman" w:hAnsi="Times New Roman" w:cs="Times New Roman"/>
                    </w:rPr>
                    <w:t>保护对象</w:t>
                  </w:r>
                </w:p>
              </w:tc>
              <w:tc>
                <w:tcPr>
                  <w:tcW w:w="1409" w:type="pct"/>
                  <w:tcBorders>
                    <w:top w:val="single" w:color="000000" w:sz="2" w:space="0"/>
                    <w:left w:val="single" w:color="000000" w:sz="4" w:space="0"/>
                    <w:bottom w:val="single" w:color="000000" w:sz="2" w:space="0"/>
                    <w:right w:val="single" w:color="000000" w:sz="4" w:space="0"/>
                  </w:tcBorders>
                  <w:noWrap w:val="0"/>
                  <w:vAlign w:val="center"/>
                </w:tcPr>
                <w:p w14:paraId="1100C8F9">
                  <w:pPr>
                    <w:pStyle w:val="34"/>
                    <w:rPr>
                      <w:rFonts w:hint="default" w:ascii="Times New Roman" w:hAnsi="Times New Roman" w:cs="Times New Roman"/>
                      <w:lang w:val="en-US" w:eastAsia="zh-CN"/>
                    </w:rPr>
                  </w:pPr>
                  <w:r>
                    <w:rPr>
                      <w:rFonts w:hint="default" w:ascii="Times New Roman" w:hAnsi="Times New Roman" w:cs="Times New Roman"/>
                      <w:lang w:val="en-US" w:eastAsia="zh-CN"/>
                    </w:rPr>
                    <w:t>影响因素</w:t>
                  </w:r>
                </w:p>
              </w:tc>
              <w:tc>
                <w:tcPr>
                  <w:tcW w:w="1408" w:type="pct"/>
                  <w:tcBorders>
                    <w:top w:val="single" w:color="000000" w:sz="2" w:space="0"/>
                    <w:left w:val="single" w:color="000000" w:sz="4" w:space="0"/>
                    <w:bottom w:val="single" w:color="000000" w:sz="2" w:space="0"/>
                    <w:right w:val="single" w:color="000000" w:sz="2" w:space="0"/>
                  </w:tcBorders>
                  <w:noWrap w:val="0"/>
                  <w:vAlign w:val="center"/>
                </w:tcPr>
                <w:p w14:paraId="18E6BC99">
                  <w:pPr>
                    <w:pStyle w:val="34"/>
                    <w:rPr>
                      <w:rFonts w:hint="default" w:ascii="Times New Roman" w:hAnsi="Times New Roman" w:cs="Times New Roman"/>
                    </w:rPr>
                  </w:pPr>
                  <w:r>
                    <w:rPr>
                      <w:rFonts w:hint="default" w:ascii="Times New Roman" w:hAnsi="Times New Roman" w:cs="Times New Roman"/>
                    </w:rPr>
                    <w:t>保护要求</w:t>
                  </w:r>
                </w:p>
              </w:tc>
            </w:tr>
            <w:tr w14:paraId="5D66A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58" w:type="pct"/>
                  <w:tcBorders>
                    <w:top w:val="single" w:color="000000" w:sz="2" w:space="0"/>
                    <w:left w:val="single" w:color="000000" w:sz="2" w:space="0"/>
                    <w:bottom w:val="single" w:color="000000" w:sz="2" w:space="0"/>
                    <w:right w:val="single" w:color="000000" w:sz="2" w:space="0"/>
                  </w:tcBorders>
                  <w:noWrap w:val="0"/>
                  <w:vAlign w:val="center"/>
                </w:tcPr>
                <w:p w14:paraId="605C7ACC">
                  <w:pPr>
                    <w:pStyle w:val="34"/>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641" w:type="pct"/>
                  <w:tcBorders>
                    <w:top w:val="single" w:color="000000" w:sz="2" w:space="0"/>
                    <w:left w:val="single" w:color="000000" w:sz="2" w:space="0"/>
                    <w:bottom w:val="single" w:color="000000" w:sz="2" w:space="0"/>
                    <w:right w:val="single" w:color="000000" w:sz="2" w:space="0"/>
                  </w:tcBorders>
                  <w:noWrap w:val="0"/>
                  <w:vAlign w:val="center"/>
                </w:tcPr>
                <w:p w14:paraId="7BC570FF">
                  <w:pPr>
                    <w:pStyle w:val="34"/>
                    <w:rPr>
                      <w:rFonts w:hint="default" w:ascii="Times New Roman" w:hAnsi="Times New Roman" w:cs="Times New Roman"/>
                      <w:lang w:val="en-US" w:eastAsia="zh-CN"/>
                    </w:rPr>
                  </w:pPr>
                  <w:r>
                    <w:rPr>
                      <w:rFonts w:hint="default" w:ascii="Times New Roman" w:hAnsi="Times New Roman" w:eastAsia="宋体" w:cs="Times New Roman"/>
                      <w:lang w:val="en-US" w:eastAsia="zh-CN"/>
                    </w:rPr>
                    <w:t>生</w:t>
                  </w:r>
                  <w:r>
                    <w:rPr>
                      <w:rFonts w:hint="default" w:ascii="Times New Roman" w:hAnsi="Times New Roman" w:cs="Times New Roman"/>
                    </w:rPr>
                    <w:t>物</w:t>
                  </w:r>
                </w:p>
              </w:tc>
              <w:tc>
                <w:tcPr>
                  <w:tcW w:w="1281" w:type="pct"/>
                  <w:tcBorders>
                    <w:top w:val="single" w:color="000000" w:sz="2" w:space="0"/>
                    <w:left w:val="single" w:color="000000" w:sz="2" w:space="0"/>
                    <w:bottom w:val="single" w:color="000000" w:sz="2" w:space="0"/>
                    <w:right w:val="single" w:color="000000" w:sz="2" w:space="0"/>
                  </w:tcBorders>
                  <w:noWrap w:val="0"/>
                  <w:vAlign w:val="center"/>
                </w:tcPr>
                <w:p w14:paraId="77F6779E">
                  <w:pPr>
                    <w:pStyle w:val="34"/>
                    <w:rPr>
                      <w:rFonts w:hint="default" w:ascii="Times New Roman" w:hAnsi="Times New Roman" w:eastAsia="宋体" w:cs="Times New Roman"/>
                      <w:lang w:val="en-US" w:eastAsia="zh-CN"/>
                    </w:rPr>
                  </w:pPr>
                  <w:r>
                    <w:rPr>
                      <w:rFonts w:hint="default" w:ascii="Times New Roman" w:hAnsi="Times New Roman" w:cs="Times New Roman"/>
                    </w:rPr>
                    <w:t>沿线动物</w:t>
                  </w:r>
                  <w:r>
                    <w:rPr>
                      <w:rFonts w:hint="default" w:ascii="Times New Roman" w:hAnsi="Times New Roman" w:eastAsia="宋体" w:cs="Times New Roman"/>
                      <w:lang w:val="en-US" w:eastAsia="zh-CN"/>
                    </w:rPr>
                    <w:t>、鱼类和鸟类</w:t>
                  </w:r>
                </w:p>
              </w:tc>
              <w:tc>
                <w:tcPr>
                  <w:tcW w:w="1409" w:type="pct"/>
                  <w:tcBorders>
                    <w:top w:val="single" w:color="000000" w:sz="2" w:space="0"/>
                    <w:left w:val="single" w:color="000000" w:sz="4" w:space="0"/>
                    <w:bottom w:val="single" w:color="000000" w:sz="2" w:space="0"/>
                    <w:right w:val="single" w:color="000000" w:sz="4" w:space="0"/>
                  </w:tcBorders>
                  <w:noWrap w:val="0"/>
                  <w:vAlign w:val="center"/>
                </w:tcPr>
                <w:p w14:paraId="73F2AB85">
                  <w:pPr>
                    <w:pStyle w:val="34"/>
                    <w:rPr>
                      <w:rFonts w:hint="default" w:ascii="Times New Roman" w:hAnsi="Times New Roman" w:cs="Times New Roman"/>
                      <w:lang w:val="en-US" w:eastAsia="zh-CN"/>
                    </w:rPr>
                  </w:pPr>
                  <w:r>
                    <w:rPr>
                      <w:rFonts w:hint="default" w:ascii="Times New Roman" w:hAnsi="Times New Roman" w:cs="Times New Roman"/>
                      <w:lang w:val="en-US" w:eastAsia="zh-CN"/>
                    </w:rPr>
                    <w:t>施工对其的影响</w:t>
                  </w:r>
                </w:p>
              </w:tc>
              <w:tc>
                <w:tcPr>
                  <w:tcW w:w="1408" w:type="pct"/>
                  <w:tcBorders>
                    <w:top w:val="single" w:color="000000" w:sz="2" w:space="0"/>
                    <w:left w:val="single" w:color="000000" w:sz="4" w:space="0"/>
                    <w:bottom w:val="single" w:color="000000" w:sz="2" w:space="0"/>
                    <w:right w:val="single" w:color="000000" w:sz="2" w:space="0"/>
                  </w:tcBorders>
                  <w:noWrap w:val="0"/>
                  <w:vAlign w:val="center"/>
                </w:tcPr>
                <w:p w14:paraId="613A5755">
                  <w:pPr>
                    <w:pStyle w:val="34"/>
                    <w:rPr>
                      <w:rFonts w:hint="default" w:ascii="Times New Roman" w:hAnsi="Times New Roman" w:cs="Times New Roman"/>
                      <w:lang w:val="en-US" w:eastAsia="zh-CN"/>
                    </w:rPr>
                  </w:pPr>
                  <w:r>
                    <w:rPr>
                      <w:rFonts w:hint="default" w:ascii="Times New Roman" w:hAnsi="Times New Roman" w:cs="Times New Roman"/>
                    </w:rPr>
                    <w:t>减缓对其影响</w:t>
                  </w:r>
                </w:p>
              </w:tc>
            </w:tr>
            <w:tr w14:paraId="6E778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58" w:type="pct"/>
                  <w:tcBorders>
                    <w:top w:val="single" w:color="000000" w:sz="2" w:space="0"/>
                    <w:left w:val="single" w:color="000000" w:sz="2" w:space="0"/>
                    <w:bottom w:val="single" w:color="000000" w:sz="2" w:space="0"/>
                    <w:right w:val="single" w:color="000000" w:sz="2" w:space="0"/>
                  </w:tcBorders>
                  <w:noWrap w:val="0"/>
                  <w:vAlign w:val="center"/>
                </w:tcPr>
                <w:p w14:paraId="17DC9BEE">
                  <w:pPr>
                    <w:pStyle w:val="34"/>
                    <w:rPr>
                      <w:rFonts w:hint="default" w:ascii="Times New Roman" w:hAnsi="Times New Roman" w:cs="Times New Roman"/>
                    </w:rPr>
                  </w:pPr>
                  <w:r>
                    <w:rPr>
                      <w:rFonts w:hint="default" w:ascii="Times New Roman" w:hAnsi="Times New Roman" w:cs="Times New Roman"/>
                    </w:rPr>
                    <w:t>2</w:t>
                  </w:r>
                </w:p>
              </w:tc>
              <w:tc>
                <w:tcPr>
                  <w:tcW w:w="641" w:type="pct"/>
                  <w:tcBorders>
                    <w:top w:val="single" w:color="000000" w:sz="2" w:space="0"/>
                    <w:left w:val="single" w:color="000000" w:sz="2" w:space="0"/>
                    <w:bottom w:val="single" w:color="000000" w:sz="2" w:space="0"/>
                    <w:right w:val="single" w:color="000000" w:sz="2" w:space="0"/>
                  </w:tcBorders>
                  <w:noWrap w:val="0"/>
                  <w:vAlign w:val="center"/>
                </w:tcPr>
                <w:p w14:paraId="68407D27">
                  <w:pPr>
                    <w:pStyle w:val="34"/>
                    <w:rPr>
                      <w:rFonts w:hint="default" w:ascii="Times New Roman" w:hAnsi="Times New Roman" w:cs="Times New Roman"/>
                      <w:lang w:val="en-US" w:eastAsia="zh-CN"/>
                    </w:rPr>
                  </w:pPr>
                  <w:r>
                    <w:rPr>
                      <w:rFonts w:hint="default" w:ascii="Times New Roman" w:hAnsi="Times New Roman" w:cs="Times New Roman"/>
                      <w:lang w:val="en-US" w:eastAsia="zh-CN"/>
                    </w:rPr>
                    <w:t>植被</w:t>
                  </w:r>
                </w:p>
              </w:tc>
              <w:tc>
                <w:tcPr>
                  <w:tcW w:w="1281" w:type="pct"/>
                  <w:tcBorders>
                    <w:top w:val="single" w:color="000000" w:sz="2" w:space="0"/>
                    <w:left w:val="single" w:color="000000" w:sz="2" w:space="0"/>
                    <w:bottom w:val="single" w:color="000000" w:sz="2" w:space="0"/>
                    <w:right w:val="single" w:color="000000" w:sz="2" w:space="0"/>
                  </w:tcBorders>
                  <w:noWrap w:val="0"/>
                  <w:vAlign w:val="center"/>
                </w:tcPr>
                <w:p w14:paraId="7B9448A8">
                  <w:pPr>
                    <w:pStyle w:val="34"/>
                    <w:rPr>
                      <w:rFonts w:hint="default" w:ascii="Times New Roman" w:hAnsi="Times New Roman" w:eastAsia="宋体" w:cs="Times New Roman"/>
                      <w:lang w:val="en-US" w:eastAsia="zh-CN"/>
                    </w:rPr>
                  </w:pPr>
                  <w:r>
                    <w:rPr>
                      <w:rFonts w:hint="default" w:ascii="Times New Roman" w:hAnsi="Times New Roman" w:cs="Times New Roman"/>
                    </w:rPr>
                    <w:t>沿线</w:t>
                  </w:r>
                  <w:r>
                    <w:rPr>
                      <w:rFonts w:hint="default" w:ascii="Times New Roman" w:hAnsi="Times New Roman" w:eastAsia="宋体" w:cs="Times New Roman"/>
                      <w:lang w:val="en-US" w:eastAsia="zh-CN"/>
                    </w:rPr>
                    <w:t>的植物</w:t>
                  </w:r>
                </w:p>
              </w:tc>
              <w:tc>
                <w:tcPr>
                  <w:tcW w:w="1409" w:type="pct"/>
                  <w:tcBorders>
                    <w:top w:val="single" w:color="000000" w:sz="2" w:space="0"/>
                    <w:left w:val="single" w:color="000000" w:sz="4" w:space="0"/>
                    <w:bottom w:val="single" w:color="000000" w:sz="2" w:space="0"/>
                    <w:right w:val="single" w:color="000000" w:sz="4" w:space="0"/>
                  </w:tcBorders>
                  <w:noWrap w:val="0"/>
                  <w:vAlign w:val="center"/>
                </w:tcPr>
                <w:p w14:paraId="6CEEAF23">
                  <w:pPr>
                    <w:pStyle w:val="34"/>
                    <w:rPr>
                      <w:rFonts w:hint="default" w:ascii="Times New Roman" w:hAnsi="Times New Roman" w:cs="Times New Roman"/>
                      <w:lang w:val="en-US" w:eastAsia="zh-CN"/>
                    </w:rPr>
                  </w:pPr>
                  <w:r>
                    <w:rPr>
                      <w:rFonts w:hint="default" w:ascii="Times New Roman" w:hAnsi="Times New Roman" w:cs="Times New Roman"/>
                      <w:lang w:val="en-US" w:eastAsia="zh-CN"/>
                    </w:rPr>
                    <w:t>土地占用及对植被的破坏</w:t>
                  </w:r>
                </w:p>
              </w:tc>
              <w:tc>
                <w:tcPr>
                  <w:tcW w:w="1408" w:type="pct"/>
                  <w:tcBorders>
                    <w:top w:val="single" w:color="000000" w:sz="2" w:space="0"/>
                    <w:left w:val="single" w:color="000000" w:sz="4" w:space="0"/>
                    <w:bottom w:val="single" w:color="000000" w:sz="2" w:space="0"/>
                    <w:right w:val="single" w:color="000000" w:sz="2" w:space="0"/>
                  </w:tcBorders>
                  <w:noWrap w:val="0"/>
                  <w:vAlign w:val="center"/>
                </w:tcPr>
                <w:p w14:paraId="32E672C3">
                  <w:pPr>
                    <w:pStyle w:val="34"/>
                    <w:rPr>
                      <w:rFonts w:hint="default" w:ascii="Times New Roman" w:hAnsi="Times New Roman" w:cs="Times New Roman"/>
                      <w:lang w:val="en-US" w:eastAsia="zh-CN"/>
                    </w:rPr>
                  </w:pPr>
                  <w:r>
                    <w:rPr>
                      <w:rFonts w:hint="default" w:ascii="Times New Roman" w:hAnsi="Times New Roman" w:cs="Times New Roman"/>
                    </w:rPr>
                    <w:t>减缓对其影响，</w:t>
                  </w:r>
                  <w:r>
                    <w:rPr>
                      <w:rFonts w:hint="default" w:ascii="Times New Roman" w:hAnsi="Times New Roman" w:cs="Times New Roman"/>
                      <w:lang w:val="en-US" w:eastAsia="zh-CN"/>
                    </w:rPr>
                    <w:t>进行恢复</w:t>
                  </w:r>
                </w:p>
              </w:tc>
            </w:tr>
            <w:tr w14:paraId="7299A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58" w:type="pct"/>
                  <w:tcBorders>
                    <w:top w:val="single" w:color="000000" w:sz="2" w:space="0"/>
                    <w:left w:val="single" w:color="000000" w:sz="2" w:space="0"/>
                    <w:bottom w:val="single" w:color="000000" w:sz="2" w:space="0"/>
                    <w:right w:val="single" w:color="000000" w:sz="2" w:space="0"/>
                  </w:tcBorders>
                  <w:noWrap w:val="0"/>
                  <w:vAlign w:val="center"/>
                </w:tcPr>
                <w:p w14:paraId="16B702C8">
                  <w:pPr>
                    <w:pStyle w:val="34"/>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641" w:type="pct"/>
                  <w:tcBorders>
                    <w:top w:val="single" w:color="000000" w:sz="2" w:space="0"/>
                    <w:left w:val="single" w:color="000000" w:sz="2" w:space="0"/>
                    <w:bottom w:val="single" w:color="000000" w:sz="2" w:space="0"/>
                    <w:right w:val="single" w:color="000000" w:sz="2" w:space="0"/>
                  </w:tcBorders>
                  <w:noWrap w:val="0"/>
                  <w:vAlign w:val="center"/>
                </w:tcPr>
                <w:p w14:paraId="1DE535A8">
                  <w:pPr>
                    <w:pStyle w:val="34"/>
                    <w:rPr>
                      <w:rFonts w:hint="default" w:ascii="Times New Roman" w:hAnsi="Times New Roman" w:cs="Times New Roman"/>
                      <w:lang w:val="en-US" w:eastAsia="zh-CN"/>
                    </w:rPr>
                  </w:pPr>
                  <w:r>
                    <w:rPr>
                      <w:rFonts w:hint="default" w:ascii="Times New Roman" w:hAnsi="Times New Roman" w:cs="Times New Roman"/>
                      <w:lang w:val="en-US" w:eastAsia="zh-CN"/>
                    </w:rPr>
                    <w:t>耕地、水塘</w:t>
                  </w:r>
                </w:p>
              </w:tc>
              <w:tc>
                <w:tcPr>
                  <w:tcW w:w="1281" w:type="pct"/>
                  <w:tcBorders>
                    <w:top w:val="single" w:color="000000" w:sz="2" w:space="0"/>
                    <w:left w:val="single" w:color="000000" w:sz="2" w:space="0"/>
                    <w:bottom w:val="single" w:color="000000" w:sz="2" w:space="0"/>
                    <w:right w:val="single" w:color="000000" w:sz="2" w:space="0"/>
                  </w:tcBorders>
                  <w:noWrap w:val="0"/>
                  <w:vAlign w:val="center"/>
                </w:tcPr>
                <w:p w14:paraId="4E05B2C0">
                  <w:pPr>
                    <w:pStyle w:val="34"/>
                    <w:rPr>
                      <w:rFonts w:hint="default" w:ascii="Times New Roman" w:hAnsi="Times New Roman" w:cs="Times New Roman"/>
                      <w:lang w:val="en-US" w:eastAsia="zh-CN"/>
                    </w:rPr>
                  </w:pPr>
                  <w:r>
                    <w:rPr>
                      <w:rFonts w:hint="default" w:ascii="Times New Roman" w:hAnsi="Times New Roman" w:eastAsia="宋体" w:cs="Times New Roman"/>
                      <w:lang w:val="en-US" w:eastAsia="zh-CN"/>
                    </w:rPr>
                    <w:t>附近的耕地</w:t>
                  </w:r>
                  <w:r>
                    <w:rPr>
                      <w:rFonts w:hint="default" w:ascii="Times New Roman" w:hAnsi="Times New Roman" w:cs="Times New Roman"/>
                      <w:lang w:val="en-US" w:eastAsia="zh-CN"/>
                    </w:rPr>
                    <w:t>、水塘</w:t>
                  </w:r>
                </w:p>
              </w:tc>
              <w:tc>
                <w:tcPr>
                  <w:tcW w:w="1409" w:type="pct"/>
                  <w:tcBorders>
                    <w:top w:val="single" w:color="000000" w:sz="2" w:space="0"/>
                    <w:left w:val="single" w:color="000000" w:sz="4" w:space="0"/>
                    <w:bottom w:val="single" w:color="000000" w:sz="2" w:space="0"/>
                    <w:right w:val="single" w:color="000000" w:sz="4" w:space="0"/>
                  </w:tcBorders>
                  <w:noWrap w:val="0"/>
                  <w:vAlign w:val="center"/>
                </w:tcPr>
                <w:p w14:paraId="58B753CF">
                  <w:pPr>
                    <w:pStyle w:val="34"/>
                    <w:rPr>
                      <w:rFonts w:hint="default" w:ascii="Times New Roman" w:hAnsi="Times New Roman" w:cs="Times New Roman"/>
                      <w:lang w:val="en-US" w:eastAsia="zh-CN"/>
                    </w:rPr>
                  </w:pPr>
                  <w:r>
                    <w:rPr>
                      <w:rFonts w:hint="default" w:ascii="Times New Roman" w:hAnsi="Times New Roman" w:cs="Times New Roman"/>
                      <w:lang w:val="en-US" w:eastAsia="zh-CN"/>
                    </w:rPr>
                    <w:t>占用和破坏</w:t>
                  </w:r>
                </w:p>
              </w:tc>
              <w:tc>
                <w:tcPr>
                  <w:tcW w:w="1408" w:type="pct"/>
                  <w:tcBorders>
                    <w:top w:val="single" w:color="000000" w:sz="2" w:space="0"/>
                    <w:left w:val="single" w:color="000000" w:sz="4" w:space="0"/>
                    <w:bottom w:val="single" w:color="000000" w:sz="2" w:space="0"/>
                    <w:right w:val="single" w:color="000000" w:sz="2" w:space="0"/>
                  </w:tcBorders>
                  <w:noWrap w:val="0"/>
                  <w:vAlign w:val="center"/>
                </w:tcPr>
                <w:p w14:paraId="22CBBC0C">
                  <w:pPr>
                    <w:pStyle w:val="34"/>
                    <w:rPr>
                      <w:rFonts w:hint="default" w:ascii="Times New Roman" w:hAnsi="Times New Roman" w:cs="Times New Roman"/>
                      <w:lang w:val="en-US" w:eastAsia="zh-CN"/>
                    </w:rPr>
                  </w:pPr>
                  <w:r>
                    <w:rPr>
                      <w:rFonts w:hint="default" w:ascii="Times New Roman" w:hAnsi="Times New Roman" w:cs="Times New Roman"/>
                      <w:lang w:val="en-US" w:eastAsia="zh-CN"/>
                    </w:rPr>
                    <w:t>尽量减少占用，进行防护</w:t>
                  </w:r>
                </w:p>
              </w:tc>
            </w:tr>
          </w:tbl>
          <w:p w14:paraId="31D1B7BF">
            <w:pPr>
              <w:pStyle w:val="8"/>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3.</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default" w:ascii="Times New Roman" w:hAnsi="Times New Roman" w:cs="Times New Roman"/>
                <w:sz w:val="24"/>
                <w:szCs w:val="24"/>
                <w:lang w:eastAsia="zh-CN"/>
              </w:rPr>
              <w:t>2水</w:t>
            </w:r>
            <w:r>
              <w:rPr>
                <w:rFonts w:hint="default" w:ascii="Times New Roman" w:hAnsi="Times New Roman" w:cs="Times New Roman"/>
                <w:sz w:val="24"/>
                <w:szCs w:val="24"/>
              </w:rPr>
              <w:t>环境保护目标</w:t>
            </w:r>
          </w:p>
          <w:p w14:paraId="11135F89">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本项目水环境保护目标见下表：</w:t>
            </w:r>
          </w:p>
          <w:p w14:paraId="5F1F8E24">
            <w:pPr>
              <w:pStyle w:val="8"/>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 xml:space="preserve">3.4-2 </w:t>
            </w:r>
            <w:r>
              <w:rPr>
                <w:rFonts w:hint="default" w:ascii="Times New Roman" w:hAnsi="Times New Roman" w:cs="Times New Roman"/>
                <w:b/>
                <w:bCs/>
                <w:sz w:val="21"/>
                <w:szCs w:val="21"/>
              </w:rPr>
              <w:t xml:space="preserve"> 项目地表水保护目标一览表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925"/>
              <w:gridCol w:w="1318"/>
              <w:gridCol w:w="2469"/>
              <w:gridCol w:w="1393"/>
              <w:gridCol w:w="2586"/>
            </w:tblGrid>
            <w:tr w14:paraId="0860BFE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454" w:hRule="atLeast"/>
              </w:trPr>
              <w:tc>
                <w:tcPr>
                  <w:tcW w:w="532" w:type="pct"/>
                  <w:noWrap w:val="0"/>
                  <w:vAlign w:val="center"/>
                </w:tcPr>
                <w:p w14:paraId="64817063">
                  <w:pPr>
                    <w:pStyle w:val="35"/>
                    <w:rPr>
                      <w:rFonts w:hint="default" w:ascii="Times New Roman" w:hAnsi="Times New Roman" w:cs="Times New Roman"/>
                    </w:rPr>
                  </w:pPr>
                  <w:r>
                    <w:rPr>
                      <w:rFonts w:hint="default" w:ascii="Times New Roman" w:hAnsi="Times New Roman" w:cs="Times New Roman"/>
                    </w:rPr>
                    <w:t>环境</w:t>
                  </w:r>
                </w:p>
                <w:p w14:paraId="0925823B">
                  <w:pPr>
                    <w:pStyle w:val="35"/>
                    <w:rPr>
                      <w:rFonts w:hint="default" w:ascii="Times New Roman" w:hAnsi="Times New Roman" w:cs="Times New Roman"/>
                    </w:rPr>
                  </w:pPr>
                  <w:r>
                    <w:rPr>
                      <w:rFonts w:hint="default" w:ascii="Times New Roman" w:hAnsi="Times New Roman" w:cs="Times New Roman"/>
                    </w:rPr>
                    <w:t>要素</w:t>
                  </w:r>
                </w:p>
              </w:tc>
              <w:tc>
                <w:tcPr>
                  <w:tcW w:w="758" w:type="pct"/>
                  <w:noWrap w:val="0"/>
                  <w:vAlign w:val="center"/>
                </w:tcPr>
                <w:p w14:paraId="4DD9ED37">
                  <w:pPr>
                    <w:pStyle w:val="35"/>
                    <w:rPr>
                      <w:rFonts w:hint="default" w:ascii="Times New Roman" w:hAnsi="Times New Roman" w:cs="Times New Roman"/>
                    </w:rPr>
                  </w:pPr>
                  <w:r>
                    <w:rPr>
                      <w:rFonts w:hint="default" w:ascii="Times New Roman" w:hAnsi="Times New Roman" w:cs="Times New Roman"/>
                    </w:rPr>
                    <w:t>敏感点</w:t>
                  </w:r>
                </w:p>
              </w:tc>
              <w:tc>
                <w:tcPr>
                  <w:tcW w:w="1420" w:type="pct"/>
                  <w:noWrap w:val="0"/>
                  <w:vAlign w:val="center"/>
                </w:tcPr>
                <w:p w14:paraId="5B463405">
                  <w:pPr>
                    <w:pStyle w:val="35"/>
                    <w:rPr>
                      <w:rFonts w:hint="default" w:ascii="Times New Roman" w:hAnsi="Times New Roman" w:cs="Times New Roman"/>
                      <w:lang w:val="en-US" w:eastAsia="zh-CN"/>
                    </w:rPr>
                  </w:pPr>
                  <w:r>
                    <w:rPr>
                      <w:rFonts w:hint="default" w:ascii="Times New Roman" w:hAnsi="Times New Roman" w:cs="Times New Roman"/>
                      <w:lang w:val="en-US" w:eastAsia="zh-CN"/>
                    </w:rPr>
                    <w:t>位置</w:t>
                  </w:r>
                </w:p>
              </w:tc>
              <w:tc>
                <w:tcPr>
                  <w:tcW w:w="801" w:type="pct"/>
                  <w:noWrap w:val="0"/>
                  <w:vAlign w:val="center"/>
                </w:tcPr>
                <w:p w14:paraId="6B60E919">
                  <w:pPr>
                    <w:pStyle w:val="35"/>
                    <w:rPr>
                      <w:rFonts w:hint="default" w:ascii="Times New Roman" w:hAnsi="Times New Roman" w:cs="Times New Roman"/>
                    </w:rPr>
                  </w:pPr>
                  <w:r>
                    <w:rPr>
                      <w:rFonts w:hint="default" w:ascii="Times New Roman" w:hAnsi="Times New Roman" w:cs="Times New Roman"/>
                    </w:rPr>
                    <w:t>功能及规模</w:t>
                  </w:r>
                </w:p>
              </w:tc>
              <w:tc>
                <w:tcPr>
                  <w:tcW w:w="1487" w:type="pct"/>
                  <w:noWrap w:val="0"/>
                  <w:vAlign w:val="center"/>
                </w:tcPr>
                <w:p w14:paraId="740BA10D">
                  <w:pPr>
                    <w:pStyle w:val="35"/>
                    <w:rPr>
                      <w:rFonts w:hint="default" w:ascii="Times New Roman" w:hAnsi="Times New Roman" w:cs="Times New Roman"/>
                    </w:rPr>
                  </w:pPr>
                  <w:r>
                    <w:rPr>
                      <w:rFonts w:hint="default" w:ascii="Times New Roman" w:hAnsi="Times New Roman" w:cs="Times New Roman"/>
                    </w:rPr>
                    <w:t>保护目标</w:t>
                  </w:r>
                </w:p>
              </w:tc>
            </w:tr>
            <w:tr w14:paraId="0104F51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9" w:hRule="atLeast"/>
              </w:trPr>
              <w:tc>
                <w:tcPr>
                  <w:tcW w:w="532" w:type="pct"/>
                  <w:noWrap w:val="0"/>
                  <w:vAlign w:val="center"/>
                </w:tcPr>
                <w:p w14:paraId="002DB937">
                  <w:pPr>
                    <w:pStyle w:val="35"/>
                    <w:rPr>
                      <w:rFonts w:hint="default" w:ascii="Times New Roman" w:hAnsi="Times New Roman" w:cs="Times New Roman"/>
                    </w:rPr>
                  </w:pPr>
                  <w:r>
                    <w:rPr>
                      <w:rFonts w:hint="default" w:ascii="Times New Roman" w:hAnsi="Times New Roman" w:cs="Times New Roman"/>
                    </w:rPr>
                    <w:t>地表水</w:t>
                  </w:r>
                </w:p>
                <w:p w14:paraId="2B933CC2">
                  <w:pPr>
                    <w:pStyle w:val="35"/>
                    <w:rPr>
                      <w:rFonts w:hint="default" w:ascii="Times New Roman" w:hAnsi="Times New Roman" w:cs="Times New Roman"/>
                    </w:rPr>
                  </w:pPr>
                  <w:r>
                    <w:rPr>
                      <w:rFonts w:hint="default" w:ascii="Times New Roman" w:hAnsi="Times New Roman" w:cs="Times New Roman"/>
                    </w:rPr>
                    <w:t>环境</w:t>
                  </w:r>
                </w:p>
              </w:tc>
              <w:tc>
                <w:tcPr>
                  <w:tcW w:w="758" w:type="pct"/>
                  <w:noWrap w:val="0"/>
                  <w:vAlign w:val="center"/>
                </w:tcPr>
                <w:p w14:paraId="48019957">
                  <w:pPr>
                    <w:pStyle w:val="35"/>
                    <w:rPr>
                      <w:rFonts w:hint="default" w:ascii="Times New Roman" w:hAnsi="Times New Roman" w:cs="Times New Roman"/>
                    </w:rPr>
                  </w:pPr>
                  <w:r>
                    <w:rPr>
                      <w:rFonts w:hint="default" w:ascii="Times New Roman" w:hAnsi="Times New Roman" w:cs="Times New Roman"/>
                      <w:lang w:val="en-US" w:eastAsia="zh-CN"/>
                    </w:rPr>
                    <w:t>洞庭湖</w:t>
                  </w:r>
                </w:p>
              </w:tc>
              <w:tc>
                <w:tcPr>
                  <w:tcW w:w="1420" w:type="pct"/>
                  <w:noWrap w:val="0"/>
                  <w:vAlign w:val="center"/>
                </w:tcPr>
                <w:p w14:paraId="34A57EA7">
                  <w:pPr>
                    <w:pStyle w:val="35"/>
                    <w:rPr>
                      <w:rFonts w:hint="default" w:ascii="Times New Roman" w:hAnsi="Times New Roman" w:cs="Times New Roman"/>
                      <w:lang w:val="en-US" w:eastAsia="zh-CN"/>
                    </w:rPr>
                  </w:pPr>
                  <w:r>
                    <w:rPr>
                      <w:rFonts w:hint="default" w:ascii="Times New Roman" w:hAnsi="Times New Roman" w:cs="Times New Roman"/>
                      <w:lang w:val="en-US" w:eastAsia="zh-CN"/>
                    </w:rPr>
                    <w:t>西面4公里</w:t>
                  </w:r>
                </w:p>
              </w:tc>
              <w:tc>
                <w:tcPr>
                  <w:tcW w:w="801" w:type="pct"/>
                  <w:noWrap w:val="0"/>
                  <w:vAlign w:val="center"/>
                </w:tcPr>
                <w:p w14:paraId="0ABCAA3F">
                  <w:pPr>
                    <w:jc w:val="center"/>
                    <w:rPr>
                      <w:rFonts w:hint="default" w:ascii="Times New Roman" w:hAnsi="Times New Roman" w:cs="Times New Roman"/>
                      <w:lang w:eastAsia="zh-CN"/>
                    </w:rPr>
                  </w:pPr>
                  <w:r>
                    <w:rPr>
                      <w:rFonts w:hint="default" w:ascii="Times New Roman" w:hAnsi="Times New Roman" w:cs="Times New Roman"/>
                      <w:lang w:val="en-US" w:eastAsia="zh-CN"/>
                    </w:rPr>
                    <w:t>-</w:t>
                  </w:r>
                </w:p>
              </w:tc>
              <w:tc>
                <w:tcPr>
                  <w:tcW w:w="1487" w:type="pct"/>
                  <w:noWrap w:val="0"/>
                  <w:vAlign w:val="center"/>
                </w:tcPr>
                <w:p w14:paraId="32C73DCA">
                  <w:pPr>
                    <w:pStyle w:val="35"/>
                    <w:rPr>
                      <w:rFonts w:hint="default" w:ascii="Times New Roman" w:hAnsi="Times New Roman" w:cs="Times New Roman"/>
                    </w:rPr>
                  </w:pPr>
                  <w:r>
                    <w:rPr>
                      <w:rFonts w:hint="default" w:ascii="Times New Roman" w:hAnsi="Times New Roman" w:cs="Times New Roman"/>
                    </w:rPr>
                    <w:t>《地表水环境质量标准》（GB3838-2002）</w:t>
                  </w:r>
                  <w:r>
                    <w:rPr>
                      <w:rFonts w:hint="default" w:ascii="Times New Roman" w:hAnsi="Times New Roman" w:cs="Times New Roman"/>
                      <w:lang w:eastAsia="zh-CN"/>
                    </w:rPr>
                    <w:t>Ⅲ</w:t>
                  </w:r>
                  <w:r>
                    <w:rPr>
                      <w:rFonts w:hint="default" w:ascii="Times New Roman" w:hAnsi="Times New Roman" w:cs="Times New Roman"/>
                    </w:rPr>
                    <w:t>类标准</w:t>
                  </w:r>
                </w:p>
              </w:tc>
            </w:tr>
          </w:tbl>
          <w:p w14:paraId="3F590A8E">
            <w:pPr>
              <w:spacing w:line="360" w:lineRule="auto"/>
              <w:rPr>
                <w:rFonts w:hint="default" w:ascii="Times New Roman" w:hAnsi="Times New Roman" w:cs="Times New Roman"/>
                <w:sz w:val="24"/>
                <w:szCs w:val="32"/>
              </w:rPr>
            </w:pPr>
            <w:r>
              <w:rPr>
                <w:rFonts w:hint="default" w:ascii="Times New Roman" w:hAnsi="Times New Roman" w:cs="Times New Roman"/>
                <w:sz w:val="24"/>
                <w:szCs w:val="32"/>
              </w:rPr>
              <w:t>3.</w:t>
            </w:r>
            <w:r>
              <w:rPr>
                <w:rFonts w:hint="default" w:ascii="Times New Roman" w:hAnsi="Times New Roman" w:cs="Times New Roman"/>
                <w:sz w:val="24"/>
                <w:szCs w:val="32"/>
                <w:lang w:val="en-US" w:eastAsia="zh-CN"/>
              </w:rPr>
              <w:t>4</w:t>
            </w:r>
            <w:r>
              <w:rPr>
                <w:rFonts w:hint="default" w:ascii="Times New Roman" w:hAnsi="Times New Roman" w:cs="Times New Roman"/>
                <w:sz w:val="24"/>
                <w:szCs w:val="32"/>
              </w:rPr>
              <w:t>.3大气环境保护目标</w:t>
            </w:r>
          </w:p>
          <w:p w14:paraId="13533067">
            <w:pPr>
              <w:spacing w:line="360" w:lineRule="auto"/>
              <w:ind w:firstLine="480" w:firstLineChars="200"/>
              <w:rPr>
                <w:rFonts w:hint="default" w:ascii="Times New Roman" w:hAnsi="Times New Roman" w:cs="Times New Roman"/>
                <w:sz w:val="21"/>
                <w:szCs w:val="24"/>
              </w:rPr>
            </w:pPr>
            <w:r>
              <w:rPr>
                <w:rFonts w:hint="default" w:ascii="Times New Roman" w:hAnsi="Times New Roman" w:cs="Times New Roman"/>
                <w:sz w:val="24"/>
                <w:szCs w:val="32"/>
              </w:rPr>
              <w:t>项目沿线大气环境保护目标主要为沿线居民、</w:t>
            </w:r>
            <w:r>
              <w:rPr>
                <w:rFonts w:hint="default" w:ascii="Times New Roman" w:hAnsi="Times New Roman" w:cs="Times New Roman"/>
                <w:sz w:val="24"/>
                <w:szCs w:val="32"/>
                <w:lang w:val="en-US" w:eastAsia="zh-CN"/>
              </w:rPr>
              <w:t>医院</w:t>
            </w:r>
            <w:r>
              <w:rPr>
                <w:rFonts w:hint="default" w:ascii="Times New Roman" w:hAnsi="Times New Roman" w:cs="Times New Roman"/>
                <w:sz w:val="24"/>
                <w:szCs w:val="32"/>
              </w:rPr>
              <w:t>等，大气环境保护目标如下表所示：</w:t>
            </w:r>
          </w:p>
          <w:p w14:paraId="39027949">
            <w:pPr>
              <w:pStyle w:val="6"/>
              <w:spacing w:line="360" w:lineRule="auto"/>
              <w:rPr>
                <w:rFonts w:hint="default" w:ascii="Times New Roman" w:hAnsi="Times New Roman" w:eastAsia="宋体" w:cs="Times New Roman"/>
                <w:b/>
                <w:bCs/>
                <w:sz w:val="21"/>
                <w:szCs w:val="16"/>
              </w:rPr>
            </w:pPr>
            <w:r>
              <w:rPr>
                <w:rFonts w:hint="default" w:ascii="Times New Roman" w:hAnsi="Times New Roman" w:eastAsia="宋体" w:cs="Times New Roman"/>
                <w:b/>
                <w:bCs/>
                <w:sz w:val="21"/>
                <w:szCs w:val="16"/>
              </w:rPr>
              <w:t>表</w:t>
            </w:r>
            <w:r>
              <w:rPr>
                <w:rFonts w:hint="default" w:ascii="Times New Roman" w:hAnsi="Times New Roman" w:eastAsia="宋体" w:cs="Times New Roman"/>
                <w:b/>
                <w:bCs/>
                <w:sz w:val="21"/>
                <w:szCs w:val="16"/>
                <w:lang w:val="en-US" w:eastAsia="zh-CN"/>
              </w:rPr>
              <w:t>3.4-3</w:t>
            </w:r>
            <w:r>
              <w:rPr>
                <w:rFonts w:hint="default" w:ascii="Times New Roman" w:hAnsi="Times New Roman" w:eastAsia="宋体" w:cs="Times New Roman"/>
                <w:b/>
                <w:bCs/>
                <w:sz w:val="21"/>
                <w:szCs w:val="16"/>
              </w:rPr>
              <w:t xml:space="preserve">  项目大气环境保护目标一览表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1274"/>
              <w:gridCol w:w="1107"/>
              <w:gridCol w:w="822"/>
              <w:gridCol w:w="426"/>
              <w:gridCol w:w="732"/>
              <w:gridCol w:w="554"/>
              <w:gridCol w:w="614"/>
              <w:gridCol w:w="1838"/>
              <w:gridCol w:w="931"/>
            </w:tblGrid>
            <w:tr w14:paraId="57A7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21"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68E48FA">
                  <w:pPr>
                    <w:pStyle w:val="34"/>
                    <w:rPr>
                      <w:rFonts w:hint="default" w:ascii="Times New Roman" w:hAnsi="Times New Roman" w:cs="Times New Roman"/>
                    </w:rPr>
                  </w:pPr>
                  <w:r>
                    <w:rPr>
                      <w:rFonts w:hint="default" w:ascii="Times New Roman" w:hAnsi="Times New Roman" w:cs="Times New Roman"/>
                    </w:rPr>
                    <w:t>序号</w:t>
                  </w:r>
                </w:p>
              </w:tc>
              <w:tc>
                <w:tcPr>
                  <w:tcW w:w="127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E1C23E8">
                  <w:pPr>
                    <w:pStyle w:val="34"/>
                    <w:rPr>
                      <w:rFonts w:hint="default" w:ascii="Times New Roman" w:hAnsi="Times New Roman" w:cs="Times New Roman"/>
                    </w:rPr>
                  </w:pPr>
                  <w:r>
                    <w:rPr>
                      <w:rFonts w:hint="default" w:ascii="Times New Roman" w:hAnsi="Times New Roman" w:cs="Times New Roman"/>
                    </w:rPr>
                    <w:t>桩号</w:t>
                  </w:r>
                </w:p>
              </w:tc>
              <w:tc>
                <w:tcPr>
                  <w:tcW w:w="1107"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390F8C0">
                  <w:pPr>
                    <w:pStyle w:val="34"/>
                    <w:rPr>
                      <w:rFonts w:hint="default" w:ascii="Times New Roman" w:hAnsi="Times New Roman" w:cs="Times New Roman"/>
                    </w:rPr>
                  </w:pPr>
                  <w:r>
                    <w:rPr>
                      <w:rFonts w:hint="default" w:ascii="Times New Roman" w:hAnsi="Times New Roman" w:cs="Times New Roman"/>
                    </w:rPr>
                    <w:t>保护目标</w:t>
                  </w:r>
                </w:p>
              </w:tc>
              <w:tc>
                <w:tcPr>
                  <w:tcW w:w="822"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A489DF3">
                  <w:pPr>
                    <w:pStyle w:val="34"/>
                    <w:rPr>
                      <w:rFonts w:hint="default" w:ascii="Times New Roman" w:hAnsi="Times New Roman" w:cs="Times New Roman"/>
                    </w:rPr>
                  </w:pPr>
                  <w:r>
                    <w:rPr>
                      <w:rFonts w:hint="default" w:ascii="Times New Roman" w:hAnsi="Times New Roman" w:cs="Times New Roman"/>
                    </w:rPr>
                    <w:t>类型</w:t>
                  </w:r>
                </w:p>
              </w:tc>
              <w:tc>
                <w:tcPr>
                  <w:tcW w:w="426"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6484158">
                  <w:pPr>
                    <w:pStyle w:val="34"/>
                    <w:rPr>
                      <w:rFonts w:hint="default" w:ascii="Times New Roman" w:hAnsi="Times New Roman" w:cs="Times New Roman"/>
                    </w:rPr>
                  </w:pPr>
                  <w:r>
                    <w:rPr>
                      <w:rFonts w:hint="default" w:ascii="Times New Roman" w:hAnsi="Times New Roman" w:cs="Times New Roman"/>
                    </w:rPr>
                    <w:t>方向</w:t>
                  </w:r>
                </w:p>
              </w:tc>
              <w:tc>
                <w:tcPr>
                  <w:tcW w:w="732"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A402A8D">
                  <w:pPr>
                    <w:pStyle w:val="34"/>
                    <w:rPr>
                      <w:rFonts w:hint="default" w:ascii="Times New Roman" w:hAnsi="Times New Roman" w:cs="Times New Roman"/>
                    </w:rPr>
                  </w:pPr>
                  <w:r>
                    <w:rPr>
                      <w:rFonts w:hint="default" w:ascii="Times New Roman" w:hAnsi="Times New Roman" w:cs="Times New Roman"/>
                    </w:rPr>
                    <w:t>保护目标距红线距离(m)</w:t>
                  </w:r>
                </w:p>
              </w:tc>
              <w:tc>
                <w:tcPr>
                  <w:tcW w:w="55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01734B0">
                  <w:pPr>
                    <w:pStyle w:val="34"/>
                    <w:rPr>
                      <w:rFonts w:hint="default" w:ascii="Times New Roman" w:hAnsi="Times New Roman" w:cs="Times New Roman"/>
                    </w:rPr>
                  </w:pPr>
                  <w:r>
                    <w:rPr>
                      <w:rFonts w:hint="default" w:ascii="Times New Roman" w:hAnsi="Times New Roman" w:cs="Times New Roman"/>
                    </w:rPr>
                    <w:t>保护目标距中心线距离(m)</w:t>
                  </w:r>
                </w:p>
              </w:tc>
              <w:tc>
                <w:tcPr>
                  <w:tcW w:w="61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F8C723E">
                  <w:pPr>
                    <w:pStyle w:val="34"/>
                    <w:rPr>
                      <w:rFonts w:hint="default" w:ascii="Times New Roman" w:hAnsi="Times New Roman" w:cs="Times New Roman"/>
                    </w:rPr>
                  </w:pPr>
                  <w:r>
                    <w:rPr>
                      <w:rFonts w:hint="default" w:ascii="Times New Roman" w:hAnsi="Times New Roman" w:cs="Times New Roman"/>
                    </w:rPr>
                    <w:t>高差</w:t>
                  </w:r>
                </w:p>
                <w:p w14:paraId="46136544">
                  <w:pPr>
                    <w:pStyle w:val="34"/>
                    <w:rPr>
                      <w:rFonts w:hint="default" w:ascii="Times New Roman" w:hAnsi="Times New Roman" w:cs="Times New Roman"/>
                    </w:rPr>
                  </w:pPr>
                  <w:r>
                    <w:rPr>
                      <w:rFonts w:hint="default" w:ascii="Times New Roman" w:hAnsi="Times New Roman" w:cs="Times New Roman"/>
                    </w:rPr>
                    <w:t>（m）</w:t>
                  </w:r>
                </w:p>
              </w:tc>
              <w:tc>
                <w:tcPr>
                  <w:tcW w:w="1838"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6DC51D">
                  <w:pPr>
                    <w:pStyle w:val="34"/>
                    <w:rPr>
                      <w:rFonts w:hint="default" w:ascii="Times New Roman" w:hAnsi="Times New Roman" w:cs="Times New Roman"/>
                    </w:rPr>
                  </w:pPr>
                  <w:r>
                    <w:rPr>
                      <w:rFonts w:hint="default" w:ascii="Times New Roman" w:hAnsi="Times New Roman" w:cs="Times New Roman"/>
                    </w:rPr>
                    <w:t>大气环境执行标准</w:t>
                  </w:r>
                </w:p>
              </w:tc>
              <w:tc>
                <w:tcPr>
                  <w:tcW w:w="931" w:type="dxa"/>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AC44A26">
                  <w:pPr>
                    <w:pStyle w:val="34"/>
                    <w:rPr>
                      <w:rFonts w:hint="default" w:ascii="Times New Roman" w:hAnsi="Times New Roman" w:cs="Times New Roman"/>
                    </w:rPr>
                  </w:pPr>
                  <w:r>
                    <w:rPr>
                      <w:rFonts w:hint="default" w:ascii="Times New Roman" w:hAnsi="Times New Roman" w:cs="Times New Roman"/>
                    </w:rPr>
                    <w:t>环境情况</w:t>
                  </w:r>
                </w:p>
              </w:tc>
            </w:tr>
            <w:tr w14:paraId="1824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14:paraId="7477DAC9">
                  <w:pPr>
                    <w:widowControl/>
                    <w:jc w:val="left"/>
                    <w:rPr>
                      <w:rFonts w:hint="default" w:ascii="Times New Roman" w:hAnsi="Times New Roman" w:cs="Times New Roman"/>
                    </w:rPr>
                  </w:pPr>
                </w:p>
              </w:tc>
              <w:tc>
                <w:tcPr>
                  <w:tcW w:w="1274" w:type="dxa"/>
                  <w:vMerge w:val="continue"/>
                  <w:tcBorders>
                    <w:top w:val="single" w:color="auto" w:sz="4" w:space="0"/>
                    <w:left w:val="single" w:color="auto" w:sz="4" w:space="0"/>
                    <w:bottom w:val="single" w:color="auto" w:sz="4" w:space="0"/>
                    <w:right w:val="single" w:color="auto" w:sz="4" w:space="0"/>
                  </w:tcBorders>
                  <w:noWrap w:val="0"/>
                  <w:vAlign w:val="center"/>
                </w:tcPr>
                <w:p w14:paraId="407826FE">
                  <w:pPr>
                    <w:widowControl/>
                    <w:jc w:val="left"/>
                    <w:rPr>
                      <w:rFonts w:hint="default" w:ascii="Times New Roman" w:hAnsi="Times New Roman" w:cs="Times New Roman"/>
                    </w:rPr>
                  </w:pPr>
                </w:p>
              </w:tc>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24089171">
                  <w:pPr>
                    <w:widowControl/>
                    <w:jc w:val="left"/>
                    <w:rPr>
                      <w:rFonts w:hint="default" w:ascii="Times New Roman" w:hAnsi="Times New Roman" w:cs="Times New Roman"/>
                    </w:rPr>
                  </w:pPr>
                </w:p>
              </w:tc>
              <w:tc>
                <w:tcPr>
                  <w:tcW w:w="822" w:type="dxa"/>
                  <w:vMerge w:val="continue"/>
                  <w:tcBorders>
                    <w:top w:val="single" w:color="auto" w:sz="4" w:space="0"/>
                    <w:left w:val="single" w:color="auto" w:sz="4" w:space="0"/>
                    <w:bottom w:val="single" w:color="auto" w:sz="4" w:space="0"/>
                    <w:right w:val="single" w:color="auto" w:sz="4" w:space="0"/>
                  </w:tcBorders>
                  <w:noWrap w:val="0"/>
                  <w:vAlign w:val="center"/>
                </w:tcPr>
                <w:p w14:paraId="0B6E15E5">
                  <w:pPr>
                    <w:widowControl/>
                    <w:jc w:val="left"/>
                    <w:rPr>
                      <w:rFonts w:hint="default" w:ascii="Times New Roman" w:hAnsi="Times New Roman" w:cs="Times New Roman"/>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1B3CAFB9">
                  <w:pPr>
                    <w:widowControl/>
                    <w:jc w:val="left"/>
                    <w:rPr>
                      <w:rFonts w:hint="default" w:ascii="Times New Roman" w:hAnsi="Times New Roman" w:cs="Times New Roman"/>
                    </w:rPr>
                  </w:pPr>
                </w:p>
              </w:tc>
              <w:tc>
                <w:tcPr>
                  <w:tcW w:w="732" w:type="dxa"/>
                  <w:vMerge w:val="continue"/>
                  <w:tcBorders>
                    <w:top w:val="single" w:color="auto" w:sz="4" w:space="0"/>
                    <w:left w:val="single" w:color="auto" w:sz="4" w:space="0"/>
                    <w:bottom w:val="single" w:color="auto" w:sz="4" w:space="0"/>
                    <w:right w:val="single" w:color="auto" w:sz="4" w:space="0"/>
                  </w:tcBorders>
                  <w:noWrap w:val="0"/>
                  <w:vAlign w:val="center"/>
                </w:tcPr>
                <w:p w14:paraId="53402501">
                  <w:pPr>
                    <w:widowControl/>
                    <w:jc w:val="left"/>
                    <w:rPr>
                      <w:rFonts w:hint="default" w:ascii="Times New Roman" w:hAnsi="Times New Roman" w:cs="Times New Roman"/>
                    </w:rPr>
                  </w:pPr>
                </w:p>
              </w:tc>
              <w:tc>
                <w:tcPr>
                  <w:tcW w:w="554" w:type="dxa"/>
                  <w:vMerge w:val="continue"/>
                  <w:tcBorders>
                    <w:top w:val="single" w:color="auto" w:sz="4" w:space="0"/>
                    <w:left w:val="single" w:color="auto" w:sz="4" w:space="0"/>
                    <w:bottom w:val="single" w:color="auto" w:sz="4" w:space="0"/>
                    <w:right w:val="single" w:color="auto" w:sz="4" w:space="0"/>
                  </w:tcBorders>
                  <w:noWrap w:val="0"/>
                  <w:vAlign w:val="center"/>
                </w:tcPr>
                <w:p w14:paraId="2540B9BD">
                  <w:pPr>
                    <w:widowControl/>
                    <w:jc w:val="left"/>
                    <w:rPr>
                      <w:rFonts w:hint="default" w:ascii="Times New Roman" w:hAnsi="Times New Roman" w:cs="Times New Roman"/>
                    </w:rPr>
                  </w:pPr>
                </w:p>
              </w:tc>
              <w:tc>
                <w:tcPr>
                  <w:tcW w:w="614" w:type="dxa"/>
                  <w:vMerge w:val="continue"/>
                  <w:tcBorders>
                    <w:top w:val="single" w:color="auto" w:sz="4" w:space="0"/>
                    <w:left w:val="single" w:color="auto" w:sz="4" w:space="0"/>
                    <w:bottom w:val="single" w:color="auto" w:sz="4" w:space="0"/>
                    <w:right w:val="single" w:color="auto" w:sz="4" w:space="0"/>
                  </w:tcBorders>
                  <w:noWrap w:val="0"/>
                  <w:vAlign w:val="center"/>
                </w:tcPr>
                <w:p w14:paraId="0E1525A4">
                  <w:pPr>
                    <w:widowControl/>
                    <w:jc w:val="left"/>
                    <w:rPr>
                      <w:rFonts w:hint="default" w:ascii="Times New Roman" w:hAnsi="Times New Roman" w:cs="Times New Roman"/>
                    </w:rPr>
                  </w:pPr>
                </w:p>
              </w:tc>
              <w:tc>
                <w:tcPr>
                  <w:tcW w:w="1838" w:type="dxa"/>
                  <w:vMerge w:val="continue"/>
                  <w:tcBorders>
                    <w:top w:val="single" w:color="auto" w:sz="4" w:space="0"/>
                    <w:left w:val="single" w:color="auto" w:sz="4" w:space="0"/>
                    <w:bottom w:val="single" w:color="auto" w:sz="4" w:space="0"/>
                    <w:right w:val="single" w:color="auto" w:sz="4" w:space="0"/>
                  </w:tcBorders>
                  <w:noWrap w:val="0"/>
                  <w:vAlign w:val="center"/>
                </w:tcPr>
                <w:p w14:paraId="70114EA3">
                  <w:pPr>
                    <w:widowControl/>
                    <w:jc w:val="left"/>
                    <w:rPr>
                      <w:rFonts w:hint="default" w:ascii="Times New Roman" w:hAnsi="Times New Roman" w:cs="Times New Roman"/>
                    </w:rPr>
                  </w:pPr>
                </w:p>
              </w:tc>
              <w:tc>
                <w:tcPr>
                  <w:tcW w:w="931" w:type="dxa"/>
                  <w:vMerge w:val="continue"/>
                  <w:tcBorders>
                    <w:top w:val="single" w:color="auto" w:sz="4" w:space="0"/>
                    <w:left w:val="single" w:color="auto" w:sz="4" w:space="0"/>
                    <w:bottom w:val="single" w:color="auto" w:sz="4" w:space="0"/>
                    <w:right w:val="single" w:color="auto" w:sz="4" w:space="0"/>
                  </w:tcBorders>
                  <w:noWrap w:val="0"/>
                  <w:vAlign w:val="center"/>
                </w:tcPr>
                <w:p w14:paraId="4790858F">
                  <w:pPr>
                    <w:widowControl/>
                    <w:jc w:val="left"/>
                    <w:rPr>
                      <w:rFonts w:hint="default" w:ascii="Times New Roman" w:hAnsi="Times New Roman" w:cs="Times New Roman"/>
                    </w:rPr>
                  </w:pPr>
                </w:p>
              </w:tc>
            </w:tr>
            <w:tr w14:paraId="6722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21" w:type="dxa"/>
                  <w:tcBorders>
                    <w:top w:val="single" w:color="auto" w:sz="4" w:space="0"/>
                    <w:left w:val="single" w:color="auto" w:sz="4" w:space="0"/>
                    <w:bottom w:val="single" w:color="auto" w:sz="4" w:space="0"/>
                    <w:right w:val="single" w:color="auto" w:sz="4" w:space="0"/>
                  </w:tcBorders>
                  <w:noWrap w:val="0"/>
                  <w:vAlign w:val="center"/>
                </w:tcPr>
                <w:p w14:paraId="7C8F5237">
                  <w:pPr>
                    <w:widowControl/>
                    <w:jc w:val="center"/>
                    <w:rPr>
                      <w:rFonts w:hint="default" w:ascii="Times New Roman" w:hAnsi="Times New Roman" w:cs="Times New Roman"/>
                    </w:rPr>
                  </w:pPr>
                  <w:r>
                    <w:rPr>
                      <w:rFonts w:hint="default" w:ascii="Times New Roman" w:hAnsi="Times New Roman" w:cs="Times New Roman"/>
                    </w:rPr>
                    <w:t>1</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4EED8D50">
                  <w:pPr>
                    <w:widowControl/>
                    <w:jc w:val="center"/>
                    <w:textAlignment w:val="center"/>
                    <w:rPr>
                      <w:rFonts w:hint="default" w:ascii="Times New Roman" w:hAnsi="Times New Roman" w:cs="Times New Roman"/>
                    </w:rPr>
                  </w:pPr>
                  <w:r>
                    <w:rPr>
                      <w:rFonts w:hint="default" w:ascii="Times New Roman" w:hAnsi="Times New Roman" w:cs="Times New Roman"/>
                    </w:rPr>
                    <w:t>K1+297.962</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52BB1DC2">
                  <w:pPr>
                    <w:spacing w:beforeLines="0" w:afterLines="0"/>
                    <w:jc w:val="center"/>
                    <w:rPr>
                      <w:rFonts w:hint="default" w:ascii="Times New Roman" w:hAnsi="Times New Roman" w:cs="Times New Roman"/>
                    </w:rPr>
                  </w:pPr>
                  <w:r>
                    <w:rPr>
                      <w:rFonts w:hint="default" w:ascii="Times New Roman" w:hAnsi="Times New Roman" w:cs="Times New Roman"/>
                    </w:rPr>
                    <w:t>榨屋居民点</w:t>
                  </w:r>
                </w:p>
              </w:tc>
              <w:tc>
                <w:tcPr>
                  <w:tcW w:w="822" w:type="dxa"/>
                  <w:tcBorders>
                    <w:top w:val="single" w:color="auto" w:sz="4" w:space="0"/>
                    <w:left w:val="single" w:color="auto" w:sz="4" w:space="0"/>
                    <w:bottom w:val="single" w:color="auto" w:sz="4" w:space="0"/>
                    <w:right w:val="single" w:color="auto" w:sz="4" w:space="0"/>
                  </w:tcBorders>
                  <w:noWrap w:val="0"/>
                  <w:vAlign w:val="center"/>
                </w:tcPr>
                <w:p w14:paraId="6909FFA4">
                  <w:pPr>
                    <w:widowControl/>
                    <w:jc w:val="center"/>
                    <w:rPr>
                      <w:rFonts w:hint="default" w:ascii="Times New Roman" w:hAnsi="Times New Roman" w:cs="Times New Roman"/>
                    </w:rPr>
                  </w:pPr>
                  <w:r>
                    <w:rPr>
                      <w:rFonts w:hint="default" w:ascii="Times New Roman" w:hAnsi="Times New Roman" w:cs="Times New Roman"/>
                    </w:rPr>
                    <w:t>居民区</w:t>
                  </w:r>
                </w:p>
              </w:tc>
              <w:tc>
                <w:tcPr>
                  <w:tcW w:w="426" w:type="dxa"/>
                  <w:tcBorders>
                    <w:top w:val="single" w:color="auto" w:sz="4" w:space="0"/>
                    <w:left w:val="single" w:color="auto" w:sz="4" w:space="0"/>
                    <w:bottom w:val="single" w:color="auto" w:sz="4" w:space="0"/>
                    <w:right w:val="single" w:color="auto" w:sz="4" w:space="0"/>
                  </w:tcBorders>
                  <w:noWrap w:val="0"/>
                  <w:vAlign w:val="center"/>
                </w:tcPr>
                <w:p w14:paraId="23C588A9">
                  <w:pPr>
                    <w:widowControl/>
                    <w:jc w:val="center"/>
                    <w:rPr>
                      <w:rFonts w:hint="default" w:ascii="Times New Roman" w:hAnsi="Times New Roman" w:cs="Times New Roman"/>
                    </w:rPr>
                  </w:pPr>
                  <w:r>
                    <w:rPr>
                      <w:rFonts w:hint="default" w:ascii="Times New Roman" w:hAnsi="Times New Roman" w:cs="Times New Roman"/>
                    </w:rPr>
                    <w:t>路左</w:t>
                  </w:r>
                </w:p>
              </w:tc>
              <w:tc>
                <w:tcPr>
                  <w:tcW w:w="732" w:type="dxa"/>
                  <w:tcBorders>
                    <w:top w:val="single" w:color="auto" w:sz="4" w:space="0"/>
                    <w:left w:val="single" w:color="auto" w:sz="4" w:space="0"/>
                    <w:bottom w:val="single" w:color="auto" w:sz="4" w:space="0"/>
                    <w:right w:val="single" w:color="auto" w:sz="4" w:space="0"/>
                  </w:tcBorders>
                  <w:noWrap w:val="0"/>
                  <w:vAlign w:val="center"/>
                </w:tcPr>
                <w:p w14:paraId="7CB0F00E">
                  <w:pPr>
                    <w:widowControl/>
                    <w:jc w:val="center"/>
                    <w:textAlignment w:val="center"/>
                    <w:rPr>
                      <w:rFonts w:hint="default" w:ascii="Times New Roman" w:hAnsi="Times New Roman" w:cs="Times New Roman"/>
                      <w:lang w:val="en-US"/>
                    </w:rPr>
                  </w:pPr>
                  <w:r>
                    <w:rPr>
                      <w:rFonts w:hint="default" w:ascii="Times New Roman" w:hAnsi="Times New Roman" w:cs="Times New Roman"/>
                      <w:lang w:val="en-US" w:eastAsia="zh-CN"/>
                    </w:rPr>
                    <w:t>7</w:t>
                  </w:r>
                </w:p>
              </w:tc>
              <w:tc>
                <w:tcPr>
                  <w:tcW w:w="554" w:type="dxa"/>
                  <w:tcBorders>
                    <w:top w:val="single" w:color="auto" w:sz="4" w:space="0"/>
                    <w:left w:val="single" w:color="auto" w:sz="4" w:space="0"/>
                    <w:bottom w:val="single" w:color="auto" w:sz="4" w:space="0"/>
                    <w:right w:val="single" w:color="auto" w:sz="4" w:space="0"/>
                  </w:tcBorders>
                  <w:noWrap w:val="0"/>
                  <w:vAlign w:val="center"/>
                </w:tcPr>
                <w:p w14:paraId="609092A5">
                  <w:pPr>
                    <w:widowControl/>
                    <w:jc w:val="center"/>
                    <w:textAlignment w:val="center"/>
                    <w:rPr>
                      <w:rFonts w:hint="default" w:ascii="Times New Roman" w:hAnsi="Times New Roman" w:cs="Times New Roman"/>
                      <w:lang w:val="en-US"/>
                    </w:rPr>
                  </w:pPr>
                  <w:r>
                    <w:rPr>
                      <w:rFonts w:hint="default" w:ascii="Times New Roman" w:hAnsi="Times New Roman" w:cs="Times New Roman"/>
                      <w:lang w:val="en-US" w:eastAsia="zh-CN"/>
                    </w:rPr>
                    <w:t>27</w:t>
                  </w:r>
                </w:p>
              </w:tc>
              <w:tc>
                <w:tcPr>
                  <w:tcW w:w="614" w:type="dxa"/>
                  <w:tcBorders>
                    <w:top w:val="single" w:color="auto" w:sz="4" w:space="0"/>
                    <w:left w:val="single" w:color="auto" w:sz="4" w:space="0"/>
                    <w:bottom w:val="single" w:color="auto" w:sz="4" w:space="0"/>
                    <w:right w:val="single" w:color="auto" w:sz="4" w:space="0"/>
                  </w:tcBorders>
                  <w:noWrap w:val="0"/>
                  <w:vAlign w:val="center"/>
                </w:tcPr>
                <w:p w14:paraId="7008B1FF">
                  <w:pPr>
                    <w:widowControl/>
                    <w:jc w:val="center"/>
                    <w:rPr>
                      <w:rFonts w:hint="default" w:ascii="Times New Roman" w:hAnsi="Times New Roman" w:cs="Times New Roman"/>
                    </w:rPr>
                  </w:pPr>
                  <w:r>
                    <w:rPr>
                      <w:rFonts w:hint="default" w:ascii="Times New Roman" w:hAnsi="Times New Roman" w:cs="Times New Roman"/>
                    </w:rPr>
                    <w:t>0</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11384115">
                  <w:pPr>
                    <w:widowControl/>
                    <w:jc w:val="center"/>
                    <w:rPr>
                      <w:rFonts w:hint="default" w:ascii="Times New Roman" w:hAnsi="Times New Roman" w:cs="Times New Roman"/>
                    </w:rPr>
                  </w:pPr>
                  <w:r>
                    <w:rPr>
                      <w:rFonts w:hint="default" w:ascii="Times New Roman" w:hAnsi="Times New Roman" w:cs="Times New Roman"/>
                    </w:rPr>
                    <w:t>（GB3095-2012）二类</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3D042873">
                  <w:pPr>
                    <w:widowControl/>
                    <w:jc w:val="center"/>
                    <w:rPr>
                      <w:rFonts w:hint="default" w:ascii="Times New Roman" w:hAnsi="Times New Roman" w:cs="Times New Roman"/>
                    </w:rPr>
                  </w:pPr>
                  <w:r>
                    <w:rPr>
                      <w:rFonts w:hint="default" w:ascii="Times New Roman" w:hAnsi="Times New Roman" w:cs="Times New Roman"/>
                    </w:rPr>
                    <w:t>约</w:t>
                  </w:r>
                  <w:r>
                    <w:rPr>
                      <w:rFonts w:hint="default" w:ascii="Times New Roman" w:hAnsi="Times New Roman" w:cs="Times New Roman"/>
                      <w:lang w:val="en-US" w:eastAsia="zh-CN"/>
                    </w:rPr>
                    <w:t>50</w:t>
                  </w:r>
                  <w:r>
                    <w:rPr>
                      <w:rFonts w:hint="default" w:ascii="Times New Roman" w:hAnsi="Times New Roman" w:cs="Times New Roman"/>
                    </w:rPr>
                    <w:t>户</w:t>
                  </w:r>
                </w:p>
              </w:tc>
            </w:tr>
            <w:tr w14:paraId="3A33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66C7082">
                  <w:pPr>
                    <w:pStyle w:val="34"/>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27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A219DFF">
                  <w:pPr>
                    <w:widowControl/>
                    <w:jc w:val="center"/>
                    <w:textAlignment w:val="center"/>
                    <w:rPr>
                      <w:rFonts w:hint="default" w:ascii="Times New Roman" w:hAnsi="Times New Roman" w:eastAsia="宋体" w:cs="Times New Roman"/>
                      <w:lang w:eastAsia="zh-CN"/>
                    </w:rPr>
                  </w:pPr>
                  <w:r>
                    <w:rPr>
                      <w:rFonts w:hint="default" w:ascii="Times New Roman" w:hAnsi="Times New Roman" w:cs="Times New Roman"/>
                      <w:lang w:val="en-US" w:eastAsia="zh-CN"/>
                    </w:rPr>
                    <w:t>/</w:t>
                  </w:r>
                </w:p>
              </w:tc>
              <w:tc>
                <w:tcPr>
                  <w:tcW w:w="1107"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84D9D61">
                  <w:pPr>
                    <w:spacing w:beforeLines="0" w:afterLines="0"/>
                    <w:jc w:val="center"/>
                    <w:rPr>
                      <w:rFonts w:hint="default" w:ascii="Times New Roman" w:hAnsi="Times New Roman" w:cs="Times New Roman"/>
                    </w:rPr>
                  </w:pPr>
                  <w:r>
                    <w:rPr>
                      <w:rFonts w:hint="default" w:ascii="Times New Roman" w:hAnsi="Times New Roman" w:cs="Times New Roman"/>
                      <w:lang w:val="en-US" w:eastAsia="zh-CN"/>
                    </w:rPr>
                    <w:t>在建</w:t>
                  </w:r>
                  <w:r>
                    <w:rPr>
                      <w:rFonts w:hint="default" w:ascii="Times New Roman" w:hAnsi="Times New Roman" w:cs="Times New Roman"/>
                    </w:rPr>
                    <w:t>岳阳中心医院</w:t>
                  </w:r>
                </w:p>
              </w:tc>
              <w:tc>
                <w:tcPr>
                  <w:tcW w:w="82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E5076AA">
                  <w:pPr>
                    <w:jc w:val="center"/>
                    <w:rPr>
                      <w:rFonts w:hint="default" w:ascii="Times New Roman" w:hAnsi="Times New Roman" w:cs="Times New Roman"/>
                      <w:lang w:eastAsia="zh-CN"/>
                    </w:rPr>
                  </w:pPr>
                  <w:r>
                    <w:rPr>
                      <w:rFonts w:hint="default" w:ascii="Times New Roman" w:hAnsi="Times New Roman" w:cs="Times New Roman"/>
                      <w:lang w:val="en-US" w:eastAsia="zh-CN"/>
                    </w:rPr>
                    <w:t>医院</w:t>
                  </w:r>
                </w:p>
              </w:tc>
              <w:tc>
                <w:tcPr>
                  <w:tcW w:w="42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500203F">
                  <w:pPr>
                    <w:pStyle w:val="34"/>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73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C80F248">
                  <w:pPr>
                    <w:widowControl/>
                    <w:jc w:val="center"/>
                    <w:textAlignment w:val="center"/>
                    <w:rPr>
                      <w:rFonts w:hint="default" w:ascii="Times New Roman" w:hAnsi="Times New Roman" w:cs="Times New Roman"/>
                    </w:rPr>
                  </w:pPr>
                  <w:r>
                    <w:rPr>
                      <w:rFonts w:hint="default" w:ascii="Times New Roman" w:hAnsi="Times New Roman" w:eastAsia="宋体" w:cs="Times New Roman"/>
                      <w:lang w:val="en-US" w:eastAsia="zh-CN"/>
                    </w:rPr>
                    <w:t>/</w:t>
                  </w:r>
                </w:p>
              </w:tc>
              <w:tc>
                <w:tcPr>
                  <w:tcW w:w="55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DB4238B">
                  <w:pPr>
                    <w:widowControl/>
                    <w:jc w:val="center"/>
                    <w:textAlignment w:val="center"/>
                    <w:rPr>
                      <w:rFonts w:hint="default" w:ascii="Times New Roman" w:hAnsi="Times New Roman" w:cs="Times New Roman"/>
                    </w:rPr>
                  </w:pPr>
                  <w:r>
                    <w:rPr>
                      <w:rFonts w:hint="default" w:ascii="Times New Roman" w:hAnsi="Times New Roman" w:eastAsia="宋体" w:cs="Times New Roman"/>
                      <w:lang w:val="en-US" w:eastAsia="zh-CN"/>
                    </w:rPr>
                    <w:t>/</w:t>
                  </w:r>
                </w:p>
              </w:tc>
              <w:tc>
                <w:tcPr>
                  <w:tcW w:w="61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545345">
                  <w:pPr>
                    <w:pStyle w:val="34"/>
                    <w:rPr>
                      <w:rFonts w:hint="default" w:ascii="Times New Roman" w:hAnsi="Times New Roman" w:cs="Times New Roman"/>
                    </w:rPr>
                  </w:pPr>
                  <w:r>
                    <w:rPr>
                      <w:rFonts w:hint="default" w:ascii="Times New Roman" w:hAnsi="Times New Roman" w:cs="Times New Roman"/>
                    </w:rPr>
                    <w:t>0</w:t>
                  </w:r>
                </w:p>
              </w:tc>
              <w:tc>
                <w:tcPr>
                  <w:tcW w:w="183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0964CE3">
                  <w:pPr>
                    <w:pStyle w:val="34"/>
                    <w:rPr>
                      <w:rFonts w:hint="default" w:ascii="Times New Roman" w:hAnsi="Times New Roman" w:cs="Times New Roman"/>
                    </w:rPr>
                  </w:pPr>
                  <w:r>
                    <w:rPr>
                      <w:rFonts w:hint="default" w:ascii="Times New Roman" w:hAnsi="Times New Roman" w:cs="Times New Roman"/>
                    </w:rPr>
                    <w:t>（GB3095-2012）二类</w:t>
                  </w:r>
                </w:p>
              </w:tc>
              <w:tc>
                <w:tcPr>
                  <w:tcW w:w="93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9DC4FF8">
                  <w:pPr>
                    <w:pStyle w:val="34"/>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在建</w:t>
                  </w:r>
                </w:p>
              </w:tc>
            </w:tr>
            <w:tr w14:paraId="4562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 w:type="dxa"/>
                  <w:tcBorders>
                    <w:top w:val="single" w:color="auto" w:sz="4" w:space="0"/>
                    <w:left w:val="single" w:color="auto" w:sz="4" w:space="0"/>
                    <w:bottom w:val="single" w:color="auto" w:sz="4" w:space="0"/>
                    <w:right w:val="single" w:color="auto" w:sz="4" w:space="0"/>
                  </w:tcBorders>
                  <w:noWrap w:val="0"/>
                  <w:vAlign w:val="center"/>
                </w:tcPr>
                <w:p w14:paraId="189524CC">
                  <w:pPr>
                    <w:widowControl/>
                    <w:jc w:val="left"/>
                    <w:rPr>
                      <w:rFonts w:hint="default" w:ascii="Times New Roman" w:hAnsi="Times New Roman" w:cs="Times New Roman"/>
                      <w:lang w:eastAsia="zh-CN"/>
                    </w:rPr>
                  </w:pPr>
                  <w:r>
                    <w:rPr>
                      <w:rFonts w:hint="default" w:ascii="Times New Roman" w:hAnsi="Times New Roman" w:cs="Times New Roman"/>
                      <w:lang w:val="en-US" w:eastAsia="zh-CN"/>
                    </w:rPr>
                    <w:t>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3AD90C8">
                  <w:pPr>
                    <w:widowControl/>
                    <w:jc w:val="center"/>
                    <w:textAlignment w:val="center"/>
                    <w:rPr>
                      <w:rFonts w:hint="default" w:ascii="Times New Roman" w:hAnsi="Times New Roman" w:cs="Times New Roman"/>
                    </w:rPr>
                  </w:pPr>
                  <w:r>
                    <w:rPr>
                      <w:rFonts w:hint="default" w:ascii="Times New Roman" w:hAnsi="Times New Roman" w:cs="Times New Roman"/>
                    </w:rPr>
                    <w:t>K</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540</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7773DEF9">
                  <w:pPr>
                    <w:spacing w:beforeLines="0" w:afterLines="0"/>
                    <w:jc w:val="center"/>
                    <w:rPr>
                      <w:rFonts w:hint="default" w:ascii="Times New Roman" w:hAnsi="Times New Roman" w:cs="Times New Roman"/>
                    </w:rPr>
                  </w:pPr>
                  <w:r>
                    <w:rPr>
                      <w:rFonts w:hint="default" w:ascii="Times New Roman" w:hAnsi="Times New Roman" w:cs="Times New Roman"/>
                    </w:rPr>
                    <w:t>陈家垄居民点</w:t>
                  </w:r>
                </w:p>
              </w:tc>
              <w:tc>
                <w:tcPr>
                  <w:tcW w:w="822" w:type="dxa"/>
                  <w:tcBorders>
                    <w:top w:val="single" w:color="auto" w:sz="4" w:space="0"/>
                    <w:left w:val="single" w:color="auto" w:sz="4" w:space="0"/>
                    <w:bottom w:val="single" w:color="auto" w:sz="4" w:space="0"/>
                    <w:right w:val="single" w:color="auto" w:sz="4" w:space="0"/>
                  </w:tcBorders>
                  <w:noWrap w:val="0"/>
                  <w:vAlign w:val="center"/>
                </w:tcPr>
                <w:p w14:paraId="698504CC">
                  <w:pPr>
                    <w:jc w:val="center"/>
                    <w:rPr>
                      <w:rFonts w:hint="default" w:ascii="Times New Roman" w:hAnsi="Times New Roman" w:cs="Times New Roman"/>
                    </w:rPr>
                  </w:pPr>
                  <w:r>
                    <w:rPr>
                      <w:rFonts w:hint="default" w:ascii="Times New Roman" w:hAnsi="Times New Roman" w:cs="Times New Roman"/>
                      <w:lang w:val="en-US" w:eastAsia="zh-CN"/>
                    </w:rPr>
                    <w:t>居民区</w:t>
                  </w:r>
                </w:p>
              </w:tc>
              <w:tc>
                <w:tcPr>
                  <w:tcW w:w="42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B892227">
                  <w:pPr>
                    <w:pStyle w:val="34"/>
                    <w:rPr>
                      <w:rFonts w:hint="default" w:ascii="Times New Roman" w:hAnsi="Times New Roman" w:eastAsia="宋体" w:cs="Times New Roman"/>
                      <w:lang w:eastAsia="zh-CN"/>
                    </w:rPr>
                  </w:pPr>
                  <w:r>
                    <w:rPr>
                      <w:rFonts w:hint="default" w:ascii="Times New Roman" w:hAnsi="Times New Roman" w:cs="Times New Roman"/>
                    </w:rPr>
                    <w:t>路</w:t>
                  </w:r>
                  <w:r>
                    <w:rPr>
                      <w:rFonts w:hint="default" w:ascii="Times New Roman" w:hAnsi="Times New Roman" w:eastAsia="宋体" w:cs="Times New Roman"/>
                      <w:lang w:val="en-US" w:eastAsia="zh-CN"/>
                    </w:rPr>
                    <w:t>右</w:t>
                  </w:r>
                </w:p>
              </w:tc>
              <w:tc>
                <w:tcPr>
                  <w:tcW w:w="73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67D92C3">
                  <w:pPr>
                    <w:widowControl/>
                    <w:jc w:val="center"/>
                    <w:textAlignment w:val="center"/>
                    <w:rPr>
                      <w:rFonts w:hint="default" w:ascii="Times New Roman" w:hAnsi="Times New Roman" w:cs="Times New Roman"/>
                      <w:lang w:val="en-US"/>
                    </w:rPr>
                  </w:pPr>
                  <w:r>
                    <w:rPr>
                      <w:rFonts w:hint="default" w:ascii="Times New Roman" w:hAnsi="Times New Roman" w:cs="Times New Roman"/>
                      <w:lang w:val="en-US" w:eastAsia="zh-CN"/>
                    </w:rPr>
                    <w:t>32</w:t>
                  </w:r>
                </w:p>
              </w:tc>
              <w:tc>
                <w:tcPr>
                  <w:tcW w:w="55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C2042A1">
                  <w:pPr>
                    <w:widowControl/>
                    <w:jc w:val="center"/>
                    <w:textAlignment w:val="center"/>
                    <w:rPr>
                      <w:rFonts w:hint="default" w:ascii="Times New Roman" w:hAnsi="Times New Roman" w:cs="Times New Roman"/>
                      <w:lang w:val="en-US"/>
                    </w:rPr>
                  </w:pPr>
                  <w:r>
                    <w:rPr>
                      <w:rFonts w:hint="default" w:ascii="Times New Roman" w:hAnsi="Times New Roman" w:cs="Times New Roman"/>
                      <w:lang w:val="en-US" w:eastAsia="zh-CN"/>
                    </w:rPr>
                    <w:t>52</w:t>
                  </w:r>
                </w:p>
              </w:tc>
              <w:tc>
                <w:tcPr>
                  <w:tcW w:w="61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FC681F3">
                  <w:pPr>
                    <w:pStyle w:val="34"/>
                    <w:rPr>
                      <w:rFonts w:hint="default" w:ascii="Times New Roman" w:hAnsi="Times New Roman" w:cs="Times New Roman"/>
                    </w:rPr>
                  </w:pPr>
                  <w:r>
                    <w:rPr>
                      <w:rFonts w:hint="default" w:ascii="Times New Roman" w:hAnsi="Times New Roman" w:cs="Times New Roman"/>
                    </w:rPr>
                    <w:t>0</w:t>
                  </w:r>
                </w:p>
              </w:tc>
              <w:tc>
                <w:tcPr>
                  <w:tcW w:w="1838"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AD6385F">
                  <w:pPr>
                    <w:pStyle w:val="34"/>
                    <w:rPr>
                      <w:rFonts w:hint="default" w:ascii="Times New Roman" w:hAnsi="Times New Roman" w:cs="Times New Roman"/>
                    </w:rPr>
                  </w:pPr>
                  <w:r>
                    <w:rPr>
                      <w:rFonts w:hint="default" w:ascii="Times New Roman" w:hAnsi="Times New Roman" w:cs="Times New Roman"/>
                    </w:rPr>
                    <w:t>（GB3095-2012）二类</w:t>
                  </w:r>
                </w:p>
              </w:tc>
              <w:tc>
                <w:tcPr>
                  <w:tcW w:w="931"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CB77857">
                  <w:pPr>
                    <w:pStyle w:val="34"/>
                    <w:rPr>
                      <w:rFonts w:hint="default" w:ascii="Times New Roman" w:hAnsi="Times New Roman" w:cs="Times New Roman"/>
                    </w:rPr>
                  </w:pPr>
                  <w:r>
                    <w:rPr>
                      <w:rFonts w:hint="default" w:ascii="Times New Roman" w:hAnsi="Times New Roman" w:cs="Times New Roman"/>
                    </w:rPr>
                    <w:t>约</w:t>
                  </w:r>
                  <w:r>
                    <w:rPr>
                      <w:rFonts w:hint="default" w:ascii="Times New Roman" w:hAnsi="Times New Roman" w:cs="Times New Roman"/>
                      <w:lang w:val="en-US" w:eastAsia="zh-CN"/>
                    </w:rPr>
                    <w:t>25</w:t>
                  </w:r>
                  <w:r>
                    <w:rPr>
                      <w:rFonts w:hint="default" w:ascii="Times New Roman" w:hAnsi="Times New Roman" w:cs="Times New Roman"/>
                    </w:rPr>
                    <w:t>户</w:t>
                  </w:r>
                </w:p>
              </w:tc>
            </w:tr>
            <w:tr w14:paraId="38F5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 w:type="dxa"/>
                  <w:tcBorders>
                    <w:top w:val="single" w:color="auto" w:sz="4" w:space="0"/>
                    <w:left w:val="single" w:color="auto" w:sz="4" w:space="0"/>
                    <w:bottom w:val="single" w:color="auto" w:sz="4" w:space="0"/>
                    <w:right w:val="single" w:color="auto" w:sz="4" w:space="0"/>
                  </w:tcBorders>
                  <w:noWrap w:val="0"/>
                  <w:vAlign w:val="center"/>
                </w:tcPr>
                <w:p w14:paraId="7A103166">
                  <w:pPr>
                    <w:widowControl/>
                    <w:jc w:val="left"/>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4C3BB629">
                  <w:pPr>
                    <w:widowControl/>
                    <w:jc w:val="center"/>
                    <w:textAlignment w:val="center"/>
                    <w:rPr>
                      <w:rFonts w:hint="default" w:ascii="Times New Roman" w:hAnsi="Times New Roman" w:cs="Times New Roman"/>
                    </w:rPr>
                  </w:pPr>
                  <w:r>
                    <w:rPr>
                      <w:rFonts w:hint="default" w:ascii="Times New Roman" w:hAnsi="Times New Roman" w:cs="Times New Roman"/>
                    </w:rPr>
                    <w:t>K</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320</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42DB0B42">
                  <w:pPr>
                    <w:spacing w:beforeLines="0" w:afterLine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在建赶山片区全民建设中心</w:t>
                  </w:r>
                </w:p>
              </w:tc>
              <w:tc>
                <w:tcPr>
                  <w:tcW w:w="822" w:type="dxa"/>
                  <w:tcBorders>
                    <w:top w:val="single" w:color="auto" w:sz="4" w:space="0"/>
                    <w:left w:val="single" w:color="auto" w:sz="4" w:space="0"/>
                    <w:bottom w:val="single" w:color="auto" w:sz="4" w:space="0"/>
                    <w:right w:val="single" w:color="auto" w:sz="4" w:space="0"/>
                  </w:tcBorders>
                  <w:noWrap w:val="0"/>
                  <w:vAlign w:val="center"/>
                </w:tcPr>
                <w:p w14:paraId="102FDE58">
                  <w:pPr>
                    <w:rPr>
                      <w:rFonts w:hint="default" w:ascii="Times New Roman" w:hAnsi="Times New Roman" w:cs="Times New Roman"/>
                      <w:lang w:val="en-US" w:eastAsia="zh-CN"/>
                    </w:rPr>
                  </w:pPr>
                </w:p>
              </w:tc>
              <w:tc>
                <w:tcPr>
                  <w:tcW w:w="426"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F0036CE">
                  <w:pPr>
                    <w:pStyle w:val="34"/>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路右</w:t>
                  </w:r>
                </w:p>
              </w:tc>
              <w:tc>
                <w:tcPr>
                  <w:tcW w:w="732"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25E098F">
                  <w:pPr>
                    <w:widowControl/>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55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77557BB">
                  <w:pPr>
                    <w:widowControl/>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25</w:t>
                  </w:r>
                </w:p>
              </w:tc>
              <w:tc>
                <w:tcPr>
                  <w:tcW w:w="614"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6F4140A">
                  <w:pPr>
                    <w:pStyle w:val="34"/>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p>
              </w:tc>
              <w:tc>
                <w:tcPr>
                  <w:tcW w:w="1838"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0BB929C7">
                  <w:pPr>
                    <w:pStyle w:val="34"/>
                    <w:rPr>
                      <w:rFonts w:hint="default" w:ascii="Times New Roman" w:hAnsi="Times New Roman" w:eastAsia="Times New Roman" w:cs="Times New Roman"/>
                      <w:kern w:val="2"/>
                      <w:sz w:val="21"/>
                      <w:szCs w:val="24"/>
                      <w:lang w:val="en-US" w:eastAsia="zh-CN" w:bidi="ar-SA"/>
                    </w:rPr>
                  </w:pPr>
                  <w:r>
                    <w:rPr>
                      <w:rFonts w:hint="default" w:ascii="Times New Roman" w:hAnsi="Times New Roman" w:cs="Times New Roman"/>
                    </w:rPr>
                    <w:t>（GB3095-2012）二类</w:t>
                  </w:r>
                </w:p>
              </w:tc>
              <w:tc>
                <w:tcPr>
                  <w:tcW w:w="931"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15" w:type="dxa"/>
                    <w:right w:w="15" w:type="dxa"/>
                  </w:tcMar>
                  <w:vAlign w:val="center"/>
                </w:tcPr>
                <w:p w14:paraId="11532803">
                  <w:pPr>
                    <w:pStyle w:val="34"/>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在建</w:t>
                  </w:r>
                </w:p>
              </w:tc>
            </w:tr>
          </w:tbl>
          <w:p w14:paraId="76474C9A">
            <w:pPr>
              <w:spacing w:line="360" w:lineRule="auto"/>
              <w:rPr>
                <w:rFonts w:hint="default" w:ascii="Times New Roman" w:hAnsi="Times New Roman" w:cs="Times New Roman"/>
                <w:sz w:val="24"/>
                <w:szCs w:val="32"/>
              </w:rPr>
            </w:pPr>
            <w:r>
              <w:rPr>
                <w:rFonts w:hint="default" w:ascii="Times New Roman" w:hAnsi="Times New Roman" w:cs="Times New Roman"/>
                <w:sz w:val="24"/>
                <w:szCs w:val="32"/>
              </w:rPr>
              <w:t>3.7.4声环境保护目标</w:t>
            </w:r>
          </w:p>
          <w:p w14:paraId="1F50185D">
            <w:pPr>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距道路中心线200m范围内的声环境敏感点主要为沿线居民</w:t>
            </w:r>
            <w:r>
              <w:rPr>
                <w:rFonts w:hint="default" w:ascii="Times New Roman" w:hAnsi="Times New Roman" w:cs="Times New Roman"/>
                <w:sz w:val="24"/>
                <w:szCs w:val="24"/>
                <w:lang w:eastAsia="zh-CN"/>
              </w:rPr>
              <w:t>。</w:t>
            </w:r>
          </w:p>
          <w:p w14:paraId="2A814128">
            <w:pPr>
              <w:tabs>
                <w:tab w:val="left" w:pos="2952"/>
                <w:tab w:val="left" w:pos="6690"/>
              </w:tabs>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声环境保护级别：</w:t>
            </w:r>
            <w:r>
              <w:rPr>
                <w:rFonts w:hint="default" w:ascii="Times New Roman" w:hAnsi="Times New Roman" w:cs="Times New Roman"/>
                <w:color w:val="auto"/>
                <w:sz w:val="24"/>
                <w:szCs w:val="24"/>
              </w:rPr>
              <w:t>根据岳阳市人民政府关于印发《岳阳市中心城区声环境功能区划分（2019年修编稿）》的通知，声环境现状属于2类声功能区，执行2类标准；道路运营后，</w:t>
            </w:r>
            <w:r>
              <w:rPr>
                <w:rFonts w:hint="default" w:ascii="Times New Roman" w:hAnsi="Times New Roman" w:cs="Times New Roman"/>
                <w:color w:val="auto"/>
                <w:sz w:val="24"/>
                <w:szCs w:val="24"/>
                <w:lang w:eastAsia="zh-CN"/>
              </w:rPr>
              <w:t>红线</w:t>
            </w:r>
            <w:r>
              <w:rPr>
                <w:rFonts w:hint="default" w:ascii="Times New Roman" w:hAnsi="Times New Roman" w:cs="Times New Roman"/>
                <w:color w:val="auto"/>
                <w:sz w:val="24"/>
                <w:szCs w:val="24"/>
                <w:lang w:val="en-US" w:eastAsia="zh-CN"/>
              </w:rPr>
              <w:t>40m内执行4a类，40m外执行2类。</w:t>
            </w:r>
            <w:r>
              <w:rPr>
                <w:rFonts w:hint="default" w:ascii="Times New Roman" w:hAnsi="Times New Roman" w:cs="Times New Roman"/>
                <w:color w:val="auto"/>
                <w:sz w:val="24"/>
                <w:szCs w:val="24"/>
              </w:rPr>
              <w:t>本项目声环境保护目标主要为榨屋居民点</w:t>
            </w:r>
            <w:r>
              <w:rPr>
                <w:rFonts w:hint="default" w:ascii="Times New Roman" w:hAnsi="Times New Roman" w:cs="Times New Roman"/>
                <w:color w:val="auto"/>
                <w:sz w:val="24"/>
                <w:szCs w:val="24"/>
                <w:lang w:val="en-US" w:eastAsia="zh-CN"/>
              </w:rPr>
              <w:t>、陈家垄居民点、在建的岳阳中心医院及在建赶山片区全民建设中心。</w:t>
            </w:r>
            <w:r>
              <w:rPr>
                <w:rFonts w:hint="default" w:ascii="Times New Roman" w:hAnsi="Times New Roman" w:cs="Times New Roman"/>
                <w:color w:val="auto"/>
                <w:sz w:val="24"/>
                <w:szCs w:val="24"/>
              </w:rPr>
              <w:t>具体见《声专项》2.3节。</w:t>
            </w:r>
          </w:p>
          <w:p w14:paraId="1BF32085">
            <w:pPr>
              <w:tabs>
                <w:tab w:val="left" w:pos="2952"/>
                <w:tab w:val="left" w:pos="6690"/>
              </w:tabs>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default" w:ascii="Times New Roman" w:hAnsi="Times New Roman" w:cs="Times New Roman"/>
                <w:b/>
                <w:color w:val="000000"/>
                <w:sz w:val="21"/>
                <w:szCs w:val="21"/>
                <w:lang w:val="en-US" w:eastAsia="zh-CN"/>
              </w:rPr>
              <w:t>3.4-4</w:t>
            </w:r>
            <w:r>
              <w:rPr>
                <w:rFonts w:hint="default" w:ascii="Times New Roman" w:hAnsi="Times New Roman" w:eastAsia="宋体" w:cs="Times New Roman"/>
                <w:b/>
                <w:color w:val="000000"/>
                <w:sz w:val="21"/>
                <w:szCs w:val="21"/>
              </w:rPr>
              <w:t xml:space="preserve">  项目声环境保护目标一览表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1274"/>
              <w:gridCol w:w="1252"/>
              <w:gridCol w:w="426"/>
              <w:gridCol w:w="428"/>
              <w:gridCol w:w="518"/>
              <w:gridCol w:w="548"/>
              <w:gridCol w:w="615"/>
              <w:gridCol w:w="580"/>
              <w:gridCol w:w="399"/>
              <w:gridCol w:w="439"/>
              <w:gridCol w:w="1886"/>
            </w:tblGrid>
            <w:tr w14:paraId="2C6F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3"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7AA372D">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eastAsia="宋体" w:cs="Times New Roman"/>
                      <w:color w:val="000000"/>
                      <w:sz w:val="21"/>
                      <w:szCs w:val="21"/>
                      <w:u w:val="none"/>
                      <w:lang w:eastAsia="en-US"/>
                    </w:rPr>
                    <w:t>序号</w:t>
                  </w:r>
                </w:p>
              </w:tc>
              <w:tc>
                <w:tcPr>
                  <w:tcW w:w="671"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EDAB030">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eastAsia="宋体" w:cs="Times New Roman"/>
                      <w:color w:val="000000"/>
                      <w:sz w:val="21"/>
                      <w:szCs w:val="21"/>
                      <w:u w:val="none"/>
                      <w:lang w:eastAsia="en-US"/>
                    </w:rPr>
                    <w:t>桩号</w:t>
                  </w:r>
                </w:p>
              </w:tc>
              <w:tc>
                <w:tcPr>
                  <w:tcW w:w="731"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CED8B9A">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保护目标</w:t>
                  </w:r>
                </w:p>
              </w:tc>
              <w:tc>
                <w:tcPr>
                  <w:tcW w:w="223"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0C025B1">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eastAsia="宋体" w:cs="Times New Roman"/>
                      <w:color w:val="000000"/>
                      <w:sz w:val="21"/>
                      <w:szCs w:val="21"/>
                      <w:u w:val="none"/>
                      <w:lang w:eastAsia="en-US"/>
                    </w:rPr>
                    <w:t>类型</w:t>
                  </w:r>
                </w:p>
              </w:tc>
              <w:tc>
                <w:tcPr>
                  <w:tcW w:w="257"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28ABA83">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eastAsia="宋体" w:cs="Times New Roman"/>
                      <w:color w:val="000000"/>
                      <w:sz w:val="21"/>
                      <w:szCs w:val="21"/>
                      <w:u w:val="none"/>
                      <w:lang w:eastAsia="en-US"/>
                    </w:rPr>
                    <w:t>方向</w:t>
                  </w:r>
                </w:p>
              </w:tc>
              <w:tc>
                <w:tcPr>
                  <w:tcW w:w="309"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D947027">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保护目标距红线距离(m)</w:t>
                  </w:r>
                </w:p>
              </w:tc>
              <w:tc>
                <w:tcPr>
                  <w:tcW w:w="326"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4846A61">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保护目标距中心线距离(m)</w:t>
                  </w:r>
                </w:p>
              </w:tc>
              <w:tc>
                <w:tcPr>
                  <w:tcW w:w="352"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BEF3EBA">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高差</w:t>
                  </w:r>
                </w:p>
                <w:p w14:paraId="6A845AC9">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（m）</w:t>
                  </w:r>
                </w:p>
              </w:tc>
              <w:tc>
                <w:tcPr>
                  <w:tcW w:w="344"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080C1F2">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执行标准</w:t>
                  </w:r>
                </w:p>
              </w:tc>
              <w:tc>
                <w:tcPr>
                  <w:tcW w:w="503" w:type="pct"/>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79ADF7A">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eastAsia="宋体" w:cs="Times New Roman"/>
                      <w:color w:val="000000"/>
                      <w:sz w:val="21"/>
                      <w:szCs w:val="21"/>
                      <w:u w:val="none"/>
                    </w:rPr>
                    <w:t>户数</w:t>
                  </w:r>
                </w:p>
              </w:tc>
              <w:tc>
                <w:tcPr>
                  <w:tcW w:w="1095"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05DE58C">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lang w:eastAsia="en-US"/>
                    </w:rPr>
                    <w:t>环境情况</w:t>
                  </w:r>
                </w:p>
              </w:tc>
            </w:tr>
            <w:tr w14:paraId="2778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83" w:type="pct"/>
                  <w:vMerge w:val="continue"/>
                  <w:tcBorders>
                    <w:top w:val="single" w:color="auto" w:sz="4" w:space="0"/>
                    <w:left w:val="single" w:color="auto" w:sz="4" w:space="0"/>
                    <w:bottom w:val="single" w:color="auto" w:sz="4" w:space="0"/>
                    <w:right w:val="single" w:color="auto" w:sz="4" w:space="0"/>
                  </w:tcBorders>
                  <w:noWrap w:val="0"/>
                  <w:vAlign w:val="center"/>
                </w:tcPr>
                <w:p w14:paraId="6B0A18CC">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p>
              </w:tc>
              <w:tc>
                <w:tcPr>
                  <w:tcW w:w="671" w:type="pct"/>
                  <w:vMerge w:val="continue"/>
                  <w:tcBorders>
                    <w:top w:val="single" w:color="auto" w:sz="4" w:space="0"/>
                    <w:left w:val="single" w:color="auto" w:sz="4" w:space="0"/>
                    <w:bottom w:val="single" w:color="auto" w:sz="4" w:space="0"/>
                    <w:right w:val="single" w:color="auto" w:sz="4" w:space="0"/>
                  </w:tcBorders>
                  <w:noWrap w:val="0"/>
                  <w:vAlign w:val="center"/>
                </w:tcPr>
                <w:p w14:paraId="275F724F">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p>
              </w:tc>
              <w:tc>
                <w:tcPr>
                  <w:tcW w:w="731" w:type="pct"/>
                  <w:vMerge w:val="continue"/>
                  <w:tcBorders>
                    <w:top w:val="single" w:color="auto" w:sz="4" w:space="0"/>
                    <w:left w:val="single" w:color="auto" w:sz="4" w:space="0"/>
                    <w:bottom w:val="single" w:color="auto" w:sz="4" w:space="0"/>
                    <w:right w:val="single" w:color="auto" w:sz="4" w:space="0"/>
                  </w:tcBorders>
                  <w:noWrap w:val="0"/>
                  <w:vAlign w:val="center"/>
                </w:tcPr>
                <w:p w14:paraId="47C0C250">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p>
              </w:tc>
              <w:tc>
                <w:tcPr>
                  <w:tcW w:w="223" w:type="pct"/>
                  <w:vMerge w:val="continue"/>
                  <w:tcBorders>
                    <w:top w:val="single" w:color="auto" w:sz="4" w:space="0"/>
                    <w:left w:val="single" w:color="auto" w:sz="4" w:space="0"/>
                    <w:bottom w:val="single" w:color="auto" w:sz="4" w:space="0"/>
                    <w:right w:val="single" w:color="auto" w:sz="4" w:space="0"/>
                  </w:tcBorders>
                  <w:noWrap w:val="0"/>
                  <w:vAlign w:val="center"/>
                </w:tcPr>
                <w:p w14:paraId="5EC6E0B2">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p>
              </w:tc>
              <w:tc>
                <w:tcPr>
                  <w:tcW w:w="257" w:type="pct"/>
                  <w:vMerge w:val="continue"/>
                  <w:tcBorders>
                    <w:top w:val="single" w:color="auto" w:sz="4" w:space="0"/>
                    <w:left w:val="single" w:color="auto" w:sz="4" w:space="0"/>
                    <w:bottom w:val="single" w:color="auto" w:sz="4" w:space="0"/>
                    <w:right w:val="single" w:color="auto" w:sz="4" w:space="0"/>
                  </w:tcBorders>
                  <w:noWrap w:val="0"/>
                  <w:vAlign w:val="center"/>
                </w:tcPr>
                <w:p w14:paraId="1383B415">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p>
              </w:tc>
              <w:tc>
                <w:tcPr>
                  <w:tcW w:w="309" w:type="pct"/>
                  <w:vMerge w:val="continue"/>
                  <w:tcBorders>
                    <w:top w:val="single" w:color="auto" w:sz="4" w:space="0"/>
                    <w:left w:val="single" w:color="auto" w:sz="4" w:space="0"/>
                    <w:bottom w:val="single" w:color="auto" w:sz="4" w:space="0"/>
                    <w:right w:val="single" w:color="auto" w:sz="4" w:space="0"/>
                  </w:tcBorders>
                  <w:noWrap w:val="0"/>
                  <w:vAlign w:val="center"/>
                </w:tcPr>
                <w:p w14:paraId="361D7E65">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p>
              </w:tc>
              <w:tc>
                <w:tcPr>
                  <w:tcW w:w="326" w:type="pct"/>
                  <w:vMerge w:val="continue"/>
                  <w:tcBorders>
                    <w:top w:val="single" w:color="auto" w:sz="4" w:space="0"/>
                    <w:left w:val="single" w:color="auto" w:sz="4" w:space="0"/>
                    <w:bottom w:val="single" w:color="auto" w:sz="4" w:space="0"/>
                    <w:right w:val="single" w:color="auto" w:sz="4" w:space="0"/>
                  </w:tcBorders>
                  <w:noWrap w:val="0"/>
                  <w:vAlign w:val="center"/>
                </w:tcPr>
                <w:p w14:paraId="42801CFB">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p>
              </w:tc>
              <w:tc>
                <w:tcPr>
                  <w:tcW w:w="352" w:type="pct"/>
                  <w:vMerge w:val="continue"/>
                  <w:tcBorders>
                    <w:top w:val="single" w:color="auto" w:sz="4" w:space="0"/>
                    <w:left w:val="single" w:color="auto" w:sz="4" w:space="0"/>
                    <w:bottom w:val="single" w:color="auto" w:sz="4" w:space="0"/>
                    <w:right w:val="single" w:color="auto" w:sz="4" w:space="0"/>
                  </w:tcBorders>
                  <w:noWrap w:val="0"/>
                  <w:vAlign w:val="center"/>
                </w:tcPr>
                <w:p w14:paraId="02BB1144">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p>
              </w:tc>
              <w:tc>
                <w:tcPr>
                  <w:tcW w:w="344" w:type="pct"/>
                  <w:vMerge w:val="continue"/>
                  <w:tcBorders>
                    <w:top w:val="single" w:color="auto" w:sz="4" w:space="0"/>
                    <w:left w:val="single" w:color="auto" w:sz="4" w:space="0"/>
                    <w:bottom w:val="single" w:color="auto" w:sz="4" w:space="0"/>
                    <w:right w:val="single" w:color="auto" w:sz="4" w:space="0"/>
                  </w:tcBorders>
                  <w:noWrap w:val="0"/>
                  <w:vAlign w:val="center"/>
                </w:tcPr>
                <w:p w14:paraId="6A610C61">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p>
              </w:tc>
              <w:tc>
                <w:tcPr>
                  <w:tcW w:w="240"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C87B53D">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4a类区</w:t>
                  </w:r>
                </w:p>
              </w:tc>
              <w:tc>
                <w:tcPr>
                  <w:tcW w:w="26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52BF1DB">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u w:val="none"/>
                    </w:rPr>
                    <w:t>2类区</w:t>
                  </w:r>
                </w:p>
              </w:tc>
              <w:tc>
                <w:tcPr>
                  <w:tcW w:w="1095" w:type="pct"/>
                  <w:vMerge w:val="continue"/>
                  <w:tcBorders>
                    <w:top w:val="single" w:color="auto" w:sz="4" w:space="0"/>
                    <w:left w:val="single" w:color="auto" w:sz="4" w:space="0"/>
                    <w:bottom w:val="single" w:color="auto" w:sz="4" w:space="0"/>
                    <w:right w:val="single" w:color="auto" w:sz="4" w:space="0"/>
                  </w:tcBorders>
                  <w:noWrap w:val="0"/>
                  <w:vAlign w:val="center"/>
                </w:tcPr>
                <w:p w14:paraId="27101B5F">
                  <w:pPr>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p>
              </w:tc>
            </w:tr>
            <w:tr w14:paraId="7FE0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83" w:type="pct"/>
                  <w:tcBorders>
                    <w:top w:val="single" w:color="auto" w:sz="4" w:space="0"/>
                    <w:left w:val="single" w:color="auto" w:sz="4" w:space="0"/>
                    <w:bottom w:val="single" w:color="auto" w:sz="4" w:space="0"/>
                    <w:right w:val="single" w:color="auto" w:sz="4" w:space="0"/>
                  </w:tcBorders>
                  <w:noWrap w:val="0"/>
                  <w:vAlign w:val="center"/>
                </w:tcPr>
                <w:p w14:paraId="095018C0">
                  <w:pPr>
                    <w:keepNext w:val="0"/>
                    <w:keepLines w:val="0"/>
                    <w:pageBreakBefore w:val="0"/>
                    <w:widowControl/>
                    <w:kinsoku/>
                    <w:wordWrap/>
                    <w:overflowPunct/>
                    <w:topLinePunct w:val="0"/>
                    <w:bidi w:val="0"/>
                    <w:adjustRightInd/>
                    <w:snapToGrid/>
                    <w:ind w:firstLine="0" w:firstLineChars="0"/>
                    <w:jc w:val="center"/>
                    <w:rPr>
                      <w:rFonts w:hint="default" w:ascii="Times New Roman" w:hAnsi="Times New Roman" w:eastAsia="宋体" w:cs="Times New Roman"/>
                      <w:color w:val="000000"/>
                      <w:sz w:val="21"/>
                      <w:szCs w:val="21"/>
                      <w:u w:val="none"/>
                      <w:lang w:eastAsia="en-US"/>
                    </w:rPr>
                  </w:pPr>
                  <w:r>
                    <w:rPr>
                      <w:rFonts w:hint="default" w:ascii="Times New Roman" w:hAnsi="Times New Roman" w:cs="Times New Roman"/>
                      <w:color w:val="000000"/>
                      <w:highlight w:val="none"/>
                      <w:u w:val="none"/>
                    </w:rPr>
                    <w:t>1</w:t>
                  </w:r>
                </w:p>
              </w:tc>
              <w:tc>
                <w:tcPr>
                  <w:tcW w:w="671" w:type="pct"/>
                  <w:tcBorders>
                    <w:top w:val="single" w:color="auto" w:sz="4" w:space="0"/>
                    <w:left w:val="single" w:color="auto" w:sz="4" w:space="0"/>
                    <w:bottom w:val="single" w:color="auto" w:sz="4" w:space="0"/>
                    <w:right w:val="single" w:color="auto" w:sz="4" w:space="0"/>
                  </w:tcBorders>
                  <w:noWrap w:val="0"/>
                  <w:vAlign w:val="center"/>
                </w:tcPr>
                <w:p w14:paraId="40586A33">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sz w:val="21"/>
                      <w:szCs w:val="21"/>
                      <w:u w:val="none"/>
                      <w:lang w:eastAsia="en-US"/>
                    </w:rPr>
                  </w:pPr>
                  <w:r>
                    <w:rPr>
                      <w:rFonts w:hint="default" w:ascii="Times New Roman" w:hAnsi="Times New Roman" w:cs="Times New Roman"/>
                    </w:rPr>
                    <w:t>K1+297.962</w:t>
                  </w:r>
                </w:p>
              </w:tc>
              <w:tc>
                <w:tcPr>
                  <w:tcW w:w="731" w:type="pct"/>
                  <w:tcBorders>
                    <w:top w:val="single" w:color="auto" w:sz="4" w:space="0"/>
                    <w:left w:val="single" w:color="auto" w:sz="4" w:space="0"/>
                    <w:bottom w:val="single" w:color="auto" w:sz="4" w:space="0"/>
                    <w:right w:val="single" w:color="auto" w:sz="4" w:space="0"/>
                  </w:tcBorders>
                  <w:noWrap w:val="0"/>
                  <w:vAlign w:val="center"/>
                </w:tcPr>
                <w:p w14:paraId="1D0375E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rPr>
                    <w:t>榨屋居民点</w:t>
                  </w:r>
                </w:p>
              </w:tc>
              <w:tc>
                <w:tcPr>
                  <w:tcW w:w="223" w:type="pct"/>
                  <w:tcBorders>
                    <w:top w:val="single" w:color="auto" w:sz="4" w:space="0"/>
                    <w:left w:val="single" w:color="auto" w:sz="4" w:space="0"/>
                    <w:bottom w:val="single" w:color="auto" w:sz="4" w:space="0"/>
                    <w:right w:val="single" w:color="auto" w:sz="4" w:space="0"/>
                  </w:tcBorders>
                  <w:noWrap w:val="0"/>
                  <w:vAlign w:val="center"/>
                </w:tcPr>
                <w:p w14:paraId="7D1B79AE">
                  <w:pPr>
                    <w:keepNext w:val="0"/>
                    <w:keepLines w:val="0"/>
                    <w:pageBreakBefore w:val="0"/>
                    <w:widowControl/>
                    <w:kinsoku/>
                    <w:wordWrap/>
                    <w:overflowPunct/>
                    <w:topLinePunct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color w:val="000000"/>
                      <w:highlight w:val="none"/>
                      <w:u w:val="none"/>
                    </w:rPr>
                    <w:t>居民区</w:t>
                  </w:r>
                </w:p>
              </w:tc>
              <w:tc>
                <w:tcPr>
                  <w:tcW w:w="257" w:type="pct"/>
                  <w:tcBorders>
                    <w:top w:val="single" w:color="auto" w:sz="4" w:space="0"/>
                    <w:left w:val="single" w:color="auto" w:sz="4" w:space="0"/>
                    <w:bottom w:val="single" w:color="auto" w:sz="4" w:space="0"/>
                    <w:right w:val="single" w:color="auto" w:sz="4" w:space="0"/>
                  </w:tcBorders>
                  <w:noWrap w:val="0"/>
                  <w:vAlign w:val="center"/>
                </w:tcPr>
                <w:p w14:paraId="41811D34">
                  <w:pPr>
                    <w:keepNext w:val="0"/>
                    <w:keepLines w:val="0"/>
                    <w:pageBreakBefore w:val="0"/>
                    <w:widowControl/>
                    <w:kinsoku/>
                    <w:wordWrap/>
                    <w:overflowPunct/>
                    <w:topLinePunct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color w:val="000000" w:themeColor="text1"/>
                      <w:sz w:val="21"/>
                      <w:szCs w:val="21"/>
                      <w14:textFill>
                        <w14:solidFill>
                          <w14:schemeClr w14:val="tx1"/>
                        </w14:solidFill>
                      </w14:textFill>
                    </w:rPr>
                    <w:t>路左</w:t>
                  </w:r>
                </w:p>
              </w:tc>
              <w:tc>
                <w:tcPr>
                  <w:tcW w:w="309" w:type="pct"/>
                  <w:tcBorders>
                    <w:top w:val="single" w:color="auto" w:sz="4" w:space="0"/>
                    <w:left w:val="single" w:color="auto" w:sz="4" w:space="0"/>
                    <w:bottom w:val="single" w:color="auto" w:sz="4" w:space="0"/>
                    <w:right w:val="single" w:color="auto" w:sz="4" w:space="0"/>
                  </w:tcBorders>
                  <w:noWrap w:val="0"/>
                  <w:vAlign w:val="center"/>
                </w:tcPr>
                <w:p w14:paraId="05603F7A">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cs="Times New Roman"/>
                      <w:lang w:val="en-US" w:eastAsia="zh-CN"/>
                    </w:rPr>
                    <w:t>7</w:t>
                  </w:r>
                </w:p>
              </w:tc>
              <w:tc>
                <w:tcPr>
                  <w:tcW w:w="326" w:type="pct"/>
                  <w:tcBorders>
                    <w:top w:val="single" w:color="auto" w:sz="4" w:space="0"/>
                    <w:left w:val="single" w:color="auto" w:sz="4" w:space="0"/>
                    <w:bottom w:val="single" w:color="auto" w:sz="4" w:space="0"/>
                    <w:right w:val="single" w:color="auto" w:sz="4" w:space="0"/>
                  </w:tcBorders>
                  <w:noWrap w:val="0"/>
                  <w:vAlign w:val="center"/>
                </w:tcPr>
                <w:p w14:paraId="3F96F5F1">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cs="Times New Roman"/>
                      <w:lang w:val="en-US" w:eastAsia="zh-CN"/>
                    </w:rPr>
                    <w:t>27</w:t>
                  </w:r>
                </w:p>
              </w:tc>
              <w:tc>
                <w:tcPr>
                  <w:tcW w:w="352" w:type="pct"/>
                  <w:tcBorders>
                    <w:top w:val="single" w:color="auto" w:sz="4" w:space="0"/>
                    <w:left w:val="single" w:color="auto" w:sz="4" w:space="0"/>
                    <w:bottom w:val="single" w:color="auto" w:sz="4" w:space="0"/>
                    <w:right w:val="single" w:color="auto" w:sz="4" w:space="0"/>
                  </w:tcBorders>
                  <w:noWrap w:val="0"/>
                  <w:vAlign w:val="center"/>
                </w:tcPr>
                <w:p w14:paraId="39BAB1D9">
                  <w:pPr>
                    <w:keepNext w:val="0"/>
                    <w:keepLines w:val="0"/>
                    <w:pageBreakBefore w:val="0"/>
                    <w:widowControl/>
                    <w:kinsoku/>
                    <w:wordWrap/>
                    <w:overflowPunct/>
                    <w:topLinePunct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color w:val="000000"/>
                      <w:highlight w:val="none"/>
                      <w:u w:val="none"/>
                    </w:rPr>
                    <w:t>0</w:t>
                  </w:r>
                </w:p>
              </w:tc>
              <w:tc>
                <w:tcPr>
                  <w:tcW w:w="344" w:type="pct"/>
                  <w:tcBorders>
                    <w:top w:val="single" w:color="auto" w:sz="4" w:space="0"/>
                    <w:left w:val="single" w:color="auto" w:sz="4" w:space="0"/>
                    <w:bottom w:val="single" w:color="auto" w:sz="4" w:space="0"/>
                    <w:right w:val="single" w:color="auto" w:sz="4" w:space="0"/>
                  </w:tcBorders>
                  <w:noWrap w:val="0"/>
                  <w:vAlign w:val="center"/>
                </w:tcPr>
                <w:p w14:paraId="3A678113">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rPr>
                    <w:t>4a类</w:t>
                  </w:r>
                </w:p>
              </w:tc>
              <w:tc>
                <w:tcPr>
                  <w:tcW w:w="240"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41C56BD">
                  <w:pPr>
                    <w:pStyle w:val="34"/>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20</w:t>
                  </w:r>
                </w:p>
              </w:tc>
              <w:tc>
                <w:tcPr>
                  <w:tcW w:w="26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EEFF446">
                  <w:pPr>
                    <w:pStyle w:val="34"/>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sz w:val="21"/>
                      <w:szCs w:val="21"/>
                      <w:highlight w:val="yellow"/>
                      <w:u w:val="none"/>
                      <w:lang w:val="en-US" w:eastAsia="zh-CN"/>
                    </w:rPr>
                  </w:pPr>
                  <w:r>
                    <w:rPr>
                      <w:rFonts w:hint="default" w:ascii="Times New Roman" w:hAnsi="Times New Roman" w:eastAsia="宋体" w:cs="Times New Roman"/>
                      <w:color w:val="000000"/>
                      <w:sz w:val="21"/>
                      <w:szCs w:val="21"/>
                      <w:u w:val="none"/>
                      <w:lang w:val="en-US" w:eastAsia="zh-CN"/>
                    </w:rPr>
                    <w:t>30</w:t>
                  </w:r>
                </w:p>
              </w:tc>
              <w:tc>
                <w:tcPr>
                  <w:tcW w:w="1095" w:type="pct"/>
                  <w:tcBorders>
                    <w:top w:val="single" w:color="auto" w:sz="4" w:space="0"/>
                    <w:left w:val="single" w:color="auto" w:sz="4" w:space="0"/>
                    <w:bottom w:val="single" w:color="auto" w:sz="4" w:space="0"/>
                    <w:right w:val="single" w:color="auto" w:sz="4" w:space="0"/>
                  </w:tcBorders>
                  <w:noWrap w:val="0"/>
                  <w:vAlign w:val="center"/>
                </w:tcPr>
                <w:p w14:paraId="35BF740F">
                  <w:pPr>
                    <w:keepNext w:val="0"/>
                    <w:keepLines w:val="0"/>
                    <w:pageBreakBefore w:val="0"/>
                    <w:widowControl/>
                    <w:kinsoku/>
                    <w:wordWrap/>
                    <w:overflowPunct/>
                    <w:topLinePunct w:val="0"/>
                    <w:bidi w:val="0"/>
                    <w:adjustRightInd/>
                    <w:snapToGrid/>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color w:val="000000"/>
                      <w:highlight w:val="none"/>
                      <w:u w:val="none"/>
                    </w:rPr>
                    <w:t>约</w:t>
                  </w:r>
                  <w:r>
                    <w:rPr>
                      <w:rFonts w:hint="default" w:ascii="Times New Roman" w:hAnsi="Times New Roman" w:cs="Times New Roman"/>
                      <w:color w:val="000000"/>
                      <w:highlight w:val="none"/>
                      <w:u w:val="none"/>
                      <w:lang w:val="en-US" w:eastAsia="zh-CN"/>
                    </w:rPr>
                    <w:t>50</w:t>
                  </w:r>
                  <w:r>
                    <w:rPr>
                      <w:rFonts w:hint="default" w:ascii="Times New Roman" w:hAnsi="Times New Roman" w:cs="Times New Roman"/>
                      <w:color w:val="000000"/>
                      <w:highlight w:val="none"/>
                      <w:u w:val="none"/>
                    </w:rPr>
                    <w:t>户</w:t>
                  </w:r>
                </w:p>
              </w:tc>
            </w:tr>
            <w:tr w14:paraId="330B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C5934C6">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lang w:eastAsia="zh-CN"/>
                    </w:rPr>
                  </w:pPr>
                  <w:r>
                    <w:rPr>
                      <w:rFonts w:hint="default" w:ascii="Times New Roman" w:hAnsi="Times New Roman" w:eastAsia="宋体" w:cs="Times New Roman"/>
                      <w:color w:val="000000"/>
                      <w:highlight w:val="none"/>
                      <w:u w:val="none"/>
                      <w:lang w:val="en-US" w:eastAsia="zh-CN"/>
                    </w:rPr>
                    <w:t>2</w:t>
                  </w:r>
                </w:p>
              </w:tc>
              <w:tc>
                <w:tcPr>
                  <w:tcW w:w="671"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88D6828">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cs="Times New Roman"/>
                      <w:color w:val="000000"/>
                      <w:kern w:val="2"/>
                      <w:sz w:val="21"/>
                      <w:szCs w:val="21"/>
                      <w:u w:val="none"/>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95CE37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eastAsia="宋体" w:cs="Times New Roman"/>
                      <w:color w:val="000000"/>
                      <w:kern w:val="2"/>
                      <w:sz w:val="21"/>
                      <w:szCs w:val="21"/>
                      <w:u w:val="none"/>
                      <w:lang w:eastAsia="en-US"/>
                    </w:rPr>
                    <w:t>在建岳阳中心医院</w:t>
                  </w:r>
                </w:p>
              </w:tc>
              <w:tc>
                <w:tcPr>
                  <w:tcW w:w="22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21EFA45">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cs="Times New Roman"/>
                      <w:color w:val="000000"/>
                      <w:kern w:val="2"/>
                      <w:sz w:val="21"/>
                      <w:szCs w:val="21"/>
                      <w:u w:val="none"/>
                      <w:lang w:val="en-US" w:eastAsia="zh-CN"/>
                    </w:rPr>
                    <w:t>医院</w:t>
                  </w:r>
                </w:p>
              </w:tc>
              <w:tc>
                <w:tcPr>
                  <w:tcW w:w="257"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00DADD0">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rPr>
                  </w:pPr>
                  <w:r>
                    <w:rPr>
                      <w:rFonts w:hint="default" w:ascii="Times New Roman" w:hAnsi="Times New Roman" w:cs="Times New Roman"/>
                      <w:color w:val="000000" w:themeColor="text1"/>
                      <w:sz w:val="21"/>
                      <w:szCs w:val="21"/>
                      <w14:textFill>
                        <w14:solidFill>
                          <w14:schemeClr w14:val="tx1"/>
                        </w14:solidFill>
                      </w14:textFill>
                    </w:rPr>
                    <w:t>路</w:t>
                  </w:r>
                  <w:r>
                    <w:rPr>
                      <w:rFonts w:hint="default" w:ascii="Times New Roman" w:hAnsi="Times New Roman" w:cs="Times New Roman"/>
                      <w:color w:val="000000" w:themeColor="text1"/>
                      <w:sz w:val="21"/>
                      <w:szCs w:val="21"/>
                      <w:lang w:val="en-US" w:eastAsia="zh-CN"/>
                      <w14:textFill>
                        <w14:solidFill>
                          <w14:schemeClr w14:val="tx1"/>
                        </w14:solidFill>
                      </w14:textFill>
                    </w:rPr>
                    <w:t>右</w:t>
                  </w:r>
                </w:p>
              </w:tc>
              <w:tc>
                <w:tcPr>
                  <w:tcW w:w="309"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D018173">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326"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BBE5300">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cs="Times New Roman"/>
                      <w:color w:val="000000"/>
                      <w:kern w:val="2"/>
                      <w:sz w:val="21"/>
                      <w:szCs w:val="21"/>
                      <w:u w:val="none"/>
                      <w:lang w:val="en-US" w:eastAsia="zh-CN"/>
                    </w:rPr>
                    <w:t>/</w:t>
                  </w:r>
                </w:p>
              </w:tc>
              <w:tc>
                <w:tcPr>
                  <w:tcW w:w="35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911C2DD">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344"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292EF89">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w:t>
                  </w:r>
                </w:p>
              </w:tc>
              <w:tc>
                <w:tcPr>
                  <w:tcW w:w="240"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227E8F53">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eastAsia="zh-CN"/>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26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4CF2DA0">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highlight w:val="none"/>
                      <w:u w:val="none"/>
                      <w:lang w:val="en-US" w:eastAsia="zh-CN"/>
                    </w:rPr>
                  </w:pPr>
                  <w:r>
                    <w:rPr>
                      <w:rFonts w:hint="default" w:ascii="Times New Roman" w:hAnsi="Times New Roman" w:cs="Times New Roman"/>
                      <w:color w:val="000000"/>
                      <w:kern w:val="2"/>
                      <w:sz w:val="21"/>
                      <w:szCs w:val="21"/>
                      <w:u w:val="none"/>
                      <w:lang w:val="en-US" w:eastAsia="zh-CN"/>
                    </w:rPr>
                    <w:t>/</w:t>
                  </w:r>
                </w:p>
              </w:tc>
              <w:tc>
                <w:tcPr>
                  <w:tcW w:w="1095"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313BD8C">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r>
            <w:tr w14:paraId="39C7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F07D084">
                  <w:pPr>
                    <w:keepNext w:val="0"/>
                    <w:keepLines w:val="0"/>
                    <w:pageBreakBefore w:val="0"/>
                    <w:widowControl/>
                    <w:kinsoku/>
                    <w:wordWrap/>
                    <w:overflowPunct/>
                    <w:topLinePunct w:val="0"/>
                    <w:bidi w:val="0"/>
                    <w:adjustRightInd/>
                    <w:snapToGrid/>
                    <w:ind w:firstLine="0" w:firstLineChars="0"/>
                    <w:jc w:val="left"/>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cs="Times New Roman"/>
                      <w:color w:val="000000"/>
                      <w:kern w:val="2"/>
                      <w:sz w:val="21"/>
                      <w:szCs w:val="21"/>
                      <w:u w:val="none"/>
                      <w:lang w:val="en-US" w:eastAsia="zh-CN"/>
                    </w:rPr>
                    <w:t>3</w:t>
                  </w:r>
                </w:p>
              </w:tc>
              <w:tc>
                <w:tcPr>
                  <w:tcW w:w="671"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431B84D">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cs="Times New Roman"/>
                    </w:rPr>
                    <w:t>K</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540</w:t>
                  </w:r>
                </w:p>
              </w:tc>
              <w:tc>
                <w:tcPr>
                  <w:tcW w:w="731"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F468B8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rPr>
                    <w:t>陈家垄居民点</w:t>
                  </w:r>
                </w:p>
              </w:tc>
              <w:tc>
                <w:tcPr>
                  <w:tcW w:w="22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F5BA82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highlight w:val="none"/>
                      <w:u w:val="none"/>
                      <w:lang w:val="en-US" w:eastAsia="zh-CN"/>
                    </w:rPr>
                    <w:t>居民区</w:t>
                  </w:r>
                </w:p>
              </w:tc>
              <w:tc>
                <w:tcPr>
                  <w:tcW w:w="257"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CA8D364">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lang w:eastAsia="zh-CN"/>
                    </w:rPr>
                  </w:pPr>
                  <w:r>
                    <w:rPr>
                      <w:rFonts w:hint="default" w:ascii="Times New Roman" w:hAnsi="Times New Roman" w:cs="Times New Roman"/>
                      <w:color w:val="000000"/>
                      <w:sz w:val="21"/>
                      <w:szCs w:val="21"/>
                      <w:highlight w:val="none"/>
                      <w:u w:val="none"/>
                    </w:rPr>
                    <w:t>路</w:t>
                  </w:r>
                  <w:r>
                    <w:rPr>
                      <w:rFonts w:hint="default" w:ascii="Times New Roman" w:hAnsi="Times New Roman" w:eastAsia="宋体" w:cs="Times New Roman"/>
                      <w:color w:val="000000"/>
                      <w:sz w:val="21"/>
                      <w:szCs w:val="21"/>
                      <w:highlight w:val="none"/>
                      <w:u w:val="none"/>
                      <w:lang w:val="en-US" w:eastAsia="zh-CN"/>
                    </w:rPr>
                    <w:t>右</w:t>
                  </w:r>
                </w:p>
              </w:tc>
              <w:tc>
                <w:tcPr>
                  <w:tcW w:w="309"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C493AF9">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lang w:val="en-US" w:eastAsia="zh-CN"/>
                    </w:rPr>
                    <w:t>32</w:t>
                  </w:r>
                </w:p>
              </w:tc>
              <w:tc>
                <w:tcPr>
                  <w:tcW w:w="326"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549F429">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lang w:val="en-US" w:eastAsia="zh-CN"/>
                    </w:rPr>
                    <w:t>52</w:t>
                  </w:r>
                </w:p>
              </w:tc>
              <w:tc>
                <w:tcPr>
                  <w:tcW w:w="35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D981788">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Cs w:val="21"/>
                      <w:highlight w:val="none"/>
                      <w:u w:val="none"/>
                    </w:rPr>
                    <w:t>0</w:t>
                  </w:r>
                </w:p>
              </w:tc>
              <w:tc>
                <w:tcPr>
                  <w:tcW w:w="344"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AE1DDEB">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 w:val="21"/>
                      <w:szCs w:val="21"/>
                    </w:rPr>
                    <w:t>4a类</w:t>
                  </w:r>
                </w:p>
              </w:tc>
              <w:tc>
                <w:tcPr>
                  <w:tcW w:w="240"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8202959">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cs="Times New Roman"/>
                      <w:color w:val="000000"/>
                      <w:kern w:val="2"/>
                      <w:sz w:val="21"/>
                      <w:szCs w:val="21"/>
                      <w:u w:val="none"/>
                      <w:lang w:val="en-US" w:eastAsia="zh-CN"/>
                    </w:rPr>
                    <w:t>5</w:t>
                  </w:r>
                </w:p>
              </w:tc>
              <w:tc>
                <w:tcPr>
                  <w:tcW w:w="26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19E9ACEA">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highlight w:val="none"/>
                      <w:u w:val="none"/>
                      <w:lang w:val="en-US" w:eastAsia="zh-CN"/>
                    </w:rPr>
                  </w:pPr>
                  <w:r>
                    <w:rPr>
                      <w:rFonts w:hint="default" w:ascii="Times New Roman" w:hAnsi="Times New Roman" w:cs="Times New Roman"/>
                      <w:color w:val="000000"/>
                      <w:kern w:val="2"/>
                      <w:sz w:val="21"/>
                      <w:szCs w:val="21"/>
                      <w:highlight w:val="none"/>
                      <w:u w:val="none"/>
                      <w:lang w:val="en-US" w:eastAsia="zh-CN"/>
                    </w:rPr>
                    <w:t>20</w:t>
                  </w:r>
                </w:p>
              </w:tc>
              <w:tc>
                <w:tcPr>
                  <w:tcW w:w="1095"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01F6521">
                  <w:pPr>
                    <w:pStyle w:val="34"/>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color w:val="000000"/>
                      <w:highlight w:val="none"/>
                      <w:u w:val="none"/>
                    </w:rPr>
                    <w:t>约</w:t>
                  </w:r>
                  <w:r>
                    <w:rPr>
                      <w:rFonts w:hint="default" w:ascii="Times New Roman" w:hAnsi="Times New Roman" w:eastAsia="宋体" w:cs="Times New Roman"/>
                      <w:color w:val="000000"/>
                      <w:highlight w:val="none"/>
                      <w:u w:val="none"/>
                      <w:lang w:val="en-US" w:eastAsia="zh-CN"/>
                    </w:rPr>
                    <w:t>25</w:t>
                  </w:r>
                  <w:r>
                    <w:rPr>
                      <w:rFonts w:hint="default" w:ascii="Times New Roman" w:hAnsi="Times New Roman" w:cs="Times New Roman"/>
                      <w:color w:val="000000"/>
                      <w:highlight w:val="none"/>
                      <w:u w:val="none"/>
                    </w:rPr>
                    <w:t>户</w:t>
                  </w:r>
                </w:p>
              </w:tc>
            </w:tr>
            <w:tr w14:paraId="1E1A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D88E473">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lang w:eastAsia="zh-CN"/>
                    </w:rPr>
                  </w:pPr>
                  <w:r>
                    <w:rPr>
                      <w:rFonts w:hint="default" w:ascii="Times New Roman" w:hAnsi="Times New Roman" w:eastAsia="宋体" w:cs="Times New Roman"/>
                      <w:color w:val="000000"/>
                      <w:highlight w:val="none"/>
                      <w:u w:val="none"/>
                      <w:lang w:val="en-US" w:eastAsia="zh-CN"/>
                    </w:rPr>
                    <w:t>4</w:t>
                  </w:r>
                </w:p>
              </w:tc>
              <w:tc>
                <w:tcPr>
                  <w:tcW w:w="671"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A2FCB92">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eastAsia="en-US"/>
                    </w:rPr>
                  </w:pPr>
                  <w:r>
                    <w:rPr>
                      <w:rFonts w:hint="default" w:ascii="Times New Roman" w:hAnsi="Times New Roman" w:cs="Times New Roman"/>
                    </w:rPr>
                    <w:t>K</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320</w:t>
                  </w:r>
                </w:p>
              </w:tc>
              <w:tc>
                <w:tcPr>
                  <w:tcW w:w="731"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2E0DA9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lang w:val="en-US" w:eastAsia="zh-CN"/>
                    </w:rPr>
                    <w:t>在建赶山片区全民建设中心</w:t>
                  </w:r>
                </w:p>
              </w:tc>
              <w:tc>
                <w:tcPr>
                  <w:tcW w:w="22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2C9A6F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highlight w:val="none"/>
                      <w:u w:val="none"/>
                      <w:lang w:val="en-US" w:eastAsia="zh-CN"/>
                    </w:rPr>
                    <w:t>居民区</w:t>
                  </w:r>
                </w:p>
              </w:tc>
              <w:tc>
                <w:tcPr>
                  <w:tcW w:w="257"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FB0C8E1">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rPr>
                  </w:pPr>
                  <w:r>
                    <w:rPr>
                      <w:rFonts w:hint="default" w:ascii="Times New Roman" w:hAnsi="Times New Roman" w:cs="Times New Roman"/>
                      <w:color w:val="000000"/>
                      <w:sz w:val="21"/>
                      <w:szCs w:val="21"/>
                      <w:highlight w:val="none"/>
                      <w:u w:val="none"/>
                    </w:rPr>
                    <w:t>路</w:t>
                  </w:r>
                  <w:r>
                    <w:rPr>
                      <w:rFonts w:hint="default" w:ascii="Times New Roman" w:hAnsi="Times New Roman" w:cs="Times New Roman"/>
                      <w:color w:val="000000"/>
                      <w:sz w:val="21"/>
                      <w:szCs w:val="21"/>
                      <w:highlight w:val="none"/>
                      <w:u w:val="none"/>
                      <w:lang w:val="en-US" w:eastAsia="zh-CN"/>
                    </w:rPr>
                    <w:t>右</w:t>
                  </w:r>
                </w:p>
              </w:tc>
              <w:tc>
                <w:tcPr>
                  <w:tcW w:w="309"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E8AE53E">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lang w:val="en-US" w:eastAsia="zh-CN"/>
                    </w:rPr>
                    <w:t>5</w:t>
                  </w:r>
                </w:p>
              </w:tc>
              <w:tc>
                <w:tcPr>
                  <w:tcW w:w="326"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6F7E5C6A">
                  <w:pPr>
                    <w:keepNext w:val="0"/>
                    <w:keepLines w:val="0"/>
                    <w:pageBreakBefore w:val="0"/>
                    <w:widowControl/>
                    <w:kinsoku/>
                    <w:wordWrap/>
                    <w:overflowPunct/>
                    <w:topLinePunct w:val="0"/>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lang w:val="en-US" w:eastAsia="zh-CN"/>
                    </w:rPr>
                    <w:t>25</w:t>
                  </w:r>
                </w:p>
              </w:tc>
              <w:tc>
                <w:tcPr>
                  <w:tcW w:w="352"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0D50B1B2">
                  <w:pPr>
                    <w:pStyle w:val="34"/>
                    <w:keepNext w:val="0"/>
                    <w:keepLines w:val="0"/>
                    <w:pageBreakBefore w:val="0"/>
                    <w:kinsoku/>
                    <w:wordWrap/>
                    <w:overflowPunct/>
                    <w:topLinePunct w:val="0"/>
                    <w:bidi w:val="0"/>
                    <w:adjustRightInd/>
                    <w:snapToGrid/>
                    <w:ind w:firstLine="0" w:firstLineChars="0"/>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szCs w:val="21"/>
                      <w:highlight w:val="none"/>
                      <w:u w:val="none"/>
                    </w:rPr>
                    <w:t>0</w:t>
                  </w:r>
                </w:p>
              </w:tc>
              <w:tc>
                <w:tcPr>
                  <w:tcW w:w="344"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EBF50D4">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cs="Times New Roman"/>
                      <w:color w:val="000000"/>
                      <w:sz w:val="21"/>
                      <w:szCs w:val="21"/>
                      <w:u w:val="none"/>
                      <w:lang w:val="en-US" w:eastAsia="zh-CN"/>
                    </w:rPr>
                    <w:t>4</w:t>
                  </w:r>
                  <w:r>
                    <w:rPr>
                      <w:rFonts w:hint="default" w:ascii="Times New Roman" w:hAnsi="Times New Roman" w:eastAsia="宋体" w:cs="Times New Roman"/>
                      <w:color w:val="000000"/>
                      <w:sz w:val="21"/>
                      <w:szCs w:val="21"/>
                      <w:u w:val="none"/>
                    </w:rPr>
                    <w:t>类</w:t>
                  </w:r>
                </w:p>
              </w:tc>
              <w:tc>
                <w:tcPr>
                  <w:tcW w:w="240"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3CAC567D">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eastAsia="宋体" w:cs="Times New Roman"/>
                      <w:color w:val="000000"/>
                      <w:kern w:val="2"/>
                      <w:sz w:val="21"/>
                      <w:szCs w:val="21"/>
                      <w:u w:val="none"/>
                      <w:lang w:val="en-US" w:eastAsia="zh-CN"/>
                    </w:rPr>
                    <w:t>/</w:t>
                  </w:r>
                </w:p>
              </w:tc>
              <w:tc>
                <w:tcPr>
                  <w:tcW w:w="263"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C6A2695">
                  <w:pPr>
                    <w:keepNext w:val="0"/>
                    <w:keepLines w:val="0"/>
                    <w:pageBreakBefore w:val="0"/>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000000"/>
                      <w:kern w:val="2"/>
                      <w:sz w:val="21"/>
                      <w:szCs w:val="21"/>
                      <w:highlight w:val="yellow"/>
                      <w:u w:val="none"/>
                      <w:lang w:val="en-US" w:eastAsia="zh-CN"/>
                    </w:rPr>
                  </w:pPr>
                  <w:r>
                    <w:rPr>
                      <w:rFonts w:hint="default" w:ascii="Times New Roman" w:hAnsi="Times New Roman" w:eastAsia="宋体" w:cs="Times New Roman"/>
                      <w:color w:val="000000"/>
                      <w:kern w:val="2"/>
                      <w:sz w:val="21"/>
                      <w:szCs w:val="21"/>
                      <w:u w:val="none"/>
                      <w:lang w:val="en-US" w:eastAsia="zh-CN"/>
                    </w:rPr>
                    <w:t>/</w:t>
                  </w:r>
                </w:p>
              </w:tc>
              <w:tc>
                <w:tcPr>
                  <w:tcW w:w="1095"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CB96A0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000000"/>
                      <w:kern w:val="2"/>
                      <w:sz w:val="21"/>
                      <w:szCs w:val="21"/>
                      <w:u w:val="none"/>
                    </w:rPr>
                  </w:pPr>
                  <w:r>
                    <w:rPr>
                      <w:rFonts w:hint="default" w:ascii="Times New Roman" w:hAnsi="Times New Roman" w:eastAsia="宋体" w:cs="Times New Roman"/>
                      <w:color w:val="000000"/>
                      <w:kern w:val="2"/>
                      <w:sz w:val="21"/>
                      <w:szCs w:val="21"/>
                      <w:u w:val="none"/>
                      <w:lang w:val="en-US" w:eastAsia="zh-CN"/>
                    </w:rPr>
                    <w:t>/</w:t>
                  </w:r>
                </w:p>
              </w:tc>
            </w:tr>
          </w:tbl>
          <w:p w14:paraId="76AEB41B">
            <w:pPr>
              <w:spacing w:line="360" w:lineRule="auto"/>
              <w:ind w:firstLine="420" w:firstLineChars="200"/>
              <w:rPr>
                <w:rFonts w:hint="default" w:ascii="Times New Roman" w:hAnsi="Times New Roman" w:cs="Times New Roman"/>
              </w:rPr>
            </w:pPr>
          </w:p>
          <w:p w14:paraId="1B9BC1B5">
            <w:pPr>
              <w:pStyle w:val="40"/>
              <w:rPr>
                <w:rFonts w:hint="default" w:ascii="Times New Roman" w:hAnsi="Times New Roman" w:cs="Times New Roman"/>
              </w:rPr>
            </w:pPr>
          </w:p>
        </w:tc>
      </w:tr>
      <w:tr w14:paraId="09694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877" w:type="dxa"/>
            <w:noWrap w:val="0"/>
            <w:vAlign w:val="center"/>
          </w:tcPr>
          <w:p w14:paraId="043E4917">
            <w:pPr>
              <w:adjustRightInd w:val="0"/>
              <w:snapToGrid w:val="0"/>
              <w:jc w:val="center"/>
              <w:rPr>
                <w:rFonts w:hint="default" w:ascii="Times New Roman" w:hAnsi="Times New Roman" w:cs="Times New Roman"/>
                <w:color w:val="000000"/>
                <w:kern w:val="0"/>
                <w:sz w:val="24"/>
                <w:highlight w:val="none"/>
              </w:rPr>
            </w:pPr>
            <w:r>
              <w:rPr>
                <w:rFonts w:hint="default" w:ascii="Times New Roman" w:hAnsi="Times New Roman" w:cs="Times New Roman"/>
                <w:color w:val="000000"/>
                <w:kern w:val="0"/>
                <w:sz w:val="24"/>
                <w:highlight w:val="none"/>
              </w:rPr>
              <w:t>评价</w:t>
            </w:r>
          </w:p>
          <w:p w14:paraId="39E711AE">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highlight w:val="none"/>
              </w:rPr>
              <w:t>标准</w:t>
            </w:r>
          </w:p>
        </w:tc>
        <w:tc>
          <w:tcPr>
            <w:tcW w:w="8280" w:type="dxa"/>
            <w:noWrap w:val="0"/>
            <w:vAlign w:val="center"/>
          </w:tcPr>
          <w:p w14:paraId="02744EDD">
            <w:pPr>
              <w:pStyle w:val="31"/>
              <w:ind w:firstLine="0" w:firstLineChars="0"/>
              <w:rPr>
                <w:rFonts w:hint="default" w:ascii="Times New Roman" w:hAnsi="Times New Roman" w:cs="Times New Roman"/>
                <w:b/>
                <w:color w:val="000000"/>
              </w:rPr>
            </w:pPr>
            <w:r>
              <w:rPr>
                <w:rFonts w:hint="default" w:ascii="Times New Roman" w:hAnsi="Times New Roman" w:cs="Times New Roman"/>
                <w:b/>
                <w:color w:val="000000"/>
              </w:rPr>
              <w:t>1、环境质量标准</w:t>
            </w:r>
          </w:p>
          <w:p w14:paraId="5A73BCE2">
            <w:pPr>
              <w:pStyle w:val="7"/>
              <w:numPr>
                <w:ilvl w:val="0"/>
                <w:numId w:val="3"/>
              </w:numPr>
              <w:ind w:firstLine="480"/>
              <w:rPr>
                <w:rFonts w:hint="default" w:ascii="Times New Roman" w:hAnsi="Times New Roman" w:cs="Times New Roman"/>
                <w:color w:val="000000"/>
                <w:szCs w:val="24"/>
                <w:lang w:val="en-US" w:eastAsia="zh-CN"/>
              </w:rPr>
            </w:pPr>
            <w:r>
              <w:rPr>
                <w:rFonts w:hint="default" w:ascii="Times New Roman" w:hAnsi="Times New Roman" w:cs="Times New Roman"/>
                <w:color w:val="000000"/>
                <w:szCs w:val="24"/>
                <w:lang w:val="en-US" w:eastAsia="zh-CN"/>
              </w:rPr>
              <w:t>环境空气：执行《环境空气质量标准》（GB3095-2012）中的二级标准。</w:t>
            </w:r>
          </w:p>
          <w:p w14:paraId="3299BFF0">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表3</w:t>
            </w:r>
            <w:r>
              <w:rPr>
                <w:rFonts w:hint="default" w:ascii="Times New Roman" w:hAnsi="Times New Roman" w:eastAsia="宋体" w:cs="Times New Roman"/>
                <w:b/>
                <w:bCs/>
                <w:color w:val="000000"/>
                <w:sz w:val="21"/>
                <w:szCs w:val="21"/>
                <w:lang w:val="en-US" w:eastAsia="zh-CN" w:bidi="ar"/>
              </w:rPr>
              <w:t xml:space="preserve">.5-1 </w:t>
            </w:r>
            <w:r>
              <w:rPr>
                <w:rFonts w:hint="default" w:ascii="Times New Roman" w:hAnsi="Times New Roman" w:eastAsia="宋体" w:cs="Times New Roman"/>
                <w:b/>
                <w:bCs/>
                <w:color w:val="000000"/>
                <w:sz w:val="21"/>
                <w:szCs w:val="21"/>
                <w:lang w:bidi="ar"/>
              </w:rPr>
              <w:t xml:space="preserve"> 环境空气质量部分标准</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52"/>
              <w:gridCol w:w="1212"/>
              <w:gridCol w:w="2060"/>
              <w:gridCol w:w="1666"/>
              <w:gridCol w:w="3210"/>
            </w:tblGrid>
            <w:tr w14:paraId="54A9D4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tcBorders>
                    <w:top w:val="single" w:color="auto" w:sz="4" w:space="0"/>
                    <w:left w:val="single" w:color="auto" w:sz="0" w:space="0"/>
                    <w:bottom w:val="single" w:color="auto" w:sz="4" w:space="0"/>
                  </w:tcBorders>
                  <w:noWrap w:val="0"/>
                  <w:vAlign w:val="center"/>
                </w:tcPr>
                <w:p w14:paraId="419A9E4D">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696" w:type="pct"/>
                  <w:tcBorders>
                    <w:top w:val="single" w:color="auto" w:sz="4" w:space="0"/>
                    <w:bottom w:val="single" w:color="auto" w:sz="4" w:space="0"/>
                  </w:tcBorders>
                  <w:noWrap w:val="0"/>
                  <w:vAlign w:val="center"/>
                </w:tcPr>
                <w:p w14:paraId="0F93C231">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污染物名称</w:t>
                  </w:r>
                </w:p>
              </w:tc>
              <w:tc>
                <w:tcPr>
                  <w:tcW w:w="1183" w:type="pct"/>
                  <w:tcBorders>
                    <w:top w:val="single" w:color="auto" w:sz="4" w:space="0"/>
                    <w:bottom w:val="single" w:color="auto" w:sz="4" w:space="0"/>
                  </w:tcBorders>
                  <w:noWrap w:val="0"/>
                  <w:vAlign w:val="center"/>
                </w:tcPr>
                <w:p w14:paraId="00BCEA99">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取值时间</w:t>
                  </w:r>
                </w:p>
              </w:tc>
              <w:tc>
                <w:tcPr>
                  <w:tcW w:w="957" w:type="pct"/>
                  <w:tcBorders>
                    <w:top w:val="single" w:color="auto" w:sz="4" w:space="0"/>
                    <w:bottom w:val="single" w:color="auto" w:sz="4" w:space="0"/>
                  </w:tcBorders>
                  <w:noWrap w:val="0"/>
                  <w:vAlign w:val="center"/>
                </w:tcPr>
                <w:p w14:paraId="0589F3A9">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浓度限值</w:t>
                  </w:r>
                </w:p>
              </w:tc>
              <w:tc>
                <w:tcPr>
                  <w:tcW w:w="1844" w:type="pct"/>
                  <w:tcBorders>
                    <w:top w:val="single" w:color="auto" w:sz="4" w:space="0"/>
                    <w:bottom w:val="single" w:color="auto" w:sz="4" w:space="0"/>
                    <w:right w:val="single" w:color="auto" w:sz="4" w:space="0"/>
                  </w:tcBorders>
                  <w:noWrap w:val="0"/>
                  <w:vAlign w:val="center"/>
                </w:tcPr>
                <w:p w14:paraId="20031877">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来源</w:t>
                  </w:r>
                </w:p>
              </w:tc>
            </w:tr>
            <w:tr w14:paraId="5178A5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restart"/>
                  <w:tcBorders>
                    <w:top w:val="single" w:color="auto" w:sz="4" w:space="0"/>
                    <w:left w:val="single" w:color="auto" w:sz="4" w:space="0"/>
                    <w:bottom w:val="single" w:color="auto" w:sz="4" w:space="0"/>
                  </w:tcBorders>
                  <w:noWrap w:val="0"/>
                  <w:vAlign w:val="center"/>
                </w:tcPr>
                <w:p w14:paraId="18F1001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696" w:type="pct"/>
                  <w:vMerge w:val="restart"/>
                  <w:tcBorders>
                    <w:top w:val="single" w:color="auto" w:sz="4" w:space="0"/>
                    <w:bottom w:val="single" w:color="auto" w:sz="4" w:space="0"/>
                  </w:tcBorders>
                  <w:noWrap w:val="0"/>
                  <w:vAlign w:val="center"/>
                </w:tcPr>
                <w:p w14:paraId="382C925F">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CO</w:t>
                  </w:r>
                </w:p>
              </w:tc>
              <w:tc>
                <w:tcPr>
                  <w:tcW w:w="1183" w:type="pct"/>
                  <w:tcBorders>
                    <w:top w:val="single" w:color="auto" w:sz="4" w:space="0"/>
                    <w:bottom w:val="single" w:color="auto" w:sz="4" w:space="0"/>
                  </w:tcBorders>
                  <w:noWrap w:val="0"/>
                  <w:vAlign w:val="center"/>
                </w:tcPr>
                <w:p w14:paraId="7B2AB9C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24小时平均</w:t>
                  </w:r>
                </w:p>
              </w:tc>
              <w:tc>
                <w:tcPr>
                  <w:tcW w:w="957" w:type="pct"/>
                  <w:tcBorders>
                    <w:top w:val="single" w:color="auto" w:sz="4" w:space="0"/>
                    <w:bottom w:val="single" w:color="auto" w:sz="4" w:space="0"/>
                  </w:tcBorders>
                  <w:noWrap w:val="0"/>
                  <w:vAlign w:val="center"/>
                </w:tcPr>
                <w:p w14:paraId="78DD908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4mg/m</w:t>
                  </w:r>
                  <w:r>
                    <w:rPr>
                      <w:rFonts w:hint="default" w:ascii="Times New Roman" w:hAnsi="Times New Roman" w:cs="Times New Roman"/>
                      <w:color w:val="000000"/>
                      <w:szCs w:val="21"/>
                      <w:vertAlign w:val="superscript"/>
                    </w:rPr>
                    <w:t>3</w:t>
                  </w:r>
                </w:p>
              </w:tc>
              <w:tc>
                <w:tcPr>
                  <w:tcW w:w="1844" w:type="pct"/>
                  <w:vMerge w:val="restart"/>
                  <w:tcBorders>
                    <w:top w:val="single" w:color="auto" w:sz="4" w:space="0"/>
                    <w:bottom w:val="single" w:color="auto" w:sz="4" w:space="0"/>
                    <w:right w:val="single" w:color="auto" w:sz="4" w:space="0"/>
                  </w:tcBorders>
                  <w:noWrap w:val="0"/>
                  <w:vAlign w:val="center"/>
                </w:tcPr>
                <w:p w14:paraId="7C0E28F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《环境空气质量标准》</w:t>
                  </w:r>
                  <w:r>
                    <w:rPr>
                      <w:rFonts w:hint="default" w:ascii="Times New Roman" w:hAnsi="Times New Roman" w:cs="Times New Roman"/>
                      <w:color w:val="000000"/>
                      <w:szCs w:val="21"/>
                    </w:rPr>
                    <w:cr/>
                  </w:r>
                  <w:r>
                    <w:rPr>
                      <w:rFonts w:hint="default" w:ascii="Times New Roman" w:hAnsi="Times New Roman" w:cs="Times New Roman"/>
                      <w:color w:val="000000"/>
                      <w:szCs w:val="21"/>
                    </w:rPr>
                    <w:t>(GB3095-2012)及其修改单中的表1中二级标准</w:t>
                  </w:r>
                </w:p>
              </w:tc>
            </w:tr>
            <w:tr w14:paraId="08B61E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15BF58C4">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3D90F864">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0D81895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1小时平均</w:t>
                  </w:r>
                </w:p>
              </w:tc>
              <w:tc>
                <w:tcPr>
                  <w:tcW w:w="957" w:type="pct"/>
                  <w:tcBorders>
                    <w:top w:val="single" w:color="auto" w:sz="4" w:space="0"/>
                    <w:bottom w:val="single" w:color="auto" w:sz="4" w:space="0"/>
                  </w:tcBorders>
                  <w:noWrap w:val="0"/>
                  <w:vAlign w:val="center"/>
                </w:tcPr>
                <w:p w14:paraId="6403607F">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10mg/m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6A43C2AB">
                  <w:pPr>
                    <w:jc w:val="center"/>
                    <w:rPr>
                      <w:rFonts w:hint="default" w:ascii="Times New Roman" w:hAnsi="Times New Roman" w:cs="Times New Roman"/>
                      <w:color w:val="000000"/>
                      <w:szCs w:val="21"/>
                    </w:rPr>
                  </w:pPr>
                </w:p>
              </w:tc>
            </w:tr>
            <w:tr w14:paraId="37A221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restart"/>
                  <w:tcBorders>
                    <w:top w:val="single" w:color="auto" w:sz="4" w:space="0"/>
                    <w:left w:val="single" w:color="auto" w:sz="4" w:space="0"/>
                    <w:bottom w:val="single" w:color="auto" w:sz="4" w:space="0"/>
                  </w:tcBorders>
                  <w:noWrap w:val="0"/>
                  <w:vAlign w:val="center"/>
                </w:tcPr>
                <w:p w14:paraId="4E3E536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696" w:type="pct"/>
                  <w:vMerge w:val="restart"/>
                  <w:tcBorders>
                    <w:top w:val="single" w:color="auto" w:sz="4" w:space="0"/>
                    <w:bottom w:val="single" w:color="auto" w:sz="4" w:space="0"/>
                  </w:tcBorders>
                  <w:noWrap w:val="0"/>
                  <w:vAlign w:val="center"/>
                </w:tcPr>
                <w:p w14:paraId="12F09AED">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NO</w:t>
                  </w:r>
                  <w:r>
                    <w:rPr>
                      <w:rFonts w:hint="default" w:ascii="Times New Roman" w:hAnsi="Times New Roman" w:cs="Times New Roman"/>
                      <w:color w:val="000000"/>
                      <w:szCs w:val="21"/>
                      <w:vertAlign w:val="subscript"/>
                    </w:rPr>
                    <w:t>2</w:t>
                  </w:r>
                </w:p>
              </w:tc>
              <w:tc>
                <w:tcPr>
                  <w:tcW w:w="1183" w:type="pct"/>
                  <w:tcBorders>
                    <w:top w:val="single" w:color="auto" w:sz="4" w:space="0"/>
                    <w:bottom w:val="single" w:color="auto" w:sz="4" w:space="0"/>
                  </w:tcBorders>
                  <w:noWrap w:val="0"/>
                  <w:vAlign w:val="center"/>
                </w:tcPr>
                <w:p w14:paraId="415584F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w:t>
                  </w:r>
                </w:p>
              </w:tc>
              <w:tc>
                <w:tcPr>
                  <w:tcW w:w="957" w:type="pct"/>
                  <w:tcBorders>
                    <w:top w:val="single" w:color="auto" w:sz="4" w:space="0"/>
                    <w:bottom w:val="single" w:color="auto" w:sz="4" w:space="0"/>
                  </w:tcBorders>
                  <w:noWrap w:val="0"/>
                  <w:vAlign w:val="center"/>
                </w:tcPr>
                <w:p w14:paraId="774A677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55588C28">
                  <w:pPr>
                    <w:jc w:val="center"/>
                    <w:rPr>
                      <w:rFonts w:hint="default" w:ascii="Times New Roman" w:hAnsi="Times New Roman" w:cs="Times New Roman"/>
                      <w:color w:val="000000"/>
                      <w:szCs w:val="21"/>
                    </w:rPr>
                  </w:pPr>
                </w:p>
              </w:tc>
            </w:tr>
            <w:tr w14:paraId="5BFFED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7710BD3B">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25123885">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379305B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24小时平均</w:t>
                  </w:r>
                </w:p>
              </w:tc>
              <w:tc>
                <w:tcPr>
                  <w:tcW w:w="957" w:type="pct"/>
                  <w:tcBorders>
                    <w:top w:val="single" w:color="auto" w:sz="4" w:space="0"/>
                    <w:bottom w:val="single" w:color="auto" w:sz="4" w:space="0"/>
                  </w:tcBorders>
                  <w:noWrap w:val="0"/>
                  <w:vAlign w:val="center"/>
                </w:tcPr>
                <w:p w14:paraId="14B41D6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6060FDCD">
                  <w:pPr>
                    <w:jc w:val="center"/>
                    <w:rPr>
                      <w:rFonts w:hint="default" w:ascii="Times New Roman" w:hAnsi="Times New Roman" w:cs="Times New Roman"/>
                      <w:color w:val="000000"/>
                      <w:szCs w:val="21"/>
                    </w:rPr>
                  </w:pPr>
                </w:p>
              </w:tc>
            </w:tr>
            <w:tr w14:paraId="11816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668B5817">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66D2FBBE">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552393CE">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1小时平均</w:t>
                  </w:r>
                </w:p>
              </w:tc>
              <w:tc>
                <w:tcPr>
                  <w:tcW w:w="957" w:type="pct"/>
                  <w:tcBorders>
                    <w:top w:val="single" w:color="auto" w:sz="4" w:space="0"/>
                    <w:bottom w:val="single" w:color="auto" w:sz="4" w:space="0"/>
                  </w:tcBorders>
                  <w:noWrap w:val="0"/>
                  <w:vAlign w:val="center"/>
                </w:tcPr>
                <w:p w14:paraId="618819D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43B64374">
                  <w:pPr>
                    <w:jc w:val="center"/>
                    <w:rPr>
                      <w:rFonts w:hint="default" w:ascii="Times New Roman" w:hAnsi="Times New Roman" w:cs="Times New Roman"/>
                      <w:color w:val="000000"/>
                      <w:szCs w:val="21"/>
                    </w:rPr>
                  </w:pPr>
                </w:p>
              </w:tc>
            </w:tr>
            <w:tr w14:paraId="366AF7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restart"/>
                  <w:tcBorders>
                    <w:top w:val="single" w:color="auto" w:sz="4" w:space="0"/>
                    <w:left w:val="single" w:color="auto" w:sz="4" w:space="0"/>
                    <w:bottom w:val="single" w:color="auto" w:sz="4" w:space="0"/>
                  </w:tcBorders>
                  <w:noWrap w:val="0"/>
                  <w:vAlign w:val="center"/>
                </w:tcPr>
                <w:p w14:paraId="4B1AB7E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696" w:type="pct"/>
                  <w:vMerge w:val="restart"/>
                  <w:tcBorders>
                    <w:top w:val="single" w:color="auto" w:sz="4" w:space="0"/>
                    <w:bottom w:val="single" w:color="auto" w:sz="4" w:space="0"/>
                  </w:tcBorders>
                  <w:noWrap w:val="0"/>
                  <w:vAlign w:val="center"/>
                </w:tcPr>
                <w:p w14:paraId="1AAD858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SO</w:t>
                  </w:r>
                  <w:r>
                    <w:rPr>
                      <w:rFonts w:hint="default" w:ascii="Times New Roman" w:hAnsi="Times New Roman" w:cs="Times New Roman"/>
                      <w:color w:val="000000"/>
                      <w:szCs w:val="21"/>
                      <w:vertAlign w:val="subscript"/>
                    </w:rPr>
                    <w:t>2</w:t>
                  </w:r>
                </w:p>
              </w:tc>
              <w:tc>
                <w:tcPr>
                  <w:tcW w:w="1183" w:type="pct"/>
                  <w:tcBorders>
                    <w:top w:val="single" w:color="auto" w:sz="4" w:space="0"/>
                    <w:bottom w:val="single" w:color="auto" w:sz="4" w:space="0"/>
                  </w:tcBorders>
                  <w:noWrap w:val="0"/>
                  <w:vAlign w:val="center"/>
                </w:tcPr>
                <w:p w14:paraId="42EE3E0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w:t>
                  </w:r>
                </w:p>
              </w:tc>
              <w:tc>
                <w:tcPr>
                  <w:tcW w:w="957" w:type="pct"/>
                  <w:tcBorders>
                    <w:top w:val="single" w:color="auto" w:sz="4" w:space="0"/>
                    <w:bottom w:val="single" w:color="auto" w:sz="4" w:space="0"/>
                  </w:tcBorders>
                  <w:noWrap w:val="0"/>
                  <w:vAlign w:val="center"/>
                </w:tcPr>
                <w:p w14:paraId="15B2101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474CA726">
                  <w:pPr>
                    <w:jc w:val="center"/>
                    <w:rPr>
                      <w:rFonts w:hint="default" w:ascii="Times New Roman" w:hAnsi="Times New Roman" w:cs="Times New Roman"/>
                      <w:color w:val="000000"/>
                      <w:szCs w:val="21"/>
                    </w:rPr>
                  </w:pPr>
                </w:p>
              </w:tc>
            </w:tr>
            <w:tr w14:paraId="6AAB27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3CED2818">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31908DDF">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0C500F0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24小时平均</w:t>
                  </w:r>
                </w:p>
              </w:tc>
              <w:tc>
                <w:tcPr>
                  <w:tcW w:w="957" w:type="pct"/>
                  <w:tcBorders>
                    <w:top w:val="single" w:color="auto" w:sz="4" w:space="0"/>
                    <w:bottom w:val="single" w:color="auto" w:sz="4" w:space="0"/>
                  </w:tcBorders>
                  <w:noWrap w:val="0"/>
                  <w:vAlign w:val="center"/>
                </w:tcPr>
                <w:p w14:paraId="3813EB2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4DBE751F">
                  <w:pPr>
                    <w:jc w:val="center"/>
                    <w:rPr>
                      <w:rFonts w:hint="default" w:ascii="Times New Roman" w:hAnsi="Times New Roman" w:cs="Times New Roman"/>
                      <w:color w:val="000000"/>
                      <w:szCs w:val="21"/>
                    </w:rPr>
                  </w:pPr>
                </w:p>
              </w:tc>
            </w:tr>
            <w:tr w14:paraId="5C4B08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7A1ADE24">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76BAA3E4">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7AB8A73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1小时平均</w:t>
                  </w:r>
                </w:p>
              </w:tc>
              <w:tc>
                <w:tcPr>
                  <w:tcW w:w="957" w:type="pct"/>
                  <w:tcBorders>
                    <w:top w:val="single" w:color="auto" w:sz="4" w:space="0"/>
                    <w:bottom w:val="single" w:color="auto" w:sz="4" w:space="0"/>
                  </w:tcBorders>
                  <w:noWrap w:val="0"/>
                  <w:vAlign w:val="center"/>
                </w:tcPr>
                <w:p w14:paraId="33193BA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500ug/m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74FFC00D">
                  <w:pPr>
                    <w:jc w:val="center"/>
                    <w:rPr>
                      <w:rFonts w:hint="default" w:ascii="Times New Roman" w:hAnsi="Times New Roman" w:cs="Times New Roman"/>
                      <w:color w:val="000000"/>
                      <w:szCs w:val="21"/>
                    </w:rPr>
                  </w:pPr>
                </w:p>
              </w:tc>
            </w:tr>
            <w:tr w14:paraId="529754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restart"/>
                  <w:tcBorders>
                    <w:top w:val="single" w:color="auto" w:sz="4" w:space="0"/>
                    <w:left w:val="single" w:color="auto" w:sz="4" w:space="0"/>
                    <w:bottom w:val="single" w:color="auto" w:sz="4" w:space="0"/>
                  </w:tcBorders>
                  <w:noWrap w:val="0"/>
                  <w:vAlign w:val="center"/>
                </w:tcPr>
                <w:p w14:paraId="3B2F230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696" w:type="pct"/>
                  <w:vMerge w:val="restart"/>
                  <w:tcBorders>
                    <w:top w:val="single" w:color="auto" w:sz="4" w:space="0"/>
                    <w:bottom w:val="single" w:color="auto" w:sz="4" w:space="0"/>
                  </w:tcBorders>
                  <w:noWrap w:val="0"/>
                  <w:vAlign w:val="center"/>
                </w:tcPr>
                <w:p w14:paraId="65285DA5">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O</w:t>
                  </w:r>
                  <w:r>
                    <w:rPr>
                      <w:rFonts w:hint="default" w:ascii="Times New Roman" w:hAnsi="Times New Roman" w:cs="Times New Roman"/>
                      <w:color w:val="000000"/>
                      <w:szCs w:val="21"/>
                      <w:vertAlign w:val="subscript"/>
                    </w:rPr>
                    <w:t>3</w:t>
                  </w:r>
                </w:p>
              </w:tc>
              <w:tc>
                <w:tcPr>
                  <w:tcW w:w="1183" w:type="pct"/>
                  <w:tcBorders>
                    <w:top w:val="single" w:color="auto" w:sz="4" w:space="0"/>
                    <w:bottom w:val="single" w:color="auto" w:sz="4" w:space="0"/>
                  </w:tcBorders>
                  <w:noWrap w:val="0"/>
                  <w:vAlign w:val="center"/>
                </w:tcPr>
                <w:p w14:paraId="4242EE4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日最大8小时平均</w:t>
                  </w:r>
                </w:p>
              </w:tc>
              <w:tc>
                <w:tcPr>
                  <w:tcW w:w="957" w:type="pct"/>
                  <w:tcBorders>
                    <w:top w:val="single" w:color="auto" w:sz="4" w:space="0"/>
                    <w:bottom w:val="single" w:color="auto" w:sz="4" w:space="0"/>
                  </w:tcBorders>
                  <w:noWrap w:val="0"/>
                  <w:vAlign w:val="center"/>
                </w:tcPr>
                <w:p w14:paraId="042C936D">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160ug/m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6DA1E8D6">
                  <w:pPr>
                    <w:jc w:val="center"/>
                    <w:rPr>
                      <w:rFonts w:hint="default" w:ascii="Times New Roman" w:hAnsi="Times New Roman" w:cs="Times New Roman"/>
                      <w:color w:val="000000"/>
                      <w:szCs w:val="21"/>
                    </w:rPr>
                  </w:pPr>
                </w:p>
              </w:tc>
            </w:tr>
            <w:tr w14:paraId="2FA1F0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7C743E1C">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753A9344">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602EA18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1小时平均</w:t>
                  </w:r>
                </w:p>
              </w:tc>
              <w:tc>
                <w:tcPr>
                  <w:tcW w:w="957" w:type="pct"/>
                  <w:tcBorders>
                    <w:top w:val="single" w:color="auto" w:sz="4" w:space="0"/>
                    <w:bottom w:val="single" w:color="auto" w:sz="4" w:space="0"/>
                  </w:tcBorders>
                  <w:noWrap w:val="0"/>
                  <w:vAlign w:val="center"/>
                </w:tcPr>
                <w:p w14:paraId="2E5284A8">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08B3783A">
                  <w:pPr>
                    <w:jc w:val="center"/>
                    <w:rPr>
                      <w:rFonts w:hint="default" w:ascii="Times New Roman" w:hAnsi="Times New Roman" w:cs="Times New Roman"/>
                      <w:color w:val="000000"/>
                      <w:szCs w:val="21"/>
                    </w:rPr>
                  </w:pPr>
                </w:p>
              </w:tc>
            </w:tr>
            <w:tr w14:paraId="327C46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0" w:hRule="atLeast"/>
                <w:jc w:val="center"/>
              </w:trPr>
              <w:tc>
                <w:tcPr>
                  <w:tcW w:w="317" w:type="pct"/>
                  <w:vMerge w:val="restart"/>
                  <w:tcBorders>
                    <w:top w:val="single" w:color="auto" w:sz="4" w:space="0"/>
                    <w:left w:val="single" w:color="auto" w:sz="4" w:space="0"/>
                    <w:bottom w:val="single" w:color="auto" w:sz="4" w:space="0"/>
                  </w:tcBorders>
                  <w:noWrap w:val="0"/>
                  <w:vAlign w:val="center"/>
                </w:tcPr>
                <w:p w14:paraId="49C00BD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696" w:type="pct"/>
                  <w:vMerge w:val="restart"/>
                  <w:tcBorders>
                    <w:top w:val="single" w:color="auto" w:sz="4" w:space="0"/>
                    <w:bottom w:val="single" w:color="auto" w:sz="4" w:space="0"/>
                  </w:tcBorders>
                  <w:noWrap w:val="0"/>
                  <w:vAlign w:val="center"/>
                </w:tcPr>
                <w:p w14:paraId="5514A20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PM</w:t>
                  </w:r>
                  <w:r>
                    <w:rPr>
                      <w:rFonts w:hint="default" w:ascii="Times New Roman" w:hAnsi="Times New Roman" w:cs="Times New Roman"/>
                      <w:color w:val="000000"/>
                      <w:szCs w:val="21"/>
                      <w:vertAlign w:val="subscript"/>
                    </w:rPr>
                    <w:t>10</w:t>
                  </w:r>
                </w:p>
              </w:tc>
              <w:tc>
                <w:tcPr>
                  <w:tcW w:w="1183" w:type="pct"/>
                  <w:tcBorders>
                    <w:top w:val="single" w:color="auto" w:sz="4" w:space="0"/>
                    <w:bottom w:val="single" w:color="auto" w:sz="4" w:space="0"/>
                  </w:tcBorders>
                  <w:noWrap w:val="0"/>
                  <w:vAlign w:val="center"/>
                </w:tcPr>
                <w:p w14:paraId="2ED9F61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w:t>
                  </w:r>
                </w:p>
              </w:tc>
              <w:tc>
                <w:tcPr>
                  <w:tcW w:w="957" w:type="pct"/>
                  <w:tcBorders>
                    <w:top w:val="single" w:color="auto" w:sz="4" w:space="0"/>
                    <w:bottom w:val="single" w:color="auto" w:sz="4" w:space="0"/>
                  </w:tcBorders>
                  <w:noWrap w:val="0"/>
                  <w:vAlign w:val="center"/>
                </w:tcPr>
                <w:p w14:paraId="01F063BA">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0DFEAC86">
                  <w:pPr>
                    <w:jc w:val="center"/>
                    <w:rPr>
                      <w:rFonts w:hint="default" w:ascii="Times New Roman" w:hAnsi="Times New Roman" w:cs="Times New Roman"/>
                      <w:color w:val="000000"/>
                      <w:szCs w:val="21"/>
                    </w:rPr>
                  </w:pPr>
                </w:p>
              </w:tc>
            </w:tr>
            <w:tr w14:paraId="1D66E3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04B0E508">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066BD048">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0B9533D4">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24小时平均</w:t>
                  </w:r>
                </w:p>
              </w:tc>
              <w:tc>
                <w:tcPr>
                  <w:tcW w:w="957" w:type="pct"/>
                  <w:tcBorders>
                    <w:top w:val="single" w:color="auto" w:sz="4" w:space="0"/>
                    <w:bottom w:val="single" w:color="auto" w:sz="4" w:space="0"/>
                  </w:tcBorders>
                  <w:noWrap w:val="0"/>
                  <w:vAlign w:val="center"/>
                </w:tcPr>
                <w:p w14:paraId="1EA5F19F">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150ug/m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38B1D7F4">
                  <w:pPr>
                    <w:jc w:val="center"/>
                    <w:rPr>
                      <w:rFonts w:hint="default" w:ascii="Times New Roman" w:hAnsi="Times New Roman" w:cs="Times New Roman"/>
                      <w:color w:val="000000"/>
                      <w:szCs w:val="21"/>
                    </w:rPr>
                  </w:pPr>
                </w:p>
              </w:tc>
            </w:tr>
            <w:tr w14:paraId="657A12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restart"/>
                  <w:tcBorders>
                    <w:top w:val="single" w:color="auto" w:sz="4" w:space="0"/>
                    <w:left w:val="single" w:color="auto" w:sz="4" w:space="0"/>
                    <w:bottom w:val="single" w:color="auto" w:sz="4" w:space="0"/>
                  </w:tcBorders>
                  <w:noWrap w:val="0"/>
                  <w:vAlign w:val="center"/>
                </w:tcPr>
                <w:p w14:paraId="1B2BD94E">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696" w:type="pct"/>
                  <w:vMerge w:val="restart"/>
                  <w:tcBorders>
                    <w:top w:val="single" w:color="auto" w:sz="4" w:space="0"/>
                    <w:bottom w:val="single" w:color="auto" w:sz="4" w:space="0"/>
                  </w:tcBorders>
                  <w:noWrap w:val="0"/>
                  <w:vAlign w:val="center"/>
                </w:tcPr>
                <w:p w14:paraId="49F81D9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PM</w:t>
                  </w:r>
                  <w:r>
                    <w:rPr>
                      <w:rFonts w:hint="default" w:ascii="Times New Roman" w:hAnsi="Times New Roman" w:cs="Times New Roman"/>
                      <w:color w:val="000000"/>
                      <w:szCs w:val="21"/>
                      <w:vertAlign w:val="subscript"/>
                    </w:rPr>
                    <w:t>2.5</w:t>
                  </w:r>
                </w:p>
              </w:tc>
              <w:tc>
                <w:tcPr>
                  <w:tcW w:w="1183" w:type="pct"/>
                  <w:tcBorders>
                    <w:top w:val="single" w:color="auto" w:sz="4" w:space="0"/>
                    <w:bottom w:val="single" w:color="auto" w:sz="4" w:space="0"/>
                  </w:tcBorders>
                  <w:noWrap w:val="0"/>
                  <w:vAlign w:val="center"/>
                </w:tcPr>
                <w:p w14:paraId="63108D48">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年平均</w:t>
                  </w:r>
                </w:p>
              </w:tc>
              <w:tc>
                <w:tcPr>
                  <w:tcW w:w="957" w:type="pct"/>
                  <w:tcBorders>
                    <w:top w:val="single" w:color="auto" w:sz="4" w:space="0"/>
                    <w:bottom w:val="single" w:color="auto" w:sz="4" w:space="0"/>
                  </w:tcBorders>
                  <w:noWrap w:val="0"/>
                  <w:vAlign w:val="center"/>
                </w:tcPr>
                <w:p w14:paraId="6AE5AF69">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35ug/m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44A20353">
                  <w:pPr>
                    <w:jc w:val="center"/>
                    <w:rPr>
                      <w:rFonts w:hint="default" w:ascii="Times New Roman" w:hAnsi="Times New Roman" w:cs="Times New Roman"/>
                      <w:color w:val="000000"/>
                      <w:szCs w:val="21"/>
                    </w:rPr>
                  </w:pPr>
                </w:p>
              </w:tc>
            </w:tr>
            <w:tr w14:paraId="0E326D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0" w:hRule="atLeast"/>
                <w:jc w:val="center"/>
              </w:trPr>
              <w:tc>
                <w:tcPr>
                  <w:tcW w:w="317" w:type="pct"/>
                  <w:vMerge w:val="continue"/>
                  <w:tcBorders>
                    <w:top w:val="single" w:color="auto" w:sz="4" w:space="0"/>
                    <w:left w:val="single" w:color="auto" w:sz="4" w:space="0"/>
                    <w:bottom w:val="single" w:color="auto" w:sz="4" w:space="0"/>
                  </w:tcBorders>
                  <w:noWrap w:val="0"/>
                  <w:vAlign w:val="center"/>
                </w:tcPr>
                <w:p w14:paraId="27C66F20">
                  <w:pPr>
                    <w:jc w:val="center"/>
                    <w:rPr>
                      <w:rFonts w:hint="default" w:ascii="Times New Roman" w:hAnsi="Times New Roman" w:cs="Times New Roman"/>
                      <w:color w:val="000000"/>
                      <w:szCs w:val="21"/>
                    </w:rPr>
                  </w:pPr>
                </w:p>
              </w:tc>
              <w:tc>
                <w:tcPr>
                  <w:tcW w:w="696" w:type="pct"/>
                  <w:vMerge w:val="continue"/>
                  <w:tcBorders>
                    <w:top w:val="single" w:color="auto" w:sz="4" w:space="0"/>
                    <w:bottom w:val="single" w:color="auto" w:sz="4" w:space="0"/>
                  </w:tcBorders>
                  <w:noWrap w:val="0"/>
                  <w:vAlign w:val="center"/>
                </w:tcPr>
                <w:p w14:paraId="7869C2F0">
                  <w:pPr>
                    <w:jc w:val="center"/>
                    <w:rPr>
                      <w:rFonts w:hint="default" w:ascii="Times New Roman" w:hAnsi="Times New Roman" w:cs="Times New Roman"/>
                      <w:color w:val="000000"/>
                      <w:szCs w:val="21"/>
                    </w:rPr>
                  </w:pPr>
                </w:p>
              </w:tc>
              <w:tc>
                <w:tcPr>
                  <w:tcW w:w="1183" w:type="pct"/>
                  <w:tcBorders>
                    <w:top w:val="single" w:color="auto" w:sz="4" w:space="0"/>
                    <w:bottom w:val="single" w:color="auto" w:sz="4" w:space="0"/>
                  </w:tcBorders>
                  <w:noWrap w:val="0"/>
                  <w:vAlign w:val="center"/>
                </w:tcPr>
                <w:p w14:paraId="2B9B7C1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24小时平均</w:t>
                  </w:r>
                </w:p>
              </w:tc>
              <w:tc>
                <w:tcPr>
                  <w:tcW w:w="957" w:type="pct"/>
                  <w:tcBorders>
                    <w:top w:val="single" w:color="auto" w:sz="4" w:space="0"/>
                    <w:bottom w:val="single" w:color="auto" w:sz="4" w:space="0"/>
                  </w:tcBorders>
                  <w:noWrap w:val="0"/>
                  <w:vAlign w:val="center"/>
                </w:tcPr>
                <w:p w14:paraId="68F43188">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75ug/m</w:t>
                  </w:r>
                  <w:r>
                    <w:rPr>
                      <w:rFonts w:hint="default" w:ascii="Times New Roman" w:hAnsi="Times New Roman" w:cs="Times New Roman"/>
                      <w:color w:val="000000"/>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14:paraId="764BB927">
                  <w:pPr>
                    <w:jc w:val="center"/>
                    <w:rPr>
                      <w:rFonts w:hint="default" w:ascii="Times New Roman" w:hAnsi="Times New Roman" w:cs="Times New Roman"/>
                      <w:color w:val="000000"/>
                      <w:szCs w:val="21"/>
                    </w:rPr>
                  </w:pPr>
                </w:p>
              </w:tc>
            </w:tr>
          </w:tbl>
          <w:p w14:paraId="316B6EA2">
            <w:pPr>
              <w:pStyle w:val="7"/>
              <w:numPr>
                <w:ilvl w:val="0"/>
                <w:numId w:val="3"/>
              </w:numPr>
              <w:ind w:firstLine="480"/>
              <w:rPr>
                <w:rFonts w:hint="default" w:ascii="Times New Roman" w:hAnsi="Times New Roman" w:cs="Times New Roman"/>
                <w:color w:val="000000"/>
                <w:szCs w:val="24"/>
                <w:lang w:val="en-US" w:eastAsia="zh-CN"/>
              </w:rPr>
            </w:pPr>
            <w:r>
              <w:rPr>
                <w:rFonts w:hint="default" w:ascii="Times New Roman" w:hAnsi="Times New Roman" w:cs="Times New Roman"/>
                <w:color w:val="000000"/>
                <w:szCs w:val="24"/>
                <w:lang w:val="en-US" w:eastAsia="zh-CN"/>
              </w:rPr>
              <w:t>地表水环境：执行《地表水环境质量标准》（GB3838-2002）中Ⅲ类标准。</w:t>
            </w:r>
          </w:p>
          <w:p w14:paraId="28661B0E">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3.5-2</w:t>
            </w:r>
            <w:r>
              <w:rPr>
                <w:rFonts w:hint="default" w:ascii="Times New Roman" w:hAnsi="Times New Roman" w:eastAsia="宋体" w:cs="Times New Roman"/>
                <w:b/>
                <w:bCs/>
                <w:color w:val="000000"/>
                <w:sz w:val="21"/>
                <w:szCs w:val="21"/>
                <w:lang w:bidi="ar"/>
              </w:rPr>
              <w:t xml:space="preserve">  地表水环境质量标准  单位：mg/L，pH无量纲</w:t>
            </w:r>
          </w:p>
          <w:tbl>
            <w:tblPr>
              <w:tblStyle w:val="22"/>
              <w:tblW w:w="4997"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867"/>
              <w:gridCol w:w="1062"/>
              <w:gridCol w:w="836"/>
              <w:gridCol w:w="1173"/>
              <w:gridCol w:w="1022"/>
              <w:gridCol w:w="1362"/>
            </w:tblGrid>
            <w:tr w14:paraId="68B18B6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PrEx>
              <w:trPr>
                <w:trHeight w:val="0" w:hRule="atLeast"/>
                <w:jc w:val="center"/>
              </w:trPr>
              <w:tc>
                <w:tcPr>
                  <w:tcW w:w="1365" w:type="pct"/>
                  <w:tcBorders>
                    <w:top w:val="single" w:color="auto" w:sz="4" w:space="0"/>
                    <w:left w:val="single" w:color="auto" w:sz="2" w:space="0"/>
                    <w:bottom w:val="single" w:color="auto" w:sz="4" w:space="0"/>
                    <w:right w:val="single" w:color="auto" w:sz="4" w:space="0"/>
                  </w:tcBorders>
                  <w:noWrap w:val="0"/>
                  <w:vAlign w:val="center"/>
                </w:tcPr>
                <w:p w14:paraId="53A5F051">
                  <w:pPr>
                    <w:pStyle w:val="10"/>
                    <w:widowControl/>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污染物</w:t>
                  </w:r>
                </w:p>
              </w:tc>
              <w:tc>
                <w:tcPr>
                  <w:tcW w:w="498" w:type="pct"/>
                  <w:tcBorders>
                    <w:top w:val="single" w:color="auto" w:sz="4" w:space="0"/>
                    <w:left w:val="single" w:color="auto" w:sz="4" w:space="0"/>
                    <w:bottom w:val="single" w:color="auto" w:sz="4" w:space="0"/>
                    <w:right w:val="single" w:color="auto" w:sz="4" w:space="0"/>
                  </w:tcBorders>
                  <w:noWrap w:val="0"/>
                  <w:vAlign w:val="center"/>
                </w:tcPr>
                <w:p w14:paraId="0D442FA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w:t>
                  </w:r>
                </w:p>
              </w:tc>
              <w:tc>
                <w:tcPr>
                  <w:tcW w:w="610" w:type="pct"/>
                  <w:tcBorders>
                    <w:top w:val="single" w:color="auto" w:sz="4" w:space="0"/>
                    <w:left w:val="single" w:color="auto" w:sz="4" w:space="0"/>
                    <w:bottom w:val="single" w:color="auto" w:sz="4" w:space="0"/>
                    <w:right w:val="single" w:color="auto" w:sz="4" w:space="0"/>
                  </w:tcBorders>
                  <w:noWrap w:val="0"/>
                  <w:vAlign w:val="center"/>
                </w:tcPr>
                <w:p w14:paraId="5C1F74B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COD</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19393B6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DO</w:t>
                  </w:r>
                </w:p>
              </w:tc>
              <w:tc>
                <w:tcPr>
                  <w:tcW w:w="674" w:type="pct"/>
                  <w:tcBorders>
                    <w:top w:val="single" w:color="auto" w:sz="4" w:space="0"/>
                    <w:left w:val="single" w:color="auto" w:sz="4" w:space="0"/>
                    <w:bottom w:val="single" w:color="auto" w:sz="4" w:space="0"/>
                    <w:right w:val="single" w:color="auto" w:sz="4" w:space="0"/>
                  </w:tcBorders>
                  <w:noWrap w:val="0"/>
                  <w:vAlign w:val="center"/>
                </w:tcPr>
                <w:p w14:paraId="01DD8D64">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BOD</w:t>
                  </w:r>
                  <w:r>
                    <w:rPr>
                      <w:rFonts w:hint="default" w:ascii="Times New Roman" w:hAnsi="Times New Roman" w:cs="Times New Roman"/>
                      <w:color w:val="000000"/>
                      <w:szCs w:val="21"/>
                      <w:vertAlign w:val="subscript"/>
                    </w:rPr>
                    <w:t>5</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67783308">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氨氮</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2247CF9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石油类</w:t>
                  </w:r>
                </w:p>
              </w:tc>
            </w:tr>
            <w:tr w14:paraId="736775D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65" w:type="pct"/>
                  <w:tcBorders>
                    <w:top w:val="single" w:color="auto" w:sz="4" w:space="0"/>
                    <w:left w:val="single" w:color="auto" w:sz="4" w:space="0"/>
                    <w:bottom w:val="single" w:color="auto" w:sz="4" w:space="0"/>
                    <w:right w:val="single" w:color="auto" w:sz="4" w:space="0"/>
                  </w:tcBorders>
                  <w:noWrap w:val="0"/>
                  <w:vAlign w:val="center"/>
                </w:tcPr>
                <w:p w14:paraId="7DFB1698">
                  <w:pPr>
                    <w:pStyle w:val="10"/>
                    <w:widowControl/>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Ⅲ类标准</w:t>
                  </w:r>
                </w:p>
              </w:tc>
              <w:tc>
                <w:tcPr>
                  <w:tcW w:w="498" w:type="pct"/>
                  <w:tcBorders>
                    <w:top w:val="single" w:color="auto" w:sz="4" w:space="0"/>
                    <w:left w:val="single" w:color="auto" w:sz="4" w:space="0"/>
                    <w:bottom w:val="single" w:color="auto" w:sz="4" w:space="0"/>
                    <w:right w:val="single" w:color="auto" w:sz="4" w:space="0"/>
                  </w:tcBorders>
                  <w:noWrap w:val="0"/>
                  <w:vAlign w:val="center"/>
                </w:tcPr>
                <w:p w14:paraId="519783F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6~9</w:t>
                  </w:r>
                </w:p>
              </w:tc>
              <w:tc>
                <w:tcPr>
                  <w:tcW w:w="610" w:type="pct"/>
                  <w:tcBorders>
                    <w:top w:val="single" w:color="auto" w:sz="4" w:space="0"/>
                    <w:left w:val="single" w:color="auto" w:sz="4" w:space="0"/>
                    <w:bottom w:val="single" w:color="auto" w:sz="4" w:space="0"/>
                    <w:right w:val="single" w:color="auto" w:sz="4" w:space="0"/>
                  </w:tcBorders>
                  <w:noWrap w:val="0"/>
                  <w:vAlign w:val="center"/>
                </w:tcPr>
                <w:p w14:paraId="2B322EF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0085FCDF">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674" w:type="pct"/>
                  <w:tcBorders>
                    <w:top w:val="single" w:color="auto" w:sz="4" w:space="0"/>
                    <w:left w:val="single" w:color="auto" w:sz="4" w:space="0"/>
                    <w:bottom w:val="single" w:color="auto" w:sz="4" w:space="0"/>
                    <w:right w:val="single" w:color="auto" w:sz="4" w:space="0"/>
                  </w:tcBorders>
                  <w:noWrap w:val="0"/>
                  <w:vAlign w:val="center"/>
                </w:tcPr>
                <w:p w14:paraId="6831CEB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58D9FD4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1B3D6BB4">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r>
          </w:tbl>
          <w:p w14:paraId="556E9284">
            <w:pPr>
              <w:pStyle w:val="7"/>
              <w:numPr>
                <w:ilvl w:val="0"/>
                <w:numId w:val="3"/>
              </w:numPr>
              <w:ind w:firstLine="480"/>
              <w:rPr>
                <w:rFonts w:hint="default" w:ascii="Times New Roman" w:hAnsi="Times New Roman" w:cs="Times New Roman"/>
                <w:color w:val="000000"/>
                <w:szCs w:val="24"/>
                <w:lang w:val="en-US" w:eastAsia="zh-CN"/>
              </w:rPr>
            </w:pPr>
            <w:r>
              <w:rPr>
                <w:rFonts w:hint="default" w:ascii="Times New Roman" w:hAnsi="Times New Roman" w:cs="Times New Roman"/>
                <w:color w:val="000000"/>
                <w:szCs w:val="24"/>
                <w:lang w:val="en-US" w:eastAsia="zh-CN"/>
              </w:rPr>
              <w:t>声环境：</w:t>
            </w:r>
            <w:r>
              <w:rPr>
                <w:rFonts w:hint="default" w:ascii="Times New Roman" w:hAnsi="Times New Roman" w:cs="Times New Roman"/>
                <w:color w:val="auto"/>
                <w:sz w:val="24"/>
                <w:szCs w:val="24"/>
              </w:rPr>
              <w:t>岳阳市人民政府关于印发《岳阳市中心城区声环境功能区划分（2019年修编稿）》的通知</w:t>
            </w:r>
            <w:r>
              <w:rPr>
                <w:rFonts w:hint="default" w:ascii="Times New Roman" w:hAnsi="Times New Roman" w:cs="Times New Roman"/>
                <w:color w:val="000000"/>
                <w:szCs w:val="24"/>
                <w:lang w:eastAsia="zh-CN"/>
              </w:rPr>
              <w:t>，</w:t>
            </w:r>
            <w:r>
              <w:rPr>
                <w:rFonts w:hint="default" w:ascii="Times New Roman" w:hAnsi="Times New Roman" w:cs="Times New Roman"/>
                <w:color w:val="000000"/>
                <w:kern w:val="2"/>
                <w:szCs w:val="24"/>
              </w:rPr>
              <w:t>声环境现状属于2类声功能区</w:t>
            </w:r>
            <w:r>
              <w:rPr>
                <w:rFonts w:hint="default" w:ascii="Times New Roman" w:hAnsi="Times New Roman" w:cs="Times New Roman"/>
                <w:color w:val="000000"/>
                <w:szCs w:val="24"/>
                <w:lang w:eastAsia="zh-CN"/>
              </w:rPr>
              <w:t>；</w:t>
            </w:r>
            <w:r>
              <w:rPr>
                <w:rFonts w:hint="default" w:ascii="Times New Roman" w:hAnsi="Times New Roman" w:cs="Times New Roman"/>
                <w:color w:val="000000"/>
                <w:kern w:val="2"/>
                <w:szCs w:val="24"/>
              </w:rPr>
              <w:t>道路运营后，</w:t>
            </w:r>
            <w:r>
              <w:rPr>
                <w:rFonts w:hint="default" w:ascii="Times New Roman" w:hAnsi="Times New Roman" w:cs="Times New Roman"/>
                <w:color w:val="000000"/>
                <w:kern w:val="2"/>
                <w:szCs w:val="24"/>
                <w:lang w:eastAsia="zh-CN"/>
              </w:rPr>
              <w:t>红线</w:t>
            </w:r>
            <w:r>
              <w:rPr>
                <w:rFonts w:hint="default" w:ascii="Times New Roman" w:hAnsi="Times New Roman" w:cs="Times New Roman"/>
                <w:color w:val="000000"/>
                <w:kern w:val="2"/>
                <w:szCs w:val="24"/>
                <w:lang w:val="en-US" w:eastAsia="zh-CN"/>
              </w:rPr>
              <w:t>40m内执行4a类，40m外执行2类。</w:t>
            </w:r>
          </w:p>
          <w:p w14:paraId="38F88A0D">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3.5-3</w:t>
            </w:r>
            <w:r>
              <w:rPr>
                <w:rFonts w:hint="default" w:ascii="Times New Roman" w:hAnsi="Times New Roman" w:eastAsia="宋体" w:cs="Times New Roman"/>
                <w:b/>
                <w:bCs/>
                <w:color w:val="000000"/>
                <w:sz w:val="21"/>
                <w:szCs w:val="21"/>
                <w:lang w:bidi="ar"/>
              </w:rPr>
              <w:t xml:space="preserve">  区域噪声标准限值</w:t>
            </w:r>
          </w:p>
          <w:tbl>
            <w:tblPr>
              <w:tblStyle w:val="22"/>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3927"/>
              <w:gridCol w:w="1432"/>
              <w:gridCol w:w="1072"/>
              <w:gridCol w:w="1126"/>
              <w:gridCol w:w="1128"/>
            </w:tblGrid>
            <w:tr w14:paraId="287E1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260" w:type="pct"/>
                  <w:vMerge w:val="restart"/>
                  <w:tcBorders>
                    <w:top w:val="single" w:color="auto" w:sz="6" w:space="0"/>
                    <w:left w:val="single" w:color="auto" w:sz="6" w:space="0"/>
                    <w:bottom w:val="single" w:color="auto" w:sz="6" w:space="0"/>
                    <w:right w:val="single" w:color="auto" w:sz="6" w:space="0"/>
                  </w:tcBorders>
                  <w:noWrap w:val="0"/>
                  <w:vAlign w:val="center"/>
                </w:tcPr>
                <w:p w14:paraId="7529CF82">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执行标准</w:t>
                  </w:r>
                </w:p>
              </w:tc>
              <w:tc>
                <w:tcPr>
                  <w:tcW w:w="824" w:type="pct"/>
                  <w:vMerge w:val="restart"/>
                  <w:tcBorders>
                    <w:top w:val="single" w:color="auto" w:sz="6" w:space="0"/>
                    <w:left w:val="single" w:color="auto" w:sz="6" w:space="0"/>
                    <w:bottom w:val="single" w:color="auto" w:sz="6" w:space="0"/>
                    <w:right w:val="single" w:color="auto" w:sz="6" w:space="0"/>
                  </w:tcBorders>
                  <w:noWrap w:val="0"/>
                  <w:vAlign w:val="center"/>
                </w:tcPr>
                <w:p w14:paraId="4D59E60E">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级别</w:t>
                  </w:r>
                </w:p>
              </w:tc>
              <w:tc>
                <w:tcPr>
                  <w:tcW w:w="617" w:type="pct"/>
                  <w:vMerge w:val="restart"/>
                  <w:tcBorders>
                    <w:top w:val="single" w:color="auto" w:sz="6" w:space="0"/>
                    <w:left w:val="single" w:color="auto" w:sz="6" w:space="0"/>
                    <w:bottom w:val="single" w:color="auto" w:sz="6" w:space="0"/>
                    <w:right w:val="single" w:color="auto" w:sz="6" w:space="0"/>
                  </w:tcBorders>
                  <w:noWrap w:val="0"/>
                  <w:vAlign w:val="center"/>
                </w:tcPr>
                <w:p w14:paraId="61DD97EC">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单位</w:t>
                  </w:r>
                </w:p>
              </w:tc>
              <w:tc>
                <w:tcPr>
                  <w:tcW w:w="1297" w:type="pct"/>
                  <w:gridSpan w:val="2"/>
                  <w:tcBorders>
                    <w:top w:val="single" w:color="auto" w:sz="6" w:space="0"/>
                    <w:left w:val="single" w:color="auto" w:sz="6" w:space="0"/>
                    <w:bottom w:val="single" w:color="auto" w:sz="6" w:space="0"/>
                    <w:right w:val="single" w:color="auto" w:sz="6" w:space="0"/>
                  </w:tcBorders>
                  <w:noWrap w:val="0"/>
                  <w:vAlign w:val="center"/>
                </w:tcPr>
                <w:p w14:paraId="52A72B38">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标准限值</w:t>
                  </w:r>
                </w:p>
              </w:tc>
            </w:tr>
            <w:tr w14:paraId="39133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54" w:hRule="atLeast"/>
                <w:jc w:val="center"/>
              </w:trPr>
              <w:tc>
                <w:tcPr>
                  <w:tcW w:w="2260" w:type="pct"/>
                  <w:vMerge w:val="continue"/>
                  <w:tcBorders>
                    <w:top w:val="single" w:color="auto" w:sz="6" w:space="0"/>
                    <w:left w:val="single" w:color="auto" w:sz="6" w:space="0"/>
                    <w:bottom w:val="single" w:color="auto" w:sz="6" w:space="0"/>
                    <w:right w:val="single" w:color="auto" w:sz="6" w:space="0"/>
                  </w:tcBorders>
                  <w:noWrap w:val="0"/>
                  <w:vAlign w:val="center"/>
                </w:tcPr>
                <w:p w14:paraId="1EE00E95">
                  <w:pPr>
                    <w:rPr>
                      <w:rFonts w:hint="default" w:ascii="Times New Roman" w:hAnsi="Times New Roman" w:cs="Times New Roman"/>
                      <w:color w:val="000000"/>
                      <w:szCs w:val="21"/>
                    </w:rPr>
                  </w:pPr>
                </w:p>
              </w:tc>
              <w:tc>
                <w:tcPr>
                  <w:tcW w:w="824" w:type="pct"/>
                  <w:vMerge w:val="continue"/>
                  <w:tcBorders>
                    <w:top w:val="single" w:color="auto" w:sz="6" w:space="0"/>
                    <w:left w:val="single" w:color="auto" w:sz="6" w:space="0"/>
                    <w:bottom w:val="single" w:color="auto" w:sz="6" w:space="0"/>
                    <w:right w:val="single" w:color="auto" w:sz="6" w:space="0"/>
                  </w:tcBorders>
                  <w:noWrap w:val="0"/>
                  <w:vAlign w:val="center"/>
                </w:tcPr>
                <w:p w14:paraId="2A1FA354">
                  <w:pPr>
                    <w:rPr>
                      <w:rFonts w:hint="default" w:ascii="Times New Roman" w:hAnsi="Times New Roman" w:cs="Times New Roman"/>
                      <w:color w:val="000000"/>
                      <w:szCs w:val="21"/>
                    </w:rPr>
                  </w:pPr>
                </w:p>
              </w:tc>
              <w:tc>
                <w:tcPr>
                  <w:tcW w:w="617" w:type="pct"/>
                  <w:vMerge w:val="continue"/>
                  <w:tcBorders>
                    <w:top w:val="single" w:color="auto" w:sz="6" w:space="0"/>
                    <w:left w:val="single" w:color="auto" w:sz="6" w:space="0"/>
                    <w:bottom w:val="single" w:color="auto" w:sz="6" w:space="0"/>
                    <w:right w:val="single" w:color="auto" w:sz="6" w:space="0"/>
                  </w:tcBorders>
                  <w:noWrap w:val="0"/>
                  <w:vAlign w:val="center"/>
                </w:tcPr>
                <w:p w14:paraId="48F682AC">
                  <w:pPr>
                    <w:rPr>
                      <w:rFonts w:hint="default" w:ascii="Times New Roman" w:hAnsi="Times New Roman" w:cs="Times New Roman"/>
                      <w:color w:val="000000"/>
                      <w:szCs w:val="21"/>
                    </w:rPr>
                  </w:pPr>
                </w:p>
              </w:tc>
              <w:tc>
                <w:tcPr>
                  <w:tcW w:w="648" w:type="pct"/>
                  <w:tcBorders>
                    <w:top w:val="single" w:color="auto" w:sz="6" w:space="0"/>
                    <w:left w:val="single" w:color="auto" w:sz="6" w:space="0"/>
                    <w:bottom w:val="single" w:color="auto" w:sz="6" w:space="0"/>
                    <w:right w:val="single" w:color="auto" w:sz="6" w:space="0"/>
                  </w:tcBorders>
                  <w:noWrap w:val="0"/>
                  <w:vAlign w:val="center"/>
                </w:tcPr>
                <w:p w14:paraId="64BFF974">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昼</w:t>
                  </w:r>
                </w:p>
              </w:tc>
              <w:tc>
                <w:tcPr>
                  <w:tcW w:w="649" w:type="pct"/>
                  <w:tcBorders>
                    <w:top w:val="single" w:color="auto" w:sz="6" w:space="0"/>
                    <w:left w:val="single" w:color="auto" w:sz="6" w:space="0"/>
                    <w:bottom w:val="single" w:color="auto" w:sz="6" w:space="0"/>
                    <w:right w:val="single" w:color="auto" w:sz="6" w:space="0"/>
                  </w:tcBorders>
                  <w:noWrap w:val="0"/>
                  <w:vAlign w:val="center"/>
                </w:tcPr>
                <w:p w14:paraId="26F116D4">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夜</w:t>
                  </w:r>
                </w:p>
              </w:tc>
            </w:tr>
            <w:tr w14:paraId="21283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260" w:type="pct"/>
                  <w:vMerge w:val="restart"/>
                  <w:tcBorders>
                    <w:top w:val="single" w:color="auto" w:sz="6" w:space="0"/>
                    <w:left w:val="single" w:color="auto" w:sz="6" w:space="0"/>
                    <w:right w:val="single" w:color="auto" w:sz="6" w:space="0"/>
                  </w:tcBorders>
                  <w:noWrap w:val="0"/>
                  <w:vAlign w:val="center"/>
                </w:tcPr>
                <w:p w14:paraId="74934F6E">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《声环境质量标准》GB3096-2008）</w:t>
                  </w:r>
                </w:p>
              </w:tc>
              <w:tc>
                <w:tcPr>
                  <w:tcW w:w="824" w:type="pct"/>
                  <w:tcBorders>
                    <w:top w:val="single" w:color="auto" w:sz="6" w:space="0"/>
                    <w:left w:val="single" w:color="auto" w:sz="6" w:space="0"/>
                    <w:bottom w:val="single" w:color="auto" w:sz="6" w:space="0"/>
                    <w:right w:val="single" w:color="auto" w:sz="6" w:space="0"/>
                  </w:tcBorders>
                  <w:noWrap w:val="0"/>
                  <w:vAlign w:val="center"/>
                </w:tcPr>
                <w:p w14:paraId="0636B801">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2类</w:t>
                  </w:r>
                </w:p>
              </w:tc>
              <w:tc>
                <w:tcPr>
                  <w:tcW w:w="617" w:type="pct"/>
                  <w:vMerge w:val="restart"/>
                  <w:tcBorders>
                    <w:top w:val="single" w:color="auto" w:sz="6" w:space="0"/>
                    <w:left w:val="single" w:color="auto" w:sz="6" w:space="0"/>
                    <w:right w:val="single" w:color="auto" w:sz="6" w:space="0"/>
                  </w:tcBorders>
                  <w:noWrap w:val="0"/>
                  <w:vAlign w:val="center"/>
                </w:tcPr>
                <w:p w14:paraId="6FFF1691">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dB(A)</w:t>
                  </w:r>
                </w:p>
              </w:tc>
              <w:tc>
                <w:tcPr>
                  <w:tcW w:w="648" w:type="pct"/>
                  <w:tcBorders>
                    <w:top w:val="single" w:color="auto" w:sz="6" w:space="0"/>
                    <w:left w:val="single" w:color="auto" w:sz="6" w:space="0"/>
                    <w:bottom w:val="single" w:color="auto" w:sz="6" w:space="0"/>
                    <w:right w:val="single" w:color="auto" w:sz="6" w:space="0"/>
                  </w:tcBorders>
                  <w:noWrap w:val="0"/>
                  <w:vAlign w:val="center"/>
                </w:tcPr>
                <w:p w14:paraId="749D343B">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60</w:t>
                  </w:r>
                </w:p>
              </w:tc>
              <w:tc>
                <w:tcPr>
                  <w:tcW w:w="649" w:type="pct"/>
                  <w:tcBorders>
                    <w:top w:val="single" w:color="auto" w:sz="6" w:space="0"/>
                    <w:left w:val="single" w:color="auto" w:sz="6" w:space="0"/>
                    <w:bottom w:val="single" w:color="auto" w:sz="6" w:space="0"/>
                    <w:right w:val="single" w:color="auto" w:sz="6" w:space="0"/>
                  </w:tcBorders>
                  <w:noWrap w:val="0"/>
                  <w:vAlign w:val="center"/>
                </w:tcPr>
                <w:p w14:paraId="3F286359">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50</w:t>
                  </w:r>
                </w:p>
              </w:tc>
            </w:tr>
            <w:tr w14:paraId="325D6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260" w:type="pct"/>
                  <w:vMerge w:val="continue"/>
                  <w:tcBorders>
                    <w:left w:val="single" w:color="auto" w:sz="6" w:space="0"/>
                    <w:right w:val="single" w:color="auto" w:sz="6" w:space="0"/>
                  </w:tcBorders>
                  <w:noWrap w:val="0"/>
                  <w:vAlign w:val="center"/>
                </w:tcPr>
                <w:p w14:paraId="2D9CDB37">
                  <w:pPr>
                    <w:jc w:val="center"/>
                    <w:rPr>
                      <w:rFonts w:hint="default" w:ascii="Times New Roman" w:hAnsi="Times New Roman" w:cs="Times New Roman"/>
                      <w:color w:val="000000"/>
                      <w:szCs w:val="21"/>
                      <w:lang w:bidi="ar"/>
                    </w:rPr>
                  </w:pPr>
                </w:p>
              </w:tc>
              <w:tc>
                <w:tcPr>
                  <w:tcW w:w="824" w:type="pct"/>
                  <w:tcBorders>
                    <w:top w:val="single" w:color="auto" w:sz="6" w:space="0"/>
                    <w:left w:val="single" w:color="auto" w:sz="6" w:space="0"/>
                    <w:bottom w:val="single" w:color="auto" w:sz="6" w:space="0"/>
                    <w:right w:val="single" w:color="auto" w:sz="6" w:space="0"/>
                  </w:tcBorders>
                  <w:noWrap w:val="0"/>
                  <w:vAlign w:val="center"/>
                </w:tcPr>
                <w:p w14:paraId="57FA42BC">
                  <w:pPr>
                    <w:jc w:val="center"/>
                    <w:rPr>
                      <w:rFonts w:hint="default" w:ascii="Times New Roman" w:hAnsi="Times New Roman" w:cs="Times New Roman"/>
                      <w:color w:val="000000"/>
                      <w:szCs w:val="21"/>
                      <w:lang w:bidi="ar"/>
                    </w:rPr>
                  </w:pPr>
                  <w:r>
                    <w:rPr>
                      <w:rFonts w:hint="default" w:ascii="Times New Roman" w:hAnsi="Times New Roman" w:cs="Times New Roman"/>
                      <w:color w:val="000000"/>
                      <w:szCs w:val="21"/>
                      <w:lang w:bidi="ar"/>
                    </w:rPr>
                    <w:t>4a类</w:t>
                  </w:r>
                </w:p>
              </w:tc>
              <w:tc>
                <w:tcPr>
                  <w:tcW w:w="617" w:type="pct"/>
                  <w:vMerge w:val="continue"/>
                  <w:tcBorders>
                    <w:left w:val="single" w:color="auto" w:sz="6" w:space="0"/>
                    <w:bottom w:val="single" w:color="auto" w:sz="6" w:space="0"/>
                    <w:right w:val="single" w:color="auto" w:sz="6" w:space="0"/>
                  </w:tcBorders>
                  <w:noWrap w:val="0"/>
                  <w:vAlign w:val="center"/>
                </w:tcPr>
                <w:p w14:paraId="41EF7814">
                  <w:pPr>
                    <w:jc w:val="center"/>
                    <w:rPr>
                      <w:rFonts w:hint="default" w:ascii="Times New Roman" w:hAnsi="Times New Roman" w:cs="Times New Roman"/>
                      <w:color w:val="000000"/>
                      <w:szCs w:val="21"/>
                      <w:lang w:bidi="ar"/>
                    </w:rPr>
                  </w:pPr>
                </w:p>
              </w:tc>
              <w:tc>
                <w:tcPr>
                  <w:tcW w:w="648" w:type="pct"/>
                  <w:tcBorders>
                    <w:top w:val="single" w:color="auto" w:sz="6" w:space="0"/>
                    <w:left w:val="single" w:color="auto" w:sz="6" w:space="0"/>
                    <w:bottom w:val="single" w:color="auto" w:sz="6" w:space="0"/>
                    <w:right w:val="single" w:color="auto" w:sz="6" w:space="0"/>
                  </w:tcBorders>
                  <w:noWrap w:val="0"/>
                  <w:vAlign w:val="center"/>
                </w:tcPr>
                <w:p w14:paraId="3EE815E2">
                  <w:pPr>
                    <w:jc w:val="center"/>
                    <w:rPr>
                      <w:rFonts w:hint="default" w:ascii="Times New Roman" w:hAnsi="Times New Roman" w:cs="Times New Roman"/>
                      <w:color w:val="000000"/>
                      <w:szCs w:val="21"/>
                      <w:lang w:bidi="ar"/>
                    </w:rPr>
                  </w:pPr>
                  <w:r>
                    <w:rPr>
                      <w:rFonts w:hint="default" w:ascii="Times New Roman" w:hAnsi="Times New Roman" w:cs="Times New Roman"/>
                      <w:color w:val="000000"/>
                      <w:szCs w:val="21"/>
                      <w:lang w:bidi="ar"/>
                    </w:rPr>
                    <w:t>70</w:t>
                  </w:r>
                </w:p>
              </w:tc>
              <w:tc>
                <w:tcPr>
                  <w:tcW w:w="649" w:type="pct"/>
                  <w:tcBorders>
                    <w:top w:val="single" w:color="auto" w:sz="6" w:space="0"/>
                    <w:left w:val="single" w:color="auto" w:sz="6" w:space="0"/>
                    <w:bottom w:val="single" w:color="auto" w:sz="6" w:space="0"/>
                    <w:right w:val="single" w:color="auto" w:sz="6" w:space="0"/>
                  </w:tcBorders>
                  <w:noWrap w:val="0"/>
                  <w:vAlign w:val="center"/>
                </w:tcPr>
                <w:p w14:paraId="170D1ADD">
                  <w:pPr>
                    <w:jc w:val="center"/>
                    <w:rPr>
                      <w:rFonts w:hint="default" w:ascii="Times New Roman" w:hAnsi="Times New Roman" w:cs="Times New Roman"/>
                      <w:color w:val="000000"/>
                      <w:szCs w:val="21"/>
                      <w:lang w:bidi="ar"/>
                    </w:rPr>
                  </w:pPr>
                  <w:r>
                    <w:rPr>
                      <w:rFonts w:hint="default" w:ascii="Times New Roman" w:hAnsi="Times New Roman" w:cs="Times New Roman"/>
                      <w:color w:val="000000"/>
                      <w:szCs w:val="21"/>
                      <w:lang w:bidi="ar"/>
                    </w:rPr>
                    <w:t>55</w:t>
                  </w:r>
                </w:p>
              </w:tc>
            </w:tr>
          </w:tbl>
          <w:p w14:paraId="2079A7F1">
            <w:pPr>
              <w:pStyle w:val="31"/>
              <w:ind w:firstLine="0" w:firstLineChars="0"/>
              <w:rPr>
                <w:rFonts w:hint="default" w:ascii="Times New Roman" w:hAnsi="Times New Roman" w:cs="Times New Roman"/>
                <w:b/>
                <w:color w:val="000000"/>
              </w:rPr>
            </w:pPr>
            <w:r>
              <w:rPr>
                <w:rFonts w:hint="default" w:ascii="Times New Roman" w:hAnsi="Times New Roman" w:cs="Times New Roman"/>
                <w:b/>
                <w:color w:val="000000"/>
              </w:rPr>
              <w:t>2、污染物排放标准</w:t>
            </w:r>
          </w:p>
          <w:p w14:paraId="1D3FA2BE">
            <w:pPr>
              <w:pStyle w:val="7"/>
              <w:spacing w:before="0"/>
              <w:ind w:right="0" w:firstLine="480"/>
              <w:rPr>
                <w:rFonts w:hint="default" w:ascii="Times New Roman" w:hAnsi="Times New Roman" w:cs="Times New Roman"/>
                <w:color w:val="000000"/>
                <w:szCs w:val="24"/>
                <w:lang w:val="en-US" w:eastAsia="zh-CN" w:bidi="ar"/>
              </w:rPr>
            </w:pPr>
            <w:r>
              <w:rPr>
                <w:rFonts w:hint="default" w:ascii="Times New Roman" w:hAnsi="Times New Roman" w:cs="Times New Roman"/>
                <w:color w:val="000000"/>
                <w:szCs w:val="24"/>
                <w:lang w:val="en-US" w:eastAsia="zh-CN" w:bidi="ar"/>
              </w:rPr>
              <w:t>（1）废水：本工程设计雨、污分流系统，路面雨水就</w:t>
            </w:r>
            <w:r>
              <w:rPr>
                <w:rFonts w:hint="default" w:ascii="Times New Roman" w:hAnsi="Times New Roman" w:cs="Times New Roman"/>
                <w:color w:val="auto"/>
                <w:szCs w:val="24"/>
                <w:lang w:val="en-US" w:eastAsia="zh-CN" w:bidi="ar"/>
              </w:rPr>
              <w:t>近排入黄梅港。</w:t>
            </w:r>
            <w:r>
              <w:rPr>
                <w:rFonts w:hint="default" w:ascii="Times New Roman" w:hAnsi="Times New Roman" w:cs="Times New Roman"/>
                <w:color w:val="000000"/>
                <w:szCs w:val="24"/>
                <w:lang w:val="en-US" w:eastAsia="zh-CN" w:bidi="ar"/>
              </w:rPr>
              <w:t>同时为了避免受路面污物污染的雨水排入饮用水系统，雨水管道不排入于饮用水相关的水体，而是改排其它河、渠，污水管网按规划接入规划的污水处理厂。</w:t>
            </w:r>
          </w:p>
          <w:p w14:paraId="508B3A6C">
            <w:pPr>
              <w:pStyle w:val="7"/>
              <w:spacing w:before="0"/>
              <w:ind w:right="0" w:firstLine="480"/>
              <w:rPr>
                <w:rFonts w:hint="default" w:ascii="Times New Roman" w:hAnsi="Times New Roman" w:cs="Times New Roman"/>
                <w:color w:val="000000"/>
                <w:szCs w:val="24"/>
                <w:lang w:val="en-US" w:eastAsia="zh-CN" w:bidi="ar"/>
              </w:rPr>
            </w:pPr>
            <w:r>
              <w:rPr>
                <w:rFonts w:hint="default" w:ascii="Times New Roman" w:hAnsi="Times New Roman" w:cs="Times New Roman"/>
                <w:color w:val="000000"/>
                <w:szCs w:val="24"/>
                <w:lang w:val="en-US" w:eastAsia="zh-CN" w:bidi="ar"/>
              </w:rPr>
              <w:t>（2）废气：执行《大气污染物综合排放标准》（GB16297-2012）表2中无组织排放监控浓度限值。</w:t>
            </w:r>
          </w:p>
          <w:p w14:paraId="112BC9EA">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3.5-4</w:t>
            </w:r>
            <w:r>
              <w:rPr>
                <w:rFonts w:hint="default" w:ascii="Times New Roman" w:hAnsi="Times New Roman" w:eastAsia="宋体" w:cs="Times New Roman"/>
                <w:b/>
                <w:bCs/>
                <w:color w:val="000000"/>
                <w:sz w:val="21"/>
                <w:szCs w:val="21"/>
                <w:lang w:bidi="ar"/>
              </w:rPr>
              <w:t xml:space="preserve">  施工期污染物排放标准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473"/>
              <w:gridCol w:w="4407"/>
              <w:gridCol w:w="2810"/>
            </w:tblGrid>
            <w:tr w14:paraId="6C09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847" w:type="pct"/>
                  <w:noWrap w:val="0"/>
                  <w:vAlign w:val="center"/>
                </w:tcPr>
                <w:p w14:paraId="371619EA">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污染物名称</w:t>
                  </w:r>
                </w:p>
              </w:tc>
              <w:tc>
                <w:tcPr>
                  <w:tcW w:w="2535" w:type="pct"/>
                  <w:noWrap w:val="0"/>
                  <w:vAlign w:val="center"/>
                </w:tcPr>
                <w:p w14:paraId="543AF772">
                  <w:pPr>
                    <w:spacing w:line="360" w:lineRule="auto"/>
                    <w:jc w:val="center"/>
                    <w:rPr>
                      <w:rFonts w:hint="default" w:ascii="Times New Roman" w:hAnsi="Times New Roman" w:cs="Times New Roman"/>
                      <w:caps/>
                      <w:color w:val="000000"/>
                      <w:szCs w:val="21"/>
                    </w:rPr>
                  </w:pPr>
                  <w:r>
                    <w:rPr>
                      <w:rFonts w:hint="default" w:ascii="Times New Roman" w:hAnsi="Times New Roman" w:cs="Times New Roman"/>
                      <w:caps/>
                      <w:color w:val="000000"/>
                      <w:szCs w:val="21"/>
                      <w:lang w:bidi="ar"/>
                    </w:rPr>
                    <w:t>执行标准及级别</w:t>
                  </w:r>
                </w:p>
              </w:tc>
              <w:tc>
                <w:tcPr>
                  <w:tcW w:w="1616" w:type="pct"/>
                  <w:noWrap w:val="0"/>
                  <w:vAlign w:val="center"/>
                </w:tcPr>
                <w:p w14:paraId="3A092199">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无组织排放监控浓度</w:t>
                  </w:r>
                </w:p>
              </w:tc>
            </w:tr>
            <w:tr w14:paraId="580C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78" w:hRule="atLeast"/>
                <w:jc w:val="center"/>
              </w:trPr>
              <w:tc>
                <w:tcPr>
                  <w:tcW w:w="847" w:type="pct"/>
                  <w:noWrap w:val="0"/>
                  <w:vAlign w:val="center"/>
                </w:tcPr>
                <w:p w14:paraId="167AE56A">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颗粒物</w:t>
                  </w:r>
                </w:p>
              </w:tc>
              <w:tc>
                <w:tcPr>
                  <w:tcW w:w="2535" w:type="pct"/>
                  <w:noWrap w:val="0"/>
                  <w:vAlign w:val="center"/>
                </w:tcPr>
                <w:p w14:paraId="03282356">
                  <w:pPr>
                    <w:jc w:val="center"/>
                    <w:rPr>
                      <w:rFonts w:hint="default" w:ascii="Times New Roman" w:hAnsi="Times New Roman" w:cs="Times New Roman"/>
                      <w:caps/>
                      <w:color w:val="000000"/>
                      <w:szCs w:val="21"/>
                    </w:rPr>
                  </w:pPr>
                  <w:r>
                    <w:rPr>
                      <w:rFonts w:hint="default" w:ascii="Times New Roman" w:hAnsi="Times New Roman" w:cs="Times New Roman"/>
                      <w:caps/>
                      <w:color w:val="000000"/>
                      <w:szCs w:val="21"/>
                      <w:lang w:bidi="ar"/>
                    </w:rPr>
                    <w:t>《大气污染物综合排放标准》(GB16297-1996)</w:t>
                  </w:r>
                </w:p>
              </w:tc>
              <w:tc>
                <w:tcPr>
                  <w:tcW w:w="1616" w:type="pct"/>
                  <w:noWrap w:val="0"/>
                  <w:vAlign w:val="center"/>
                </w:tcPr>
                <w:p w14:paraId="0B560000">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bidi="ar"/>
                    </w:rPr>
                    <w:t>1.0</w:t>
                  </w:r>
                  <w:r>
                    <w:rPr>
                      <w:rFonts w:hint="default" w:ascii="Times New Roman" w:hAnsi="Times New Roman" w:cs="Times New Roman"/>
                      <w:color w:val="000000"/>
                      <w:kern w:val="0"/>
                      <w:szCs w:val="21"/>
                      <w:lang w:bidi="ar"/>
                    </w:rPr>
                    <w:t>mg/m</w:t>
                  </w:r>
                  <w:r>
                    <w:rPr>
                      <w:rFonts w:hint="default" w:ascii="Times New Roman" w:hAnsi="Times New Roman" w:cs="Times New Roman"/>
                      <w:color w:val="000000"/>
                      <w:kern w:val="0"/>
                      <w:szCs w:val="21"/>
                      <w:vertAlign w:val="superscript"/>
                      <w:lang w:bidi="ar"/>
                    </w:rPr>
                    <w:t>3</w:t>
                  </w:r>
                </w:p>
              </w:tc>
            </w:tr>
          </w:tbl>
          <w:p w14:paraId="190BA16E">
            <w:pPr>
              <w:pStyle w:val="7"/>
              <w:spacing w:before="0"/>
              <w:ind w:right="0" w:firstLine="480"/>
              <w:rPr>
                <w:rFonts w:hint="default" w:ascii="Times New Roman" w:hAnsi="Times New Roman" w:cs="Times New Roman"/>
                <w:color w:val="000000"/>
                <w:szCs w:val="21"/>
                <w:lang w:eastAsia="zh-CN"/>
              </w:rPr>
            </w:pPr>
            <w:r>
              <w:rPr>
                <w:rFonts w:hint="default" w:ascii="Times New Roman" w:hAnsi="Times New Roman" w:cs="Times New Roman"/>
                <w:color w:val="000000"/>
                <w:szCs w:val="24"/>
                <w:lang w:val="en-US" w:eastAsia="zh-CN" w:bidi="ar"/>
              </w:rPr>
              <w:t>（3）</w:t>
            </w:r>
            <w:r>
              <w:rPr>
                <w:rFonts w:hint="default" w:ascii="Times New Roman" w:hAnsi="Times New Roman" w:cs="Times New Roman"/>
                <w:color w:val="000000"/>
                <w:szCs w:val="21"/>
              </w:rPr>
              <w:t>噪声：施工期执行《建筑施工场界环境噪声排放标准》（GB12523-2011）</w:t>
            </w:r>
            <w:r>
              <w:rPr>
                <w:rFonts w:hint="default" w:ascii="Times New Roman" w:hAnsi="Times New Roman" w:cs="Times New Roman"/>
                <w:color w:val="000000"/>
                <w:szCs w:val="21"/>
                <w:lang w:eastAsia="zh-CN"/>
              </w:rPr>
              <w:t>。</w:t>
            </w:r>
          </w:p>
          <w:p w14:paraId="7613BC41">
            <w:pPr>
              <w:pStyle w:val="2"/>
              <w:spacing w:line="360" w:lineRule="auto"/>
              <w:ind w:firstLine="422"/>
              <w:jc w:val="center"/>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default" w:ascii="Times New Roman" w:hAnsi="Times New Roman" w:cs="Times New Roman"/>
                <w:b/>
                <w:sz w:val="21"/>
                <w:szCs w:val="21"/>
                <w:lang w:val="en-US" w:eastAsia="zh-CN"/>
              </w:rPr>
              <w:t>3.5-5</w:t>
            </w:r>
            <w:r>
              <w:rPr>
                <w:rFonts w:hint="default" w:ascii="Times New Roman" w:hAnsi="Times New Roman" w:cs="Times New Roman"/>
                <w:b/>
                <w:sz w:val="21"/>
                <w:szCs w:val="21"/>
              </w:rPr>
              <w:t xml:space="preserve"> </w:t>
            </w:r>
            <w:r>
              <w:rPr>
                <w:rFonts w:hint="default" w:ascii="Times New Roman" w:hAnsi="Times New Roman" w:cs="Times New Roman"/>
                <w:b/>
                <w:sz w:val="21"/>
                <w:szCs w:val="21"/>
                <w:lang w:bidi="ar"/>
              </w:rPr>
              <w:t>噪声排放标准</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0"/>
              <w:gridCol w:w="4654"/>
              <w:gridCol w:w="1287"/>
              <w:gridCol w:w="1003"/>
              <w:gridCol w:w="896"/>
            </w:tblGrid>
            <w:tr w14:paraId="479DA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9" w:type="pct"/>
                  <w:vMerge w:val="restart"/>
                  <w:tcBorders>
                    <w:top w:val="single" w:color="000000" w:sz="4" w:space="0"/>
                    <w:left w:val="single" w:color="000000" w:sz="4" w:space="0"/>
                    <w:bottom w:val="single" w:color="000000" w:sz="4" w:space="0"/>
                    <w:right w:val="single" w:color="000000" w:sz="4" w:space="0"/>
                  </w:tcBorders>
                  <w:noWrap w:val="0"/>
                  <w:vAlign w:val="center"/>
                </w:tcPr>
                <w:p w14:paraId="1B1E5E7D">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阶段</w:t>
                  </w:r>
                </w:p>
              </w:tc>
              <w:tc>
                <w:tcPr>
                  <w:tcW w:w="2677" w:type="pct"/>
                  <w:vMerge w:val="restart"/>
                  <w:tcBorders>
                    <w:top w:val="single" w:color="000000" w:sz="4" w:space="0"/>
                    <w:left w:val="single" w:color="000000" w:sz="4" w:space="0"/>
                    <w:bottom w:val="single" w:color="000000" w:sz="4" w:space="0"/>
                    <w:right w:val="single" w:color="000000" w:sz="4" w:space="0"/>
                  </w:tcBorders>
                  <w:noWrap w:val="0"/>
                  <w:vAlign w:val="center"/>
                </w:tcPr>
                <w:p w14:paraId="1BAA381E">
                  <w:pPr>
                    <w:pStyle w:val="36"/>
                    <w:spacing w:line="240" w:lineRule="atLeast"/>
                    <w:ind w:firstLine="1890" w:firstLineChars="900"/>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执行标准及级别</w:t>
                  </w:r>
                </w:p>
              </w:tc>
              <w:tc>
                <w:tcPr>
                  <w:tcW w:w="740" w:type="pct"/>
                  <w:vMerge w:val="restart"/>
                  <w:tcBorders>
                    <w:top w:val="single" w:color="000000" w:sz="4" w:space="0"/>
                    <w:left w:val="single" w:color="000000" w:sz="4" w:space="0"/>
                    <w:bottom w:val="single" w:color="000000" w:sz="4" w:space="0"/>
                    <w:right w:val="single" w:color="000000" w:sz="4" w:space="0"/>
                  </w:tcBorders>
                  <w:noWrap w:val="0"/>
                  <w:vAlign w:val="center"/>
                </w:tcPr>
                <w:p w14:paraId="1E3DE461">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单位</w:t>
                  </w:r>
                </w:p>
              </w:tc>
              <w:tc>
                <w:tcPr>
                  <w:tcW w:w="1092" w:type="pct"/>
                  <w:gridSpan w:val="2"/>
                  <w:tcBorders>
                    <w:top w:val="single" w:color="000000" w:sz="4" w:space="0"/>
                    <w:left w:val="single" w:color="000000" w:sz="4" w:space="0"/>
                    <w:bottom w:val="single" w:color="000000" w:sz="4" w:space="0"/>
                    <w:right w:val="single" w:color="000000" w:sz="4" w:space="0"/>
                  </w:tcBorders>
                  <w:noWrap w:val="0"/>
                  <w:vAlign w:val="center"/>
                </w:tcPr>
                <w:p w14:paraId="7FF64207">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标准限值</w:t>
                  </w:r>
                </w:p>
              </w:tc>
            </w:tr>
            <w:tr w14:paraId="413C7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75BAB9">
                  <w:pPr>
                    <w:widowControl/>
                    <w:jc w:val="left"/>
                    <w:rPr>
                      <w:rFonts w:hint="default" w:ascii="Times New Roman" w:hAnsi="Times New Roman" w:cs="Times New Roman"/>
                      <w:color w:val="000000"/>
                      <w:szCs w:val="21"/>
                    </w:rPr>
                  </w:pPr>
                </w:p>
              </w:tc>
              <w:tc>
                <w:tcPr>
                  <w:tcW w:w="267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AE4667">
                  <w:pPr>
                    <w:widowControl/>
                    <w:jc w:val="left"/>
                    <w:rPr>
                      <w:rFonts w:hint="default" w:ascii="Times New Roman" w:hAnsi="Times New Roman" w:cs="Times New Roman"/>
                      <w:color w:val="000000"/>
                      <w:szCs w:val="21"/>
                    </w:rPr>
                  </w:pPr>
                </w:p>
              </w:tc>
              <w:tc>
                <w:tcPr>
                  <w:tcW w:w="7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500D3D">
                  <w:pPr>
                    <w:widowControl/>
                    <w:jc w:val="left"/>
                    <w:rPr>
                      <w:rFonts w:hint="default" w:ascii="Times New Roman" w:hAnsi="Times New Roman" w:cs="Times New Roman"/>
                      <w:color w:val="000000"/>
                      <w:szCs w:val="21"/>
                    </w:rPr>
                  </w:pPr>
                </w:p>
              </w:tc>
              <w:tc>
                <w:tcPr>
                  <w:tcW w:w="577" w:type="pct"/>
                  <w:tcBorders>
                    <w:top w:val="single" w:color="000000" w:sz="4" w:space="0"/>
                    <w:left w:val="single" w:color="000000" w:sz="4" w:space="0"/>
                    <w:bottom w:val="single" w:color="000000" w:sz="4" w:space="0"/>
                    <w:right w:val="single" w:color="000000" w:sz="4" w:space="0"/>
                  </w:tcBorders>
                  <w:noWrap w:val="0"/>
                  <w:vAlign w:val="center"/>
                </w:tcPr>
                <w:p w14:paraId="5B0DADAA">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昼</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6213A336">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夜</w:t>
                  </w:r>
                </w:p>
              </w:tc>
            </w:tr>
            <w:tr w14:paraId="20557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489" w:type="pct"/>
                  <w:tcBorders>
                    <w:top w:val="single" w:color="000000" w:sz="4" w:space="0"/>
                    <w:left w:val="single" w:color="000000" w:sz="4" w:space="0"/>
                    <w:bottom w:val="single" w:color="000000" w:sz="4" w:space="0"/>
                    <w:right w:val="single" w:color="000000" w:sz="4" w:space="0"/>
                  </w:tcBorders>
                  <w:noWrap w:val="0"/>
                  <w:vAlign w:val="center"/>
                </w:tcPr>
                <w:p w14:paraId="757799E7">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施工期</w:t>
                  </w:r>
                </w:p>
              </w:tc>
              <w:tc>
                <w:tcPr>
                  <w:tcW w:w="2677" w:type="pct"/>
                  <w:tcBorders>
                    <w:top w:val="single" w:color="000000" w:sz="4" w:space="0"/>
                    <w:left w:val="single" w:color="000000" w:sz="4" w:space="0"/>
                    <w:bottom w:val="single" w:color="000000" w:sz="4" w:space="0"/>
                    <w:right w:val="single" w:color="000000" w:sz="4" w:space="0"/>
                  </w:tcBorders>
                  <w:noWrap w:val="0"/>
                  <w:vAlign w:val="center"/>
                </w:tcPr>
                <w:p w14:paraId="532DAF5F">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《建筑施工场界环境噪声排放标准》(GB12523-2011)</w:t>
                  </w:r>
                </w:p>
              </w:tc>
              <w:tc>
                <w:tcPr>
                  <w:tcW w:w="740" w:type="pct"/>
                  <w:tcBorders>
                    <w:top w:val="single" w:color="000000" w:sz="4" w:space="0"/>
                    <w:left w:val="single" w:color="000000" w:sz="4" w:space="0"/>
                    <w:bottom w:val="single" w:color="000000" w:sz="4" w:space="0"/>
                    <w:right w:val="single" w:color="000000" w:sz="4" w:space="0"/>
                  </w:tcBorders>
                  <w:noWrap w:val="0"/>
                  <w:vAlign w:val="center"/>
                </w:tcPr>
                <w:p w14:paraId="7895E18C">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dB（A）</w:t>
                  </w:r>
                </w:p>
              </w:tc>
              <w:tc>
                <w:tcPr>
                  <w:tcW w:w="577" w:type="pct"/>
                  <w:tcBorders>
                    <w:top w:val="single" w:color="000000" w:sz="4" w:space="0"/>
                    <w:left w:val="single" w:color="000000" w:sz="4" w:space="0"/>
                    <w:bottom w:val="single" w:color="000000" w:sz="4" w:space="0"/>
                    <w:right w:val="single" w:color="000000" w:sz="4" w:space="0"/>
                  </w:tcBorders>
                  <w:noWrap w:val="0"/>
                  <w:vAlign w:val="center"/>
                </w:tcPr>
                <w:p w14:paraId="2067F634">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70</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66E5D013">
                  <w:pPr>
                    <w:pStyle w:val="36"/>
                    <w:spacing w:line="240" w:lineRule="atLeas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55</w:t>
                  </w:r>
                </w:p>
              </w:tc>
            </w:tr>
          </w:tbl>
          <w:p w14:paraId="76D51DE6">
            <w:pPr>
              <w:pStyle w:val="7"/>
              <w:spacing w:before="0"/>
              <w:ind w:right="0" w:firstLine="480"/>
              <w:rPr>
                <w:rFonts w:hint="default" w:ascii="Times New Roman" w:hAnsi="Times New Roman" w:cs="Times New Roman"/>
                <w:color w:val="000000"/>
                <w:szCs w:val="24"/>
                <w:lang w:val="en-US" w:eastAsia="zh-CN"/>
              </w:rPr>
            </w:pPr>
            <w:r>
              <w:rPr>
                <w:rFonts w:hint="default" w:ascii="Times New Roman" w:hAnsi="Times New Roman" w:cs="Times New Roman"/>
                <w:color w:val="000000"/>
                <w:szCs w:val="24"/>
                <w:lang w:val="en-US" w:eastAsia="zh-CN" w:bidi="ar"/>
              </w:rPr>
              <w:t>（4）固体废物：施工期建筑垃圾执行</w:t>
            </w:r>
            <w:r>
              <w:rPr>
                <w:rFonts w:hint="default" w:ascii="Times New Roman" w:hAnsi="Times New Roman" w:cs="Times New Roman"/>
                <w:color w:val="000000"/>
                <w:szCs w:val="24"/>
                <w:lang w:val="en-US" w:eastAsia="zh-CN"/>
              </w:rPr>
              <w:t>《一般工业</w:t>
            </w:r>
            <w:r>
              <w:rPr>
                <w:rFonts w:hint="default" w:ascii="Times New Roman" w:hAnsi="Times New Roman" w:cs="Times New Roman"/>
                <w:color w:val="000000"/>
                <w:szCs w:val="24"/>
                <w:lang w:val="en-US" w:eastAsia="zh-CN"/>
              </w:rPr>
              <w:fldChar w:fldCharType="begin"/>
            </w:r>
            <w:r>
              <w:rPr>
                <w:rFonts w:hint="default" w:ascii="Times New Roman" w:hAnsi="Times New Roman" w:cs="Times New Roman"/>
                <w:color w:val="000000"/>
                <w:szCs w:val="24"/>
                <w:lang w:val="en-US" w:eastAsia="zh-CN"/>
              </w:rPr>
              <w:instrText xml:space="preserve"> HYPERLINK "http://huanbao.bjx.com.cn/hot/hot_233297.shtml" \o "固体废物贮存新闻专题" \t "http://huanbao.bjx.com.cn/news/20201219/_blank" </w:instrText>
            </w:r>
            <w:r>
              <w:rPr>
                <w:rFonts w:hint="default" w:ascii="Times New Roman" w:hAnsi="Times New Roman" w:cs="Times New Roman"/>
                <w:color w:val="000000"/>
                <w:szCs w:val="24"/>
                <w:lang w:val="en-US" w:eastAsia="zh-CN"/>
              </w:rPr>
              <w:fldChar w:fldCharType="separate"/>
            </w:r>
            <w:r>
              <w:rPr>
                <w:rFonts w:hint="default" w:ascii="Times New Roman" w:hAnsi="Times New Roman" w:cs="Times New Roman"/>
                <w:color w:val="000000"/>
                <w:szCs w:val="24"/>
                <w:lang w:val="en-US" w:eastAsia="zh-CN"/>
              </w:rPr>
              <w:t>固体废物贮存</w:t>
            </w:r>
            <w:r>
              <w:rPr>
                <w:rFonts w:hint="default" w:ascii="Times New Roman" w:hAnsi="Times New Roman" w:cs="Times New Roman"/>
                <w:color w:val="000000"/>
                <w:szCs w:val="24"/>
                <w:lang w:val="en-US" w:eastAsia="zh-CN"/>
              </w:rPr>
              <w:fldChar w:fldCharType="end"/>
            </w:r>
            <w:r>
              <w:rPr>
                <w:rFonts w:hint="default" w:ascii="Times New Roman" w:hAnsi="Times New Roman" w:cs="Times New Roman"/>
                <w:color w:val="000000"/>
                <w:szCs w:val="24"/>
                <w:lang w:val="en-US" w:eastAsia="zh-CN"/>
              </w:rPr>
              <w:t>和填埋污染控制标准》（GB18599-2020）</w:t>
            </w:r>
            <w:r>
              <w:rPr>
                <w:rFonts w:hint="default" w:ascii="Times New Roman" w:hAnsi="Times New Roman" w:cs="Times New Roman"/>
                <w:color w:val="000000"/>
                <w:szCs w:val="24"/>
                <w:lang w:val="en-US" w:eastAsia="zh-CN" w:bidi="ar"/>
              </w:rPr>
              <w:t>；生活垃圾执行</w:t>
            </w:r>
            <w:r>
              <w:rPr>
                <w:rFonts w:hint="default" w:ascii="Times New Roman" w:hAnsi="Times New Roman" w:cs="Times New Roman"/>
                <w:color w:val="000000"/>
                <w:szCs w:val="21"/>
              </w:rPr>
              <w:t>《生活垃圾填埋污染控制标准》（GB16889-2008）</w:t>
            </w:r>
            <w:r>
              <w:rPr>
                <w:rFonts w:hint="default" w:ascii="Times New Roman" w:hAnsi="Times New Roman" w:cs="Times New Roman"/>
                <w:color w:val="000000"/>
                <w:szCs w:val="24"/>
                <w:lang w:val="en-US" w:eastAsia="zh-CN" w:bidi="ar"/>
              </w:rPr>
              <w:t>。</w:t>
            </w:r>
          </w:p>
        </w:tc>
      </w:tr>
      <w:tr w14:paraId="33889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877" w:type="dxa"/>
            <w:noWrap w:val="0"/>
            <w:vAlign w:val="center"/>
          </w:tcPr>
          <w:p w14:paraId="78D1FB00">
            <w:pPr>
              <w:adjustRightInd w:val="0"/>
              <w:snapToGrid w:val="0"/>
              <w:jc w:val="center"/>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其他</w:t>
            </w:r>
          </w:p>
        </w:tc>
        <w:tc>
          <w:tcPr>
            <w:tcW w:w="8280" w:type="dxa"/>
            <w:noWrap w:val="0"/>
            <w:vAlign w:val="center"/>
          </w:tcPr>
          <w:p w14:paraId="562D389B">
            <w:pPr>
              <w:pStyle w:val="7"/>
              <w:spacing w:before="0"/>
              <w:ind w:right="0" w:firstLine="480"/>
              <w:rPr>
                <w:rFonts w:hint="default" w:ascii="Times New Roman" w:hAnsi="Times New Roman" w:cs="Times New Roman"/>
                <w:color w:val="000000"/>
                <w:szCs w:val="24"/>
                <w:lang w:val="en-US" w:eastAsia="zh-CN"/>
              </w:rPr>
            </w:pPr>
            <w:r>
              <w:rPr>
                <w:rFonts w:hint="default" w:ascii="Times New Roman" w:hAnsi="Times New Roman" w:cs="Times New Roman"/>
                <w:color w:val="000000"/>
                <w:szCs w:val="24"/>
                <w:highlight w:val="none"/>
                <w:lang w:val="en-US" w:eastAsia="zh-CN" w:bidi="ar"/>
              </w:rPr>
              <w:t>本项目属于城市基础设施建设和非生产性建设项目。运营期项目本身不产生废水、废气，建议不申请总量控制指标。</w:t>
            </w:r>
          </w:p>
        </w:tc>
      </w:tr>
    </w:tbl>
    <w:p w14:paraId="09497704">
      <w:pPr>
        <w:pStyle w:val="21"/>
        <w:adjustRightInd w:val="0"/>
        <w:snapToGrid w:val="0"/>
        <w:spacing w:before="0" w:beforeAutospacing="0" w:after="0" w:afterAutospacing="0" w:line="14" w:lineRule="auto"/>
        <w:jc w:val="center"/>
        <w:rPr>
          <w:rFonts w:hint="default" w:ascii="Times New Roman" w:hAnsi="Times New Roman" w:cs="Times New Roman"/>
          <w:snapToGrid w:val="0"/>
          <w:color w:val="000000"/>
          <w:kern w:val="2"/>
          <w:sz w:val="36"/>
          <w:szCs w:val="36"/>
        </w:rPr>
      </w:pPr>
    </w:p>
    <w:p w14:paraId="474D5FB9">
      <w:pPr>
        <w:pStyle w:val="21"/>
        <w:jc w:val="center"/>
        <w:outlineLvl w:val="0"/>
        <w:rPr>
          <w:rFonts w:hint="default" w:ascii="Times New Roman" w:hAnsi="Times New Roman" w:cs="Times New Roman"/>
          <w:b/>
          <w:bCs/>
          <w:snapToGrid w:val="0"/>
          <w:color w:val="000000"/>
          <w:sz w:val="30"/>
          <w:szCs w:val="30"/>
        </w:rPr>
        <w:sectPr>
          <w:pgSz w:w="11906" w:h="16838"/>
          <w:pgMar w:top="1440" w:right="1800" w:bottom="1440" w:left="1800" w:header="851" w:footer="1077" w:gutter="0"/>
          <w:pgNumType w:fmt="decimal"/>
          <w:cols w:space="720" w:num="1"/>
          <w:docGrid w:linePitch="312" w:charSpace="0"/>
        </w:sectPr>
      </w:pPr>
    </w:p>
    <w:p w14:paraId="7AF15844">
      <w:pPr>
        <w:pStyle w:val="21"/>
        <w:ind w:firstLine="2711" w:firstLineChars="900"/>
        <w:jc w:val="both"/>
        <w:outlineLvl w:val="0"/>
        <w:rPr>
          <w:rFonts w:hint="default" w:ascii="Times New Roman" w:hAnsi="Times New Roman" w:cs="Times New Roman"/>
          <w:b/>
          <w:bCs/>
          <w:snapToGrid w:val="0"/>
          <w:color w:val="000000"/>
          <w:sz w:val="30"/>
          <w:szCs w:val="30"/>
        </w:rPr>
      </w:pPr>
      <w:bookmarkStart w:id="15" w:name="_Toc3868"/>
      <w:r>
        <w:rPr>
          <w:rFonts w:hint="default" w:ascii="Times New Roman" w:hAnsi="Times New Roman" w:cs="Times New Roman"/>
          <w:b/>
          <w:bCs/>
          <w:snapToGrid w:val="0"/>
          <w:color w:val="000000"/>
          <w:sz w:val="30"/>
          <w:szCs w:val="30"/>
        </w:rPr>
        <w:t>四、生态环境影响分析</w:t>
      </w:r>
      <w:bookmarkEnd w:id="1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54"/>
      </w:tblGrid>
      <w:tr w14:paraId="76893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456" w:type="dxa"/>
            <w:noWrap w:val="0"/>
            <w:tcMar>
              <w:left w:w="28" w:type="dxa"/>
              <w:right w:w="28" w:type="dxa"/>
            </w:tcMar>
            <w:vAlign w:val="center"/>
          </w:tcPr>
          <w:p w14:paraId="77B3202F">
            <w:pPr>
              <w:pStyle w:val="21"/>
              <w:adjustRightInd w:val="0"/>
              <w:snapToGrid w:val="0"/>
              <w:spacing w:before="0" w:beforeAutospacing="0" w:after="0" w:afterAutospacing="0"/>
              <w:jc w:val="center"/>
              <w:rPr>
                <w:rFonts w:hint="default" w:ascii="Times New Roman" w:hAnsi="Times New Roman" w:cs="Times New Roman"/>
                <w:bCs/>
                <w:color w:val="000000"/>
                <w:kern w:val="2"/>
                <w:szCs w:val="24"/>
                <w:lang w:val="en-US" w:eastAsia="zh-CN"/>
              </w:rPr>
            </w:pPr>
            <w:bookmarkStart w:id="16" w:name="_Hlk49796138"/>
            <w:r>
              <w:rPr>
                <w:rFonts w:hint="default" w:ascii="Times New Roman" w:hAnsi="Times New Roman" w:cs="Times New Roman"/>
                <w:bCs/>
                <w:color w:val="000000"/>
                <w:spacing w:val="10"/>
                <w:kern w:val="2"/>
                <w:szCs w:val="24"/>
                <w:lang w:val="en-US" w:eastAsia="zh-CN"/>
              </w:rPr>
              <w:t>施工期生态环境影响分析</w:t>
            </w:r>
            <w:bookmarkEnd w:id="16"/>
          </w:p>
        </w:tc>
        <w:tc>
          <w:tcPr>
            <w:tcW w:w="8654" w:type="dxa"/>
            <w:noWrap w:val="0"/>
            <w:vAlign w:val="top"/>
          </w:tcPr>
          <w:p w14:paraId="485AA4DE">
            <w:pPr>
              <w:pStyle w:val="31"/>
              <w:ind w:firstLine="0" w:firstLineChars="0"/>
              <w:rPr>
                <w:rFonts w:hint="default" w:ascii="Times New Roman" w:hAnsi="Times New Roman" w:cs="Times New Roman"/>
                <w:b/>
                <w:color w:val="000000"/>
              </w:rPr>
            </w:pPr>
            <w:r>
              <w:rPr>
                <w:rFonts w:hint="default" w:ascii="Times New Roman" w:hAnsi="Times New Roman" w:cs="Times New Roman"/>
                <w:b/>
                <w:color w:val="000000"/>
              </w:rPr>
              <w:t>4.1施工期废气环境影响分析</w:t>
            </w:r>
          </w:p>
          <w:p w14:paraId="05303370">
            <w:pPr>
              <w:pStyle w:val="37"/>
              <w:ind w:firstLine="0" w:firstLineChars="0"/>
              <w:rPr>
                <w:rFonts w:hint="default" w:ascii="Times New Roman" w:hAnsi="Times New Roman" w:cs="Times New Roman"/>
                <w:b/>
                <w:bCs/>
                <w:color w:val="000000"/>
                <w:szCs w:val="24"/>
              </w:rPr>
            </w:pPr>
            <w:r>
              <w:rPr>
                <w:rFonts w:hint="default" w:ascii="Times New Roman" w:hAnsi="Times New Roman" w:cs="Times New Roman"/>
                <w:b/>
                <w:bCs/>
                <w:color w:val="000000"/>
                <w:szCs w:val="24"/>
              </w:rPr>
              <w:t>4.1.1施工期废气污染源</w:t>
            </w:r>
          </w:p>
          <w:p w14:paraId="60ABA43A">
            <w:pPr>
              <w:pStyle w:val="37"/>
              <w:ind w:firstLine="480"/>
              <w:rPr>
                <w:rFonts w:hint="default" w:ascii="Times New Roman" w:hAnsi="Times New Roman" w:eastAsia="宋体" w:cs="Times New Roman"/>
                <w:color w:val="000000"/>
                <w:szCs w:val="24"/>
                <w:lang w:val="en-US" w:eastAsia="zh-CN"/>
              </w:rPr>
            </w:pPr>
            <w:r>
              <w:rPr>
                <w:rFonts w:hint="default" w:ascii="Times New Roman" w:hAnsi="Times New Roman" w:cs="Times New Roman"/>
                <w:color w:val="000000"/>
                <w:szCs w:val="24"/>
              </w:rPr>
              <w:t>施工过程中造成大气污染的主要产生源有:施工开挖及运输车辆、施工机械行驶所带来的扬尘;施工建筑材料(水泥、石灰、砂石料)的装卸、运输、堆砌</w:t>
            </w:r>
            <w:r>
              <w:rPr>
                <w:rFonts w:hint="default" w:ascii="Times New Roman" w:hAnsi="Times New Roman" w:cs="Times New Roman"/>
                <w:color w:val="000000"/>
                <w:szCs w:val="24"/>
                <w:lang w:eastAsia="zh-CN"/>
              </w:rPr>
              <w:t>过程以及开挖弃土的堆砌、运输过程中造成扬起和洒落;各类施工机械和运输车辆所排放的废气。施工期</w:t>
            </w:r>
            <w:r>
              <w:rPr>
                <w:rFonts w:hint="eastAsia" w:ascii="Times New Roman" w:hAnsi="Times New Roman" w:cs="Times New Roman"/>
                <w:color w:val="000000"/>
                <w:szCs w:val="24"/>
                <w:lang w:eastAsia="zh-CN"/>
              </w:rPr>
              <w:t>废气</w:t>
            </w:r>
            <w:r>
              <w:rPr>
                <w:rFonts w:hint="default" w:ascii="Times New Roman" w:hAnsi="Times New Roman" w:cs="Times New Roman"/>
                <w:color w:val="000000"/>
                <w:szCs w:val="24"/>
                <w:lang w:eastAsia="zh-CN"/>
              </w:rPr>
              <w:t>污染源主要是TSP、沥青烟雾和粉尘。</w:t>
            </w:r>
          </w:p>
          <w:p w14:paraId="47C58F01">
            <w:pPr>
              <w:pStyle w:val="37"/>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（1）</w:t>
            </w:r>
            <w:r>
              <w:rPr>
                <w:rFonts w:hint="default" w:ascii="Times New Roman" w:hAnsi="Times New Roman" w:cs="Times New Roman"/>
                <w:color w:val="000000"/>
                <w:szCs w:val="24"/>
                <w:lang w:val="en-US" w:eastAsia="zh-CN"/>
              </w:rPr>
              <w:t>粉</w:t>
            </w:r>
            <w:r>
              <w:rPr>
                <w:rFonts w:hint="default" w:ascii="Times New Roman" w:hAnsi="Times New Roman" w:cs="Times New Roman"/>
                <w:color w:val="000000"/>
                <w:szCs w:val="24"/>
              </w:rPr>
              <w:t>尘</w:t>
            </w:r>
            <w:r>
              <w:rPr>
                <w:rFonts w:hint="default" w:ascii="Times New Roman" w:hAnsi="Times New Roman" w:cs="Times New Roman"/>
                <w:color w:val="000000"/>
                <w:szCs w:val="24"/>
                <w:lang w:eastAsia="zh-CN"/>
              </w:rPr>
              <w:t>，TSP</w:t>
            </w:r>
          </w:p>
          <w:p w14:paraId="66096CF9">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8~10mg/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超过《环境空气质量标准》（GB3095-2012）中的二级标准限值。但是，道路扬尘浓度随距离增加迅速下降，扬尘下风向200米处的浓度几乎接近上风向对照点的浓度；路面施工阶段，卸料和物料临时堆放过程也将产生少量粉尘。根据有关测试成果，在距路基40m处大气中TSP浓度0.23mg/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w:t>
            </w:r>
          </w:p>
          <w:p w14:paraId="311EFE36">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rPr>
              <w:t>（2）沥青烟气</w:t>
            </w:r>
          </w:p>
          <w:p w14:paraId="360EB83E">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rPr>
              <w:t>项目全线为沥青混凝土路面（使用商品沥青混凝土，均为外购），沥青的摊铺时会产生以THC、TSP和BaP为主的烟尘，根据工程类比资料，沥青烟气排放的浓度约12.5~15mg/m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，其中THC和BaP为有害物质，对空气将造成一定的污染，对人体也有伤害。</w:t>
            </w:r>
          </w:p>
          <w:p w14:paraId="4898D01E">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rPr>
              <w:t>（3）施工机械以及大型运输车辆燃油废气</w:t>
            </w:r>
          </w:p>
          <w:p w14:paraId="1D69030E">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rPr>
              <w:t>项目建设施工中施工机械运行产生的废气、运输车辆运输产生的尾气均由柴油和汽油燃烧后所产生，为影响大气环境的主要污染物之一，其主要污染</w:t>
            </w:r>
            <w:r>
              <w:rPr>
                <w:rFonts w:hint="eastAsia" w:ascii="Times New Roman" w:hAnsi="Times New Roman" w:cs="Times New Roman"/>
                <w:color w:val="000000"/>
                <w:szCs w:val="24"/>
                <w:lang w:eastAsia="zh-CN"/>
              </w:rPr>
              <w:t>成分是</w:t>
            </w:r>
            <w:r>
              <w:rPr>
                <w:rFonts w:hint="default" w:ascii="Times New Roman" w:hAnsi="Times New Roman" w:cs="Times New Roman"/>
                <w:color w:val="000000"/>
                <w:szCs w:val="24"/>
              </w:rPr>
              <w:t>THC、CO和NO</w:t>
            </w:r>
            <w:r>
              <w:rPr>
                <w:rFonts w:hint="default" w:ascii="Times New Roman" w:hAnsi="Times New Roman" w:cs="Times New Roman"/>
                <w:color w:val="000000"/>
                <w:szCs w:val="24"/>
                <w:vertAlign w:val="subscript"/>
              </w:rPr>
              <w:t>x</w:t>
            </w:r>
            <w:r>
              <w:rPr>
                <w:rFonts w:hint="default" w:ascii="Times New Roman" w:hAnsi="Times New Roman" w:cs="Times New Roman"/>
                <w:color w:val="000000"/>
                <w:szCs w:val="24"/>
              </w:rPr>
              <w:t>，属无组织排放源。</w:t>
            </w:r>
          </w:p>
          <w:p w14:paraId="614FDBA7">
            <w:pPr>
              <w:pStyle w:val="37"/>
              <w:ind w:firstLine="0" w:firstLineChars="0"/>
              <w:rPr>
                <w:rFonts w:hint="default" w:ascii="Times New Roman" w:hAnsi="Times New Roman" w:cs="Times New Roman"/>
                <w:b/>
                <w:bCs/>
                <w:color w:val="000000"/>
                <w:szCs w:val="24"/>
              </w:rPr>
            </w:pPr>
            <w:r>
              <w:rPr>
                <w:rFonts w:hint="default" w:ascii="Times New Roman" w:hAnsi="Times New Roman" w:cs="Times New Roman"/>
                <w:b/>
                <w:bCs/>
                <w:color w:val="000000"/>
                <w:szCs w:val="24"/>
              </w:rPr>
              <w:t>4.1.2施工期大气环境影响分析</w:t>
            </w:r>
          </w:p>
          <w:p w14:paraId="4E62AF6A">
            <w:pPr>
              <w:widowControl/>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kern w:val="0"/>
                <w:sz w:val="24"/>
                <w:lang w:bidi="ar"/>
              </w:rPr>
              <w:t>（1）扬尘污染</w:t>
            </w:r>
          </w:p>
          <w:p w14:paraId="4A947FE3">
            <w:pPr>
              <w:widowControl/>
              <w:spacing w:line="360" w:lineRule="auto"/>
              <w:ind w:firstLine="480" w:firstLineChars="200"/>
              <w:jc w:val="left"/>
              <w:rPr>
                <w:rFonts w:hint="eastAsia" w:ascii="Times New Roman" w:hAnsi="Times New Roman" w:eastAsia="宋体" w:cs="Times New Roman"/>
                <w:color w:val="000000"/>
                <w:lang w:eastAsia="zh-CN"/>
              </w:rPr>
            </w:pPr>
            <w:r>
              <w:rPr>
                <w:rFonts w:hint="default" w:ascii="Times New Roman" w:hAnsi="Times New Roman" w:cs="Times New Roman"/>
                <w:color w:val="000000"/>
                <w:kern w:val="0"/>
                <w:sz w:val="24"/>
                <w:lang w:bidi="ar"/>
              </w:rPr>
              <w:t>扬尘污染主要发生在施工前期路基填筑过程，以施工道路车辆运输引起的扬尘和施工区堆场扬尘为主，对周围环境的影响最突出。</w:t>
            </w:r>
          </w:p>
          <w:p w14:paraId="34564DF2">
            <w:pPr>
              <w:widowControl/>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kern w:val="0"/>
                <w:sz w:val="24"/>
                <w:lang w:bidi="ar"/>
              </w:rPr>
              <w:t>1）车辆行驶的动力扬尘</w:t>
            </w:r>
          </w:p>
          <w:p w14:paraId="16FECEF8">
            <w:pPr>
              <w:widowControl/>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kern w:val="0"/>
                <w:sz w:val="24"/>
                <w:lang w:bidi="ar"/>
              </w:rPr>
              <w:t>据有关文献资料介绍，在施工过程中，车辆行驶产生的扬尘占总扬尘的60%以上。车辆行驶产生的扬尘，在同样路面清洁程度条件下，车速越快，扬尘量越大；而在同样车速情况下，路面越脏，则扬尘量越大。如果在施工期间对车辆行驶的路面实施洒水抑尘，每天洒水4~5次，可使扬尘减少70%左右</w:t>
            </w:r>
            <w:r>
              <w:rPr>
                <w:rFonts w:hint="default" w:ascii="Times New Roman" w:hAnsi="Times New Roman" w:cs="Times New Roman"/>
                <w:color w:val="000000"/>
                <w:kern w:val="0"/>
                <w:sz w:val="24"/>
                <w:highlight w:val="none"/>
                <w:lang w:bidi="ar"/>
              </w:rPr>
              <w:t>，表4-1为施工场地洒水抑尘的试验结果</w:t>
            </w:r>
            <w:r>
              <w:rPr>
                <w:rFonts w:hint="default" w:ascii="Times New Roman" w:hAnsi="Times New Roman" w:cs="Times New Roman"/>
                <w:color w:val="000000"/>
                <w:kern w:val="0"/>
                <w:sz w:val="24"/>
                <w:lang w:bidi="ar"/>
              </w:rPr>
              <w:t>，可见每天洒水4~5次进行抑尘，可有效地控制施工扬尘，可将TSP的污染距离缩小到20~50m范围。</w:t>
            </w:r>
          </w:p>
          <w:p w14:paraId="313D7400">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表4</w:t>
            </w:r>
            <w:r>
              <w:rPr>
                <w:rFonts w:hint="default" w:ascii="Times New Roman" w:hAnsi="Times New Roman" w:eastAsia="宋体" w:cs="Times New Roman"/>
                <w:b/>
                <w:bCs/>
                <w:color w:val="000000"/>
                <w:sz w:val="21"/>
                <w:szCs w:val="21"/>
                <w:lang w:val="en-US" w:eastAsia="zh-CN" w:bidi="ar"/>
              </w:rPr>
              <w:t>.1</w:t>
            </w:r>
            <w:r>
              <w:rPr>
                <w:rFonts w:hint="default" w:ascii="Times New Roman" w:hAnsi="Times New Roman" w:eastAsia="宋体" w:cs="Times New Roman"/>
                <w:b/>
                <w:bCs/>
                <w:color w:val="000000"/>
                <w:sz w:val="21"/>
                <w:szCs w:val="21"/>
                <w:lang w:bidi="ar"/>
              </w:rPr>
              <w:t>-1  施工场地洒水抑尘试验结果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19"/>
              <w:gridCol w:w="1303"/>
              <w:gridCol w:w="1060"/>
              <w:gridCol w:w="908"/>
              <w:gridCol w:w="908"/>
              <w:gridCol w:w="1070"/>
              <w:gridCol w:w="1070"/>
            </w:tblGrid>
            <w:tr w14:paraId="019430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422" w:type="dxa"/>
                  <w:gridSpan w:val="2"/>
                  <w:tcBorders>
                    <w:top w:val="single" w:color="auto" w:sz="2" w:space="0"/>
                    <w:left w:val="single" w:color="auto" w:sz="2" w:space="0"/>
                    <w:bottom w:val="single" w:color="auto" w:sz="2" w:space="0"/>
                  </w:tcBorders>
                  <w:noWrap w:val="0"/>
                  <w:vAlign w:val="center"/>
                </w:tcPr>
                <w:p w14:paraId="4020DBB5">
                  <w:pPr>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szCs w:val="21"/>
                    </w:rPr>
                    <w:t>距路边距离</w:t>
                  </w:r>
                </w:p>
              </w:tc>
              <w:tc>
                <w:tcPr>
                  <w:tcW w:w="1060" w:type="dxa"/>
                  <w:tcBorders>
                    <w:top w:val="single" w:color="auto" w:sz="2" w:space="0"/>
                    <w:bottom w:val="single" w:color="auto" w:sz="2" w:space="0"/>
                  </w:tcBorders>
                  <w:noWrap w:val="0"/>
                  <w:vAlign w:val="center"/>
                </w:tcPr>
                <w:p w14:paraId="7289F219">
                  <w:pPr>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0m</w:t>
                  </w:r>
                </w:p>
              </w:tc>
              <w:tc>
                <w:tcPr>
                  <w:tcW w:w="908" w:type="dxa"/>
                  <w:tcBorders>
                    <w:top w:val="single" w:color="auto" w:sz="2" w:space="0"/>
                    <w:bottom w:val="single" w:color="auto" w:sz="2" w:space="0"/>
                  </w:tcBorders>
                  <w:noWrap w:val="0"/>
                  <w:vAlign w:val="center"/>
                </w:tcPr>
                <w:p w14:paraId="7381C448">
                  <w:pPr>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20m</w:t>
                  </w:r>
                </w:p>
              </w:tc>
              <w:tc>
                <w:tcPr>
                  <w:tcW w:w="908" w:type="dxa"/>
                  <w:tcBorders>
                    <w:top w:val="single" w:color="auto" w:sz="2" w:space="0"/>
                    <w:bottom w:val="single" w:color="auto" w:sz="2" w:space="0"/>
                  </w:tcBorders>
                  <w:noWrap w:val="0"/>
                  <w:vAlign w:val="center"/>
                </w:tcPr>
                <w:p w14:paraId="55ACCBC9">
                  <w:pPr>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50m</w:t>
                  </w:r>
                </w:p>
              </w:tc>
              <w:tc>
                <w:tcPr>
                  <w:tcW w:w="1070" w:type="dxa"/>
                  <w:tcBorders>
                    <w:top w:val="single" w:color="auto" w:sz="2" w:space="0"/>
                    <w:bottom w:val="single" w:color="auto" w:sz="2" w:space="0"/>
                  </w:tcBorders>
                  <w:noWrap w:val="0"/>
                  <w:vAlign w:val="center"/>
                </w:tcPr>
                <w:p w14:paraId="5D1DF23F">
                  <w:pPr>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100m</w:t>
                  </w:r>
                </w:p>
              </w:tc>
              <w:tc>
                <w:tcPr>
                  <w:tcW w:w="1070" w:type="dxa"/>
                  <w:tcBorders>
                    <w:top w:val="single" w:color="auto" w:sz="2" w:space="0"/>
                    <w:bottom w:val="single" w:color="auto" w:sz="2" w:space="0"/>
                    <w:right w:val="single" w:color="auto" w:sz="2" w:space="0"/>
                  </w:tcBorders>
                  <w:noWrap w:val="0"/>
                  <w:vAlign w:val="center"/>
                </w:tcPr>
                <w:p w14:paraId="0382335B">
                  <w:pPr>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200m</w:t>
                  </w:r>
                </w:p>
              </w:tc>
            </w:tr>
            <w:tr w14:paraId="0C781A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19" w:type="dxa"/>
                  <w:vMerge w:val="restart"/>
                  <w:tcBorders>
                    <w:top w:val="single" w:color="auto" w:sz="2" w:space="0"/>
                    <w:left w:val="single" w:color="auto" w:sz="2" w:space="0"/>
                    <w:bottom w:val="single" w:color="auto" w:sz="2" w:space="0"/>
                  </w:tcBorders>
                  <w:noWrap w:val="0"/>
                  <w:vAlign w:val="center"/>
                </w:tcPr>
                <w:p w14:paraId="2E0B85DD">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TSP(mg/m</w:t>
                  </w:r>
                  <w:r>
                    <w:rPr>
                      <w:rFonts w:hint="default" w:ascii="Times New Roman" w:hAnsi="Times New Roman" w:cs="Times New Roman"/>
                      <w:color w:val="000000"/>
                      <w:kern w:val="0"/>
                      <w:szCs w:val="21"/>
                      <w:vertAlign w:val="superscript"/>
                    </w:rPr>
                    <w:t>3</w:t>
                  </w:r>
                  <w:r>
                    <w:rPr>
                      <w:rFonts w:hint="default" w:ascii="Times New Roman" w:hAnsi="Times New Roman" w:cs="Times New Roman"/>
                      <w:color w:val="000000"/>
                      <w:kern w:val="0"/>
                      <w:szCs w:val="21"/>
                    </w:rPr>
                    <w:t>)</w:t>
                  </w:r>
                </w:p>
              </w:tc>
              <w:tc>
                <w:tcPr>
                  <w:tcW w:w="1303" w:type="dxa"/>
                  <w:tcBorders>
                    <w:top w:val="single" w:color="auto" w:sz="2" w:space="0"/>
                    <w:bottom w:val="single" w:color="auto" w:sz="2" w:space="0"/>
                  </w:tcBorders>
                  <w:noWrap w:val="0"/>
                  <w:vAlign w:val="center"/>
                </w:tcPr>
                <w:p w14:paraId="7FB57CAD">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不洒水</w:t>
                  </w:r>
                </w:p>
              </w:tc>
              <w:tc>
                <w:tcPr>
                  <w:tcW w:w="1060" w:type="dxa"/>
                  <w:tcBorders>
                    <w:top w:val="single" w:color="auto" w:sz="2" w:space="0"/>
                    <w:bottom w:val="single" w:color="auto" w:sz="2" w:space="0"/>
                  </w:tcBorders>
                  <w:noWrap w:val="0"/>
                  <w:vAlign w:val="center"/>
                </w:tcPr>
                <w:p w14:paraId="74EA5FD6">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11.03</w:t>
                  </w:r>
                </w:p>
              </w:tc>
              <w:tc>
                <w:tcPr>
                  <w:tcW w:w="908" w:type="dxa"/>
                  <w:tcBorders>
                    <w:top w:val="single" w:color="auto" w:sz="2" w:space="0"/>
                    <w:bottom w:val="single" w:color="auto" w:sz="2" w:space="0"/>
                  </w:tcBorders>
                  <w:noWrap w:val="0"/>
                  <w:vAlign w:val="center"/>
                </w:tcPr>
                <w:p w14:paraId="04674AF0">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2.89</w:t>
                  </w:r>
                </w:p>
              </w:tc>
              <w:tc>
                <w:tcPr>
                  <w:tcW w:w="908" w:type="dxa"/>
                  <w:tcBorders>
                    <w:top w:val="single" w:color="auto" w:sz="2" w:space="0"/>
                    <w:bottom w:val="single" w:color="auto" w:sz="2" w:space="0"/>
                  </w:tcBorders>
                  <w:noWrap w:val="0"/>
                  <w:vAlign w:val="center"/>
                </w:tcPr>
                <w:p w14:paraId="1DDBB50C">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1.15</w:t>
                  </w:r>
                </w:p>
              </w:tc>
              <w:tc>
                <w:tcPr>
                  <w:tcW w:w="1070" w:type="dxa"/>
                  <w:tcBorders>
                    <w:top w:val="single" w:color="auto" w:sz="2" w:space="0"/>
                    <w:bottom w:val="single" w:color="auto" w:sz="2" w:space="0"/>
                  </w:tcBorders>
                  <w:noWrap w:val="0"/>
                  <w:vAlign w:val="center"/>
                </w:tcPr>
                <w:p w14:paraId="72687349">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0.86</w:t>
                  </w:r>
                </w:p>
              </w:tc>
              <w:tc>
                <w:tcPr>
                  <w:tcW w:w="1070" w:type="dxa"/>
                  <w:tcBorders>
                    <w:top w:val="single" w:color="auto" w:sz="2" w:space="0"/>
                    <w:bottom w:val="single" w:color="auto" w:sz="2" w:space="0"/>
                    <w:right w:val="single" w:color="auto" w:sz="2" w:space="0"/>
                  </w:tcBorders>
                  <w:noWrap w:val="0"/>
                  <w:vAlign w:val="center"/>
                </w:tcPr>
                <w:p w14:paraId="189444A6">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0.56</w:t>
                  </w:r>
                </w:p>
              </w:tc>
            </w:tr>
            <w:tr w14:paraId="6F8EE6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19" w:type="dxa"/>
                  <w:vMerge w:val="continue"/>
                  <w:tcBorders>
                    <w:top w:val="single" w:color="auto" w:sz="2" w:space="0"/>
                    <w:left w:val="single" w:color="auto" w:sz="2" w:space="0"/>
                    <w:bottom w:val="single" w:color="auto" w:sz="2" w:space="0"/>
                  </w:tcBorders>
                  <w:noWrap w:val="0"/>
                  <w:vAlign w:val="center"/>
                </w:tcPr>
                <w:p w14:paraId="6FAB0A36">
                  <w:pPr>
                    <w:jc w:val="center"/>
                    <w:rPr>
                      <w:rFonts w:hint="default" w:ascii="Times New Roman" w:hAnsi="Times New Roman" w:cs="Times New Roman"/>
                      <w:color w:val="000000"/>
                      <w:szCs w:val="21"/>
                    </w:rPr>
                  </w:pPr>
                </w:p>
              </w:tc>
              <w:tc>
                <w:tcPr>
                  <w:tcW w:w="1303" w:type="dxa"/>
                  <w:tcBorders>
                    <w:top w:val="single" w:color="auto" w:sz="2" w:space="0"/>
                    <w:bottom w:val="single" w:color="auto" w:sz="2" w:space="0"/>
                  </w:tcBorders>
                  <w:noWrap w:val="0"/>
                  <w:vAlign w:val="center"/>
                </w:tcPr>
                <w:p w14:paraId="351D39E7">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洒水</w:t>
                  </w:r>
                </w:p>
              </w:tc>
              <w:tc>
                <w:tcPr>
                  <w:tcW w:w="1060" w:type="dxa"/>
                  <w:tcBorders>
                    <w:top w:val="single" w:color="auto" w:sz="2" w:space="0"/>
                    <w:bottom w:val="single" w:color="auto" w:sz="2" w:space="0"/>
                  </w:tcBorders>
                  <w:noWrap w:val="0"/>
                  <w:vAlign w:val="center"/>
                </w:tcPr>
                <w:p w14:paraId="39D1663D">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2.11</w:t>
                  </w:r>
                </w:p>
              </w:tc>
              <w:tc>
                <w:tcPr>
                  <w:tcW w:w="908" w:type="dxa"/>
                  <w:tcBorders>
                    <w:top w:val="single" w:color="auto" w:sz="2" w:space="0"/>
                    <w:bottom w:val="single" w:color="auto" w:sz="2" w:space="0"/>
                  </w:tcBorders>
                  <w:noWrap w:val="0"/>
                  <w:vAlign w:val="center"/>
                </w:tcPr>
                <w:p w14:paraId="7C274DDE">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1.40</w:t>
                  </w:r>
                </w:p>
              </w:tc>
              <w:tc>
                <w:tcPr>
                  <w:tcW w:w="908" w:type="dxa"/>
                  <w:tcBorders>
                    <w:top w:val="single" w:color="auto" w:sz="2" w:space="0"/>
                    <w:bottom w:val="single" w:color="auto" w:sz="2" w:space="0"/>
                  </w:tcBorders>
                  <w:noWrap w:val="0"/>
                  <w:vAlign w:val="center"/>
                </w:tcPr>
                <w:p w14:paraId="02D74D23">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0.68</w:t>
                  </w:r>
                </w:p>
              </w:tc>
              <w:tc>
                <w:tcPr>
                  <w:tcW w:w="1070" w:type="dxa"/>
                  <w:tcBorders>
                    <w:top w:val="single" w:color="auto" w:sz="2" w:space="0"/>
                    <w:bottom w:val="single" w:color="auto" w:sz="2" w:space="0"/>
                  </w:tcBorders>
                  <w:noWrap w:val="0"/>
                  <w:vAlign w:val="center"/>
                </w:tcPr>
                <w:p w14:paraId="537884CA">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0.60</w:t>
                  </w:r>
                </w:p>
              </w:tc>
              <w:tc>
                <w:tcPr>
                  <w:tcW w:w="1070" w:type="dxa"/>
                  <w:tcBorders>
                    <w:top w:val="single" w:color="auto" w:sz="2" w:space="0"/>
                    <w:bottom w:val="single" w:color="auto" w:sz="2" w:space="0"/>
                    <w:right w:val="single" w:color="auto" w:sz="2" w:space="0"/>
                  </w:tcBorders>
                  <w:noWrap w:val="0"/>
                  <w:vAlign w:val="center"/>
                </w:tcPr>
                <w:p w14:paraId="2C5CF5B2">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0.29</w:t>
                  </w:r>
                </w:p>
              </w:tc>
            </w:tr>
            <w:tr w14:paraId="0B65B2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422" w:type="dxa"/>
                  <w:gridSpan w:val="2"/>
                  <w:tcBorders>
                    <w:top w:val="single" w:color="auto" w:sz="2" w:space="0"/>
                    <w:left w:val="single" w:color="auto" w:sz="2" w:space="0"/>
                    <w:bottom w:val="single" w:color="auto" w:sz="2" w:space="0"/>
                  </w:tcBorders>
                  <w:noWrap w:val="0"/>
                  <w:vAlign w:val="center"/>
                </w:tcPr>
                <w:p w14:paraId="603935B1">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降尘率（%）</w:t>
                  </w:r>
                </w:p>
              </w:tc>
              <w:tc>
                <w:tcPr>
                  <w:tcW w:w="1060" w:type="dxa"/>
                  <w:tcBorders>
                    <w:top w:val="single" w:color="auto" w:sz="2" w:space="0"/>
                    <w:bottom w:val="single" w:color="auto" w:sz="2" w:space="0"/>
                  </w:tcBorders>
                  <w:noWrap w:val="0"/>
                  <w:vAlign w:val="center"/>
                </w:tcPr>
                <w:p w14:paraId="56940171">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81</w:t>
                  </w:r>
                </w:p>
              </w:tc>
              <w:tc>
                <w:tcPr>
                  <w:tcW w:w="908" w:type="dxa"/>
                  <w:tcBorders>
                    <w:top w:val="single" w:color="auto" w:sz="2" w:space="0"/>
                    <w:bottom w:val="single" w:color="auto" w:sz="2" w:space="0"/>
                  </w:tcBorders>
                  <w:noWrap w:val="0"/>
                  <w:vAlign w:val="center"/>
                </w:tcPr>
                <w:p w14:paraId="512BEDEA">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52</w:t>
                  </w:r>
                </w:p>
              </w:tc>
              <w:tc>
                <w:tcPr>
                  <w:tcW w:w="908" w:type="dxa"/>
                  <w:tcBorders>
                    <w:top w:val="single" w:color="auto" w:sz="2" w:space="0"/>
                    <w:bottom w:val="single" w:color="auto" w:sz="2" w:space="0"/>
                  </w:tcBorders>
                  <w:noWrap w:val="0"/>
                  <w:vAlign w:val="center"/>
                </w:tcPr>
                <w:p w14:paraId="42935CD8">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41</w:t>
                  </w:r>
                </w:p>
              </w:tc>
              <w:tc>
                <w:tcPr>
                  <w:tcW w:w="1070" w:type="dxa"/>
                  <w:tcBorders>
                    <w:top w:val="single" w:color="auto" w:sz="2" w:space="0"/>
                    <w:bottom w:val="single" w:color="auto" w:sz="2" w:space="0"/>
                  </w:tcBorders>
                  <w:noWrap w:val="0"/>
                  <w:vAlign w:val="center"/>
                </w:tcPr>
                <w:p w14:paraId="3D804125">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30</w:t>
                  </w:r>
                </w:p>
              </w:tc>
              <w:tc>
                <w:tcPr>
                  <w:tcW w:w="1070" w:type="dxa"/>
                  <w:tcBorders>
                    <w:top w:val="single" w:color="auto" w:sz="2" w:space="0"/>
                    <w:bottom w:val="single" w:color="auto" w:sz="2" w:space="0"/>
                    <w:right w:val="single" w:color="auto" w:sz="2" w:space="0"/>
                  </w:tcBorders>
                  <w:noWrap w:val="0"/>
                  <w:vAlign w:val="center"/>
                </w:tcPr>
                <w:p w14:paraId="66E46A25">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48</w:t>
                  </w:r>
                </w:p>
              </w:tc>
            </w:tr>
          </w:tbl>
          <w:p w14:paraId="564F2BFA">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另外，粉状筑路材料若遮盖不严在运输过程中也会随风起尘，对运输道路两侧的居民产生影响，特别是大风天气，影响将更为严重。因此要加强对粉状施工材料的运输管理，使用帆布密封或采用罐体车运输，以最大限度的减少原材料运输过程中产生的扬尘；规范施工场地出入口设置，原则上只设一个场地出入口，出入口须采用钢板、混凝土、礁渣或细石等进行路面硬化，并辅以洒水、喷洒抑尘剂等措施加强保洁清扫，场内硬化路面不少于30m，场外须与公共道路连接；出入口内侧设置车辆冲洗设施，洗车作业地面至进出口路段须硬化，宽度应大于5m，并铺设加湿的麻袋、毛毡或毛纺布毡等；施工场内车行道路须采用钢板、混凝土、礁渣或细石等进行路面硬化，宽度3-5m，并辅以洒水、喷洒抑尘剂等措施加强保洁清扫；运输建筑垃圾、砂石等散体建筑材料，应采用密闭运输车辆或采取篷覆式遮盖等措施，严禁发生抛、洒、滴、漏现象；安排洗车人员，对</w:t>
            </w:r>
            <w:r>
              <w:rPr>
                <w:rFonts w:hint="eastAsia" w:ascii="Times New Roman" w:hAnsi="Times New Roman" w:cs="Times New Roman"/>
                <w:color w:val="000000"/>
                <w:kern w:val="0"/>
                <w:sz w:val="24"/>
                <w:lang w:eastAsia="zh-CN" w:bidi="ar"/>
              </w:rPr>
              <w:t>每辆</w:t>
            </w:r>
            <w:r>
              <w:rPr>
                <w:rFonts w:hint="default" w:ascii="Times New Roman" w:hAnsi="Times New Roman" w:cs="Times New Roman"/>
                <w:color w:val="000000"/>
                <w:kern w:val="0"/>
                <w:sz w:val="24"/>
                <w:lang w:bidi="ar"/>
              </w:rPr>
              <w:t>渣土车出场前均要清洗，不得将泥土带出现场，严禁超载运输，渣土装载低于厢板10cm以上。</w:t>
            </w:r>
          </w:p>
          <w:p w14:paraId="0B09D1B4">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2）堆场扬尘</w:t>
            </w:r>
          </w:p>
          <w:p w14:paraId="36E39D20">
            <w:pPr>
              <w:widowControl/>
              <w:spacing w:line="360" w:lineRule="auto"/>
              <w:ind w:firstLine="480" w:firstLineChars="200"/>
              <w:jc w:val="left"/>
              <w:rPr>
                <w:rFonts w:hint="eastAsia" w:ascii="Times New Roman" w:hAnsi="Times New Roman" w:eastAsia="宋体" w:cs="Times New Roman"/>
                <w:color w:val="000000"/>
                <w:kern w:val="0"/>
                <w:sz w:val="24"/>
                <w:lang w:eastAsia="zh-CN" w:bidi="ar"/>
              </w:rPr>
            </w:pPr>
            <w:r>
              <w:rPr>
                <w:rFonts w:hint="default" w:ascii="Times New Roman" w:hAnsi="Times New Roman" w:cs="Times New Roman"/>
                <w:color w:val="000000"/>
                <w:kern w:val="0"/>
                <w:sz w:val="24"/>
                <w:lang w:bidi="ar"/>
              </w:rPr>
              <w:t>堆场物料的种类、性质及堆场风速与起尘量关系密切，比重小的物料容易受扰动而起尘，物料中细小颗粒比例大时起尘量相应也大。堆场的扬尘包括料堆的风吹扬尘、装卸扬尘和过往车辆引起路面积尘二次扬尘等，均易产生较大的尘污染，对周围环境带来一定的影响，但通过洒水可有效地抑制扬尘量，可使扬尘量减少约70%左右。同时，建筑物四周1.5m外全部设置防尘布网，防尘布网顶端应高于施工作业面2m以上；裸露的施工场地闲置时间在3个月以内的，应采取防尘布网覆盖，并加强管理，确保覆盖到位；闲置3个月以上的，应采用植草等方式对裸露泥地进行临时绿化；限定物料堆放场地；施工现场易飞扬的细颗粒散体材料应密闭存放；易产生扬尘的砂石等散体材料，应设置高度不低于0.5m的堆放池，位于工地主导风下风向，并采取覆盖措施。建筑工程施工现场应当专门设置集中堆放建筑垃圾、工程渣土的场地，并在48小时内完成清运，不能按时完成清运的建筑垃圾，应采取</w:t>
            </w:r>
            <w:r>
              <w:rPr>
                <w:rFonts w:hint="eastAsia" w:ascii="Times New Roman" w:hAnsi="Times New Roman" w:cs="Times New Roman"/>
                <w:color w:val="000000"/>
                <w:kern w:val="0"/>
                <w:sz w:val="24"/>
                <w:lang w:eastAsia="zh-CN" w:bidi="ar"/>
              </w:rPr>
              <w:t>围挡</w:t>
            </w:r>
            <w:r>
              <w:rPr>
                <w:rFonts w:hint="default" w:ascii="Times New Roman" w:hAnsi="Times New Roman" w:cs="Times New Roman"/>
                <w:color w:val="000000"/>
                <w:kern w:val="0"/>
                <w:sz w:val="24"/>
                <w:lang w:bidi="ar"/>
              </w:rPr>
              <w:t>、遮盖等防尘措施，不能按时完成清运的土方，应采取固化、覆盖或绿化等扬尘控制措施；生活垃圾按照环卫部门要求统一清运至指定的收集地点。</w:t>
            </w:r>
          </w:p>
          <w:p w14:paraId="467658C6">
            <w:pPr>
              <w:widowControl/>
              <w:spacing w:line="360" w:lineRule="auto"/>
              <w:ind w:firstLine="480" w:firstLineChars="200"/>
              <w:jc w:val="left"/>
              <w:rPr>
                <w:rFonts w:hint="eastAsia" w:ascii="Times New Roman" w:hAnsi="Times New Roman" w:eastAsia="宋体" w:cs="Times New Roman"/>
                <w:color w:val="000000"/>
                <w:kern w:val="0"/>
                <w:sz w:val="24"/>
                <w:lang w:eastAsia="zh-CN" w:bidi="ar"/>
              </w:rPr>
            </w:pPr>
            <w:r>
              <w:rPr>
                <w:rFonts w:hint="default" w:ascii="Times New Roman" w:hAnsi="Times New Roman" w:cs="Times New Roman"/>
                <w:color w:val="000000"/>
                <w:kern w:val="0"/>
                <w:sz w:val="24"/>
                <w:lang w:bidi="ar"/>
              </w:rPr>
              <w:t>3）施工现场扬尘</w:t>
            </w:r>
          </w:p>
          <w:p w14:paraId="5D880D3F">
            <w:pPr>
              <w:widowControl/>
              <w:spacing w:line="360" w:lineRule="auto"/>
              <w:ind w:firstLine="480" w:firstLineChars="200"/>
              <w:jc w:val="left"/>
              <w:rPr>
                <w:rFonts w:hint="default" w:ascii="Times New Roman" w:hAnsi="Times New Roman" w:cs="Times New Roman"/>
                <w:color w:val="000000"/>
                <w:highlight w:val="yellow"/>
              </w:rPr>
            </w:pPr>
            <w:r>
              <w:rPr>
                <w:rFonts w:hint="default" w:ascii="Times New Roman" w:hAnsi="Times New Roman" w:cs="Times New Roman"/>
                <w:color w:val="000000"/>
                <w:kern w:val="0"/>
                <w:sz w:val="24"/>
                <w:lang w:bidi="ar"/>
              </w:rPr>
              <w:t>在修筑路面时，未完成路面也有可能产生一定的扬尘影响，主要是由于路面的初期开挖及填方过程中由于路面土壤的暴露，在有风天气易产生扬尘影响。随着施工进程的不同，其对环境空气的影响程度也不同</w:t>
            </w:r>
            <w:r>
              <w:rPr>
                <w:rFonts w:hint="default" w:ascii="Times New Roman" w:hAnsi="Times New Roman" w:cs="Times New Roman"/>
                <w:color w:val="000000"/>
                <w:kern w:val="0"/>
                <w:sz w:val="24"/>
                <w:highlight w:val="none"/>
                <w:lang w:bidi="ar"/>
              </w:rPr>
              <w:t>。具体见表4</w:t>
            </w:r>
            <w:r>
              <w:rPr>
                <w:rFonts w:hint="default" w:ascii="Times New Roman" w:hAnsi="Times New Roman" w:cs="Times New Roman"/>
                <w:color w:val="000000"/>
                <w:kern w:val="0"/>
                <w:sz w:val="24"/>
                <w:highlight w:val="none"/>
                <w:lang w:val="en-US" w:eastAsia="zh-CN" w:bidi="ar"/>
              </w:rPr>
              <w:t>.1</w:t>
            </w:r>
            <w:r>
              <w:rPr>
                <w:rFonts w:hint="default" w:ascii="Times New Roman" w:hAnsi="Times New Roman" w:cs="Times New Roman"/>
                <w:color w:val="000000"/>
                <w:kern w:val="0"/>
                <w:sz w:val="24"/>
                <w:highlight w:val="none"/>
                <w:lang w:bidi="ar"/>
              </w:rPr>
              <w:t>-2。</w:t>
            </w:r>
          </w:p>
          <w:p w14:paraId="4840C48D">
            <w:pPr>
              <w:pStyle w:val="6"/>
              <w:rPr>
                <w:rFonts w:hint="default" w:ascii="Times New Roman" w:hAnsi="Times New Roman" w:eastAsia="宋体" w:cs="Times New Roman"/>
                <w:b/>
                <w:bCs/>
                <w:color w:val="000000"/>
                <w:sz w:val="21"/>
                <w:szCs w:val="21"/>
                <w:lang w:bidi="ar"/>
              </w:rPr>
            </w:pPr>
            <w:r>
              <w:rPr>
                <w:rFonts w:hint="default" w:ascii="Times New Roman" w:hAnsi="Times New Roman" w:eastAsia="宋体" w:cs="Times New Roman"/>
                <w:b/>
                <w:bCs/>
                <w:color w:val="000000"/>
                <w:sz w:val="21"/>
                <w:szCs w:val="21"/>
                <w:lang w:bidi="ar"/>
              </w:rPr>
              <w:t>表4</w:t>
            </w:r>
            <w:r>
              <w:rPr>
                <w:rFonts w:hint="default" w:ascii="Times New Roman" w:hAnsi="Times New Roman" w:eastAsia="宋体" w:cs="Times New Roman"/>
                <w:b/>
                <w:bCs/>
                <w:color w:val="000000"/>
                <w:sz w:val="21"/>
                <w:szCs w:val="21"/>
                <w:lang w:val="en-US" w:eastAsia="zh-CN" w:bidi="ar"/>
              </w:rPr>
              <w:t>.1</w:t>
            </w:r>
            <w:r>
              <w:rPr>
                <w:rFonts w:hint="default" w:ascii="Times New Roman" w:hAnsi="Times New Roman" w:eastAsia="宋体" w:cs="Times New Roman"/>
                <w:b/>
                <w:bCs/>
                <w:color w:val="000000"/>
                <w:sz w:val="21"/>
                <w:szCs w:val="21"/>
                <w:lang w:bidi="ar"/>
              </w:rPr>
              <w:t>-2  施工期不同阶段扬尘监测结果表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2106"/>
              <w:gridCol w:w="2108"/>
              <w:gridCol w:w="2108"/>
            </w:tblGrid>
            <w:tr w14:paraId="1888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noWrap w:val="0"/>
                  <w:vAlign w:val="center"/>
                </w:tcPr>
                <w:p w14:paraId="393E2CB7">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施工类型</w:t>
                  </w:r>
                </w:p>
              </w:tc>
              <w:tc>
                <w:tcPr>
                  <w:tcW w:w="2106" w:type="dxa"/>
                  <w:noWrap w:val="0"/>
                  <w:vAlign w:val="center"/>
                </w:tcPr>
                <w:p w14:paraId="4A60F0B6">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与公路边界距离(m)</w:t>
                  </w:r>
                </w:p>
              </w:tc>
              <w:tc>
                <w:tcPr>
                  <w:tcW w:w="2108" w:type="dxa"/>
                  <w:noWrap w:val="0"/>
                  <w:vAlign w:val="center"/>
                </w:tcPr>
                <w:p w14:paraId="56295520">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PM</w:t>
                  </w:r>
                  <w:r>
                    <w:rPr>
                      <w:rFonts w:hint="default" w:ascii="Times New Roman" w:hAnsi="Times New Roman" w:cs="Times New Roman"/>
                      <w:color w:val="000000"/>
                      <w:kern w:val="0"/>
                      <w:szCs w:val="21"/>
                      <w:vertAlign w:val="subscript"/>
                      <w:lang w:bidi="ar"/>
                    </w:rPr>
                    <w:t>10</w:t>
                  </w:r>
                  <w:r>
                    <w:rPr>
                      <w:rFonts w:hint="default" w:ascii="Times New Roman" w:hAnsi="Times New Roman" w:cs="Times New Roman"/>
                      <w:color w:val="000000"/>
                      <w:kern w:val="0"/>
                      <w:szCs w:val="21"/>
                      <w:lang w:bidi="ar"/>
                    </w:rPr>
                    <w:t>日均值(mg/Nm</w:t>
                  </w:r>
                  <w:r>
                    <w:rPr>
                      <w:rFonts w:hint="default" w:ascii="Times New Roman" w:hAnsi="Times New Roman" w:cs="Times New Roman"/>
                      <w:color w:val="000000"/>
                      <w:kern w:val="0"/>
                      <w:szCs w:val="21"/>
                      <w:vertAlign w:val="superscript"/>
                      <w:lang w:bidi="ar"/>
                    </w:rPr>
                    <w:t>3</w:t>
                  </w:r>
                  <w:r>
                    <w:rPr>
                      <w:rFonts w:hint="default" w:ascii="Times New Roman" w:hAnsi="Times New Roman" w:cs="Times New Roman"/>
                      <w:color w:val="000000"/>
                      <w:kern w:val="0"/>
                      <w:szCs w:val="21"/>
                      <w:lang w:bidi="ar"/>
                    </w:rPr>
                    <w:t>)</w:t>
                  </w:r>
                </w:p>
              </w:tc>
              <w:tc>
                <w:tcPr>
                  <w:tcW w:w="2108" w:type="dxa"/>
                  <w:noWrap w:val="0"/>
                  <w:vAlign w:val="center"/>
                </w:tcPr>
                <w:p w14:paraId="0596D02C">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TSP日均值(mg/Nm</w:t>
                  </w:r>
                  <w:r>
                    <w:rPr>
                      <w:rFonts w:hint="default" w:ascii="Times New Roman" w:hAnsi="Times New Roman" w:cs="Times New Roman"/>
                      <w:color w:val="000000"/>
                      <w:kern w:val="0"/>
                      <w:szCs w:val="21"/>
                      <w:vertAlign w:val="superscript"/>
                      <w:lang w:bidi="ar"/>
                    </w:rPr>
                    <w:t>3</w:t>
                  </w:r>
                  <w:r>
                    <w:rPr>
                      <w:rFonts w:hint="default" w:ascii="Times New Roman" w:hAnsi="Times New Roman" w:cs="Times New Roman"/>
                      <w:color w:val="000000"/>
                      <w:kern w:val="0"/>
                      <w:szCs w:val="21"/>
                      <w:lang w:bidi="ar"/>
                    </w:rPr>
                    <w:t>)</w:t>
                  </w:r>
                </w:p>
              </w:tc>
            </w:tr>
            <w:tr w14:paraId="51CE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noWrap w:val="0"/>
                  <w:vAlign w:val="center"/>
                </w:tcPr>
                <w:p w14:paraId="0F615BAD">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路面平整</w:t>
                  </w:r>
                </w:p>
              </w:tc>
              <w:tc>
                <w:tcPr>
                  <w:tcW w:w="2106" w:type="dxa"/>
                  <w:noWrap w:val="0"/>
                  <w:vAlign w:val="center"/>
                </w:tcPr>
                <w:p w14:paraId="3CC72924">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2108" w:type="dxa"/>
                  <w:noWrap w:val="0"/>
                  <w:vAlign w:val="center"/>
                </w:tcPr>
                <w:p w14:paraId="13F433B4">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0.12~0.24</w:t>
                  </w:r>
                </w:p>
              </w:tc>
              <w:tc>
                <w:tcPr>
                  <w:tcW w:w="2108" w:type="dxa"/>
                  <w:noWrap w:val="0"/>
                  <w:vAlign w:val="center"/>
                </w:tcPr>
                <w:p w14:paraId="7EA3BDAF">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0.27~0.53</w:t>
                  </w:r>
                </w:p>
              </w:tc>
            </w:tr>
            <w:tr w14:paraId="6403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noWrap w:val="0"/>
                  <w:vAlign w:val="center"/>
                </w:tcPr>
                <w:p w14:paraId="7984386A">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路基平整</w:t>
                  </w:r>
                </w:p>
              </w:tc>
              <w:tc>
                <w:tcPr>
                  <w:tcW w:w="2106" w:type="dxa"/>
                  <w:noWrap w:val="0"/>
                  <w:vAlign w:val="center"/>
                </w:tcPr>
                <w:p w14:paraId="6BEAA932">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w:t>
                  </w:r>
                </w:p>
              </w:tc>
              <w:tc>
                <w:tcPr>
                  <w:tcW w:w="2108" w:type="dxa"/>
                  <w:noWrap w:val="0"/>
                  <w:vAlign w:val="center"/>
                </w:tcPr>
                <w:p w14:paraId="7CF3ED2C">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0.10~0.1</w:t>
                  </w:r>
                </w:p>
              </w:tc>
              <w:tc>
                <w:tcPr>
                  <w:tcW w:w="2108" w:type="dxa"/>
                  <w:noWrap w:val="0"/>
                  <w:vAlign w:val="center"/>
                </w:tcPr>
                <w:p w14:paraId="22E34251">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0.20~0.22</w:t>
                  </w:r>
                </w:p>
              </w:tc>
            </w:tr>
            <w:tr w14:paraId="5609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noWrap w:val="0"/>
                  <w:vAlign w:val="center"/>
                </w:tcPr>
                <w:p w14:paraId="407C2EAF">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平整路面</w:t>
                  </w:r>
                </w:p>
              </w:tc>
              <w:tc>
                <w:tcPr>
                  <w:tcW w:w="2106" w:type="dxa"/>
                  <w:noWrap w:val="0"/>
                  <w:vAlign w:val="center"/>
                </w:tcPr>
                <w:p w14:paraId="7A81247C">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w:t>
                  </w:r>
                </w:p>
              </w:tc>
              <w:tc>
                <w:tcPr>
                  <w:tcW w:w="2108" w:type="dxa"/>
                  <w:noWrap w:val="0"/>
                  <w:vAlign w:val="center"/>
                </w:tcPr>
                <w:p w14:paraId="5E78AE9F">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0.11~0.12</w:t>
                  </w:r>
                </w:p>
              </w:tc>
              <w:tc>
                <w:tcPr>
                  <w:tcW w:w="2108" w:type="dxa"/>
                  <w:noWrap w:val="0"/>
                  <w:vAlign w:val="center"/>
                </w:tcPr>
                <w:p w14:paraId="797981ED">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0.22~0.23</w:t>
                  </w:r>
                </w:p>
              </w:tc>
            </w:tr>
            <w:tr w14:paraId="0E5A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noWrap w:val="0"/>
                  <w:vAlign w:val="center"/>
                </w:tcPr>
                <w:p w14:paraId="31BCE564">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边坡修整、护栏施工</w:t>
                  </w:r>
                </w:p>
              </w:tc>
              <w:tc>
                <w:tcPr>
                  <w:tcW w:w="2106" w:type="dxa"/>
                  <w:noWrap w:val="0"/>
                  <w:vAlign w:val="center"/>
                </w:tcPr>
                <w:p w14:paraId="3DB75C13">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2108" w:type="dxa"/>
                  <w:noWrap w:val="0"/>
                  <w:vAlign w:val="center"/>
                </w:tcPr>
                <w:p w14:paraId="24922957">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0.05~0.11</w:t>
                  </w:r>
                </w:p>
              </w:tc>
              <w:tc>
                <w:tcPr>
                  <w:tcW w:w="2108" w:type="dxa"/>
                  <w:noWrap w:val="0"/>
                  <w:vAlign w:val="center"/>
                </w:tcPr>
                <w:p w14:paraId="6371CFBD">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0.12~0.13</w:t>
                  </w:r>
                </w:p>
              </w:tc>
            </w:tr>
            <w:tr w14:paraId="075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noWrap w:val="0"/>
                  <w:vAlign w:val="center"/>
                </w:tcPr>
                <w:p w14:paraId="03319F66">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路面清整</w:t>
                  </w:r>
                </w:p>
              </w:tc>
              <w:tc>
                <w:tcPr>
                  <w:tcW w:w="2106" w:type="dxa"/>
                  <w:noWrap w:val="0"/>
                  <w:vAlign w:val="center"/>
                </w:tcPr>
                <w:p w14:paraId="0692080A">
                  <w:pPr>
                    <w:pStyle w:val="37"/>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2108" w:type="dxa"/>
                  <w:noWrap w:val="0"/>
                  <w:vAlign w:val="center"/>
                </w:tcPr>
                <w:p w14:paraId="7855A1E7">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0.10~0.12</w:t>
                  </w:r>
                </w:p>
              </w:tc>
              <w:tc>
                <w:tcPr>
                  <w:tcW w:w="2108" w:type="dxa"/>
                  <w:noWrap w:val="0"/>
                  <w:vAlign w:val="center"/>
                </w:tcPr>
                <w:p w14:paraId="57DD592D">
                  <w:pPr>
                    <w:widowControl/>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0.18~0.19</w:t>
                  </w:r>
                </w:p>
              </w:tc>
            </w:tr>
          </w:tbl>
          <w:p w14:paraId="246DC7F6">
            <w:pPr>
              <w:widowControl/>
              <w:spacing w:line="360" w:lineRule="auto"/>
              <w:ind w:firstLine="480" w:firstLineChars="200"/>
              <w:jc w:val="left"/>
              <w:rPr>
                <w:rFonts w:hint="eastAsia" w:ascii="Times New Roman" w:hAnsi="Times New Roman" w:eastAsia="宋体" w:cs="Times New Roman"/>
                <w:color w:val="000000"/>
                <w:kern w:val="0"/>
                <w:sz w:val="24"/>
                <w:lang w:eastAsia="zh-CN" w:bidi="ar"/>
              </w:rPr>
            </w:pPr>
            <w:r>
              <w:rPr>
                <w:rFonts w:hint="default" w:ascii="Times New Roman" w:hAnsi="Times New Roman" w:cs="Times New Roman"/>
                <w:color w:val="000000"/>
                <w:kern w:val="0"/>
                <w:sz w:val="24"/>
              </w:rPr>
              <w:t>由上表可见，路面工程、边坡修整、护栏施工、路面清整施工阶段距离道路边界20m外PM</w:t>
            </w:r>
            <w:r>
              <w:rPr>
                <w:rFonts w:hint="default" w:ascii="Times New Roman" w:hAnsi="Times New Roman" w:cs="Times New Roman"/>
                <w:color w:val="000000"/>
                <w:kern w:val="0"/>
                <w:sz w:val="24"/>
                <w:vertAlign w:val="subscript"/>
              </w:rPr>
              <w:t>l0</w:t>
            </w:r>
            <w:r>
              <w:rPr>
                <w:rFonts w:hint="default" w:ascii="Times New Roman" w:hAnsi="Times New Roman" w:cs="Times New Roman"/>
                <w:color w:val="000000"/>
                <w:kern w:val="0"/>
                <w:sz w:val="24"/>
              </w:rPr>
              <w:t>日均值符合《环境空气质量标准》(GB3095-2012)二级标准；路基平整施工阶段距离道路边界30m外PM</w:t>
            </w:r>
            <w:r>
              <w:rPr>
                <w:rFonts w:hint="default" w:ascii="Times New Roman" w:hAnsi="Times New Roman" w:cs="Times New Roman"/>
                <w:color w:val="000000"/>
                <w:kern w:val="0"/>
                <w:sz w:val="24"/>
                <w:vertAlign w:val="subscript"/>
              </w:rPr>
              <w:t>l0</w:t>
            </w:r>
            <w:r>
              <w:rPr>
                <w:rFonts w:hint="default" w:ascii="Times New Roman" w:hAnsi="Times New Roman" w:cs="Times New Roman"/>
                <w:color w:val="000000"/>
                <w:kern w:val="0"/>
                <w:sz w:val="24"/>
              </w:rPr>
              <w:t>日均值符合《环境空气质量标准》(GB3095-2012)二级标准；平整路面施工阶段距离道路边界40m外PM</w:t>
            </w:r>
            <w:r>
              <w:rPr>
                <w:rFonts w:hint="default" w:ascii="Times New Roman" w:hAnsi="Times New Roman" w:cs="Times New Roman"/>
                <w:color w:val="000000"/>
                <w:kern w:val="0"/>
                <w:sz w:val="24"/>
                <w:vertAlign w:val="subscript"/>
              </w:rPr>
              <w:t>l0</w:t>
            </w:r>
            <w:r>
              <w:rPr>
                <w:rFonts w:hint="default" w:ascii="Times New Roman" w:hAnsi="Times New Roman" w:cs="Times New Roman"/>
                <w:color w:val="000000"/>
                <w:kern w:val="0"/>
                <w:sz w:val="24"/>
              </w:rPr>
              <w:t>日均值符合《环境空气质量标准》(GB3095-2012)二级标准。</w:t>
            </w:r>
            <w:r>
              <w:rPr>
                <w:rFonts w:hint="default" w:ascii="Times New Roman" w:hAnsi="Times New Roman" w:cs="Times New Roman"/>
                <w:color w:val="000000"/>
                <w:kern w:val="0"/>
                <w:sz w:val="24"/>
                <w:highlight w:val="none"/>
              </w:rPr>
              <w:t>根据现场调查，项目周围环境敏感目标较多，距离较近，</w:t>
            </w:r>
            <w:r>
              <w:rPr>
                <w:rFonts w:hint="default" w:ascii="Times New Roman" w:hAnsi="Times New Roman" w:cs="Times New Roman"/>
                <w:color w:val="000000"/>
                <w:kern w:val="0"/>
                <w:sz w:val="24"/>
              </w:rPr>
              <w:t>可能受项目施工影响。为减轻项目施工现场扬尘对周围环境敏感目标的影响，环评提出项目施工过程需在临环境保护目标一侧设置围挡，并增加洒水频次，最大程度降低项目施工对其产生的影响。</w:t>
            </w:r>
          </w:p>
          <w:p w14:paraId="25EE0E8D">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（2）施工机械和车辆排放的废气</w:t>
            </w:r>
          </w:p>
          <w:p w14:paraId="244F7E6A">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rPr>
              <w:t>挖掘机、推土机、压路机等施工机械以及运输物料和渣土所使用的重型卡车均采用柴油作为燃料，排放的废气均含有一定浓度的大气污染物。其主要污染物包括THC、SO</w:t>
            </w:r>
            <w:r>
              <w:rPr>
                <w:rFonts w:hint="default" w:ascii="Times New Roman" w:hAnsi="Times New Roman" w:cs="Times New Roman"/>
                <w:color w:val="000000"/>
                <w:kern w:val="0"/>
                <w:sz w:val="24"/>
                <w:vertAlign w:val="subscript"/>
              </w:rPr>
              <w:t>2</w:t>
            </w:r>
            <w:r>
              <w:rPr>
                <w:rFonts w:hint="default" w:ascii="Times New Roman" w:hAnsi="Times New Roman" w:cs="Times New Roman"/>
                <w:color w:val="000000"/>
                <w:kern w:val="0"/>
                <w:sz w:val="24"/>
              </w:rPr>
              <w:t>、NO</w:t>
            </w:r>
            <w:r>
              <w:rPr>
                <w:rFonts w:hint="default" w:ascii="Times New Roman" w:hAnsi="Times New Roman" w:cs="Times New Roman"/>
                <w:color w:val="000000"/>
                <w:kern w:val="0"/>
                <w:sz w:val="24"/>
                <w:vertAlign w:val="subscript"/>
              </w:rPr>
              <w:t>x</w:t>
            </w:r>
            <w:r>
              <w:rPr>
                <w:rFonts w:hint="default" w:ascii="Times New Roman" w:hAnsi="Times New Roman" w:cs="Times New Roman"/>
                <w:color w:val="000000"/>
                <w:kern w:val="0"/>
                <w:sz w:val="24"/>
              </w:rPr>
              <w:t>、碳烟，在场地内无组织排放。根据《环境保护实用数据手册》，柴油机尾气排口各污染物排放浓度约为THC＜1800mg/m</w:t>
            </w:r>
            <w:r>
              <w:rPr>
                <w:rFonts w:hint="default" w:ascii="Times New Roman" w:hAnsi="Times New Roman" w:cs="Times New Roman"/>
                <w:color w:val="000000"/>
                <w:kern w:val="0"/>
                <w:sz w:val="24"/>
                <w:vertAlign w:val="superscript"/>
              </w:rPr>
              <w:t>3</w:t>
            </w:r>
            <w:r>
              <w:rPr>
                <w:rFonts w:hint="default" w:ascii="Times New Roman" w:hAnsi="Times New Roman" w:cs="Times New Roman"/>
                <w:color w:val="000000"/>
                <w:kern w:val="0"/>
                <w:sz w:val="24"/>
              </w:rPr>
              <w:t>、SO</w:t>
            </w:r>
            <w:r>
              <w:rPr>
                <w:rFonts w:hint="default" w:ascii="Times New Roman" w:hAnsi="Times New Roman" w:cs="Times New Roman"/>
                <w:color w:val="000000"/>
                <w:kern w:val="0"/>
                <w:sz w:val="24"/>
                <w:vertAlign w:val="subscript"/>
              </w:rPr>
              <w:t>2</w:t>
            </w:r>
            <w:r>
              <w:rPr>
                <w:rFonts w:hint="default" w:ascii="Times New Roman" w:hAnsi="Times New Roman" w:cs="Times New Roman"/>
                <w:color w:val="000000"/>
                <w:kern w:val="0"/>
                <w:sz w:val="24"/>
              </w:rPr>
              <w:t>＜270mg/m</w:t>
            </w:r>
            <w:r>
              <w:rPr>
                <w:rFonts w:hint="default" w:ascii="Times New Roman" w:hAnsi="Times New Roman" w:cs="Times New Roman"/>
                <w:color w:val="000000"/>
                <w:kern w:val="0"/>
                <w:sz w:val="24"/>
                <w:vertAlign w:val="superscript"/>
              </w:rPr>
              <w:t>3</w:t>
            </w:r>
            <w:r>
              <w:rPr>
                <w:rFonts w:hint="default" w:ascii="Times New Roman" w:hAnsi="Times New Roman" w:cs="Times New Roman"/>
                <w:color w:val="000000"/>
                <w:kern w:val="0"/>
                <w:sz w:val="24"/>
              </w:rPr>
              <w:t>、NO</w:t>
            </w:r>
            <w:r>
              <w:rPr>
                <w:rFonts w:hint="default" w:ascii="Times New Roman" w:hAnsi="Times New Roman" w:cs="Times New Roman"/>
                <w:color w:val="000000"/>
                <w:kern w:val="0"/>
                <w:sz w:val="24"/>
                <w:vertAlign w:val="subscript"/>
              </w:rPr>
              <w:t>x</w:t>
            </w:r>
            <w:r>
              <w:rPr>
                <w:rFonts w:hint="default" w:ascii="Times New Roman" w:hAnsi="Times New Roman" w:cs="Times New Roman"/>
                <w:color w:val="000000"/>
                <w:kern w:val="0"/>
                <w:sz w:val="24"/>
              </w:rPr>
              <w:t>＜2500mg/m</w:t>
            </w:r>
            <w:r>
              <w:rPr>
                <w:rFonts w:hint="default" w:ascii="Times New Roman" w:hAnsi="Times New Roman" w:cs="Times New Roman"/>
                <w:color w:val="000000"/>
                <w:kern w:val="0"/>
                <w:sz w:val="24"/>
                <w:vertAlign w:val="superscript"/>
              </w:rPr>
              <w:t>3</w:t>
            </w:r>
            <w:r>
              <w:rPr>
                <w:rFonts w:hint="default" w:ascii="Times New Roman" w:hAnsi="Times New Roman" w:cs="Times New Roman"/>
                <w:color w:val="000000"/>
                <w:kern w:val="0"/>
                <w:sz w:val="24"/>
              </w:rPr>
              <w:t>、碳烟＜250mg/m</w:t>
            </w:r>
            <w:r>
              <w:rPr>
                <w:rFonts w:hint="default" w:ascii="Times New Roman" w:hAnsi="Times New Roman" w:cs="Times New Roman"/>
                <w:color w:val="000000"/>
                <w:kern w:val="0"/>
                <w:sz w:val="24"/>
                <w:vertAlign w:val="superscript"/>
              </w:rPr>
              <w:t>3</w:t>
            </w:r>
            <w:r>
              <w:rPr>
                <w:rFonts w:hint="default" w:ascii="Times New Roman" w:hAnsi="Times New Roman" w:cs="Times New Roman"/>
                <w:color w:val="000000"/>
                <w:kern w:val="0"/>
                <w:sz w:val="24"/>
              </w:rPr>
              <w:t>。项目为线性工程，道路运输车辆为流动污染源，分散排放，考虑其量不大，间歇排放，影响范围有限，随着施工的结束，其影响随之消失，故认为其环境影响可以接受。</w:t>
            </w:r>
          </w:p>
          <w:p w14:paraId="777211BD">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（3）沥青烟气</w:t>
            </w:r>
          </w:p>
          <w:p w14:paraId="5A680CF0">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在道路基础路面建成后，将对路面进行沥青的铺设。本项目采用成品沥青，沥青直接从沥青加工厂拖运至施工场地直接铺设，不在施工现场设沥青拌和站。本项目沥青烟主要产生于沥青路面铺设过程中产生的少量沥青烟气，沥青烟的组成主要为THC、TSP和BaP，其中THC和BaP为有害物质，对空气将造成一定的污染，对人体也有伤害。</w:t>
            </w:r>
            <w:r>
              <w:rPr>
                <w:rFonts w:hint="default" w:ascii="Times New Roman" w:hAnsi="Times New Roman" w:cs="Times New Roman"/>
                <w:color w:val="000000"/>
                <w:kern w:val="0"/>
                <w:sz w:val="24"/>
              </w:rPr>
              <w:t>施工单位在沥青路面铺设过程应严格注意控制沥青的温度，以免产生过多的有害气体。</w:t>
            </w:r>
            <w:r>
              <w:rPr>
                <w:rFonts w:hint="default" w:ascii="Times New Roman" w:hAnsi="Times New Roman" w:cs="Times New Roman"/>
                <w:color w:val="000000"/>
                <w:kern w:val="0"/>
                <w:sz w:val="24"/>
                <w:lang w:bidi="ar"/>
              </w:rPr>
              <w:t>施工人员在沥青铺设过程中佩戴口罩，以减少对沥青烟的吸收量，减小对人体的伤害。</w:t>
            </w:r>
            <w:r>
              <w:rPr>
                <w:rFonts w:hint="default" w:ascii="Times New Roman" w:hAnsi="Times New Roman" w:cs="Times New Roman"/>
                <w:color w:val="000000"/>
                <w:kern w:val="0"/>
                <w:sz w:val="24"/>
              </w:rPr>
              <w:t>该部分烟气产生量相对于沥青熔融和搅拌过程要小的多，并且沥青摊铺采用全幅一次摊铺成型，摊铺工序具有流动性和短暂性，对周围环境的影响时间也比较短暂，影响不大。</w:t>
            </w:r>
          </w:p>
          <w:p w14:paraId="298D04CC">
            <w:pPr>
              <w:widowControl/>
              <w:spacing w:line="360" w:lineRule="auto"/>
              <w:jc w:val="left"/>
              <w:rPr>
                <w:rFonts w:hint="default" w:ascii="Times New Roman" w:hAnsi="Times New Roman" w:cs="Times New Roman"/>
                <w:b/>
                <w:bCs/>
                <w:color w:val="000000"/>
                <w:kern w:val="0"/>
                <w:sz w:val="28"/>
                <w:szCs w:val="28"/>
                <w:lang w:bidi="ar"/>
              </w:rPr>
            </w:pPr>
            <w:r>
              <w:rPr>
                <w:rFonts w:hint="default" w:ascii="Times New Roman" w:hAnsi="Times New Roman" w:cs="Times New Roman"/>
                <w:b/>
                <w:bCs/>
                <w:color w:val="000000"/>
                <w:kern w:val="0"/>
                <w:sz w:val="28"/>
                <w:szCs w:val="28"/>
                <w:lang w:bidi="ar"/>
              </w:rPr>
              <w:t>4.2施工期水环境影响分析</w:t>
            </w:r>
          </w:p>
          <w:p w14:paraId="700401EE">
            <w:pPr>
              <w:pStyle w:val="37"/>
              <w:ind w:firstLine="480" w:firstLineChars="200"/>
              <w:rPr>
                <w:rFonts w:hint="default" w:ascii="Times New Roman" w:hAnsi="Times New Roman" w:eastAsia="宋体" w:cs="Times New Roman"/>
                <w:color w:val="000000"/>
                <w:szCs w:val="24"/>
                <w:lang w:eastAsia="zh-CN"/>
              </w:rPr>
            </w:pPr>
            <w:r>
              <w:rPr>
                <w:rFonts w:hint="default" w:ascii="Times New Roman" w:hAnsi="Times New Roman" w:cs="Times New Roman"/>
                <w:color w:val="000000"/>
                <w:szCs w:val="24"/>
              </w:rPr>
              <w:t>施工</w:t>
            </w:r>
            <w:r>
              <w:rPr>
                <w:rFonts w:hint="eastAsia" w:ascii="Times New Roman" w:hAnsi="Times New Roman" w:cs="Times New Roman"/>
                <w:color w:val="000000"/>
                <w:szCs w:val="24"/>
                <w:lang w:eastAsia="zh-CN"/>
              </w:rPr>
              <w:t>期间</w:t>
            </w:r>
            <w:r>
              <w:rPr>
                <w:rFonts w:hint="default" w:ascii="Times New Roman" w:hAnsi="Times New Roman" w:cs="Times New Roman"/>
                <w:color w:val="000000"/>
                <w:szCs w:val="24"/>
              </w:rPr>
              <w:t>水体</w:t>
            </w:r>
            <w:r>
              <w:rPr>
                <w:rFonts w:hint="default" w:ascii="Times New Roman" w:hAnsi="Times New Roman" w:cs="Times New Roman"/>
                <w:color w:val="000000"/>
                <w:szCs w:val="24"/>
                <w:lang w:val="en-US" w:eastAsia="zh-CN"/>
              </w:rPr>
              <w:t>影响</w:t>
            </w:r>
            <w:r>
              <w:rPr>
                <w:rFonts w:hint="default" w:ascii="Times New Roman" w:hAnsi="Times New Roman" w:cs="Times New Roman"/>
                <w:color w:val="000000"/>
                <w:szCs w:val="24"/>
              </w:rPr>
              <w:t>主要是来自暴雨的地表径流夹带大量泥砂、</w:t>
            </w:r>
            <w:r>
              <w:rPr>
                <w:rFonts w:hint="default" w:ascii="Times New Roman" w:hAnsi="Times New Roman" w:cs="Times New Roman"/>
                <w:color w:val="000000"/>
                <w:szCs w:val="24"/>
                <w:lang w:val="en-US" w:eastAsia="zh-CN"/>
              </w:rPr>
              <w:t>桥梁施工带来的污染，</w:t>
            </w:r>
            <w:r>
              <w:rPr>
                <w:rFonts w:hint="default" w:ascii="Times New Roman" w:hAnsi="Times New Roman" w:cs="Times New Roman"/>
                <w:color w:val="000000"/>
                <w:szCs w:val="24"/>
              </w:rPr>
              <w:t>施工机械</w:t>
            </w:r>
            <w:r>
              <w:rPr>
                <w:rFonts w:hint="default" w:ascii="Times New Roman" w:hAnsi="Times New Roman" w:cs="Times New Roman"/>
                <w:color w:val="000000"/>
                <w:szCs w:val="24"/>
                <w:lang w:val="en-US" w:eastAsia="zh-CN"/>
              </w:rPr>
              <w:t>带来的污染，生活垃圾等</w:t>
            </w:r>
            <w:r>
              <w:rPr>
                <w:rFonts w:hint="default" w:ascii="Times New Roman" w:hAnsi="Times New Roman" w:cs="Times New Roman"/>
                <w:color w:val="000000"/>
                <w:szCs w:val="24"/>
              </w:rPr>
              <w:t>施工期间水环境影响主要表现在</w:t>
            </w:r>
            <w:r>
              <w:rPr>
                <w:rFonts w:hint="default" w:ascii="Times New Roman" w:hAnsi="Times New Roman" w:cs="Times New Roman"/>
                <w:color w:val="000000"/>
                <w:szCs w:val="24"/>
                <w:lang w:eastAsia="zh-CN"/>
              </w:rPr>
              <w:t>：</w:t>
            </w:r>
          </w:p>
          <w:p w14:paraId="206C2DDB">
            <w:pPr>
              <w:pStyle w:val="37"/>
              <w:keepNext w:val="0"/>
              <w:keepLines w:val="0"/>
              <w:pageBreakBefore w:val="0"/>
              <w:widowControl w:val="0"/>
              <w:numPr>
                <w:ilvl w:val="0"/>
                <w:numId w:val="4"/>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szCs w:val="24"/>
              </w:rPr>
            </w:pPr>
            <w:r>
              <w:rPr>
                <w:rFonts w:hint="default" w:ascii="Times New Roman" w:hAnsi="Times New Roman" w:cs="Times New Roman"/>
                <w:color w:val="000000"/>
                <w:szCs w:val="24"/>
              </w:rPr>
              <w:t>施工机械跑、冒、漏的污油及露天机械被雨水冲刷后产生的油污染。</w:t>
            </w:r>
          </w:p>
          <w:p w14:paraId="6F814A39">
            <w:pPr>
              <w:pStyle w:val="37"/>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bCs/>
                <w:color w:val="000000"/>
                <w:szCs w:val="24"/>
              </w:rPr>
            </w:pPr>
            <w:r>
              <w:rPr>
                <w:rFonts w:hint="default" w:ascii="Times New Roman" w:hAnsi="Times New Roman" w:cs="Times New Roman"/>
                <w:color w:val="000000"/>
                <w:szCs w:val="24"/>
              </w:rPr>
              <w:t>堆放的建筑材料被雨水冲刷对水体的污染。</w:t>
            </w:r>
          </w:p>
          <w:p w14:paraId="5B279917">
            <w:pPr>
              <w:pStyle w:val="37"/>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000000"/>
                <w:szCs w:val="24"/>
              </w:rPr>
            </w:pPr>
            <w:r>
              <w:rPr>
                <w:rFonts w:hint="default" w:ascii="Times New Roman" w:hAnsi="Times New Roman" w:cs="Times New Roman"/>
                <w:color w:val="000000"/>
                <w:szCs w:val="24"/>
                <w:lang w:val="en-US" w:eastAsia="zh-CN"/>
              </w:rPr>
              <w:t>桥梁施工</w:t>
            </w:r>
            <w:r>
              <w:rPr>
                <w:rFonts w:hint="default" w:ascii="Times New Roman" w:hAnsi="Times New Roman" w:cs="Times New Roman"/>
                <w:color w:val="000000"/>
                <w:szCs w:val="24"/>
              </w:rPr>
              <w:t>对河床造成了扰动</w:t>
            </w:r>
            <w:r>
              <w:rPr>
                <w:rFonts w:hint="default" w:ascii="Times New Roman" w:hAnsi="Times New Roman" w:cs="Times New Roman"/>
                <w:color w:val="000000"/>
                <w:szCs w:val="24"/>
                <w:lang w:eastAsia="zh-CN"/>
              </w:rPr>
              <w:t>，</w:t>
            </w:r>
            <w:r>
              <w:rPr>
                <w:rFonts w:hint="default" w:ascii="Times New Roman" w:hAnsi="Times New Roman" w:cs="Times New Roman"/>
                <w:color w:val="000000"/>
                <w:szCs w:val="24"/>
              </w:rPr>
              <w:t>泥沙上浮</w:t>
            </w:r>
            <w:r>
              <w:rPr>
                <w:rFonts w:hint="default" w:ascii="Times New Roman" w:hAnsi="Times New Roman" w:cs="Times New Roman"/>
                <w:color w:val="000000"/>
                <w:szCs w:val="24"/>
                <w:lang w:eastAsia="zh-CN"/>
              </w:rPr>
              <w:t>，</w:t>
            </w:r>
            <w:r>
              <w:rPr>
                <w:rFonts w:hint="default" w:ascii="Times New Roman" w:hAnsi="Times New Roman" w:cs="Times New Roman"/>
                <w:color w:val="000000"/>
                <w:szCs w:val="24"/>
              </w:rPr>
              <w:t>致使水中的悬浮物浓度增加从而影响水质</w:t>
            </w:r>
            <w:r>
              <w:rPr>
                <w:rFonts w:hint="default" w:ascii="Times New Roman" w:hAnsi="Times New Roman" w:cs="Times New Roman"/>
                <w:color w:val="000000"/>
                <w:szCs w:val="24"/>
                <w:lang w:eastAsia="zh-CN"/>
              </w:rPr>
              <w:t>，</w:t>
            </w:r>
            <w:r>
              <w:rPr>
                <w:rFonts w:hint="default" w:ascii="Times New Roman" w:hAnsi="Times New Roman" w:cs="Times New Roman"/>
                <w:color w:val="000000"/>
                <w:szCs w:val="24"/>
              </w:rPr>
              <w:t>悬浮物浓度增加,水文情势改变</w:t>
            </w:r>
            <w:r>
              <w:rPr>
                <w:rFonts w:hint="default" w:ascii="Times New Roman" w:hAnsi="Times New Roman" w:cs="Times New Roman"/>
                <w:color w:val="000000"/>
                <w:szCs w:val="24"/>
                <w:lang w:eastAsia="zh-CN"/>
              </w:rPr>
              <w:t>。</w:t>
            </w:r>
          </w:p>
          <w:p w14:paraId="335BEACA">
            <w:pPr>
              <w:pStyle w:val="37"/>
              <w:numPr>
                <w:ilvl w:val="0"/>
                <w:numId w:val="0"/>
              </w:numPr>
              <w:ind w:firstLine="480" w:firstLineChars="200"/>
              <w:rPr>
                <w:rFonts w:hint="default" w:ascii="Times New Roman" w:hAnsi="Times New Roman" w:cs="Times New Roman"/>
                <w:color w:val="000000"/>
                <w:szCs w:val="24"/>
              </w:rPr>
            </w:pPr>
            <w:r>
              <w:rPr>
                <w:rFonts w:hint="default" w:ascii="Times New Roman" w:hAnsi="Times New Roman" w:cs="Times New Roman"/>
                <w:color w:val="000000"/>
                <w:szCs w:val="24"/>
              </w:rPr>
              <w:t>施工期水污染轻微且属短期影响。</w:t>
            </w:r>
          </w:p>
          <w:p w14:paraId="2F7E592B">
            <w:pPr>
              <w:pStyle w:val="37"/>
              <w:numPr>
                <w:ilvl w:val="0"/>
                <w:numId w:val="0"/>
              </w:numPr>
              <w:ind w:leftChars="0"/>
              <w:rPr>
                <w:rFonts w:hint="default" w:ascii="Times New Roman" w:hAnsi="Times New Roman" w:cs="Times New Roman"/>
                <w:b/>
                <w:bCs/>
                <w:color w:val="000000"/>
                <w:szCs w:val="24"/>
              </w:rPr>
            </w:pPr>
            <w:r>
              <w:rPr>
                <w:rFonts w:hint="default" w:ascii="Times New Roman" w:hAnsi="Times New Roman" w:cs="Times New Roman"/>
                <w:b/>
                <w:bCs/>
                <w:color w:val="000000"/>
                <w:kern w:val="0"/>
                <w:sz w:val="28"/>
                <w:szCs w:val="28"/>
                <w:lang w:bidi="ar"/>
              </w:rPr>
              <w:t>4.3施工期声环境影响分析</w:t>
            </w:r>
          </w:p>
          <w:p w14:paraId="576B64F8">
            <w:pPr>
              <w:pStyle w:val="37"/>
              <w:ind w:firstLine="0" w:firstLineChars="0"/>
              <w:rPr>
                <w:rFonts w:hint="default" w:ascii="Times New Roman" w:hAnsi="Times New Roman" w:cs="Times New Roman"/>
                <w:b/>
                <w:bCs/>
                <w:color w:val="000000"/>
                <w:szCs w:val="24"/>
              </w:rPr>
            </w:pPr>
            <w:r>
              <w:rPr>
                <w:rFonts w:hint="default" w:ascii="Times New Roman" w:hAnsi="Times New Roman" w:cs="Times New Roman"/>
                <w:b/>
                <w:bCs/>
                <w:color w:val="000000"/>
                <w:szCs w:val="24"/>
              </w:rPr>
              <w:t>4.3.1施工期噪声</w:t>
            </w:r>
          </w:p>
          <w:p w14:paraId="29FFF890">
            <w:pPr>
              <w:pStyle w:val="37"/>
              <w:ind w:firstLine="480"/>
              <w:rPr>
                <w:rFonts w:hint="default" w:ascii="Times New Roman" w:hAnsi="Times New Roman" w:cs="Times New Roman"/>
                <w:color w:val="000000"/>
                <w:szCs w:val="24"/>
                <w:highlight w:val="none"/>
              </w:rPr>
            </w:pPr>
            <w:r>
              <w:rPr>
                <w:rFonts w:hint="default" w:ascii="Times New Roman" w:hAnsi="Times New Roman" w:cs="Times New Roman"/>
                <w:color w:val="000000"/>
                <w:szCs w:val="24"/>
              </w:rPr>
              <w:t>施工期噪声主要为道路施工时施工机械噪声、运输车辆产生的噪声。施工机械噪声往往具有噪声强、突发性等特点，工程施工噪声随着项目施工结束而结束，但施工期对沿线声环境质量产生一定的影响，这种噪声影响白天将主要出现在距施工场地50m范围内，而在夜间则350m甚至更远。</w:t>
            </w:r>
            <w:r>
              <w:rPr>
                <w:rFonts w:hint="default" w:ascii="Times New Roman" w:hAnsi="Times New Roman" w:cs="Times New Roman"/>
                <w:color w:val="000000"/>
                <w:szCs w:val="24"/>
                <w:highlight w:val="none"/>
              </w:rPr>
              <w:t>根据调查国内目前常用的筑路机械以及常用机械的实测资料，其污染源强分别见</w:t>
            </w:r>
            <w:r>
              <w:rPr>
                <w:rFonts w:hint="default" w:ascii="Times New Roman" w:hAnsi="Times New Roman" w:cs="Times New Roman"/>
                <w:color w:val="000000"/>
                <w:szCs w:val="24"/>
                <w:highlight w:val="none"/>
                <w:lang w:val="en-US" w:eastAsia="zh-CN"/>
              </w:rPr>
              <w:t>下表</w:t>
            </w:r>
            <w:r>
              <w:rPr>
                <w:rFonts w:hint="default" w:ascii="Times New Roman" w:hAnsi="Times New Roman" w:cs="Times New Roman"/>
                <w:color w:val="000000"/>
                <w:szCs w:val="24"/>
                <w:highlight w:val="none"/>
              </w:rPr>
              <w:t>。</w:t>
            </w:r>
          </w:p>
          <w:p w14:paraId="704B15A7">
            <w:pPr>
              <w:spacing w:line="276"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表4</w:t>
            </w:r>
            <w:r>
              <w:rPr>
                <w:rFonts w:hint="default" w:ascii="Times New Roman" w:hAnsi="Times New Roman" w:cs="Times New Roman"/>
                <w:b/>
                <w:bCs/>
                <w:color w:val="000000"/>
                <w:szCs w:val="21"/>
                <w:lang w:val="en-US" w:eastAsia="zh-CN"/>
              </w:rPr>
              <w:t xml:space="preserve">.3-1 </w:t>
            </w:r>
            <w:r>
              <w:rPr>
                <w:rFonts w:hint="default" w:ascii="Times New Roman" w:hAnsi="Times New Roman" w:cs="Times New Roman"/>
                <w:b/>
                <w:bCs/>
                <w:color w:val="000000"/>
                <w:szCs w:val="21"/>
              </w:rPr>
              <w:t xml:space="preserve"> 工程施工机械噪声值</w:t>
            </w:r>
          </w:p>
          <w:tbl>
            <w:tblPr>
              <w:tblStyle w:val="22"/>
              <w:tblW w:w="0" w:type="auto"/>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814"/>
              <w:gridCol w:w="2620"/>
              <w:gridCol w:w="1262"/>
              <w:gridCol w:w="2132"/>
              <w:gridCol w:w="1338"/>
            </w:tblGrid>
            <w:tr w14:paraId="4DB58D3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41E51C55">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序号</w:t>
                  </w:r>
                </w:p>
              </w:tc>
              <w:tc>
                <w:tcPr>
                  <w:tcW w:w="2620" w:type="dxa"/>
                  <w:noWrap w:val="0"/>
                  <w:vAlign w:val="center"/>
                </w:tcPr>
                <w:p w14:paraId="5D13EFBE">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机械类型</w:t>
                  </w:r>
                </w:p>
              </w:tc>
              <w:tc>
                <w:tcPr>
                  <w:tcW w:w="1262" w:type="dxa"/>
                  <w:noWrap w:val="0"/>
                  <w:vAlign w:val="center"/>
                </w:tcPr>
                <w:p w14:paraId="3C664DB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型号</w:t>
                  </w:r>
                </w:p>
              </w:tc>
              <w:tc>
                <w:tcPr>
                  <w:tcW w:w="2132" w:type="dxa"/>
                  <w:noWrap w:val="0"/>
                  <w:vAlign w:val="center"/>
                </w:tcPr>
                <w:p w14:paraId="540BB7F3">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测点距施工机械距离</w:t>
                  </w:r>
                </w:p>
              </w:tc>
              <w:tc>
                <w:tcPr>
                  <w:tcW w:w="1338" w:type="dxa"/>
                  <w:noWrap w:val="0"/>
                  <w:vAlign w:val="center"/>
                </w:tcPr>
                <w:p w14:paraId="4E87F432">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最大声级</w:t>
                  </w:r>
                </w:p>
              </w:tc>
            </w:tr>
            <w:tr w14:paraId="018BD7F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73047AD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1</w:t>
                  </w:r>
                </w:p>
              </w:tc>
              <w:tc>
                <w:tcPr>
                  <w:tcW w:w="2620" w:type="dxa"/>
                  <w:noWrap w:val="0"/>
                  <w:vAlign w:val="center"/>
                </w:tcPr>
                <w:p w14:paraId="1D8C2E8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轮式装载机</w:t>
                  </w:r>
                </w:p>
              </w:tc>
              <w:tc>
                <w:tcPr>
                  <w:tcW w:w="1262" w:type="dxa"/>
                  <w:noWrap w:val="0"/>
                  <w:vAlign w:val="center"/>
                </w:tcPr>
                <w:p w14:paraId="17213FEF">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w:t>
                  </w:r>
                </w:p>
              </w:tc>
              <w:tc>
                <w:tcPr>
                  <w:tcW w:w="2132" w:type="dxa"/>
                  <w:noWrap w:val="0"/>
                  <w:vAlign w:val="center"/>
                </w:tcPr>
                <w:p w14:paraId="25582D8B">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6DBEBBA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90</w:t>
                  </w:r>
                </w:p>
              </w:tc>
            </w:tr>
            <w:tr w14:paraId="1071BE7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19646064">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2</w:t>
                  </w:r>
                </w:p>
              </w:tc>
              <w:tc>
                <w:tcPr>
                  <w:tcW w:w="2620" w:type="dxa"/>
                  <w:noWrap w:val="0"/>
                  <w:vAlign w:val="center"/>
                </w:tcPr>
                <w:p w14:paraId="18AE209C">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平地机</w:t>
                  </w:r>
                </w:p>
              </w:tc>
              <w:tc>
                <w:tcPr>
                  <w:tcW w:w="1262" w:type="dxa"/>
                  <w:noWrap w:val="0"/>
                  <w:vAlign w:val="center"/>
                </w:tcPr>
                <w:p w14:paraId="6C923511">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PY16A</w:t>
                  </w:r>
                </w:p>
              </w:tc>
              <w:tc>
                <w:tcPr>
                  <w:tcW w:w="2132" w:type="dxa"/>
                  <w:noWrap w:val="0"/>
                  <w:vAlign w:val="center"/>
                </w:tcPr>
                <w:p w14:paraId="7E4F1F7E">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479D3CCE">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90</w:t>
                  </w:r>
                </w:p>
              </w:tc>
            </w:tr>
            <w:tr w14:paraId="7E34C9A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68D8619D">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3</w:t>
                  </w:r>
                </w:p>
              </w:tc>
              <w:tc>
                <w:tcPr>
                  <w:tcW w:w="2620" w:type="dxa"/>
                  <w:noWrap w:val="0"/>
                  <w:vAlign w:val="center"/>
                </w:tcPr>
                <w:p w14:paraId="4D0302F5">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振动式压路机</w:t>
                  </w:r>
                </w:p>
              </w:tc>
              <w:tc>
                <w:tcPr>
                  <w:tcW w:w="1262" w:type="dxa"/>
                  <w:noWrap w:val="0"/>
                  <w:vAlign w:val="center"/>
                </w:tcPr>
                <w:p w14:paraId="48EF143C">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YZJ10B</w:t>
                  </w:r>
                </w:p>
              </w:tc>
              <w:tc>
                <w:tcPr>
                  <w:tcW w:w="2132" w:type="dxa"/>
                  <w:noWrap w:val="0"/>
                  <w:vAlign w:val="center"/>
                </w:tcPr>
                <w:p w14:paraId="45E00F04">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25917BBC">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86</w:t>
                  </w:r>
                </w:p>
              </w:tc>
            </w:tr>
            <w:tr w14:paraId="71676F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7DCCBB82">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4</w:t>
                  </w:r>
                </w:p>
              </w:tc>
              <w:tc>
                <w:tcPr>
                  <w:tcW w:w="2620" w:type="dxa"/>
                  <w:noWrap w:val="0"/>
                  <w:vAlign w:val="center"/>
                </w:tcPr>
                <w:p w14:paraId="43898CB1">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双轮双振压路机</w:t>
                  </w:r>
                </w:p>
              </w:tc>
              <w:tc>
                <w:tcPr>
                  <w:tcW w:w="1262" w:type="dxa"/>
                  <w:noWrap w:val="0"/>
                  <w:vAlign w:val="center"/>
                </w:tcPr>
                <w:p w14:paraId="74C1441D">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CC21</w:t>
                  </w:r>
                </w:p>
              </w:tc>
              <w:tc>
                <w:tcPr>
                  <w:tcW w:w="2132" w:type="dxa"/>
                  <w:noWrap w:val="0"/>
                  <w:vAlign w:val="center"/>
                </w:tcPr>
                <w:p w14:paraId="4D2D21C2">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19EBB73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81</w:t>
                  </w:r>
                </w:p>
              </w:tc>
            </w:tr>
            <w:tr w14:paraId="387649E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48B23901">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w:t>
                  </w:r>
                </w:p>
              </w:tc>
              <w:tc>
                <w:tcPr>
                  <w:tcW w:w="2620" w:type="dxa"/>
                  <w:noWrap w:val="0"/>
                  <w:vAlign w:val="center"/>
                </w:tcPr>
                <w:p w14:paraId="757B806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三轮压路机</w:t>
                  </w:r>
                </w:p>
              </w:tc>
              <w:tc>
                <w:tcPr>
                  <w:tcW w:w="1262" w:type="dxa"/>
                  <w:noWrap w:val="0"/>
                  <w:vAlign w:val="center"/>
                </w:tcPr>
                <w:p w14:paraId="025B5F37">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w:t>
                  </w:r>
                </w:p>
              </w:tc>
              <w:tc>
                <w:tcPr>
                  <w:tcW w:w="2132" w:type="dxa"/>
                  <w:noWrap w:val="0"/>
                  <w:vAlign w:val="center"/>
                </w:tcPr>
                <w:p w14:paraId="0A93351C">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2A893481">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81</w:t>
                  </w:r>
                </w:p>
              </w:tc>
            </w:tr>
            <w:tr w14:paraId="6799D56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0EFCB1D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6</w:t>
                  </w:r>
                </w:p>
              </w:tc>
              <w:tc>
                <w:tcPr>
                  <w:tcW w:w="2620" w:type="dxa"/>
                  <w:noWrap w:val="0"/>
                  <w:vAlign w:val="center"/>
                </w:tcPr>
                <w:p w14:paraId="6181E66C">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摊铺机</w:t>
                  </w:r>
                </w:p>
              </w:tc>
              <w:tc>
                <w:tcPr>
                  <w:tcW w:w="1262" w:type="dxa"/>
                  <w:noWrap w:val="0"/>
                  <w:vAlign w:val="center"/>
                </w:tcPr>
                <w:p w14:paraId="11C91095">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ZL16</w:t>
                  </w:r>
                </w:p>
              </w:tc>
              <w:tc>
                <w:tcPr>
                  <w:tcW w:w="2132" w:type="dxa"/>
                  <w:noWrap w:val="0"/>
                  <w:vAlign w:val="center"/>
                </w:tcPr>
                <w:p w14:paraId="18B044D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20972577">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87</w:t>
                  </w:r>
                </w:p>
              </w:tc>
            </w:tr>
            <w:tr w14:paraId="485350A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609C089B">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7</w:t>
                  </w:r>
                </w:p>
              </w:tc>
              <w:tc>
                <w:tcPr>
                  <w:tcW w:w="2620" w:type="dxa"/>
                  <w:noWrap w:val="0"/>
                  <w:vAlign w:val="center"/>
                </w:tcPr>
                <w:p w14:paraId="3514DD2E">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推土机</w:t>
                  </w:r>
                </w:p>
              </w:tc>
              <w:tc>
                <w:tcPr>
                  <w:tcW w:w="1262" w:type="dxa"/>
                  <w:noWrap w:val="0"/>
                  <w:vAlign w:val="center"/>
                </w:tcPr>
                <w:p w14:paraId="5A188FFF">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T140</w:t>
                  </w:r>
                </w:p>
              </w:tc>
              <w:tc>
                <w:tcPr>
                  <w:tcW w:w="2132" w:type="dxa"/>
                  <w:noWrap w:val="0"/>
                  <w:vAlign w:val="center"/>
                </w:tcPr>
                <w:p w14:paraId="40FB0B2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4CC56B0E">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86</w:t>
                  </w:r>
                </w:p>
              </w:tc>
            </w:tr>
            <w:tr w14:paraId="6FE6B0D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74A3C03E">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w:t>
                  </w:r>
                </w:p>
              </w:tc>
              <w:tc>
                <w:tcPr>
                  <w:tcW w:w="2620" w:type="dxa"/>
                  <w:noWrap w:val="0"/>
                  <w:vAlign w:val="center"/>
                </w:tcPr>
                <w:p w14:paraId="79387BA4">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轮胎式液压挖掘机</w:t>
                  </w:r>
                </w:p>
              </w:tc>
              <w:tc>
                <w:tcPr>
                  <w:tcW w:w="1262" w:type="dxa"/>
                  <w:noWrap w:val="0"/>
                  <w:vAlign w:val="center"/>
                </w:tcPr>
                <w:p w14:paraId="6575FB1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W4-60C</w:t>
                  </w:r>
                </w:p>
              </w:tc>
              <w:tc>
                <w:tcPr>
                  <w:tcW w:w="2132" w:type="dxa"/>
                  <w:noWrap w:val="0"/>
                  <w:vAlign w:val="center"/>
                </w:tcPr>
                <w:p w14:paraId="2CC10D9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738BF99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84</w:t>
                  </w:r>
                </w:p>
              </w:tc>
            </w:tr>
            <w:tr w14:paraId="599BFDB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1C809BED">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9</w:t>
                  </w:r>
                </w:p>
              </w:tc>
              <w:tc>
                <w:tcPr>
                  <w:tcW w:w="2620" w:type="dxa"/>
                  <w:noWrap w:val="0"/>
                  <w:vAlign w:val="center"/>
                </w:tcPr>
                <w:p w14:paraId="7E3230B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混凝土泵车</w:t>
                  </w:r>
                </w:p>
              </w:tc>
              <w:tc>
                <w:tcPr>
                  <w:tcW w:w="1262" w:type="dxa"/>
                  <w:noWrap w:val="0"/>
                  <w:vAlign w:val="center"/>
                </w:tcPr>
                <w:p w14:paraId="666BA7FA">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w:t>
                  </w:r>
                </w:p>
              </w:tc>
              <w:tc>
                <w:tcPr>
                  <w:tcW w:w="2132" w:type="dxa"/>
                  <w:noWrap w:val="0"/>
                  <w:vAlign w:val="center"/>
                </w:tcPr>
                <w:p w14:paraId="44715E3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5FCD3749">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82</w:t>
                  </w:r>
                </w:p>
              </w:tc>
            </w:tr>
            <w:tr w14:paraId="2FE08A4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2C72FC38">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10</w:t>
                  </w:r>
                </w:p>
              </w:tc>
              <w:tc>
                <w:tcPr>
                  <w:tcW w:w="2620" w:type="dxa"/>
                  <w:noWrap w:val="0"/>
                  <w:vAlign w:val="center"/>
                </w:tcPr>
                <w:p w14:paraId="50C3501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破路机</w:t>
                  </w:r>
                </w:p>
              </w:tc>
              <w:tc>
                <w:tcPr>
                  <w:tcW w:w="1262" w:type="dxa"/>
                  <w:noWrap w:val="0"/>
                  <w:vAlign w:val="center"/>
                </w:tcPr>
                <w:p w14:paraId="665D7225">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w:t>
                  </w:r>
                </w:p>
              </w:tc>
              <w:tc>
                <w:tcPr>
                  <w:tcW w:w="2132" w:type="dxa"/>
                  <w:noWrap w:val="0"/>
                  <w:vAlign w:val="center"/>
                </w:tcPr>
                <w:p w14:paraId="6F99636F">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5277F79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90</w:t>
                  </w:r>
                </w:p>
              </w:tc>
            </w:tr>
            <w:tr w14:paraId="5D3A2CB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4" w:type="dxa"/>
                  <w:noWrap w:val="0"/>
                  <w:vAlign w:val="center"/>
                </w:tcPr>
                <w:p w14:paraId="6DCDE8E1">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11</w:t>
                  </w:r>
                </w:p>
              </w:tc>
              <w:tc>
                <w:tcPr>
                  <w:tcW w:w="2620" w:type="dxa"/>
                  <w:noWrap w:val="0"/>
                  <w:vAlign w:val="center"/>
                </w:tcPr>
                <w:p w14:paraId="1E87FF9F">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切割机</w:t>
                  </w:r>
                </w:p>
              </w:tc>
              <w:tc>
                <w:tcPr>
                  <w:tcW w:w="1262" w:type="dxa"/>
                  <w:noWrap w:val="0"/>
                  <w:vAlign w:val="center"/>
                </w:tcPr>
                <w:p w14:paraId="27B9C526">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w:t>
                  </w:r>
                </w:p>
              </w:tc>
              <w:tc>
                <w:tcPr>
                  <w:tcW w:w="2132" w:type="dxa"/>
                  <w:noWrap w:val="0"/>
                  <w:vAlign w:val="center"/>
                </w:tcPr>
                <w:p w14:paraId="646B52E4">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5m</w:t>
                  </w:r>
                </w:p>
              </w:tc>
              <w:tc>
                <w:tcPr>
                  <w:tcW w:w="1338" w:type="dxa"/>
                  <w:noWrap w:val="0"/>
                  <w:vAlign w:val="center"/>
                </w:tcPr>
                <w:p w14:paraId="7B582B72">
                  <w:pPr>
                    <w:snapToGrid w:val="0"/>
                    <w:jc w:val="center"/>
                    <w:rPr>
                      <w:rStyle w:val="29"/>
                      <w:rFonts w:hint="default" w:ascii="Times New Roman" w:hAnsi="Times New Roman" w:cs="Times New Roman"/>
                      <w:color w:val="000000"/>
                    </w:rPr>
                  </w:pPr>
                  <w:r>
                    <w:rPr>
                      <w:rStyle w:val="29"/>
                      <w:rFonts w:hint="default" w:ascii="Times New Roman" w:hAnsi="Times New Roman" w:cs="Times New Roman"/>
                      <w:color w:val="000000"/>
                    </w:rPr>
                    <w:t>85</w:t>
                  </w:r>
                </w:p>
              </w:tc>
            </w:tr>
          </w:tbl>
          <w:p w14:paraId="13FBA75E">
            <w:pPr>
              <w:pStyle w:val="37"/>
              <w:ind w:firstLine="0" w:firstLineChars="0"/>
              <w:rPr>
                <w:rFonts w:hint="default" w:ascii="Times New Roman" w:hAnsi="Times New Roman" w:cs="Times New Roman"/>
                <w:b/>
                <w:bCs/>
                <w:color w:val="000000"/>
                <w:szCs w:val="24"/>
                <w:highlight w:val="none"/>
              </w:rPr>
            </w:pPr>
            <w:r>
              <w:rPr>
                <w:rFonts w:hint="default" w:ascii="Times New Roman" w:hAnsi="Times New Roman" w:cs="Times New Roman"/>
                <w:b/>
                <w:bCs/>
                <w:color w:val="000000"/>
                <w:szCs w:val="24"/>
                <w:highlight w:val="none"/>
              </w:rPr>
              <w:t>4.3.2施工期噪声环境影响分析</w:t>
            </w:r>
          </w:p>
          <w:p w14:paraId="5FE5720C">
            <w:pPr>
              <w:widowControl/>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根据现场勘查，本项目施工过程中道</w:t>
            </w:r>
            <w:r>
              <w:rPr>
                <w:rFonts w:hint="default" w:ascii="Times New Roman" w:hAnsi="Times New Roman" w:cs="Times New Roman"/>
                <w:color w:val="000000"/>
                <w:kern w:val="0"/>
                <w:sz w:val="24"/>
                <w:highlight w:val="none"/>
                <w:lang w:bidi="ar"/>
              </w:rPr>
              <w:t>路沿线声环境敏感目标主要为道路两侧的</w:t>
            </w:r>
            <w:r>
              <w:rPr>
                <w:rFonts w:hint="default" w:ascii="Times New Roman" w:hAnsi="Times New Roman" w:cs="Times New Roman"/>
                <w:color w:val="000000"/>
                <w:kern w:val="0"/>
                <w:sz w:val="24"/>
                <w:highlight w:val="none"/>
                <w:lang w:val="en-US" w:eastAsia="zh-CN" w:bidi="ar"/>
              </w:rPr>
              <w:t>零散居民点</w:t>
            </w:r>
            <w:r>
              <w:rPr>
                <w:rFonts w:hint="default" w:ascii="Times New Roman" w:hAnsi="Times New Roman" w:cs="Times New Roman"/>
                <w:color w:val="000000"/>
                <w:kern w:val="0"/>
                <w:sz w:val="24"/>
                <w:highlight w:val="none"/>
                <w:lang w:bidi="ar"/>
              </w:rPr>
              <w:t>；</w:t>
            </w:r>
            <w:r>
              <w:rPr>
                <w:rFonts w:hint="default" w:ascii="Times New Roman" w:hAnsi="Times New Roman" w:cs="Times New Roman"/>
                <w:color w:val="000000"/>
                <w:kern w:val="0"/>
                <w:sz w:val="24"/>
                <w:lang w:bidi="ar"/>
              </w:rPr>
              <w:t>因此为减轻施工噪声对敏感点的影响，施工单位应在路段两侧设置连续或移动隔声围挡，围挡采用金属板材、设置高度应大于2m。施工期间尽可能选择低噪声的机械设备，加强施工设施的维护和保养；须合理规划施工过程与高噪声设备和工艺的使用时间，避开居民休息、学习时间，夜间禁止施工。对施工车辆造成的噪声影响加强管理，运输车辆尽量采用较低声级的喇叭，并在环境敏感点限制车辆鸣笛。通过采取上述措施后，施工期噪声对周围环境影响不大。</w:t>
            </w:r>
          </w:p>
          <w:p w14:paraId="67DACF99">
            <w:pPr>
              <w:pStyle w:val="37"/>
              <w:ind w:firstLine="0" w:firstLineChars="0"/>
              <w:rPr>
                <w:rFonts w:hint="default" w:ascii="Times New Roman" w:hAnsi="Times New Roman" w:cs="Times New Roman"/>
                <w:b/>
                <w:bCs/>
                <w:color w:val="000000"/>
                <w:kern w:val="0"/>
                <w:sz w:val="28"/>
                <w:szCs w:val="28"/>
                <w:highlight w:val="none"/>
                <w:lang w:bidi="ar"/>
              </w:rPr>
            </w:pPr>
            <w:r>
              <w:rPr>
                <w:rFonts w:hint="default" w:ascii="Times New Roman" w:hAnsi="Times New Roman" w:cs="Times New Roman"/>
                <w:b/>
                <w:bCs/>
                <w:color w:val="000000"/>
                <w:kern w:val="0"/>
                <w:sz w:val="28"/>
                <w:szCs w:val="28"/>
                <w:highlight w:val="none"/>
                <w:lang w:bidi="ar"/>
              </w:rPr>
              <w:t>4.4施工期固体废物影响分析</w:t>
            </w:r>
          </w:p>
          <w:p w14:paraId="4A3C9858">
            <w:pPr>
              <w:pStyle w:val="37"/>
              <w:ind w:firstLine="0" w:firstLineChars="0"/>
              <w:rPr>
                <w:rFonts w:hint="default" w:ascii="Times New Roman" w:hAnsi="Times New Roman" w:cs="Times New Roman"/>
                <w:b/>
                <w:bCs/>
                <w:color w:val="000000"/>
                <w:szCs w:val="24"/>
                <w:highlight w:val="none"/>
              </w:rPr>
            </w:pPr>
            <w:r>
              <w:rPr>
                <w:rFonts w:hint="default" w:ascii="Times New Roman" w:hAnsi="Times New Roman" w:cs="Times New Roman"/>
                <w:b/>
                <w:bCs/>
                <w:color w:val="000000"/>
                <w:szCs w:val="24"/>
                <w:highlight w:val="none"/>
              </w:rPr>
              <w:t>4.4.1施工期固体废物产排污环节</w:t>
            </w:r>
          </w:p>
          <w:p w14:paraId="5FA6F490">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rPr>
              <w:t>施工期固体废弃物主要包括三部分：一部分来自破损路面破除时产生的废弃水泥块以及施工区的垃圾，包括废弃的建材、钢筋、包装材料等建筑垃圾；二是路基开挖、铺设时产生的弃方，包括弃土、弃石；三是施工人员生活垃圾，主要集中在员工休息区附近。</w:t>
            </w:r>
          </w:p>
          <w:p w14:paraId="5C8B08D4">
            <w:pPr>
              <w:pStyle w:val="37"/>
              <w:ind w:firstLine="0" w:firstLineChars="0"/>
              <w:rPr>
                <w:rFonts w:hint="default" w:ascii="Times New Roman" w:hAnsi="Times New Roman" w:cs="Times New Roman"/>
                <w:b/>
                <w:color w:val="000000"/>
                <w:szCs w:val="24"/>
              </w:rPr>
            </w:pPr>
            <w:r>
              <w:rPr>
                <w:rFonts w:hint="default" w:ascii="Times New Roman" w:hAnsi="Times New Roman" w:cs="Times New Roman"/>
                <w:b/>
                <w:color w:val="000000"/>
                <w:szCs w:val="24"/>
              </w:rPr>
              <w:t>4.4.2</w:t>
            </w:r>
            <w:r>
              <w:rPr>
                <w:rFonts w:hint="default" w:ascii="Times New Roman" w:hAnsi="Times New Roman" w:cs="Times New Roman"/>
                <w:b/>
                <w:bCs/>
                <w:color w:val="000000"/>
                <w:szCs w:val="24"/>
              </w:rPr>
              <w:t>施工期</w:t>
            </w:r>
            <w:r>
              <w:rPr>
                <w:rFonts w:hint="default" w:ascii="Times New Roman" w:hAnsi="Times New Roman" w:cs="Times New Roman"/>
                <w:b/>
                <w:color w:val="000000"/>
                <w:szCs w:val="24"/>
              </w:rPr>
              <w:t>固体废物环境影响分析</w:t>
            </w:r>
          </w:p>
          <w:p w14:paraId="713A0136">
            <w:pPr>
              <w:pStyle w:val="37"/>
              <w:ind w:firstLine="480"/>
              <w:rPr>
                <w:rFonts w:hint="default" w:ascii="Times New Roman" w:hAnsi="Times New Roman" w:cs="Times New Roman"/>
                <w:bCs/>
                <w:color w:val="000000"/>
                <w:szCs w:val="24"/>
              </w:rPr>
            </w:pPr>
            <w:r>
              <w:rPr>
                <w:rFonts w:hint="default" w:ascii="Times New Roman" w:hAnsi="Times New Roman" w:cs="Times New Roman"/>
                <w:bCs/>
                <w:color w:val="000000"/>
                <w:szCs w:val="24"/>
              </w:rPr>
              <w:t>由于固体废弃物是沿着道路呈线性分布的，若堆放、处置不当，堆置过久覆盖灰尘后遇风还将产生扬尘对附近居民造成影响；沿途堆置垃圾还会引起细菌、蚊蝇的大量繁殖，导致当地传染病发病率的提高和易于传播，垃圾带来的恶臭气味影响居民的生活，影响景观环境。</w:t>
            </w:r>
          </w:p>
          <w:p w14:paraId="1297E3A0">
            <w:pPr>
              <w:pStyle w:val="37"/>
              <w:ind w:firstLine="480"/>
              <w:rPr>
                <w:rFonts w:hint="default" w:ascii="Times New Roman" w:hAnsi="Times New Roman" w:cs="Times New Roman"/>
                <w:bCs/>
                <w:color w:val="000000"/>
                <w:szCs w:val="24"/>
              </w:rPr>
            </w:pPr>
            <w:r>
              <w:rPr>
                <w:rFonts w:hint="default" w:ascii="Times New Roman" w:hAnsi="Times New Roman" w:cs="Times New Roman"/>
                <w:bCs/>
                <w:color w:val="000000"/>
                <w:szCs w:val="24"/>
              </w:rPr>
              <w:t>因此，在道路施工期间，应通过加强施工管理，防止施工固体废弃物随意堆放，施工结束后及时清运、处置。</w:t>
            </w:r>
            <w:r>
              <w:rPr>
                <w:rFonts w:hint="default" w:ascii="Times New Roman" w:hAnsi="Times New Roman" w:cs="Times New Roman"/>
                <w:color w:val="000000"/>
                <w:kern w:val="0"/>
              </w:rPr>
              <w:t>本项目除表土、不宜用于回填的软杂土外，应充分利用挖方回填，以减少弃方量。工程渣土在48小时内不能完成清运的，必须设置临时堆放场，并采取围挡、覆盖等防尘措施。</w:t>
            </w:r>
            <w:r>
              <w:rPr>
                <w:rFonts w:hint="default" w:ascii="Times New Roman" w:hAnsi="Times New Roman" w:cs="Times New Roman"/>
                <w:bCs/>
                <w:color w:val="000000"/>
                <w:szCs w:val="24"/>
              </w:rPr>
              <w:t>弃渣和建筑垃圾必须运至当地政府指定的消纳场所，</w:t>
            </w:r>
            <w:r>
              <w:rPr>
                <w:rFonts w:hint="default" w:ascii="Times New Roman" w:hAnsi="Times New Roman" w:cs="Times New Roman"/>
                <w:color w:val="000000"/>
                <w:kern w:val="0"/>
              </w:rPr>
              <w:t>不随意倾倒。</w:t>
            </w:r>
            <w:r>
              <w:rPr>
                <w:rFonts w:hint="default" w:ascii="Times New Roman" w:hAnsi="Times New Roman" w:cs="Times New Roman"/>
                <w:bCs/>
                <w:color w:val="000000"/>
                <w:szCs w:val="24"/>
              </w:rPr>
              <w:t>生活垃圾送至附近的城镇垃圾填埋场处置。</w:t>
            </w:r>
          </w:p>
          <w:p w14:paraId="4E9ECA5B">
            <w:pPr>
              <w:pStyle w:val="37"/>
              <w:ind w:firstLine="480"/>
              <w:rPr>
                <w:rFonts w:hint="default" w:ascii="Times New Roman" w:hAnsi="Times New Roman" w:cs="Times New Roman"/>
                <w:bCs/>
                <w:color w:val="000000"/>
                <w:szCs w:val="24"/>
              </w:rPr>
            </w:pPr>
            <w:r>
              <w:rPr>
                <w:rFonts w:hint="default" w:ascii="Times New Roman" w:hAnsi="Times New Roman" w:cs="Times New Roman"/>
                <w:bCs/>
                <w:color w:val="000000"/>
                <w:szCs w:val="24"/>
              </w:rPr>
              <w:t>综上所述，在道路施工期间，加强施工管理并采取严格的环境保护措施，固体废物对周围环境影响较小。</w:t>
            </w:r>
          </w:p>
          <w:p w14:paraId="60DD5408">
            <w:pPr>
              <w:pStyle w:val="37"/>
              <w:ind w:firstLine="0" w:firstLineChars="0"/>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4.5施工期生态影响分析</w:t>
            </w:r>
          </w:p>
          <w:p w14:paraId="2A922C8E">
            <w:pPr>
              <w:pStyle w:val="37"/>
              <w:ind w:firstLine="480"/>
              <w:rPr>
                <w:rFonts w:hint="eastAsia" w:ascii="Times New Roman" w:hAnsi="Times New Roman" w:eastAsia="宋体" w:cs="Times New Roman"/>
                <w:color w:val="000000"/>
                <w:szCs w:val="24"/>
                <w:lang w:eastAsia="zh-CN"/>
              </w:rPr>
            </w:pPr>
            <w:r>
              <w:rPr>
                <w:rFonts w:hint="default" w:ascii="Times New Roman" w:hAnsi="Times New Roman" w:cs="Times New Roman"/>
                <w:color w:val="000000"/>
                <w:szCs w:val="24"/>
                <w:highlight w:val="none"/>
              </w:rPr>
              <w:t>项目生态环境影响表现在水土流失、植被影响、动物影响、景观生态影响。</w:t>
            </w:r>
          </w:p>
          <w:p w14:paraId="0A5790BF">
            <w:pPr>
              <w:pStyle w:val="37"/>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（1）水土流失</w:t>
            </w:r>
          </w:p>
          <w:p w14:paraId="7972692C">
            <w:pPr>
              <w:pStyle w:val="37"/>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施工中基础开挖使土壤裸露并形成边坡，挖填土方、砂石的堆放是引起水土流失的主要工程因素；堆放的土方、砂石材料等土层较松散，裸露土层抗侵蚀能力弱，易受风力、水力侵蚀，降雨、暴雨季节的分布等气象条件是水土流失形成的其他条件因素。施工中的水土流失现象，不仅会影响工程进度和工程质量，而且其含有的泥沙将成为一种污染物排放到环境中。</w:t>
            </w:r>
          </w:p>
          <w:p w14:paraId="70DCAD55">
            <w:pPr>
              <w:pStyle w:val="37"/>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本项目在施工过程中，水土流失主要集中在施工期路基开挖、回填和沿线边坡防护施工期间。</w:t>
            </w:r>
            <w:r>
              <w:rPr>
                <w:rFonts w:hint="default" w:ascii="Times New Roman" w:hAnsi="Times New Roman" w:cs="Times New Roman"/>
                <w:color w:val="000000"/>
                <w:kern w:val="0"/>
              </w:rPr>
              <w:t>根据现场调查，沿线经过的地带水土流失总体状况较轻。</w:t>
            </w:r>
          </w:p>
          <w:p w14:paraId="06BD9127">
            <w:pPr>
              <w:pStyle w:val="37"/>
              <w:ind w:firstLine="480"/>
              <w:rPr>
                <w:rFonts w:hint="default" w:ascii="Times New Roman" w:hAnsi="Times New Roman" w:cs="Times New Roman"/>
                <w:color w:val="000000"/>
                <w:szCs w:val="24"/>
                <w:highlight w:val="none"/>
              </w:rPr>
            </w:pPr>
            <w:r>
              <w:rPr>
                <w:rFonts w:hint="default" w:ascii="Times New Roman" w:hAnsi="Times New Roman" w:cs="Times New Roman"/>
                <w:color w:val="000000"/>
                <w:szCs w:val="24"/>
                <w:highlight w:val="none"/>
              </w:rPr>
              <w:t>（2）对植被的影响</w:t>
            </w:r>
          </w:p>
          <w:p w14:paraId="5600923C">
            <w:pPr>
              <w:tabs>
                <w:tab w:val="left" w:pos="720"/>
                <w:tab w:val="left" w:pos="900"/>
              </w:tabs>
              <w:spacing w:line="360" w:lineRule="auto"/>
              <w:ind w:firstLine="480" w:firstLineChars="200"/>
              <w:rPr>
                <w:rFonts w:hint="default" w:ascii="Times New Roman" w:hAnsi="Times New Roman" w:cs="Times New Roman"/>
                <w:caps w:val="0"/>
                <w:smallCaps w:val="0"/>
                <w:kern w:val="24"/>
                <w:sz w:val="24"/>
                <w:u w:val="none"/>
              </w:rPr>
            </w:pPr>
            <w:r>
              <w:rPr>
                <w:rFonts w:hint="default" w:ascii="Times New Roman" w:hAnsi="Times New Roman" w:eastAsia="宋体" w:cs="Times New Roman"/>
                <w:caps w:val="0"/>
                <w:smallCaps w:val="0"/>
                <w:kern w:val="24"/>
                <w:sz w:val="24"/>
                <w:u w:val="none"/>
              </w:rPr>
              <w:t>项目区域内无珍稀乔木，项目占地范围内</w:t>
            </w:r>
            <w:r>
              <w:rPr>
                <w:rFonts w:hint="default" w:ascii="Times New Roman" w:hAnsi="Times New Roman" w:eastAsia="宋体" w:cs="Times New Roman"/>
                <w:caps w:val="0"/>
                <w:smallCaps w:val="0"/>
                <w:kern w:val="24"/>
                <w:sz w:val="24"/>
                <w:u w:val="none"/>
                <w:lang w:val="en-US" w:eastAsia="zh-CN"/>
              </w:rPr>
              <w:t>有植被存在，</w:t>
            </w:r>
            <w:r>
              <w:rPr>
                <w:rFonts w:hint="default" w:ascii="Times New Roman" w:hAnsi="Times New Roman" w:eastAsia="宋体" w:cs="Times New Roman"/>
                <w:caps w:val="0"/>
                <w:smallCaps w:val="0"/>
                <w:kern w:val="24"/>
                <w:sz w:val="24"/>
                <w:u w:val="none"/>
              </w:rPr>
              <w:t>工</w:t>
            </w:r>
            <w:r>
              <w:rPr>
                <w:rFonts w:hint="default" w:ascii="Times New Roman" w:hAnsi="Times New Roman" w:cs="Times New Roman"/>
                <w:caps w:val="0"/>
                <w:smallCaps w:val="0"/>
                <w:kern w:val="24"/>
                <w:sz w:val="24"/>
                <w:u w:val="none"/>
              </w:rPr>
              <w:t>程施工过程开挖、弃渣等均要破坏植被，但由于工程沿线植被人工化程度较高，且植被长势一般，植被物种</w:t>
            </w:r>
            <w:r>
              <w:rPr>
                <w:rFonts w:hint="default" w:ascii="Times New Roman" w:hAnsi="Times New Roman" w:cs="Times New Roman"/>
                <w:caps w:val="0"/>
                <w:smallCaps w:val="0"/>
                <w:kern w:val="24"/>
                <w:sz w:val="24"/>
                <w:u w:val="none"/>
                <w:lang w:val="en-US" w:eastAsia="zh-CN"/>
              </w:rPr>
              <w:t>较</w:t>
            </w:r>
            <w:r>
              <w:rPr>
                <w:rFonts w:hint="default" w:ascii="Times New Roman" w:hAnsi="Times New Roman" w:cs="Times New Roman"/>
                <w:caps w:val="0"/>
                <w:smallCaps w:val="0"/>
                <w:kern w:val="24"/>
                <w:sz w:val="24"/>
                <w:u w:val="none"/>
              </w:rPr>
              <w:t>单一，相对整个区域来说，施工过程生物量损失较少，被破坏的程度较小，随着施工期结束及人工恢复，公路建设对其造成的影响将逐步减弱。</w:t>
            </w:r>
          </w:p>
          <w:p w14:paraId="4145E5E0">
            <w:pPr>
              <w:tabs>
                <w:tab w:val="left" w:pos="720"/>
                <w:tab w:val="left" w:pos="900"/>
              </w:tabs>
              <w:spacing w:line="360" w:lineRule="auto"/>
              <w:ind w:firstLine="480" w:firstLineChars="200"/>
              <w:rPr>
                <w:rFonts w:hint="default" w:ascii="Times New Roman" w:hAnsi="Times New Roman" w:eastAsia="宋体" w:cs="Times New Roman"/>
                <w:color w:val="000000"/>
                <w:szCs w:val="24"/>
                <w:lang w:val="en-US" w:eastAsia="zh-CN"/>
              </w:rPr>
            </w:pPr>
            <w:r>
              <w:rPr>
                <w:rFonts w:hint="default" w:ascii="Times New Roman" w:hAnsi="Times New Roman" w:cs="Times New Roman"/>
                <w:caps w:val="0"/>
                <w:smallCaps w:val="0"/>
                <w:kern w:val="24"/>
                <w:sz w:val="24"/>
                <w:u w:val="none"/>
              </w:rPr>
              <w:t>施工期间，由于开挖土石方及各种施工机械、运输车辆进入公路施工现场，以及在路基施工中因拌和大量的灰土等，</w:t>
            </w:r>
            <w:r>
              <w:rPr>
                <w:rFonts w:hint="eastAsia" w:ascii="Times New Roman" w:hAnsi="Times New Roman" w:cs="Times New Roman"/>
                <w:caps w:val="0"/>
                <w:smallCaps w:val="0"/>
                <w:kern w:val="24"/>
                <w:sz w:val="24"/>
                <w:u w:val="none"/>
                <w:lang w:eastAsia="zh-CN"/>
              </w:rPr>
              <w:t>产生</w:t>
            </w:r>
            <w:r>
              <w:rPr>
                <w:rFonts w:hint="default" w:ascii="Times New Roman" w:hAnsi="Times New Roman" w:cs="Times New Roman"/>
                <w:caps w:val="0"/>
                <w:smallCaps w:val="0"/>
                <w:kern w:val="24"/>
                <w:sz w:val="24"/>
                <w:u w:val="none"/>
              </w:rPr>
              <w:t>的扬尘和运输车辆排放尾气对附近植被产生一定的影响，在施工期其中扬尘影响更大些，部分粉尘沉降在植物叶片表面，降低植物的光合与呼吸作用，对植物生长发育产生一定的影响。如果在花期，扬尘会影响植物坐果，进而影响植物特别是农作物的产量和品质。</w:t>
            </w:r>
          </w:p>
          <w:p w14:paraId="6C19DC4D">
            <w:pPr>
              <w:pStyle w:val="37"/>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（3）对动物影响</w:t>
            </w:r>
          </w:p>
          <w:p w14:paraId="7837DA6B">
            <w:pPr>
              <w:pStyle w:val="31"/>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本项目施工对动物的影响主要是项目占地会侵占部分动物栖息地，破坏部分动物觅食区，施工会</w:t>
            </w:r>
            <w:r>
              <w:rPr>
                <w:rFonts w:hint="default" w:ascii="Times New Roman" w:hAnsi="Times New Roman" w:cs="Times New Roman"/>
                <w:color w:val="000000"/>
                <w:sz w:val="24"/>
                <w:szCs w:val="24"/>
                <w:lang w:val="en-US" w:eastAsia="zh-CN"/>
              </w:rPr>
              <w:t>产生噪音</w:t>
            </w:r>
            <w:r>
              <w:rPr>
                <w:rFonts w:hint="default" w:ascii="Times New Roman" w:hAnsi="Times New Roman" w:cs="Times New Roman"/>
                <w:color w:val="000000"/>
                <w:sz w:val="24"/>
                <w:szCs w:val="24"/>
              </w:rPr>
              <w:t>干扰其正常的生命活动，但由于道路沿线</w:t>
            </w:r>
            <w:r>
              <w:rPr>
                <w:rFonts w:hint="default" w:ascii="Times New Roman" w:hAnsi="Times New Roman" w:cs="Times New Roman"/>
                <w:color w:val="000000"/>
                <w:kern w:val="0"/>
                <w:sz w:val="24"/>
              </w:rPr>
              <w:t>主要以现状</w:t>
            </w:r>
            <w:r>
              <w:rPr>
                <w:rFonts w:hint="default" w:ascii="Times New Roman" w:hAnsi="Times New Roman" w:cs="Times New Roman"/>
                <w:color w:val="000000"/>
                <w:kern w:val="0"/>
                <w:sz w:val="24"/>
                <w:lang w:val="en-US" w:eastAsia="zh-CN"/>
              </w:rPr>
              <w:t>耕地</w:t>
            </w:r>
            <w:r>
              <w:rPr>
                <w:rFonts w:hint="default" w:ascii="Times New Roman" w:hAnsi="Times New Roman" w:cs="Times New Roman"/>
                <w:color w:val="000000"/>
                <w:kern w:val="0"/>
                <w:sz w:val="24"/>
              </w:rPr>
              <w:t>、水塘、林地、零散村宅为</w:t>
            </w:r>
            <w:r>
              <w:rPr>
                <w:rFonts w:hint="default" w:ascii="Times New Roman" w:hAnsi="Times New Roman" w:cs="Times New Roman"/>
                <w:color w:val="000000"/>
                <w:kern w:val="0"/>
                <w:sz w:val="24"/>
                <w:lang w:val="en-US" w:eastAsia="zh-CN"/>
              </w:rPr>
              <w:t>主，</w:t>
            </w:r>
            <w:r>
              <w:rPr>
                <w:rFonts w:hint="default" w:ascii="Times New Roman" w:hAnsi="Times New Roman" w:cs="Times New Roman"/>
                <w:color w:val="000000"/>
                <w:sz w:val="24"/>
                <w:szCs w:val="24"/>
              </w:rPr>
              <w:t>野生动物的生存环境基本上已经遭到破坏，野生动物物种、数量均不多，主要为居民点的常见种类如老鼠等，暂未发现珍稀濒危保护野生动物。因此，工程建设不会对其种群数量产生明显影响，更不会改变其种群结构。</w:t>
            </w:r>
          </w:p>
          <w:p w14:paraId="52EB2EBA">
            <w:pPr>
              <w:pStyle w:val="37"/>
              <w:numPr>
                <w:ilvl w:val="0"/>
                <w:numId w:val="3"/>
              </w:numPr>
              <w:spacing w:line="360" w:lineRule="auto"/>
              <w:ind w:left="0" w:leftChars="0" w:firstLine="480" w:firstLineChars="200"/>
              <w:jc w:val="left"/>
              <w:rPr>
                <w:rFonts w:hint="default" w:ascii="Times New Roman" w:hAnsi="Times New Roman" w:cs="Times New Roman"/>
                <w:color w:val="000000"/>
                <w:szCs w:val="24"/>
                <w:lang w:val="en-US" w:eastAsia="zh-CN"/>
              </w:rPr>
            </w:pPr>
            <w:r>
              <w:rPr>
                <w:rFonts w:hint="default" w:ascii="Times New Roman" w:hAnsi="Times New Roman" w:cs="Times New Roman"/>
                <w:color w:val="000000"/>
                <w:szCs w:val="24"/>
                <w:lang w:val="en-US" w:eastAsia="zh-CN"/>
              </w:rPr>
              <w:t>对农业的影响</w:t>
            </w:r>
          </w:p>
          <w:p w14:paraId="42F000F4">
            <w:pPr>
              <w:pStyle w:val="41"/>
              <w:bidi w:val="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项目尽管线路设计时本着减少占地的原则，但受到控制点、地形的控制，仍不可避免占用耕地。</w:t>
            </w:r>
            <w:r>
              <w:rPr>
                <w:rFonts w:hint="default" w:ascii="Times New Roman" w:hAnsi="Times New Roman" w:cs="Times New Roman"/>
                <w:color w:val="auto"/>
                <w:sz w:val="24"/>
                <w:szCs w:val="24"/>
                <w:lang w:val="en-US" w:eastAsia="zh-CN"/>
              </w:rPr>
              <w:t>本道路总占地约</w:t>
            </w:r>
            <w:r>
              <w:rPr>
                <w:rFonts w:hint="default" w:ascii="Times New Roman" w:hAnsi="Times New Roman" w:cs="Times New Roman"/>
                <w:iCs/>
                <w:color w:val="auto"/>
                <w:sz w:val="24"/>
                <w:lang w:val="en-US" w:eastAsia="zh-CN"/>
              </w:rPr>
              <w:t>12362m</w:t>
            </w:r>
            <w:r>
              <w:rPr>
                <w:rFonts w:hint="default" w:ascii="Times New Roman" w:hAnsi="Times New Roman" w:cs="Times New Roman"/>
                <w:iCs/>
                <w:color w:val="auto"/>
                <w:sz w:val="24"/>
                <w:vertAlign w:val="superscript"/>
                <w:lang w:val="en-US" w:eastAsia="zh-CN"/>
              </w:rPr>
              <w:t>2</w:t>
            </w:r>
            <w:r>
              <w:rPr>
                <w:rFonts w:hint="default" w:ascii="Times New Roman" w:hAnsi="Times New Roman" w:cs="Times New Roman"/>
                <w:iCs/>
                <w:color w:val="auto"/>
                <w:sz w:val="24"/>
                <w:lang w:val="en-US" w:eastAsia="zh-CN"/>
              </w:rPr>
              <w:t>，</w:t>
            </w:r>
            <w:r>
              <w:rPr>
                <w:rFonts w:hint="default" w:ascii="Times New Roman" w:hAnsi="Times New Roman" w:cs="Times New Roman"/>
                <w:color w:val="auto"/>
                <w:sz w:val="24"/>
                <w:szCs w:val="24"/>
                <w:lang w:val="en-US" w:eastAsia="zh-CN"/>
              </w:rPr>
              <w:t>其中</w:t>
            </w:r>
            <w:r>
              <w:rPr>
                <w:rFonts w:hint="default" w:ascii="Times New Roman" w:hAnsi="Times New Roman" w:eastAsia="宋体" w:cs="Times New Roman"/>
                <w:color w:val="auto"/>
                <w:sz w:val="24"/>
                <w:u w:val="none"/>
              </w:rPr>
              <w:t>占用耕地</w:t>
            </w:r>
            <w:r>
              <w:rPr>
                <w:rFonts w:hint="default" w:ascii="Times New Roman" w:hAnsi="Times New Roman" w:cs="Times New Roman"/>
                <w:iCs/>
                <w:color w:val="auto"/>
                <w:sz w:val="24"/>
                <w:lang w:val="en-US" w:eastAsia="zh-CN"/>
              </w:rPr>
              <w:t>5242m</w:t>
            </w:r>
            <w:r>
              <w:rPr>
                <w:rFonts w:hint="default" w:ascii="Times New Roman" w:hAnsi="Times New Roman" w:cs="Times New Roman"/>
                <w:iCs/>
                <w:color w:val="auto"/>
                <w:sz w:val="24"/>
                <w:vertAlign w:val="superscript"/>
                <w:lang w:val="en-US" w:eastAsia="zh-CN"/>
              </w:rPr>
              <w:t>2</w:t>
            </w:r>
            <w:r>
              <w:rPr>
                <w:rFonts w:hint="default" w:ascii="Times New Roman" w:hAnsi="Times New Roman" w:eastAsia="宋体" w:cs="Times New Roman"/>
                <w:color w:val="auto"/>
                <w:sz w:val="24"/>
                <w:u w:val="none"/>
              </w:rPr>
              <w:t>。</w:t>
            </w:r>
          </w:p>
          <w:p w14:paraId="2E13B4AF">
            <w:pPr>
              <w:pStyle w:val="41"/>
              <w:bidi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u w:val="none"/>
              </w:rPr>
              <w:t>建设单位应当会同当地政府采取有效措施减轻项目占用耕地带来的不利影响，保证项目区域内耕地数量不减少，确保沿线居民生活质量不下降。同时，本项目建设单位应按照国家和湖南省的有关法律、法规和政策规定，对永久占用耕地</w:t>
            </w:r>
            <w:r>
              <w:rPr>
                <w:rFonts w:hint="default" w:ascii="Times New Roman" w:hAnsi="Times New Roman" w:cs="Times New Roman"/>
                <w:color w:val="auto"/>
                <w:sz w:val="24"/>
                <w:u w:val="none"/>
                <w:lang w:eastAsia="zh-CN"/>
              </w:rPr>
              <w:t>和农田</w:t>
            </w:r>
            <w:r>
              <w:rPr>
                <w:rFonts w:hint="default" w:ascii="Times New Roman" w:hAnsi="Times New Roman" w:eastAsia="宋体" w:cs="Times New Roman"/>
                <w:color w:val="auto"/>
                <w:sz w:val="24"/>
                <w:u w:val="none"/>
              </w:rPr>
              <w:t>给予补偿，</w:t>
            </w:r>
            <w:r>
              <w:rPr>
                <w:rFonts w:hint="default" w:ascii="Times New Roman" w:hAnsi="Times New Roman" w:cs="Times New Roman"/>
                <w:color w:val="auto"/>
                <w:sz w:val="24"/>
                <w:u w:val="none"/>
                <w:lang w:eastAsia="zh-CN"/>
              </w:rPr>
              <w:t>并由土地主管部门根据“占多少，垦多少”的原则开垦与所占耕地数量质量相当的耕地和农田。</w:t>
            </w:r>
            <w:r>
              <w:rPr>
                <w:rFonts w:hint="default" w:ascii="Times New Roman" w:hAnsi="Times New Roman" w:eastAsia="宋体" w:cs="Times New Roman"/>
                <w:color w:val="auto"/>
                <w:sz w:val="24"/>
                <w:u w:val="none"/>
              </w:rPr>
              <w:t>并按照交通部《关于在公路建设中实行最严格的耕地保护制度的若干意见》，在公路建设的各个阶段认真贯彻关于“实行最严格的耕地保护制度的精神”，合理利用土地，提高土地利用率，做好耕地保护工作后，对区域农业的影响不大。</w:t>
            </w:r>
          </w:p>
          <w:p w14:paraId="2461BAB2">
            <w:pPr>
              <w:spacing w:line="360" w:lineRule="auto"/>
              <w:ind w:firstLine="480"/>
              <w:rPr>
                <w:rFonts w:hint="default" w:ascii="Times New Roman" w:hAnsi="Times New Roman" w:eastAsia="宋体" w:cs="Times New Roman"/>
                <w:color w:val="auto"/>
                <w:sz w:val="24"/>
                <w:u w:val="single"/>
                <w:lang w:val="en-US" w:eastAsia="zh-CN"/>
              </w:rPr>
            </w:pPr>
            <w:r>
              <w:rPr>
                <w:rFonts w:hint="default" w:ascii="Times New Roman" w:hAnsi="Times New Roman"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项目占地中不涉及基本农田。</w:t>
            </w:r>
          </w:p>
          <w:p w14:paraId="5B687FA2">
            <w:pPr>
              <w:pStyle w:val="37"/>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w:t>
            </w:r>
            <w:r>
              <w:rPr>
                <w:rFonts w:hint="default" w:ascii="Times New Roman" w:hAnsi="Times New Roman" w:cs="Times New Roman"/>
                <w:color w:val="000000"/>
                <w:szCs w:val="24"/>
                <w:lang w:val="en-US" w:eastAsia="zh-CN"/>
              </w:rPr>
              <w:t>5</w:t>
            </w:r>
            <w:r>
              <w:rPr>
                <w:rFonts w:hint="default" w:ascii="Times New Roman" w:hAnsi="Times New Roman" w:cs="Times New Roman"/>
                <w:color w:val="000000"/>
                <w:szCs w:val="24"/>
              </w:rPr>
              <w:t>）景观生态影响</w:t>
            </w:r>
          </w:p>
          <w:p w14:paraId="2274EF0C">
            <w:pPr>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本项目为市政基础设施建设项目。本道路沿线施工前的沿线两侧基本尚未开发，主要以现状农田、水塘、林地、零散村宅为</w:t>
            </w:r>
            <w:r>
              <w:rPr>
                <w:rFonts w:hint="default" w:ascii="Times New Roman" w:hAnsi="Times New Roman" w:cs="Times New Roman"/>
                <w:color w:val="000000"/>
                <w:kern w:val="0"/>
                <w:sz w:val="24"/>
                <w:lang w:val="en-US" w:eastAsia="zh-CN"/>
              </w:rPr>
              <w:t>主</w:t>
            </w:r>
            <w:r>
              <w:rPr>
                <w:rFonts w:hint="default" w:ascii="Times New Roman" w:hAnsi="Times New Roman" w:cs="Times New Roman"/>
                <w:color w:val="000000"/>
                <w:kern w:val="0"/>
                <w:sz w:val="24"/>
              </w:rPr>
              <w:t>，以及少部分自</w:t>
            </w:r>
            <w:r>
              <w:rPr>
                <w:rFonts w:hint="default" w:ascii="Times New Roman" w:hAnsi="Times New Roman" w:cs="Times New Roman"/>
                <w:color w:val="000000"/>
                <w:kern w:val="0"/>
                <w:sz w:val="24"/>
                <w:u w:val="none"/>
              </w:rPr>
              <w:t>然景观</w:t>
            </w:r>
            <w:r>
              <w:rPr>
                <w:rFonts w:hint="default" w:ascii="Times New Roman" w:hAnsi="Times New Roman" w:cs="Times New Roman"/>
                <w:color w:val="000000"/>
                <w:sz w:val="24"/>
                <w:u w:val="none"/>
              </w:rPr>
              <w:t>。</w:t>
            </w:r>
          </w:p>
          <w:p w14:paraId="78CA372E">
            <w:pPr>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项目在施工期对道路沿线景观基质影响较大，地表形态改变显著，路基施工将导致部分土层裸露。</w:t>
            </w:r>
          </w:p>
          <w:p w14:paraId="63FEB392">
            <w:pPr>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在项目建成后，项目造成的景观影响可通过绿化来弥补，道路用地范围内全面绿化，不但能有效地补偿道路占用地造成的植被损失，也可起到美化环境、减少水土流失、防噪防尘等作用，形成良好的路界生态环境，同时通过结合周围环境地形和植被特点设计与之相应的路基绿化美化方案可改善道路沿线区域生态环境，弥补对周围环境的破坏。</w:t>
            </w:r>
          </w:p>
          <w:p w14:paraId="37B8E4B2">
            <w:pPr>
              <w:pStyle w:val="37"/>
              <w:ind w:firstLineChars="190"/>
              <w:rPr>
                <w:rFonts w:hint="default" w:ascii="Times New Roman" w:hAnsi="Times New Roman" w:cs="Times New Roman"/>
                <w:bCs/>
                <w:color w:val="000000"/>
                <w:szCs w:val="24"/>
              </w:rPr>
            </w:pPr>
            <w:r>
              <w:rPr>
                <w:rFonts w:hint="default" w:ascii="Times New Roman" w:hAnsi="Times New Roman" w:cs="Times New Roman"/>
                <w:color w:val="000000"/>
                <w:kern w:val="0"/>
              </w:rPr>
              <w:t>因此在道路的建设施工过程中，将不可避免的对道路沿线景观造成一定影响，但随着施工期破坏的景观条件得到恢复，道路沿线景观将在一定程度上得到恢复和改善，同时将方便大众出行。</w:t>
            </w:r>
          </w:p>
        </w:tc>
      </w:tr>
      <w:tr w14:paraId="24948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456" w:type="dxa"/>
            <w:noWrap w:val="0"/>
            <w:tcMar>
              <w:left w:w="28" w:type="dxa"/>
              <w:right w:w="28" w:type="dxa"/>
            </w:tcMar>
            <w:vAlign w:val="center"/>
          </w:tcPr>
          <w:p w14:paraId="5F3CB989">
            <w:pPr>
              <w:pStyle w:val="21"/>
              <w:adjustRightInd w:val="0"/>
              <w:snapToGrid w:val="0"/>
              <w:spacing w:before="0" w:beforeAutospacing="0" w:after="0" w:afterAutospacing="0"/>
              <w:jc w:val="center"/>
              <w:rPr>
                <w:rFonts w:hint="default" w:ascii="Times New Roman" w:hAnsi="Times New Roman" w:cs="Times New Roman"/>
                <w:bCs/>
                <w:color w:val="000000"/>
                <w:kern w:val="2"/>
                <w:szCs w:val="24"/>
                <w:lang w:val="en-US" w:eastAsia="zh-CN"/>
              </w:rPr>
            </w:pPr>
            <w:r>
              <w:rPr>
                <w:rFonts w:hint="default" w:ascii="Times New Roman" w:hAnsi="Times New Roman" w:cs="Times New Roman"/>
                <w:bCs/>
                <w:color w:val="000000"/>
                <w:spacing w:val="10"/>
                <w:kern w:val="2"/>
                <w:szCs w:val="24"/>
                <w:lang w:val="en-US" w:eastAsia="zh-CN"/>
              </w:rPr>
              <w:t>运营期生态环境影响分析</w:t>
            </w:r>
          </w:p>
        </w:tc>
        <w:tc>
          <w:tcPr>
            <w:tcW w:w="8654" w:type="dxa"/>
            <w:noWrap w:val="0"/>
            <w:vAlign w:val="top"/>
          </w:tcPr>
          <w:p w14:paraId="4F82C3BE">
            <w:pPr>
              <w:pStyle w:val="31"/>
              <w:ind w:firstLine="0" w:firstLineChars="0"/>
              <w:rPr>
                <w:rFonts w:hint="default" w:ascii="Times New Roman" w:hAnsi="Times New Roman" w:cs="Times New Roman"/>
                <w:b/>
                <w:color w:val="000000"/>
              </w:rPr>
            </w:pPr>
            <w:r>
              <w:rPr>
                <w:rFonts w:hint="default" w:ascii="Times New Roman" w:hAnsi="Times New Roman" w:cs="Times New Roman"/>
                <w:b/>
                <w:color w:val="000000"/>
              </w:rPr>
              <w:t>4.6项目营运期工艺流程及产污节点</w:t>
            </w:r>
          </w:p>
          <w:p w14:paraId="1C40D427">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项目营运后，主要污染源为行驶车辆噪声、汽车尾气、道路地面雨水径流、</w:t>
            </w:r>
            <w:r>
              <w:rPr>
                <w:rFonts w:hint="default" w:ascii="Times New Roman" w:hAnsi="Times New Roman" w:cs="Times New Roman"/>
                <w:color w:val="000000"/>
                <w:kern w:val="0"/>
                <w:sz w:val="24"/>
                <w:lang w:val="en-US" w:eastAsia="zh-CN" w:bidi="ar"/>
              </w:rPr>
              <w:t>汽车带来的垃圾</w:t>
            </w:r>
            <w:r>
              <w:rPr>
                <w:rFonts w:hint="default" w:ascii="Times New Roman" w:hAnsi="Times New Roman" w:cs="Times New Roman"/>
                <w:color w:val="000000"/>
                <w:kern w:val="0"/>
                <w:sz w:val="24"/>
                <w:lang w:bidi="ar"/>
              </w:rPr>
              <w:t>产生的污染，</w:t>
            </w:r>
          </w:p>
          <w:p w14:paraId="2D64AD97">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项目营运期主要污染工序见</w:t>
            </w:r>
            <w:r>
              <w:rPr>
                <w:rFonts w:hint="default" w:ascii="Times New Roman" w:hAnsi="Times New Roman" w:cs="Times New Roman"/>
                <w:color w:val="000000"/>
                <w:kern w:val="0"/>
                <w:sz w:val="24"/>
                <w:lang w:val="en-US" w:eastAsia="zh-CN" w:bidi="ar"/>
              </w:rPr>
              <w:t>下表</w:t>
            </w:r>
            <w:r>
              <w:rPr>
                <w:rFonts w:hint="default" w:ascii="Times New Roman" w:hAnsi="Times New Roman" w:cs="Times New Roman"/>
                <w:color w:val="000000"/>
                <w:kern w:val="0"/>
                <w:sz w:val="24"/>
                <w:lang w:bidi="ar"/>
              </w:rPr>
              <w:t>。</w:t>
            </w:r>
          </w:p>
          <w:p w14:paraId="07EFC256">
            <w:pPr>
              <w:spacing w:line="360"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表</w:t>
            </w:r>
            <w:r>
              <w:rPr>
                <w:rFonts w:hint="default" w:ascii="Times New Roman" w:hAnsi="Times New Roman" w:cs="Times New Roman"/>
                <w:b/>
                <w:bCs/>
                <w:color w:val="000000"/>
                <w:szCs w:val="21"/>
                <w:lang w:val="en-US" w:eastAsia="zh-CN"/>
              </w:rPr>
              <w:t>4.6-1</w:t>
            </w:r>
            <w:r>
              <w:rPr>
                <w:rFonts w:hint="default" w:ascii="Times New Roman" w:hAnsi="Times New Roman" w:cs="Times New Roman"/>
                <w:b/>
                <w:bCs/>
                <w:color w:val="000000"/>
                <w:szCs w:val="21"/>
              </w:rPr>
              <w:t xml:space="preserve">  营运期主要污染工序一览表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665"/>
              <w:gridCol w:w="1560"/>
              <w:gridCol w:w="3609"/>
            </w:tblGrid>
            <w:tr w14:paraId="1BEE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noWrap w:val="0"/>
                  <w:vAlign w:val="center"/>
                </w:tcPr>
                <w:p w14:paraId="00F9AE76">
                  <w:pPr>
                    <w:jc w:val="center"/>
                    <w:rPr>
                      <w:rFonts w:hint="default" w:ascii="Times New Roman" w:hAnsi="Times New Roman" w:cs="Times New Roman"/>
                      <w:color w:val="000000"/>
                    </w:rPr>
                  </w:pPr>
                  <w:r>
                    <w:rPr>
                      <w:rFonts w:hint="default" w:ascii="Times New Roman" w:hAnsi="Times New Roman" w:cs="Times New Roman"/>
                      <w:color w:val="000000"/>
                    </w:rPr>
                    <w:t>污染类别</w:t>
                  </w:r>
                </w:p>
              </w:tc>
              <w:tc>
                <w:tcPr>
                  <w:tcW w:w="1665" w:type="dxa"/>
                  <w:noWrap w:val="0"/>
                  <w:vAlign w:val="center"/>
                </w:tcPr>
                <w:p w14:paraId="79698FAD">
                  <w:pPr>
                    <w:jc w:val="center"/>
                    <w:rPr>
                      <w:rFonts w:hint="default" w:ascii="Times New Roman" w:hAnsi="Times New Roman" w:cs="Times New Roman"/>
                      <w:color w:val="000000"/>
                    </w:rPr>
                  </w:pPr>
                  <w:r>
                    <w:rPr>
                      <w:rFonts w:hint="default" w:ascii="Times New Roman" w:hAnsi="Times New Roman" w:cs="Times New Roman"/>
                      <w:color w:val="000000"/>
                    </w:rPr>
                    <w:t>污染源</w:t>
                  </w:r>
                </w:p>
              </w:tc>
              <w:tc>
                <w:tcPr>
                  <w:tcW w:w="1560" w:type="dxa"/>
                  <w:noWrap w:val="0"/>
                  <w:vAlign w:val="center"/>
                </w:tcPr>
                <w:p w14:paraId="21D16760">
                  <w:pPr>
                    <w:jc w:val="center"/>
                    <w:rPr>
                      <w:rFonts w:hint="default" w:ascii="Times New Roman" w:hAnsi="Times New Roman" w:cs="Times New Roman"/>
                      <w:color w:val="000000"/>
                    </w:rPr>
                  </w:pPr>
                  <w:r>
                    <w:rPr>
                      <w:rFonts w:hint="default" w:ascii="Times New Roman" w:hAnsi="Times New Roman" w:cs="Times New Roman"/>
                      <w:color w:val="000000"/>
                    </w:rPr>
                    <w:t>污染工序</w:t>
                  </w:r>
                </w:p>
              </w:tc>
              <w:tc>
                <w:tcPr>
                  <w:tcW w:w="3609" w:type="dxa"/>
                  <w:noWrap w:val="0"/>
                  <w:vAlign w:val="center"/>
                </w:tcPr>
                <w:p w14:paraId="0F1BE3D4">
                  <w:pPr>
                    <w:jc w:val="center"/>
                    <w:rPr>
                      <w:rFonts w:hint="default" w:ascii="Times New Roman" w:hAnsi="Times New Roman" w:cs="Times New Roman"/>
                      <w:color w:val="000000"/>
                    </w:rPr>
                  </w:pPr>
                  <w:r>
                    <w:rPr>
                      <w:rFonts w:hint="default" w:ascii="Times New Roman" w:hAnsi="Times New Roman" w:cs="Times New Roman"/>
                      <w:color w:val="000000"/>
                    </w:rPr>
                    <w:t>污染因子</w:t>
                  </w:r>
                </w:p>
              </w:tc>
            </w:tr>
            <w:tr w14:paraId="1E8A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noWrap w:val="0"/>
                  <w:vAlign w:val="center"/>
                </w:tcPr>
                <w:p w14:paraId="491F3A55">
                  <w:pPr>
                    <w:jc w:val="center"/>
                    <w:rPr>
                      <w:rFonts w:hint="default" w:ascii="Times New Roman" w:hAnsi="Times New Roman" w:cs="Times New Roman"/>
                      <w:color w:val="000000"/>
                    </w:rPr>
                  </w:pPr>
                  <w:r>
                    <w:rPr>
                      <w:rFonts w:hint="default" w:ascii="Times New Roman" w:hAnsi="Times New Roman" w:cs="Times New Roman"/>
                      <w:color w:val="000000"/>
                    </w:rPr>
                    <w:t>废气</w:t>
                  </w:r>
                </w:p>
              </w:tc>
              <w:tc>
                <w:tcPr>
                  <w:tcW w:w="1665" w:type="dxa"/>
                  <w:noWrap w:val="0"/>
                  <w:vAlign w:val="center"/>
                </w:tcPr>
                <w:p w14:paraId="2ECFA7EC">
                  <w:pPr>
                    <w:jc w:val="center"/>
                    <w:rPr>
                      <w:rFonts w:hint="default" w:ascii="Times New Roman" w:hAnsi="Times New Roman" w:cs="Times New Roman"/>
                      <w:color w:val="000000"/>
                    </w:rPr>
                  </w:pPr>
                  <w:r>
                    <w:rPr>
                      <w:rFonts w:hint="default" w:ascii="Times New Roman" w:hAnsi="Times New Roman" w:cs="Times New Roman"/>
                      <w:color w:val="000000"/>
                    </w:rPr>
                    <w:t>汽车</w:t>
                  </w:r>
                </w:p>
              </w:tc>
              <w:tc>
                <w:tcPr>
                  <w:tcW w:w="1560" w:type="dxa"/>
                  <w:noWrap w:val="0"/>
                  <w:vAlign w:val="center"/>
                </w:tcPr>
                <w:p w14:paraId="570A4D6F">
                  <w:pPr>
                    <w:jc w:val="center"/>
                    <w:rPr>
                      <w:rFonts w:hint="default" w:ascii="Times New Roman" w:hAnsi="Times New Roman" w:cs="Times New Roman"/>
                      <w:color w:val="000000"/>
                    </w:rPr>
                  </w:pPr>
                  <w:r>
                    <w:rPr>
                      <w:rFonts w:hint="default" w:ascii="Times New Roman" w:hAnsi="Times New Roman" w:cs="Times New Roman"/>
                      <w:color w:val="000000"/>
                    </w:rPr>
                    <w:t>汽车行驶</w:t>
                  </w:r>
                </w:p>
              </w:tc>
              <w:tc>
                <w:tcPr>
                  <w:tcW w:w="3609" w:type="dxa"/>
                  <w:noWrap w:val="0"/>
                  <w:vAlign w:val="center"/>
                </w:tcPr>
                <w:p w14:paraId="06EDE77F">
                  <w:pPr>
                    <w:widowControl/>
                    <w:jc w:val="center"/>
                    <w:rPr>
                      <w:rFonts w:hint="default" w:ascii="Times New Roman" w:hAnsi="Times New Roman" w:cs="Times New Roman"/>
                      <w:color w:val="000000"/>
                    </w:rPr>
                  </w:pPr>
                  <w:r>
                    <w:rPr>
                      <w:rFonts w:hint="default" w:ascii="Times New Roman" w:hAnsi="Times New Roman" w:cs="Times New Roman"/>
                      <w:color w:val="000000"/>
                    </w:rPr>
                    <w:t>汽车尾气（CO、THC、NO</w:t>
                  </w:r>
                  <w:r>
                    <w:rPr>
                      <w:rFonts w:hint="default" w:ascii="Times New Roman" w:hAnsi="Times New Roman" w:cs="Times New Roman"/>
                      <w:color w:val="000000"/>
                      <w:vertAlign w:val="subscript"/>
                    </w:rPr>
                    <w:t>2</w:t>
                  </w:r>
                  <w:r>
                    <w:rPr>
                      <w:rFonts w:hint="default" w:ascii="Times New Roman" w:hAnsi="Times New Roman" w:cs="Times New Roman"/>
                      <w:color w:val="000000"/>
                    </w:rPr>
                    <w:t>等）、扬尘</w:t>
                  </w:r>
                </w:p>
              </w:tc>
            </w:tr>
            <w:tr w14:paraId="2935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noWrap w:val="0"/>
                  <w:vAlign w:val="center"/>
                </w:tcPr>
                <w:p w14:paraId="2D94D6B4">
                  <w:pPr>
                    <w:jc w:val="center"/>
                    <w:rPr>
                      <w:rFonts w:hint="default" w:ascii="Times New Roman" w:hAnsi="Times New Roman" w:cs="Times New Roman"/>
                      <w:color w:val="000000"/>
                    </w:rPr>
                  </w:pPr>
                  <w:r>
                    <w:rPr>
                      <w:rFonts w:hint="default" w:ascii="Times New Roman" w:hAnsi="Times New Roman" w:cs="Times New Roman"/>
                      <w:color w:val="000000"/>
                    </w:rPr>
                    <w:t>废水</w:t>
                  </w:r>
                </w:p>
              </w:tc>
              <w:tc>
                <w:tcPr>
                  <w:tcW w:w="1665" w:type="dxa"/>
                  <w:noWrap w:val="0"/>
                  <w:vAlign w:val="center"/>
                </w:tcPr>
                <w:p w14:paraId="6B841C9B">
                  <w:pPr>
                    <w:jc w:val="center"/>
                    <w:rPr>
                      <w:rFonts w:hint="default" w:ascii="Times New Roman" w:hAnsi="Times New Roman" w:cs="Times New Roman"/>
                      <w:color w:val="000000"/>
                    </w:rPr>
                  </w:pPr>
                  <w:r>
                    <w:rPr>
                      <w:rFonts w:hint="default" w:ascii="Times New Roman" w:hAnsi="Times New Roman" w:cs="Times New Roman"/>
                      <w:color w:val="000000"/>
                    </w:rPr>
                    <w:t>道路</w:t>
                  </w:r>
                </w:p>
              </w:tc>
              <w:tc>
                <w:tcPr>
                  <w:tcW w:w="1560" w:type="dxa"/>
                  <w:noWrap w:val="0"/>
                  <w:vAlign w:val="center"/>
                </w:tcPr>
                <w:p w14:paraId="16C1D41D">
                  <w:pPr>
                    <w:jc w:val="center"/>
                    <w:rPr>
                      <w:rFonts w:hint="default" w:ascii="Times New Roman" w:hAnsi="Times New Roman" w:cs="Times New Roman"/>
                      <w:color w:val="000000"/>
                    </w:rPr>
                  </w:pPr>
                  <w:r>
                    <w:rPr>
                      <w:rFonts w:hint="default" w:ascii="Times New Roman" w:hAnsi="Times New Roman" w:cs="Times New Roman"/>
                      <w:color w:val="000000"/>
                    </w:rPr>
                    <w:t>路面径流</w:t>
                  </w:r>
                </w:p>
              </w:tc>
              <w:tc>
                <w:tcPr>
                  <w:tcW w:w="3609" w:type="dxa"/>
                  <w:noWrap w:val="0"/>
                  <w:vAlign w:val="center"/>
                </w:tcPr>
                <w:p w14:paraId="10C09E0B">
                  <w:pPr>
                    <w:widowControl/>
                    <w:jc w:val="center"/>
                    <w:rPr>
                      <w:rFonts w:hint="default" w:ascii="Times New Roman" w:hAnsi="Times New Roman" w:cs="Times New Roman"/>
                      <w:color w:val="000000"/>
                    </w:rPr>
                  </w:pPr>
                  <w:r>
                    <w:rPr>
                      <w:rFonts w:hint="default" w:ascii="Times New Roman" w:hAnsi="Times New Roman" w:cs="Times New Roman"/>
                      <w:color w:val="000000"/>
                    </w:rPr>
                    <w:t>雨水（主要为SS等）</w:t>
                  </w:r>
                </w:p>
              </w:tc>
            </w:tr>
            <w:tr w14:paraId="2B9C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noWrap w:val="0"/>
                  <w:vAlign w:val="center"/>
                </w:tcPr>
                <w:p w14:paraId="26AB8688">
                  <w:pPr>
                    <w:jc w:val="center"/>
                    <w:rPr>
                      <w:rFonts w:hint="default" w:ascii="Times New Roman" w:hAnsi="Times New Roman" w:cs="Times New Roman"/>
                      <w:color w:val="000000"/>
                    </w:rPr>
                  </w:pPr>
                  <w:r>
                    <w:rPr>
                      <w:rFonts w:hint="default" w:ascii="Times New Roman" w:hAnsi="Times New Roman" w:cs="Times New Roman"/>
                      <w:color w:val="000000"/>
                    </w:rPr>
                    <w:t>噪声</w:t>
                  </w:r>
                </w:p>
              </w:tc>
              <w:tc>
                <w:tcPr>
                  <w:tcW w:w="1665" w:type="dxa"/>
                  <w:noWrap w:val="0"/>
                  <w:vAlign w:val="center"/>
                </w:tcPr>
                <w:p w14:paraId="2ACC3FBA">
                  <w:pPr>
                    <w:jc w:val="center"/>
                    <w:rPr>
                      <w:rFonts w:hint="default" w:ascii="Times New Roman" w:hAnsi="Times New Roman" w:cs="Times New Roman"/>
                      <w:color w:val="000000"/>
                    </w:rPr>
                  </w:pPr>
                  <w:r>
                    <w:rPr>
                      <w:rFonts w:hint="default" w:ascii="Times New Roman" w:hAnsi="Times New Roman" w:cs="Times New Roman"/>
                      <w:color w:val="000000"/>
                    </w:rPr>
                    <w:t>司乘人员</w:t>
                  </w:r>
                </w:p>
              </w:tc>
              <w:tc>
                <w:tcPr>
                  <w:tcW w:w="1560" w:type="dxa"/>
                  <w:noWrap w:val="0"/>
                  <w:vAlign w:val="center"/>
                </w:tcPr>
                <w:p w14:paraId="3F10C796">
                  <w:pPr>
                    <w:jc w:val="center"/>
                    <w:rPr>
                      <w:rFonts w:hint="default" w:ascii="Times New Roman" w:hAnsi="Times New Roman" w:cs="Times New Roman"/>
                      <w:color w:val="000000"/>
                    </w:rPr>
                  </w:pPr>
                  <w:r>
                    <w:rPr>
                      <w:rFonts w:hint="default" w:ascii="Times New Roman" w:hAnsi="Times New Roman" w:cs="Times New Roman"/>
                      <w:color w:val="000000"/>
                    </w:rPr>
                    <w:t>汽车行驶</w:t>
                  </w:r>
                </w:p>
              </w:tc>
              <w:tc>
                <w:tcPr>
                  <w:tcW w:w="3609" w:type="dxa"/>
                  <w:noWrap w:val="0"/>
                  <w:vAlign w:val="center"/>
                </w:tcPr>
                <w:p w14:paraId="48FD93F8">
                  <w:pPr>
                    <w:widowControl/>
                    <w:jc w:val="center"/>
                    <w:rPr>
                      <w:rFonts w:hint="default" w:ascii="Times New Roman" w:hAnsi="Times New Roman" w:cs="Times New Roman"/>
                      <w:color w:val="000000"/>
                    </w:rPr>
                  </w:pPr>
                  <w:r>
                    <w:rPr>
                      <w:rFonts w:hint="default" w:ascii="Times New Roman" w:hAnsi="Times New Roman" w:cs="Times New Roman"/>
                      <w:color w:val="000000"/>
                    </w:rPr>
                    <w:t>交通噪声</w:t>
                  </w:r>
                </w:p>
              </w:tc>
            </w:tr>
            <w:tr w14:paraId="7BEE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noWrap w:val="0"/>
                  <w:vAlign w:val="center"/>
                </w:tcPr>
                <w:p w14:paraId="22C21881">
                  <w:pPr>
                    <w:jc w:val="center"/>
                    <w:rPr>
                      <w:rFonts w:hint="default" w:ascii="Times New Roman" w:hAnsi="Times New Roman" w:cs="Times New Roman"/>
                      <w:color w:val="000000"/>
                    </w:rPr>
                  </w:pPr>
                  <w:r>
                    <w:rPr>
                      <w:rFonts w:hint="default" w:ascii="Times New Roman" w:hAnsi="Times New Roman" w:cs="Times New Roman"/>
                      <w:color w:val="000000"/>
                    </w:rPr>
                    <w:t>固体废物</w:t>
                  </w:r>
                </w:p>
              </w:tc>
              <w:tc>
                <w:tcPr>
                  <w:tcW w:w="1665" w:type="dxa"/>
                  <w:noWrap w:val="0"/>
                  <w:vAlign w:val="center"/>
                </w:tcPr>
                <w:p w14:paraId="6C02164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1560" w:type="dxa"/>
                  <w:noWrap w:val="0"/>
                  <w:vAlign w:val="center"/>
                </w:tcPr>
                <w:p w14:paraId="186EF308">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3609" w:type="dxa"/>
                  <w:noWrap w:val="0"/>
                  <w:vAlign w:val="center"/>
                </w:tcPr>
                <w:p w14:paraId="683EC212">
                  <w:pPr>
                    <w:widowControl/>
                    <w:jc w:val="center"/>
                    <w:rPr>
                      <w:rFonts w:hint="default" w:ascii="Times New Roman" w:hAnsi="Times New Roman" w:cs="Times New Roman"/>
                      <w:color w:val="000000"/>
                    </w:rPr>
                  </w:pPr>
                  <w:r>
                    <w:rPr>
                      <w:rFonts w:hint="default" w:ascii="Times New Roman" w:hAnsi="Times New Roman" w:cs="Times New Roman"/>
                      <w:color w:val="000000"/>
                    </w:rPr>
                    <w:t>生活垃圾、道路清扫垃圾</w:t>
                  </w:r>
                </w:p>
              </w:tc>
            </w:tr>
          </w:tbl>
          <w:p w14:paraId="6B34F661">
            <w:pPr>
              <w:pStyle w:val="31"/>
              <w:ind w:firstLine="0" w:firstLineChars="0"/>
              <w:rPr>
                <w:rFonts w:hint="default" w:ascii="Times New Roman" w:hAnsi="Times New Roman" w:cs="Times New Roman"/>
                <w:b/>
                <w:color w:val="000000"/>
              </w:rPr>
            </w:pPr>
            <w:r>
              <w:rPr>
                <w:rFonts w:hint="default" w:ascii="Times New Roman" w:hAnsi="Times New Roman" w:cs="Times New Roman"/>
                <w:b/>
                <w:color w:val="000000"/>
              </w:rPr>
              <w:t>4.7营运期环境影响分析</w:t>
            </w:r>
          </w:p>
          <w:p w14:paraId="32CE35E4">
            <w:pPr>
              <w:pStyle w:val="37"/>
              <w:ind w:firstLine="0" w:firstLineChars="0"/>
              <w:rPr>
                <w:rFonts w:hint="default" w:ascii="Times New Roman" w:hAnsi="Times New Roman" w:cs="Times New Roman"/>
                <w:b/>
                <w:bCs/>
                <w:color w:val="000000"/>
                <w:szCs w:val="24"/>
              </w:rPr>
            </w:pPr>
            <w:r>
              <w:rPr>
                <w:rFonts w:hint="default" w:ascii="Times New Roman" w:hAnsi="Times New Roman" w:cs="Times New Roman"/>
                <w:b/>
                <w:bCs/>
                <w:color w:val="000000"/>
                <w:szCs w:val="24"/>
              </w:rPr>
              <w:t>4.7.1营运期大气环境影响分析</w:t>
            </w:r>
          </w:p>
          <w:p w14:paraId="600B9F86">
            <w:pPr>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根据环境质量现状可知，项目区域大气环境质量现状良好，本项目工程建设地扩散条件较好，大气环境容量较大，工程采用沥青混凝土路面，对道路扬尘有一定的抑制作用，工程投入运营后有完善的道路清洁制度，能减少道路路面积尘量，同时两侧设置有绿化带。随着汽车制造技术的不断进步和人们对环境质量要求的提高，国家将制定越来越严格的机动车排放标准，单车排放因子也将越来越低，机动车污量将有所降低。本项目建成后机动车尾气及扬尘对道路沿线区域环境空气质量的影响在可控范围内。</w:t>
            </w:r>
          </w:p>
          <w:p w14:paraId="3C8D419C">
            <w:pPr>
              <w:pStyle w:val="37"/>
              <w:ind w:firstLine="480"/>
              <w:rPr>
                <w:rFonts w:hint="default" w:ascii="Times New Roman" w:hAnsi="Times New Roman" w:cs="Times New Roman"/>
                <w:color w:val="000000"/>
                <w:kern w:val="0"/>
              </w:rPr>
            </w:pPr>
            <w:r>
              <w:rPr>
                <w:rFonts w:hint="default" w:ascii="Times New Roman" w:hAnsi="Times New Roman" w:cs="Times New Roman"/>
                <w:color w:val="000000"/>
                <w:kern w:val="0"/>
              </w:rPr>
              <w:t>根据现阶段经验数据，道路通车后区域环境空气中污染物排放量的大小与交通量成比例增加，与车辆的类型、汽车运行的状况以及当地的气象条件有关。类比我省处于相同气候、地貌条件下具有相似车流量道路的预测结果，在常规气象条件下，运营期在沿线50米范围内CO、NO</w:t>
            </w:r>
            <w:r>
              <w:rPr>
                <w:rFonts w:hint="default" w:ascii="Times New Roman" w:hAnsi="Times New Roman" w:cs="Times New Roman"/>
                <w:color w:val="000000"/>
                <w:kern w:val="0"/>
                <w:vertAlign w:val="subscript"/>
              </w:rPr>
              <w:t>x</w:t>
            </w:r>
            <w:r>
              <w:rPr>
                <w:rFonts w:hint="default" w:ascii="Times New Roman" w:hAnsi="Times New Roman" w:cs="Times New Roman"/>
                <w:color w:val="000000"/>
                <w:kern w:val="0"/>
              </w:rPr>
              <w:t>和THC平均浓度较小，均能满足《环境空气质量标准》（GB3095-2012）中二级标准的要求。由于对环保的重视与科技的进步，机动车辆单车污染物排放量将进一步降低。而与施工期的扬尘相比，在保持路面清洁的情况下，运营期车流产生的扬尘污染要轻微许多。为减轻道路扬尘的污染影响，可结合景观绿化设计，选择有吸附或净化能力的灌木、乔木种植多层次绿化带。在运营期，加强道路管理及路面养护，保持道路良好运营状态，减少堵车现象，同时严格执行国家制定的汽车尾气排放标准，对道路上机动车辆尾气进行监测，禁止超标车辆上路的前提下，本项目运营期汽车尾气、道路扬尘不会对本道路沿线大气环境质量造成大的影响。</w:t>
            </w:r>
          </w:p>
          <w:p w14:paraId="7BCC7271">
            <w:pPr>
              <w:pStyle w:val="37"/>
              <w:ind w:firstLine="0" w:firstLineChars="0"/>
              <w:rPr>
                <w:rFonts w:hint="default" w:ascii="Times New Roman" w:hAnsi="Times New Roman" w:cs="Times New Roman"/>
                <w:b/>
                <w:bCs/>
                <w:color w:val="000000"/>
                <w:szCs w:val="24"/>
              </w:rPr>
            </w:pPr>
            <w:r>
              <w:rPr>
                <w:rFonts w:hint="default" w:ascii="Times New Roman" w:hAnsi="Times New Roman" w:cs="Times New Roman"/>
                <w:b/>
                <w:bCs/>
                <w:color w:val="000000"/>
                <w:szCs w:val="24"/>
              </w:rPr>
              <w:t>4.7.2营运期水环境影响分析</w:t>
            </w:r>
          </w:p>
          <w:p w14:paraId="787AD149">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营运期水环境影响主要表现在:</w:t>
            </w:r>
          </w:p>
          <w:p w14:paraId="6640956E">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降雨冲刷路而产生的道路径流污水，影响因素包括降雨强度、降雨历时、车流量、降雨频率、路面宽度、纳污路段长度等。滞留在路面上的污染物可能会随水径流流入水体，因道路排水系统有一定的沉淀作用，且污水浓度很低，不会对生态环境产生较大影响。</w:t>
            </w:r>
          </w:p>
          <w:p w14:paraId="10529B0B">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道路运输危险品出现意外时，各类有毒化学物品泄漏进入道路附近水体对水质产生污染，或有害气体溢出对道路附近居民身体健康造成损害。另外,由于道路边坡植被恢复尚需时日，水土流失在营运早期依然存在;路域内生态环境的恢复与优化，则有利于与周围环境的协调与融合。</w:t>
            </w:r>
          </w:p>
          <w:p w14:paraId="59FDE65C">
            <w:pPr>
              <w:pStyle w:val="37"/>
              <w:ind w:firstLine="0" w:firstLineChars="0"/>
              <w:rPr>
                <w:rFonts w:hint="default" w:ascii="Times New Roman" w:hAnsi="Times New Roman" w:cs="Times New Roman"/>
                <w:b/>
                <w:bCs/>
                <w:color w:val="000000"/>
                <w:szCs w:val="24"/>
              </w:rPr>
            </w:pPr>
            <w:r>
              <w:rPr>
                <w:rFonts w:hint="default" w:ascii="Times New Roman" w:hAnsi="Times New Roman" w:cs="Times New Roman"/>
                <w:b/>
                <w:bCs/>
                <w:color w:val="000000"/>
                <w:szCs w:val="24"/>
              </w:rPr>
              <w:t>4.7.3营运期固体废物影响分析</w:t>
            </w:r>
          </w:p>
          <w:p w14:paraId="27A73202">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营运期的固体废弃物主要是运输车辆散落的运载物、发生交通事故的车辆装载的货物、乘客丢弃的物品等。由于道路建成后有养护工人对道路全线进行养护，在对道路进行养护的同时，也对沿线垃圾进行收集，清扫、集中处理，故营运期固体废弃物对环境影响不大。</w:t>
            </w:r>
          </w:p>
          <w:p w14:paraId="4EA2EC39">
            <w:pPr>
              <w:pStyle w:val="37"/>
              <w:ind w:firstLine="0" w:firstLineChars="0"/>
              <w:rPr>
                <w:rFonts w:hint="default" w:ascii="Times New Roman" w:hAnsi="Times New Roman" w:cs="Times New Roman"/>
                <w:b/>
                <w:color w:val="000000"/>
                <w:szCs w:val="24"/>
              </w:rPr>
            </w:pPr>
            <w:r>
              <w:rPr>
                <w:rFonts w:hint="default" w:ascii="Times New Roman" w:hAnsi="Times New Roman" w:cs="Times New Roman"/>
                <w:b/>
                <w:color w:val="000000"/>
                <w:szCs w:val="24"/>
              </w:rPr>
              <w:t>4.7.4营运期生态环境影响</w:t>
            </w:r>
          </w:p>
          <w:p w14:paraId="5817AC82">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随着工程的竣工，建设期对生态的破坏逐步得以恢复，同时，道路绿化带建成等将形成新的景观价值；道路修建将加大对路线两侧人群活动的线性阻隔作用，合理的过街通道布置可以将该阻隔作用减到最小。</w:t>
            </w:r>
            <w:r>
              <w:rPr>
                <w:rFonts w:hint="default" w:ascii="Times New Roman" w:hAnsi="Times New Roman" w:eastAsia="宋体" w:cs="Times New Roman"/>
                <w:color w:val="auto"/>
                <w:sz w:val="24"/>
              </w:rPr>
              <w:t>营运期中，车辆尾气的排放和路面扬尘，对沿线植被有一定的不良影响，但整体上影响很小。</w:t>
            </w:r>
          </w:p>
          <w:p w14:paraId="0AEC2686">
            <w:pPr>
              <w:pStyle w:val="8"/>
              <w:spacing w:before="0" w:after="0" w:line="360" w:lineRule="auto"/>
              <w:ind w:right="0"/>
              <w:rPr>
                <w:rFonts w:hint="default" w:ascii="Times New Roman" w:hAnsi="Times New Roman" w:cs="Times New Roman"/>
                <w:b/>
                <w:color w:val="000000"/>
                <w:kern w:val="2"/>
                <w:sz w:val="28"/>
                <w:szCs w:val="28"/>
                <w:lang w:val="en-US" w:eastAsia="zh-CN"/>
              </w:rPr>
            </w:pPr>
            <w:r>
              <w:rPr>
                <w:rFonts w:hint="default" w:ascii="Times New Roman" w:hAnsi="Times New Roman" w:cs="Times New Roman"/>
                <w:b/>
                <w:color w:val="000000"/>
                <w:sz w:val="24"/>
                <w:szCs w:val="24"/>
              </w:rPr>
              <w:t>4.7.</w:t>
            </w:r>
            <w:r>
              <w:rPr>
                <w:rFonts w:hint="default" w:ascii="Times New Roman" w:hAnsi="Times New Roman" w:cs="Times New Roman"/>
                <w:b/>
                <w:color w:val="000000"/>
                <w:sz w:val="24"/>
                <w:szCs w:val="24"/>
                <w:lang w:eastAsia="zh-CN"/>
              </w:rPr>
              <w:t>5</w:t>
            </w:r>
            <w:r>
              <w:rPr>
                <w:rFonts w:hint="default" w:ascii="Times New Roman" w:hAnsi="Times New Roman" w:cs="Times New Roman"/>
                <w:b/>
                <w:color w:val="000000"/>
                <w:kern w:val="2"/>
                <w:sz w:val="24"/>
                <w:szCs w:val="24"/>
                <w:lang w:val="en-US" w:eastAsia="zh-CN"/>
              </w:rPr>
              <w:t>营运期声环境影响分析</w:t>
            </w:r>
          </w:p>
          <w:p w14:paraId="24B5E8C6">
            <w:pPr>
              <w:pStyle w:val="8"/>
              <w:spacing w:before="0" w:after="0" w:line="360" w:lineRule="auto"/>
              <w:ind w:right="0" w:firstLine="480" w:firstLineChars="200"/>
              <w:rPr>
                <w:rFonts w:hint="default" w:ascii="Times New Roman" w:hAnsi="Times New Roman" w:cs="Times New Roman"/>
                <w:color w:val="000000"/>
                <w:kern w:val="2"/>
                <w:sz w:val="24"/>
                <w:szCs w:val="24"/>
                <w:lang w:val="en-US" w:eastAsia="zh-CN"/>
              </w:rPr>
            </w:pPr>
            <w:r>
              <w:rPr>
                <w:rFonts w:hint="default" w:ascii="Times New Roman" w:hAnsi="Times New Roman" w:cs="Times New Roman"/>
                <w:color w:val="000000"/>
                <w:kern w:val="2"/>
                <w:sz w:val="24"/>
                <w:szCs w:val="24"/>
                <w:lang w:val="en-US" w:eastAsia="zh-CN"/>
              </w:rPr>
              <w:t>噪声环境影响评价见噪声专项评价。</w:t>
            </w:r>
          </w:p>
          <w:p w14:paraId="24A77A87">
            <w:pPr>
              <w:widowControl/>
              <w:spacing w:line="360" w:lineRule="auto"/>
              <w:jc w:val="left"/>
              <w:rPr>
                <w:rFonts w:hint="default" w:ascii="Times New Roman" w:hAnsi="Times New Roman" w:cs="Times New Roman"/>
                <w:b/>
                <w:color w:val="000000"/>
                <w:sz w:val="24"/>
              </w:rPr>
            </w:pPr>
            <w:r>
              <w:rPr>
                <w:rFonts w:hint="default" w:ascii="Times New Roman" w:hAnsi="Times New Roman" w:cs="Times New Roman"/>
                <w:b/>
                <w:color w:val="000000"/>
                <w:sz w:val="24"/>
              </w:rPr>
              <w:t>4.7.6营运期环境风险影响</w:t>
            </w:r>
          </w:p>
          <w:p w14:paraId="2C9D2E84">
            <w:pPr>
              <w:widowControl/>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kern w:val="0"/>
                <w:sz w:val="24"/>
                <w:lang w:bidi="ar"/>
              </w:rPr>
              <w:t>项目为道路工程，营运期本身无危险化学品的储存、使用和生产。由于项目为区域配套道路及排水工程，区域生产会有一定的危险化学物品的运输，不能完全限制危险物品的运输，项目运营主要风险为可能引起沿线交通事故所造成的危险化学品泄漏或石油类污染事故的风险、火灾风险事故，而导致对沿线水环境、环境空气间接带来风险事故发生的可能。但应急措施到位的话，不会对周围环境造成影响。</w:t>
            </w:r>
          </w:p>
        </w:tc>
      </w:tr>
      <w:tr w14:paraId="023E9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456" w:type="dxa"/>
            <w:noWrap w:val="0"/>
            <w:vAlign w:val="center"/>
          </w:tcPr>
          <w:p w14:paraId="14CED863">
            <w:pPr>
              <w:pStyle w:val="21"/>
              <w:adjustRightInd w:val="0"/>
              <w:snapToGrid w:val="0"/>
              <w:spacing w:before="0" w:beforeAutospacing="0" w:after="0" w:afterAutospacing="0"/>
              <w:jc w:val="center"/>
              <w:rPr>
                <w:rFonts w:hint="default" w:ascii="Times New Roman" w:hAnsi="Times New Roman" w:cs="Times New Roman"/>
                <w:bCs/>
                <w:color w:val="000000"/>
                <w:kern w:val="2"/>
                <w:szCs w:val="24"/>
                <w:lang w:val="en-US" w:eastAsia="zh-CN"/>
              </w:rPr>
            </w:pPr>
            <w:r>
              <w:rPr>
                <w:rFonts w:hint="default" w:ascii="Times New Roman" w:hAnsi="Times New Roman" w:cs="Times New Roman"/>
                <w:bCs/>
                <w:color w:val="000000"/>
                <w:kern w:val="2"/>
                <w:szCs w:val="24"/>
                <w:lang w:val="en-US" w:eastAsia="zh-CN"/>
              </w:rPr>
              <w:t>选址选线环境合理性分析</w:t>
            </w:r>
          </w:p>
        </w:tc>
        <w:tc>
          <w:tcPr>
            <w:tcW w:w="8654" w:type="dxa"/>
            <w:noWrap w:val="0"/>
            <w:vAlign w:val="top"/>
          </w:tcPr>
          <w:p w14:paraId="0FDC5E5C">
            <w:pPr>
              <w:pStyle w:val="34"/>
              <w:spacing w:line="360" w:lineRule="auto"/>
              <w:ind w:firstLine="480" w:firstLineChars="200"/>
              <w:jc w:val="left"/>
              <w:rPr>
                <w:rFonts w:hint="default" w:ascii="Times New Roman" w:hAnsi="Times New Roman" w:eastAsia="宋体" w:cs="Times New Roman"/>
                <w:bCs/>
                <w:color w:val="000000"/>
                <w:sz w:val="24"/>
                <w:lang w:eastAsia="zh-CN"/>
              </w:rPr>
            </w:pPr>
            <w:r>
              <w:rPr>
                <w:rFonts w:hint="default" w:ascii="Times New Roman" w:hAnsi="Times New Roman" w:eastAsia="宋体" w:cs="Times New Roman"/>
                <w:color w:val="000000"/>
                <w:kern w:val="0"/>
                <w:sz w:val="24"/>
              </w:rPr>
              <w:t>本项工程建设属于新建道路，</w:t>
            </w:r>
            <w:r>
              <w:rPr>
                <w:rFonts w:hint="default" w:ascii="Times New Roman" w:hAnsi="Times New Roman" w:eastAsia="宋体" w:cs="Times New Roman"/>
                <w:bCs/>
                <w:color w:val="000000"/>
                <w:sz w:val="24"/>
              </w:rPr>
              <w:t>不涉及自然保护区、风景名胜区、森林公园等特殊敏感目标，项目涉及区域现无已探明的文物古迹；项目不涉及饮用水源保护区等</w:t>
            </w:r>
            <w:r>
              <w:rPr>
                <w:rFonts w:hint="default" w:ascii="Times New Roman" w:hAnsi="Times New Roman" w:eastAsia="宋体" w:cs="Times New Roman"/>
                <w:bCs/>
                <w:color w:val="000000"/>
                <w:sz w:val="24"/>
                <w:lang w:eastAsia="zh-CN"/>
              </w:rPr>
              <w:t>。</w:t>
            </w:r>
          </w:p>
          <w:p w14:paraId="30320B3D">
            <w:pPr>
              <w:spacing w:line="360" w:lineRule="auto"/>
              <w:ind w:firstLine="480" w:firstLineChars="200"/>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本项目不设取土场、弃土场和弃渣场，工程所需土石方由建设单位协调；本项目不设沥青拌合站，工程所用的混凝土直接外购商品混凝土；本项目不设施工临时生活区，施工人员生活食宿等生活活动借助周边村民设施；项目施工营地设置于道路占地范围内，主要用于施工设备和施工材料临时堆放。</w:t>
            </w:r>
          </w:p>
          <w:p w14:paraId="3D8ABD51">
            <w:pPr>
              <w:spacing w:line="360" w:lineRule="auto"/>
              <w:ind w:firstLine="480" w:firstLineChars="200"/>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本项目施工作业带宽度控制在项目道路红线范围内，施工便道沿用樊陈路一期、东坡路施工便道，场内施工便道设置在道路红线内，施工机械停放在施工便道范围内，不需另外占用施工用地。</w:t>
            </w:r>
          </w:p>
          <w:p w14:paraId="03A0F6A8">
            <w:pPr>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综上所述，本项目选址选线是可行的</w:t>
            </w:r>
            <w:r>
              <w:rPr>
                <w:rFonts w:hint="default" w:ascii="Times New Roman" w:hAnsi="Times New Roman" w:cs="Times New Roman"/>
                <w:color w:val="000000"/>
                <w:spacing w:val="4"/>
                <w:sz w:val="24"/>
              </w:rPr>
              <w:t>。</w:t>
            </w:r>
          </w:p>
        </w:tc>
      </w:tr>
    </w:tbl>
    <w:p w14:paraId="7BE69F81">
      <w:pPr>
        <w:pStyle w:val="21"/>
        <w:jc w:val="center"/>
        <w:rPr>
          <w:rFonts w:hint="default" w:ascii="Times New Roman" w:hAnsi="Times New Roman" w:cs="Times New Roman"/>
          <w:snapToGrid w:val="0"/>
          <w:color w:val="000000"/>
          <w:sz w:val="36"/>
          <w:szCs w:val="36"/>
        </w:rPr>
        <w:sectPr>
          <w:pgSz w:w="11906" w:h="16838"/>
          <w:pgMar w:top="1440" w:right="1800" w:bottom="1440" w:left="1800" w:header="851" w:footer="1077" w:gutter="0"/>
          <w:pgNumType w:fmt="decimal"/>
          <w:cols w:space="720" w:num="1"/>
          <w:docGrid w:linePitch="312" w:charSpace="0"/>
        </w:sectPr>
      </w:pPr>
    </w:p>
    <w:p w14:paraId="5DF70FA3">
      <w:pPr>
        <w:pStyle w:val="21"/>
        <w:adjustRightInd w:val="0"/>
        <w:snapToGrid w:val="0"/>
        <w:spacing w:before="0" w:beforeAutospacing="0" w:after="0" w:afterAutospacing="0" w:line="14" w:lineRule="auto"/>
        <w:jc w:val="center"/>
        <w:rPr>
          <w:rFonts w:hint="default" w:ascii="Times New Roman" w:hAnsi="Times New Roman" w:cs="Times New Roman"/>
          <w:snapToGrid w:val="0"/>
          <w:color w:val="000000"/>
          <w:sz w:val="30"/>
          <w:szCs w:val="30"/>
        </w:rPr>
      </w:pPr>
    </w:p>
    <w:p w14:paraId="63ED6536">
      <w:pPr>
        <w:pStyle w:val="21"/>
        <w:jc w:val="center"/>
        <w:outlineLvl w:val="0"/>
        <w:rPr>
          <w:rFonts w:hint="default" w:ascii="Times New Roman" w:hAnsi="Times New Roman" w:cs="Times New Roman"/>
          <w:b/>
          <w:bCs/>
          <w:snapToGrid w:val="0"/>
          <w:color w:val="000000"/>
          <w:sz w:val="30"/>
          <w:szCs w:val="30"/>
        </w:rPr>
      </w:pPr>
      <w:bookmarkStart w:id="17" w:name="_Toc30146"/>
      <w:r>
        <w:rPr>
          <w:rFonts w:hint="default" w:ascii="Times New Roman" w:hAnsi="Times New Roman" w:cs="Times New Roman"/>
          <w:b/>
          <w:bCs/>
          <w:snapToGrid w:val="0"/>
          <w:color w:val="000000"/>
          <w:sz w:val="30"/>
          <w:szCs w:val="30"/>
        </w:rPr>
        <w:t>五、主要生态环境保护措施</w:t>
      </w:r>
      <w:bookmarkEnd w:id="1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63CCF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753" w:type="dxa"/>
            <w:noWrap w:val="0"/>
            <w:tcMar>
              <w:left w:w="28" w:type="dxa"/>
              <w:right w:w="28" w:type="dxa"/>
            </w:tcMar>
            <w:vAlign w:val="center"/>
          </w:tcPr>
          <w:p w14:paraId="6203156F">
            <w:pPr>
              <w:adjustRightInd w:val="0"/>
              <w:snapToGrid w:val="0"/>
              <w:jc w:val="center"/>
              <w:rPr>
                <w:rFonts w:hint="default" w:ascii="Times New Roman" w:hAnsi="Times New Roman" w:cs="Times New Roman"/>
                <w:bCs/>
                <w:color w:val="000000"/>
                <w:sz w:val="24"/>
              </w:rPr>
            </w:pPr>
            <w:r>
              <w:rPr>
                <w:rFonts w:hint="default" w:ascii="Times New Roman" w:hAnsi="Times New Roman" w:cs="Times New Roman"/>
                <w:bCs/>
                <w:color w:val="000000"/>
                <w:spacing w:val="10"/>
                <w:sz w:val="24"/>
              </w:rPr>
              <w:t>施工期生态环境保护措施</w:t>
            </w:r>
          </w:p>
        </w:tc>
        <w:tc>
          <w:tcPr>
            <w:tcW w:w="8457" w:type="dxa"/>
            <w:noWrap w:val="0"/>
            <w:vAlign w:val="top"/>
          </w:tcPr>
          <w:p w14:paraId="319DB739">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5.1施工期大气污染防治措施</w:t>
            </w:r>
          </w:p>
          <w:p w14:paraId="54C2BC4E">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道路施工时对周围大气环境可能造成的影响的大气污染源主要来自挖土建筑材料在运输过程中及堆放在场地时产生的扬尘、沥青烟气、车辆排放的尾气。</w:t>
            </w:r>
          </w:p>
          <w:p w14:paraId="719D432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道路工程首先遇到的是路基施工，在挖土、运输过程中，无论采用人工还是机械，从施工一开始就伴随着扬尘问题，特别是在筛土、装车、运送袋装水泥等过程中均会产生较明显的扬尘。扬尘产生量与气候条件和施工方法有关，一般发生在风速大于3m/s的气象条件。施工扬尘源的高度一般较低，颗粒度也较大，为瞬时源。因此污染扩散距离不会很远，一般可控制在施工场所100m范围之内，且危害时间短。其影响范围主要在施工场地附近，对施工人员和施工道路两旁的附近居民影响较大。</w:t>
            </w:r>
          </w:p>
          <w:p w14:paraId="111320E1">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本工程使用成品沥青混凝土，因此不存在搅拌场沥青烟问题。但现场铺设时有少量的沥青烟气产生，但其沥青烟和苯并(a)芘的排放浓度较低，据类比监测，在场界下风向100m处，苯并(a)芘浓度为0.00936μg/m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，可满足《环境空气质量标准》（GB3095-2012）二级标准0.01μg/m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的要求。这种少量沥青烟气的逸出目前无法控制，但其产生量极小，时间很短，随施工的结束而消失。</w:t>
            </w:r>
          </w:p>
          <w:p w14:paraId="5358C9EA">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另外，施工期间施工车辆排放的尾气也会对周围空气环境产生一定的影响。以燃油为动力的施工机械和运输车辆在施工场地附近排放一定量的废气，虽然使所在地区废气排放量在总量上有所增加，但只要加强设备及车辆的养护，其对周围环境空气不会有明显的影响。</w:t>
            </w:r>
          </w:p>
          <w:p w14:paraId="48EE834B">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施工期废气防治措施及对策建议如下：</w:t>
            </w:r>
          </w:p>
          <w:p w14:paraId="19ED3D3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）设置</w:t>
            </w:r>
            <w:r>
              <w:rPr>
                <w:rFonts w:hint="eastAsia" w:ascii="Times New Roman" w:hAnsi="Times New Roman" w:cs="Times New Roman"/>
                <w:sz w:val="24"/>
                <w:szCs w:val="24"/>
                <w:lang w:eastAsia="zh-CN"/>
              </w:rPr>
              <w:t>围挡</w:t>
            </w:r>
          </w:p>
          <w:p w14:paraId="50F27E3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本项目为道路建设，属线状工程，项目位于城市</w:t>
            </w:r>
            <w:r>
              <w:rPr>
                <w:rFonts w:hint="default" w:ascii="Times New Roman" w:hAnsi="Times New Roman" w:cs="Times New Roman"/>
                <w:sz w:val="24"/>
                <w:szCs w:val="24"/>
                <w:lang w:val="en-US" w:eastAsia="zh-CN"/>
              </w:rPr>
              <w:t>开发区</w:t>
            </w:r>
            <w:r>
              <w:rPr>
                <w:rFonts w:hint="default" w:ascii="Times New Roman" w:hAnsi="Times New Roman" w:cs="Times New Roman"/>
                <w:sz w:val="24"/>
                <w:szCs w:val="24"/>
              </w:rPr>
              <w:t>，两侧主要为居民</w:t>
            </w:r>
            <w:r>
              <w:rPr>
                <w:rFonts w:hint="default" w:ascii="Times New Roman" w:hAnsi="Times New Roman" w:cs="Times New Roman"/>
                <w:sz w:val="24"/>
                <w:szCs w:val="24"/>
                <w:lang w:val="en-US" w:eastAsia="zh-CN"/>
              </w:rPr>
              <w:t>及在建的岳阳市中心医院、赶山片区全民建设中心</w:t>
            </w:r>
            <w:r>
              <w:rPr>
                <w:rFonts w:hint="default" w:ascii="Times New Roman" w:hAnsi="Times New Roman" w:cs="Times New Roman"/>
                <w:sz w:val="24"/>
                <w:szCs w:val="24"/>
              </w:rPr>
              <w:t>，必须在道路全线两侧施工边界设置围挡，高度在2</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m以上，且四面围合，所有围挡必须在三通一平以前完成。</w:t>
            </w:r>
          </w:p>
          <w:p w14:paraId="3B0F478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规范施工场地出入口设置，施工路段只设一个场地出入口，出入口须采用钢板、混凝土、礁渣或细石等进行路面硬化，并辅以洒水、喷洒抑尘剂等措施加强保洁清扫，场内硬化路面不少于30m，场外须与周围的城市道路连接；道路终点与骏豪路相交处为出入口，出入口内侧设置车辆冲洗设施，洗车作业地面至进出口路段须硬化，宽度应大于5m，并铺设加湿的麻袋、毛毡或毛纺布毡等。</w:t>
            </w:r>
          </w:p>
          <w:p w14:paraId="4BDFDEB9">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施工场内车行道路须采用钢板、混凝土、礁渣或细石等进行路面硬化，宽度3-5m，并辅以洒水、喷洒抑尘剂等措施加强保洁清扫；运输建筑垃圾、砂石等散体建筑材料，应采用密闭运输车辆或采取篷覆式遮盖等措施，严禁发生抛、洒、滴、漏现象；安排洗车人员，对</w:t>
            </w:r>
            <w:r>
              <w:rPr>
                <w:rFonts w:hint="eastAsia" w:ascii="Times New Roman" w:hAnsi="Times New Roman" w:cs="Times New Roman"/>
                <w:sz w:val="24"/>
                <w:szCs w:val="24"/>
                <w:lang w:eastAsia="zh-CN"/>
              </w:rPr>
              <w:t>每辆</w:t>
            </w:r>
            <w:r>
              <w:rPr>
                <w:rFonts w:hint="default" w:ascii="Times New Roman" w:hAnsi="Times New Roman" w:cs="Times New Roman"/>
                <w:sz w:val="24"/>
                <w:szCs w:val="24"/>
              </w:rPr>
              <w:t>渣土车出场前均要清洗，不得将泥土带出现场，严禁超载运输，渣土装载低于厢板10cm以上。</w:t>
            </w:r>
          </w:p>
          <w:p w14:paraId="05F59252">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运输车辆的载重等应符合《城市道路管理条例》有关规定，防止超载，防止路面破损引起运输过程颠簸遗撒。运送土石方和建筑原料的车辆应实行密闭运输，装载的物料、渣土高度不得超过车辆槽帮上沿，车斗用苫布遮盖或者采用密闭车斗，若车斗用苫布遮盖，应当严实密闭，苫布边缘至少要遮住槽帮上沿以下15公分，避免在运输过程中发生遗撒或泄漏，同时要求运输车辆应尽量避开人口密集的运输路段；若必须穿越此段路段时，应当天傍晚定时清扫地面，避免在干燥天气条件下装卸和运输等。出入工地车辆必须清洗。</w:t>
            </w:r>
          </w:p>
          <w:p w14:paraId="217A74B7">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当空气质量为重度污染（空气质量指数201-300）和气象预报风速5级以上时，停止土方施工，并做好覆盖工作；当空气质量为中度污染（空气质量指数151-200）和风速达4级以上时，停止土方施工，并每隔2小时对施工现场洒水1次；当空气质量为轻度污染（空气质量指数101-150）时，应每隔4小时对施工现场洒水1次。</w:t>
            </w:r>
          </w:p>
          <w:p w14:paraId="1532771E">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）施工现场出入口应美观规范，设立企业标志、企业名称和项目名称。主要出入口设置“五牌一图”，在施工工地公示扬尘污染防治措施，负责人、扬尘监督管理主管部门等信息。</w:t>
            </w:r>
          </w:p>
          <w:p w14:paraId="7FC6526F">
            <w:pPr>
              <w:widowControl/>
              <w:spacing w:line="360" w:lineRule="auto"/>
              <w:ind w:firstLine="480" w:firstLineChars="200"/>
              <w:jc w:val="left"/>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建设单位采取以上措施后，可认为项目施工期产生扬尘对环境影响是较小的，不会对施工人员的人体健康、周边敏感点等产生显著影响。如收到投诉，建设单位应积极应对，落实好相应的措施，做到不影响周边的居民。</w:t>
            </w:r>
          </w:p>
          <w:p w14:paraId="28C8A485">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5.2施工期水污染防治措施</w:t>
            </w:r>
          </w:p>
          <w:p w14:paraId="736E58DC">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本项目在施工期间产生的污水主要是生活污水、设备</w:t>
            </w:r>
            <w:r>
              <w:rPr>
                <w:rFonts w:hint="default" w:ascii="Times New Roman" w:hAnsi="Times New Roman" w:cs="Times New Roman"/>
                <w:sz w:val="24"/>
                <w:szCs w:val="24"/>
                <w:lang w:val="en-US" w:eastAsia="zh-CN"/>
              </w:rPr>
              <w:t>与</w:t>
            </w:r>
            <w:r>
              <w:rPr>
                <w:rFonts w:hint="default" w:ascii="Times New Roman" w:hAnsi="Times New Roman" w:cs="Times New Roman"/>
                <w:sz w:val="24"/>
                <w:szCs w:val="24"/>
              </w:rPr>
              <w:t>运输车辆清洗废水、施工机械跑、冒、滴、漏的油污及露天机械被雨水冲刷后产生的油污染、下雨时冲刷浮土、建筑材料</w:t>
            </w:r>
            <w:r>
              <w:rPr>
                <w:rFonts w:hint="default" w:ascii="Times New Roman" w:hAnsi="Times New Roman" w:cs="Times New Roman"/>
                <w:sz w:val="24"/>
                <w:szCs w:val="24"/>
                <w:lang w:val="en-US" w:eastAsia="zh-CN"/>
              </w:rPr>
              <w:t>、桥梁施工</w:t>
            </w:r>
            <w:r>
              <w:rPr>
                <w:rFonts w:hint="default" w:ascii="Times New Roman" w:hAnsi="Times New Roman" w:cs="Times New Roman"/>
                <w:sz w:val="24"/>
                <w:szCs w:val="24"/>
              </w:rPr>
              <w:t>等产生的地表径流。</w:t>
            </w:r>
          </w:p>
          <w:p w14:paraId="5B5D094D">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（1）施工期施工人员生活污水</w:t>
            </w:r>
            <w:r>
              <w:rPr>
                <w:rFonts w:hint="default" w:ascii="Times New Roman" w:hAnsi="Times New Roman" w:cs="Times New Roman"/>
                <w:sz w:val="24"/>
                <w:szCs w:val="24"/>
                <w:lang w:val="en-US" w:eastAsia="zh-CN"/>
              </w:rPr>
              <w:t>排入当地居民污水系统</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做农肥</w:t>
            </w:r>
            <w:r>
              <w:rPr>
                <w:rFonts w:hint="default" w:ascii="Times New Roman" w:hAnsi="Times New Roman" w:cs="Times New Roman"/>
                <w:sz w:val="24"/>
                <w:szCs w:val="24"/>
              </w:rPr>
              <w:t>；</w:t>
            </w:r>
          </w:p>
          <w:p w14:paraId="42C49FB4">
            <w:pPr>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（2）施工现场设置排水系统，围挡内四周设置排水沟，洗车平台四周设置防溢座和污水导流渠，将所有施工污水引至隔油沉淀池，防止施工污水溢出工地；污水沉淀时间应大于2小时，禁止将施工污水直接排放</w:t>
            </w:r>
            <w:r>
              <w:rPr>
                <w:rFonts w:hint="default" w:ascii="Times New Roman" w:hAnsi="Times New Roman" w:cs="Times New Roman"/>
                <w:sz w:val="24"/>
                <w:szCs w:val="24"/>
                <w:lang w:eastAsia="zh-CN"/>
              </w:rPr>
              <w:t>。</w:t>
            </w:r>
          </w:p>
          <w:p w14:paraId="09E185F3">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工程承包合同中应明确筑路材料（如沥青、水泥、砂、石料等）的运输过程中防止洒漏条款，施工材料（油料、化学品等）堆放场地应尽可能远离水体，将堆放场地设置于项目永久占地范围内，并有防雨导流设施，施工材料如沥青等有害物质堆放场地应设蓬盖，防止大风暴雨冲刷造成渗漏进入造成周边水体污染；</w:t>
            </w:r>
          </w:p>
          <w:p w14:paraId="23E29494">
            <w:pPr>
              <w:widowControl/>
              <w:spacing w:line="360" w:lineRule="auto"/>
              <w:ind w:firstLine="480" w:firstLineChars="200"/>
              <w:jc w:val="left"/>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（4）施工场地的废水经隔油沉淀池处理后用于场地的洒水降尘。</w:t>
            </w:r>
          </w:p>
          <w:p w14:paraId="07BACD22">
            <w:pPr>
              <w:pStyle w:val="2"/>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（5）尽量选用先进的设备、机械，有效地减少跑冒滴漏及机械维修次数，从而减少含油污水产生。</w:t>
            </w:r>
            <w:r>
              <w:rPr>
                <w:rFonts w:hint="default" w:ascii="Times New Roman" w:hAnsi="Times New Roman" w:cs="Times New Roman"/>
                <w:sz w:val="24"/>
                <w:szCs w:val="24"/>
                <w:lang w:val="en-US" w:eastAsia="zh-CN"/>
              </w:rPr>
              <w:t>尽量在枯水期施工。</w:t>
            </w:r>
          </w:p>
          <w:p w14:paraId="5456C52E">
            <w:pPr>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（6）施工机械设备及运输车辆的维修保养，尽量集中到维修点进行，以便含油污水集中收集。</w:t>
            </w:r>
          </w:p>
          <w:p w14:paraId="2D527199">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5.3施工期噪声影响防治措施</w:t>
            </w:r>
          </w:p>
          <w:p w14:paraId="2ADF8A2A">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由于本项目沿线居民点</w:t>
            </w:r>
            <w:r>
              <w:rPr>
                <w:rFonts w:hint="default" w:ascii="Times New Roman" w:hAnsi="Times New Roman" w:cs="Times New Roman"/>
                <w:sz w:val="24"/>
                <w:szCs w:val="24"/>
                <w:lang w:val="en-US" w:eastAsia="zh-CN"/>
              </w:rPr>
              <w:t>较多，</w:t>
            </w:r>
            <w:r>
              <w:rPr>
                <w:rFonts w:hint="default" w:ascii="Times New Roman" w:hAnsi="Times New Roman" w:cs="Times New Roman"/>
                <w:sz w:val="24"/>
                <w:szCs w:val="24"/>
              </w:rPr>
              <w:t>在施工期建设必须做好噪声控制措施，具体措施详见以下：</w:t>
            </w:r>
          </w:p>
          <w:p w14:paraId="05955E84">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（1）施工前需通过张贴布告、发布通知的形式将项目信息及施工工期提前告知周边敏感目标，征求其谅解。</w:t>
            </w:r>
          </w:p>
          <w:p w14:paraId="7E068288">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为避免施工期间的各类机械声源对环境的不利影响，要求各施工单位严格按照环保部门和城建部门规定的作息时间，午间12：00～14：00和夜间22：00～翌日6：00禁止施工。如因特殊需要必须连续施工作业的工点，施工单位应视具体情况及时与环保部门取得联系，按规定申领夜间施工证，同时发布公告最大限度地争取民众支持。</w:t>
            </w:r>
          </w:p>
          <w:p w14:paraId="2B1185A4">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在环境敏感路段施工时应采取封闭式施工，合理布局，尽量将高噪声设备分散地布设在远离沿线敏感区域的方式，避免在同一施工地点安排大量动力机械设备，避免局部声级过高。可以同时在施工场界处设置实心围挡措施，部分高噪声设备作业时应安装临时隔声屏障。固定的施工器械周边设置隔声板及机械</w:t>
            </w:r>
            <w:r>
              <w:rPr>
                <w:rFonts w:hint="eastAsia" w:ascii="Times New Roman" w:hAnsi="Times New Roman" w:cs="Times New Roman"/>
                <w:sz w:val="24"/>
                <w:szCs w:val="24"/>
                <w:lang w:eastAsia="zh-CN"/>
              </w:rPr>
              <w:t>防震措施</w:t>
            </w:r>
            <w:r>
              <w:rPr>
                <w:rFonts w:hint="default" w:ascii="Times New Roman" w:hAnsi="Times New Roman" w:cs="Times New Roman"/>
                <w:sz w:val="24"/>
                <w:szCs w:val="24"/>
              </w:rPr>
              <w:t>，阻挡噪声的传播，减少对周边居民的影响。</w:t>
            </w:r>
          </w:p>
          <w:p w14:paraId="3DBA517B">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（4）应合理安排施工物料的运输时间，在</w:t>
            </w:r>
            <w:r>
              <w:rPr>
                <w:rFonts w:hint="eastAsia" w:ascii="Times New Roman" w:hAnsi="Times New Roman" w:cs="Times New Roman"/>
                <w:sz w:val="24"/>
                <w:szCs w:val="24"/>
                <w:lang w:eastAsia="zh-CN"/>
              </w:rPr>
              <w:t>途经</w:t>
            </w:r>
            <w:r>
              <w:rPr>
                <w:rFonts w:hint="default" w:ascii="Times New Roman" w:hAnsi="Times New Roman" w:cs="Times New Roman"/>
                <w:sz w:val="24"/>
                <w:szCs w:val="24"/>
              </w:rPr>
              <w:t>沿线的居民敏感点路段时，减速慢行、禁止鸣笛。</w:t>
            </w:r>
          </w:p>
          <w:p w14:paraId="4F4E85EF">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（5）加强对居民点路段的施工管理，合理制定施工计划。</w:t>
            </w:r>
            <w:r>
              <w:rPr>
                <w:rFonts w:hint="default" w:ascii="Times New Roman" w:hAnsi="Times New Roman" w:cs="Times New Roman"/>
                <w:sz w:val="24"/>
                <w:szCs w:val="24"/>
                <w:lang w:val="zh-CN"/>
              </w:rPr>
              <w:t>项目应综合考虑周围居民点的特点，合理安排使用高噪声设备时间，避开居民休息时间</w:t>
            </w:r>
            <w:r>
              <w:rPr>
                <w:rFonts w:hint="default" w:ascii="Times New Roman" w:hAnsi="Times New Roman" w:cs="Times New Roman"/>
                <w:sz w:val="24"/>
                <w:szCs w:val="24"/>
              </w:rPr>
              <w:t>。</w:t>
            </w:r>
          </w:p>
          <w:p w14:paraId="087FF878">
            <w:pPr>
              <w:pStyle w:val="2"/>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（6）设备选型上尽量采用低噪声设备。固定机械设备与挖土、运土机械，如挖土机、推土机等，可通过排气管消声器和隔离发动机振动部件的方法降低噪声。对动力机械设备进行定期的维修、养护，避免</w:t>
            </w:r>
            <w:r>
              <w:rPr>
                <w:rFonts w:hint="eastAsia" w:ascii="Times New Roman" w:hAnsi="Times New Roman" w:cs="Times New Roman"/>
                <w:sz w:val="24"/>
                <w:szCs w:val="24"/>
                <w:lang w:eastAsia="zh-CN"/>
              </w:rPr>
              <w:t>设备</w:t>
            </w:r>
            <w:r>
              <w:rPr>
                <w:rFonts w:hint="default" w:ascii="Times New Roman" w:hAnsi="Times New Roman" w:cs="Times New Roman"/>
                <w:sz w:val="24"/>
                <w:szCs w:val="24"/>
              </w:rPr>
              <w:t>因松动部件的振动或消声器的损坏而增加其工作时的噪声级。暂不使用的设备应立即关闭，运输车辆进入现场应减速，严禁鸣笛。</w:t>
            </w:r>
          </w:p>
          <w:p w14:paraId="432AA625">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综上所述，在采取上述措施后工程在施工期内的影响只是暂时的，在采取上述措施后，施工期的噪声对周围居民的影响不大。</w:t>
            </w:r>
          </w:p>
          <w:p w14:paraId="62F361A5">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5.4施工期固体废物影响防治措施</w:t>
            </w:r>
          </w:p>
          <w:p w14:paraId="0665C460">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施工期固体废物主要为路基开挖、铺设时产生的弃方、施工过程产生的建筑垃圾、施工人员产生的生活垃圾。</w:t>
            </w:r>
          </w:p>
          <w:p w14:paraId="60CD61AD">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表土清除和开挖产生的土石方堆放在临时堆土场，位于道路红线范围内，地下附属构筑物施工完成后及时回填，表土用于绿化工程，弃渣和不能利用的建筑垃圾委托渣土公司处置，项目生活垃圾经收集后，由环卫部门统一收集处理。</w:t>
            </w:r>
          </w:p>
          <w:p w14:paraId="1E0F523C">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环评要求做好车辆运输过程中的管理防护工作。车辆运输弃方、建筑垃圾时应配备篷布，防止运输过程中的风吹扬尘；运载弃方的车辆必须在规定的时间内，按指定路段行驶。设置专人管理，文明施工，规范土石方、建筑垃圾的堆放场所，严禁将开挖土石方、建筑垃圾堆放在路上。</w:t>
            </w:r>
          </w:p>
          <w:p w14:paraId="2EAD0E04">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项目固体废物经统一收集、及时清运后，对周边环境影响较小。</w:t>
            </w:r>
          </w:p>
          <w:p w14:paraId="4CE8CA76">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5.5施工期生态环境保护措施</w:t>
            </w:r>
          </w:p>
          <w:p w14:paraId="320468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（1）严格控制施工作业带宽度，尽可能减少土地占用。</w:t>
            </w:r>
            <w:r>
              <w:rPr>
                <w:rFonts w:hint="default" w:ascii="Times New Roman" w:hAnsi="Times New Roman" w:cs="Times New Roman"/>
                <w:sz w:val="24"/>
                <w:szCs w:val="24"/>
                <w:lang w:eastAsia="zh-CN"/>
              </w:rPr>
              <w:t>加强施工管理，严格按照设计文件确定征占地范围，进行地表植被的清理工作。严格执行划界施工，禁止对征地范围之外的植被造成破坏。严格控制路基开挖，避免超挖破坏周围植被。</w:t>
            </w:r>
          </w:p>
          <w:p w14:paraId="33F5963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（2）土料填筑要随倒随碾压，防止大量松散土堆积时间过长</w:t>
            </w:r>
            <w:r>
              <w:rPr>
                <w:rFonts w:hint="default" w:ascii="Times New Roman" w:hAnsi="Times New Roman" w:cs="Times New Roman"/>
                <w:sz w:val="24"/>
                <w:szCs w:val="24"/>
                <w:lang w:eastAsia="zh-CN"/>
              </w:rPr>
              <w:t>。</w:t>
            </w:r>
          </w:p>
          <w:p w14:paraId="43A76C2D">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（3）施工单位应密切注意天气变化，准备充足的遮挡材料，如塑料彩条布、尼龙编织带、无纺布等，如遇暴雨，及时采取临时遮挡措施，减少暴雨冲刷造成的水土流失。</w:t>
            </w:r>
          </w:p>
          <w:p w14:paraId="24F4616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（4）应合理安排施工进度与时序，缩小裸露面积和减少裸露时间，减少施工过程中因降水和风等水土流失影响因素可能产生的水土流失。</w:t>
            </w:r>
          </w:p>
          <w:p w14:paraId="25B77EAF">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施工开挖、填筑、堆置等裸露面，应采取临时拦挡、排水、沉沙、覆盖等措施。项目施工场地的泥沙容易随水流进入附近水体，因此施工中须重视沉淀池的建设，使施工排水经沉淀泥沙后用于道路浇洒，避免泥沙直接进入水体；注意沉沙池中泥沙量的增加，应及时清理。</w:t>
            </w:r>
          </w:p>
          <w:p w14:paraId="757D9F04">
            <w:pPr>
              <w:pStyle w:val="11"/>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w:t>
            </w:r>
            <w:r>
              <w:rPr>
                <w:rFonts w:hint="default" w:ascii="Times New Roman" w:hAnsi="Times New Roman" w:eastAsia="宋体" w:cs="Times New Roman"/>
                <w:color w:val="auto"/>
                <w:sz w:val="24"/>
                <w:szCs w:val="24"/>
                <w:lang w:eastAsia="zh-CN"/>
              </w:rPr>
              <w:t>施工后期应加强对绿化植物的管理与养护，以达到恢复植被、保护路基，以及减少土壤侵蚀的目的。</w:t>
            </w:r>
          </w:p>
        </w:tc>
      </w:tr>
      <w:tr w14:paraId="03874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753" w:type="dxa"/>
            <w:noWrap w:val="0"/>
            <w:tcMar>
              <w:left w:w="28" w:type="dxa"/>
              <w:right w:w="28" w:type="dxa"/>
            </w:tcMar>
            <w:vAlign w:val="center"/>
          </w:tcPr>
          <w:p w14:paraId="22B55D0F">
            <w:pPr>
              <w:adjustRightInd w:val="0"/>
              <w:snapToGrid w:val="0"/>
              <w:jc w:val="center"/>
              <w:rPr>
                <w:rFonts w:hint="default" w:ascii="Times New Roman" w:hAnsi="Times New Roman" w:cs="Times New Roman"/>
                <w:bCs/>
                <w:color w:val="000000"/>
                <w:spacing w:val="10"/>
                <w:sz w:val="24"/>
              </w:rPr>
            </w:pPr>
            <w:r>
              <w:rPr>
                <w:rFonts w:hint="default" w:ascii="Times New Roman" w:hAnsi="Times New Roman" w:cs="Times New Roman"/>
                <w:bCs/>
                <w:color w:val="000000"/>
                <w:spacing w:val="10"/>
                <w:sz w:val="24"/>
              </w:rPr>
              <w:t>运营期生态环境保护措施</w:t>
            </w:r>
          </w:p>
        </w:tc>
        <w:tc>
          <w:tcPr>
            <w:tcW w:w="8457" w:type="dxa"/>
            <w:noWrap w:val="0"/>
            <w:vAlign w:val="top"/>
          </w:tcPr>
          <w:p w14:paraId="3DA956D0">
            <w:pPr>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5.6运营期大气环境保护措施</w:t>
            </w:r>
          </w:p>
          <w:p w14:paraId="19BFB090">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项目所经区域环境空气质量好，环境容量大，加之道路车流量相对不大，道路沿线绿化好，空气净化作用强，营运期汽车尾气对环境空气的影响小。</w:t>
            </w:r>
          </w:p>
          <w:p w14:paraId="6AE752D1">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运营期大气环境保护防治措施及对策建议如下：</w:t>
            </w:r>
          </w:p>
          <w:p w14:paraId="410F1292">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（1）严格执行汽车排放车检制度，利用抽查等形式对汽车排放状况进行检查，限制尾气排放严重超标车辆上路。</w:t>
            </w:r>
          </w:p>
          <w:p w14:paraId="6E4DA2C8">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（2）加强道路管理及路面养护，保持道路良好运营状态；加强运输散装物资车辆的管理，特别是运输</w:t>
            </w:r>
            <w:r>
              <w:rPr>
                <w:rFonts w:hint="eastAsia" w:ascii="Times New Roman" w:hAnsi="Times New Roman" w:cs="Times New Roman"/>
                <w:color w:val="000000"/>
                <w:sz w:val="24"/>
                <w:lang w:eastAsia="zh-CN"/>
              </w:rPr>
              <w:t>散装</w:t>
            </w:r>
            <w:r>
              <w:rPr>
                <w:rFonts w:hint="default" w:ascii="Times New Roman" w:hAnsi="Times New Roman" w:cs="Times New Roman"/>
                <w:color w:val="000000"/>
                <w:sz w:val="24"/>
              </w:rPr>
              <w:t>材料的车辆必须加盖</w:t>
            </w:r>
            <w:r>
              <w:rPr>
                <w:rFonts w:hint="eastAsia" w:ascii="Times New Roman" w:hAnsi="Times New Roman" w:cs="Times New Roman"/>
                <w:color w:val="000000"/>
                <w:sz w:val="24"/>
                <w:lang w:eastAsia="zh-CN"/>
              </w:rPr>
              <w:t>篷布</w:t>
            </w:r>
            <w:r>
              <w:rPr>
                <w:rFonts w:hint="default" w:ascii="Times New Roman" w:hAnsi="Times New Roman" w:cs="Times New Roman"/>
                <w:color w:val="000000"/>
                <w:sz w:val="24"/>
              </w:rPr>
              <w:t>。</w:t>
            </w:r>
          </w:p>
          <w:p w14:paraId="4F5CFFE4">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（3）对路面定期进行洒水、清扫、维护，减少路面扬尘对环境的影响。</w:t>
            </w:r>
          </w:p>
          <w:p w14:paraId="20C427D7">
            <w:pPr>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5.7运营期水环境保护措施</w:t>
            </w:r>
          </w:p>
          <w:p w14:paraId="17D64166">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本项目运营后主要水污染源为降雨冲刷路面产生的路面径流污水。运营期水环境保护防治措施及对策建议如下：</w:t>
            </w:r>
          </w:p>
          <w:p w14:paraId="6A2FBA4D">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szCs w:val="21"/>
              </w:rPr>
              <w:t>加强道路排水系统的日常维护工作，定期疏通清淤，按时按质检修，确保排水畅通；</w:t>
            </w:r>
          </w:p>
          <w:p w14:paraId="31A6C350">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szCs w:val="21"/>
              </w:rPr>
              <w:t>严禁各种泄漏、散装超载的车辆上路，装载煤、石灰、水泥、土方等易起尘的散货，必须加蓬覆盖后才能上路行驶，防止撒落的材料经雨水冲刷后造成水体污染；</w:t>
            </w:r>
          </w:p>
          <w:p w14:paraId="1F5F5CD8">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szCs w:val="21"/>
              </w:rPr>
              <w:t>加强路面环境卫生清扫。</w:t>
            </w:r>
          </w:p>
          <w:p w14:paraId="45307FB5">
            <w:pPr>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5.8运营期声环境保护措施</w:t>
            </w:r>
          </w:p>
          <w:p w14:paraId="11D02A4A">
            <w:pPr>
              <w:pStyle w:val="28"/>
              <w:spacing w:line="360" w:lineRule="auto"/>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为进一步道路建成后对周边声环境造成影响，本环评建议采取以下措施：</w:t>
            </w:r>
          </w:p>
          <w:p w14:paraId="2E6C1740">
            <w:pPr>
              <w:pStyle w:val="36"/>
              <w:spacing w:before="0" w:beforeAutospacing="0" w:after="0" w:afterAutospacing="0" w:line="360" w:lineRule="auto"/>
              <w:ind w:firstLine="482"/>
              <w:rPr>
                <w:rFonts w:hint="default" w:ascii="Times New Roman" w:hAnsi="Times New Roman" w:cs="Times New Roman"/>
                <w:color w:val="000000"/>
                <w:u w:val="none"/>
              </w:rPr>
            </w:pPr>
            <w:r>
              <w:rPr>
                <w:rFonts w:hint="default" w:ascii="Times New Roman" w:hAnsi="Times New Roman" w:cs="Times New Roman"/>
                <w:color w:val="000000"/>
                <w:u w:val="none"/>
              </w:rPr>
              <w:t>（1）加强道路交通管理，限制车况差、超载的车辆进入，可以有效降低交通噪声污染源强；</w:t>
            </w:r>
            <w:r>
              <w:rPr>
                <w:rFonts w:hint="default" w:ascii="Times New Roman" w:hAnsi="Times New Roman" w:cs="Times New Roman"/>
                <w:color w:val="000000"/>
                <w:spacing w:val="-1"/>
                <w:u w:val="none"/>
              </w:rPr>
              <w:t>根据《中华人民共和国噪声污染防治法》（2021年12月24日）：机动车的消声器和喇叭应当符合国家规定。禁止驾驶拆除或者损坏消声器、加装排气管等擅自改装的机动车以轰鸣、疾驶等方式造成噪声污染。使用机动车音响器材，应当控制音量，防止噪声污染。机动车应当加强维修和保养，保持性能良好，防止噪声污染。</w:t>
            </w:r>
          </w:p>
          <w:p w14:paraId="138400F2">
            <w:pPr>
              <w:pStyle w:val="36"/>
              <w:spacing w:before="0" w:beforeAutospacing="0" w:after="0" w:afterAutospacing="0" w:line="360" w:lineRule="auto"/>
              <w:ind w:firstLine="482"/>
              <w:rPr>
                <w:rFonts w:hint="default" w:ascii="Times New Roman" w:hAnsi="Times New Roman" w:cs="Times New Roman"/>
                <w:color w:val="000000"/>
                <w:u w:val="none"/>
              </w:rPr>
            </w:pPr>
            <w:r>
              <w:rPr>
                <w:rFonts w:hint="default" w:ascii="Times New Roman" w:hAnsi="Times New Roman" w:cs="Times New Roman"/>
                <w:color w:val="000000"/>
                <w:u w:val="none"/>
              </w:rPr>
              <w:t>（2）建议项目沥青路面采用低噪声路面，同时加强道路通车后的路面维护工作，维持道路路面的平整度，避免因路况不佳造成车辆颠簸而引起交通噪声。</w:t>
            </w:r>
          </w:p>
          <w:p w14:paraId="70CE9A7F">
            <w:pPr>
              <w:pStyle w:val="36"/>
              <w:spacing w:before="0" w:beforeAutospacing="0" w:after="0" w:afterAutospacing="0" w:line="360" w:lineRule="auto"/>
              <w:ind w:firstLine="482"/>
              <w:rPr>
                <w:rFonts w:hint="default" w:ascii="Times New Roman" w:hAnsi="Times New Roman" w:cs="Times New Roman"/>
                <w:color w:val="000000"/>
                <w:highlight w:val="none"/>
                <w:u w:val="none"/>
              </w:rPr>
            </w:pPr>
            <w:r>
              <w:rPr>
                <w:rFonts w:hint="default" w:ascii="Times New Roman" w:hAnsi="Times New Roman" w:cs="Times New Roman"/>
                <w:color w:val="000000"/>
                <w:u w:val="none"/>
              </w:rPr>
              <w:t>（3）加强区域防护绿化建设，在道路两侧种植绿化带，根据设计，可进行乔灌结合，选择针叶林植物和较大冠幅的阔叶类植物搭配种</w:t>
            </w:r>
            <w:r>
              <w:rPr>
                <w:rFonts w:hint="default" w:ascii="Times New Roman" w:hAnsi="Times New Roman" w:cs="Times New Roman"/>
                <w:color w:val="000000"/>
                <w:highlight w:val="none"/>
                <w:u w:val="none"/>
              </w:rPr>
              <w:t>植，可多种植物混搭，层次丰富，再配以常青植物，保证一年四季都有较好的降噪效果。</w:t>
            </w:r>
          </w:p>
          <w:p w14:paraId="7933F793">
            <w:pPr>
              <w:pStyle w:val="36"/>
              <w:spacing w:before="0" w:beforeAutospacing="0" w:after="0" w:afterAutospacing="0" w:line="360" w:lineRule="auto"/>
              <w:ind w:firstLine="482"/>
              <w:rPr>
                <w:rFonts w:hint="default" w:ascii="Times New Roman" w:hAnsi="Times New Roman" w:cs="Times New Roman"/>
                <w:color w:val="000000"/>
                <w:highlight w:val="none"/>
                <w:u w:val="none"/>
              </w:rPr>
            </w:pPr>
            <w:r>
              <w:rPr>
                <w:rFonts w:hint="default" w:ascii="Times New Roman" w:hAnsi="Times New Roman" w:cs="Times New Roman"/>
                <w:color w:val="000000"/>
                <w:highlight w:val="none"/>
                <w:u w:val="none"/>
              </w:rPr>
              <w:t>（4）加强道路沿线的声环境质量的环境监测工作，对</w:t>
            </w:r>
            <w:r>
              <w:rPr>
                <w:rFonts w:hint="default" w:ascii="Times New Roman" w:hAnsi="Times New Roman" w:cs="Times New Roman"/>
                <w:color w:val="000000"/>
                <w:highlight w:val="none"/>
                <w:u w:val="none"/>
                <w:lang w:val="en-US" w:eastAsia="zh-CN"/>
              </w:rPr>
              <w:t>道路两侧零散居民点</w:t>
            </w:r>
            <w:r>
              <w:rPr>
                <w:rFonts w:hint="default" w:ascii="Times New Roman" w:hAnsi="Times New Roman" w:cs="Times New Roman"/>
                <w:color w:val="000000"/>
                <w:highlight w:val="none"/>
                <w:u w:val="none"/>
              </w:rPr>
              <w:t>、实行环境噪声定期跟踪监测制度，并预留降噪经费，根据因交通量增大引起的声环境污染程度，及时采取相应的减缓措施。</w:t>
            </w:r>
          </w:p>
          <w:p w14:paraId="58256D81">
            <w:pPr>
              <w:pStyle w:val="36"/>
              <w:spacing w:before="0" w:beforeAutospacing="0" w:after="0" w:afterAutospacing="0" w:line="360" w:lineRule="auto"/>
              <w:ind w:firstLine="482"/>
              <w:rPr>
                <w:rFonts w:hint="default" w:ascii="Times New Roman" w:hAnsi="Times New Roman" w:cs="Times New Roman"/>
                <w:color w:val="000000"/>
                <w:u w:val="none"/>
              </w:rPr>
            </w:pPr>
            <w:r>
              <w:rPr>
                <w:rFonts w:hint="default" w:ascii="Times New Roman" w:hAnsi="Times New Roman" w:cs="Times New Roman"/>
                <w:color w:val="000000"/>
                <w:highlight w:val="none"/>
                <w:u w:val="none"/>
              </w:rPr>
              <w:t>（5）在敏感</w:t>
            </w:r>
            <w:r>
              <w:rPr>
                <w:rFonts w:hint="default" w:ascii="Times New Roman" w:hAnsi="Times New Roman" w:cs="Times New Roman"/>
                <w:color w:val="000000"/>
                <w:u w:val="none"/>
              </w:rPr>
              <w:t>点路段附近设置禁鸣、限速标志。</w:t>
            </w:r>
          </w:p>
          <w:p w14:paraId="1AC75415">
            <w:pPr>
              <w:pStyle w:val="36"/>
              <w:spacing w:before="0" w:beforeAutospacing="0" w:after="0" w:afterAutospacing="0" w:line="360" w:lineRule="auto"/>
              <w:ind w:firstLine="482"/>
              <w:rPr>
                <w:rFonts w:hint="default" w:ascii="Times New Roman" w:hAnsi="Times New Roman" w:cs="Times New Roman"/>
                <w:color w:val="000000"/>
              </w:rPr>
            </w:pPr>
            <w:r>
              <w:rPr>
                <w:rFonts w:hint="default" w:ascii="Times New Roman" w:hAnsi="Times New Roman" w:cs="Times New Roman"/>
                <w:color w:val="000000"/>
              </w:rPr>
              <w:t>（6）规划部门应结合本环评噪声预测结果及建筑退离城市道路红线距离的相关规定，在道路</w:t>
            </w:r>
            <w:r>
              <w:rPr>
                <w:rFonts w:hint="default" w:ascii="Times New Roman" w:hAnsi="Times New Roman" w:cs="Times New Roman"/>
                <w:color w:val="000000"/>
                <w:lang w:val="en-US" w:eastAsia="zh-CN"/>
              </w:rPr>
              <w:t>红线</w:t>
            </w:r>
            <w:r>
              <w:rPr>
                <w:rFonts w:hint="default" w:ascii="Times New Roman" w:hAnsi="Times New Roman" w:cs="Times New Roman"/>
                <w:color w:val="000000"/>
              </w:rPr>
              <w:t>两侧</w:t>
            </w:r>
            <w:r>
              <w:rPr>
                <w:rFonts w:hint="default" w:ascii="Times New Roman" w:hAnsi="Times New Roman" w:cs="Times New Roman"/>
                <w:color w:val="000000"/>
                <w:lang w:val="en-US" w:eastAsia="zh-CN"/>
              </w:rPr>
              <w:t>40</w:t>
            </w:r>
            <w:r>
              <w:rPr>
                <w:rFonts w:hint="default" w:ascii="Times New Roman" w:hAnsi="Times New Roman" w:cs="Times New Roman"/>
                <w:color w:val="000000"/>
              </w:rPr>
              <w:t>m范围外批准新修建集中居民区、学校等对声环境要求高的建筑，此外规划居住区、学校的建设应合理进行平面布置，将教学楼、宿舍、卧室尽可能布置远离道路一侧，同时加强道路路面维护及区域防护绿化建设。</w:t>
            </w:r>
          </w:p>
          <w:p w14:paraId="7E8BB69B">
            <w:pPr>
              <w:pStyle w:val="36"/>
              <w:spacing w:before="0" w:beforeAutospacing="0" w:after="0" w:afterAutospacing="0" w:line="360" w:lineRule="auto"/>
              <w:ind w:firstLine="482"/>
              <w:rPr>
                <w:rFonts w:hint="default" w:ascii="Times New Roman" w:hAnsi="Times New Roman" w:cs="Times New Roman"/>
                <w:color w:val="000000"/>
              </w:rPr>
            </w:pPr>
            <w:r>
              <w:rPr>
                <w:rFonts w:hint="default" w:ascii="Times New Roman" w:hAnsi="Times New Roman" w:cs="Times New Roman"/>
                <w:color w:val="000000"/>
              </w:rPr>
              <w:t>（7）针对噪声问题，建立群众意见的定期回访制度和敏感点噪声定期监测制度，注意听取群众意见和感受，如有居民反映噪声扰民或投诉等可进行监测，当噪声超标时，根据监测结果和敏感点实际周围环境特征，确定可行有效的保护措施，保护群众正常的工作、学习和生活少受影响。</w:t>
            </w:r>
          </w:p>
          <w:p w14:paraId="409397B7">
            <w:pPr>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5.9运营期固体废物防治措施</w:t>
            </w:r>
          </w:p>
          <w:p w14:paraId="4F7FF89B">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营运期的固体废弃物主要是运输车辆散落的运载物、发生交通事故的车辆装载的货物、乘客丢弃的物品等。道路运营管理单位应加强法律法规宣传，重点做好以下固体废物预防和控制工作：</w:t>
            </w:r>
          </w:p>
          <w:p w14:paraId="10BC2534">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（1）建议对经过道路的司乘人员进行环保教育，树立宣传标语，尽可能避免乘客在道路上乱丢饮料袋、易拉罐等垃圾，以保证行车安全和道路的清洁卫生。</w:t>
            </w:r>
          </w:p>
          <w:p w14:paraId="1EEF17BA">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（2通过制定有关法规，管理泥头车等其它装有以散落物车辆的行驶，防止固体废弃物污染。对道路沿线附近居民的生活垃圾定期清运、集中处理，严禁随意向道路沿线丢弃，影响道路沿线环境卫生。</w:t>
            </w:r>
          </w:p>
          <w:p w14:paraId="00B6B45D">
            <w:pPr>
              <w:pStyle w:val="8"/>
              <w:spacing w:before="0" w:after="0" w:line="360" w:lineRule="auto"/>
              <w:ind w:right="0"/>
              <w:rPr>
                <w:rFonts w:hint="default" w:ascii="Times New Roman" w:hAnsi="Times New Roman" w:cs="Times New Roman"/>
                <w:b/>
                <w:color w:val="000000"/>
                <w:kern w:val="2"/>
                <w:sz w:val="28"/>
                <w:szCs w:val="28"/>
                <w:lang w:val="en-US" w:eastAsia="zh-CN"/>
              </w:rPr>
            </w:pPr>
            <w:r>
              <w:rPr>
                <w:rFonts w:hint="default" w:ascii="Times New Roman" w:hAnsi="Times New Roman" w:cs="Times New Roman"/>
                <w:b/>
                <w:color w:val="000000"/>
                <w:kern w:val="2"/>
                <w:sz w:val="28"/>
                <w:szCs w:val="28"/>
                <w:lang w:val="en-US" w:eastAsia="zh-CN"/>
              </w:rPr>
              <w:t>5.10运营期环境风险预防措施</w:t>
            </w:r>
          </w:p>
          <w:p w14:paraId="6C6A13AF">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本道路两侧有居住用地区域主要有社会车辆进出，项目存在的主要环境风险为运输危险化学品的车辆途经项目道路发生事故造成的环境风险：</w:t>
            </w:r>
          </w:p>
          <w:p w14:paraId="6AC14AA7">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（1）发生交通事故，导致本身携带的易燃液体、固体或压缩气体泄漏而发生爆炸事故；</w:t>
            </w:r>
          </w:p>
          <w:p w14:paraId="0278BA43">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（2）发生交通事故，装载的氧化剂、强氧化剂、带感染腐蚀性物品及有毒有害物品等化学品泄漏，导致污染事故。</w:t>
            </w:r>
          </w:p>
          <w:p w14:paraId="35DAF21F">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据调查，</w:t>
            </w:r>
            <w:r>
              <w:rPr>
                <w:rFonts w:hint="default" w:ascii="Times New Roman" w:hAnsi="Times New Roman" w:cs="Times New Roman"/>
                <w:lang w:val="en-US" w:eastAsia="zh-CN"/>
              </w:rPr>
              <w:t>岳阳市</w:t>
            </w:r>
            <w:r>
              <w:rPr>
                <w:rFonts w:hint="default" w:ascii="Times New Roman" w:hAnsi="Times New Roman" w:cs="Times New Roman"/>
              </w:rPr>
              <w:t>近年危险品运输事故发生率极小，但不能确保不会发生此类事故，加之危险品种类繁多，有爆炸性、毒害性、易燃性、腐蚀性及放射性等物品，应对危险品事故予以高度重视。</w:t>
            </w:r>
          </w:p>
          <w:p w14:paraId="4108B5CB">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防止和减少事故发生的措施包括以下几点：</w:t>
            </w:r>
          </w:p>
          <w:p w14:paraId="50765B18">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szCs w:val="21"/>
              </w:rPr>
              <w:t>严格执行国家和</w:t>
            </w:r>
            <w:r>
              <w:rPr>
                <w:rFonts w:hint="default" w:ascii="Times New Roman" w:hAnsi="Times New Roman" w:cs="Times New Roman"/>
                <w:szCs w:val="21"/>
                <w:lang w:val="en-US" w:eastAsia="zh-CN"/>
              </w:rPr>
              <w:t>岳阳市</w:t>
            </w:r>
            <w:r>
              <w:rPr>
                <w:rFonts w:hint="default" w:ascii="Times New Roman" w:hAnsi="Times New Roman" w:cs="Times New Roman"/>
                <w:szCs w:val="21"/>
              </w:rPr>
              <w:t>有关危险品运输的管理规定，并办理有关运输危险品准运证，运输危险品车辆应标有明显标志，严禁运输危险品车辆在</w:t>
            </w:r>
            <w:r>
              <w:rPr>
                <w:rFonts w:hint="default" w:ascii="Times New Roman" w:hAnsi="Times New Roman" w:cs="Times New Roman"/>
                <w:szCs w:val="21"/>
                <w:lang w:val="en-US" w:eastAsia="zh-CN"/>
              </w:rPr>
              <w:t>环境敏感点</w:t>
            </w:r>
            <w:r>
              <w:rPr>
                <w:rFonts w:hint="default" w:ascii="Times New Roman" w:hAnsi="Times New Roman" w:cs="Times New Roman"/>
                <w:szCs w:val="21"/>
              </w:rPr>
              <w:t>附近停靠</w:t>
            </w:r>
            <w:r>
              <w:rPr>
                <w:rFonts w:hint="default" w:ascii="Times New Roman" w:hAnsi="Times New Roman" w:cs="Times New Roman"/>
              </w:rPr>
              <w:t>；</w:t>
            </w:r>
          </w:p>
          <w:p w14:paraId="1E4AA3EB">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（2）落实危险品运输车辆安全通过的保证措施，防止载有危险品的车辆超速、违章</w:t>
            </w:r>
            <w:r>
              <w:rPr>
                <w:rFonts w:hint="eastAsia" w:ascii="Times New Roman" w:hAnsi="Times New Roman" w:cs="Times New Roman"/>
                <w:lang w:eastAsia="zh-CN"/>
              </w:rPr>
              <w:t>会车</w:t>
            </w:r>
            <w:r>
              <w:rPr>
                <w:rFonts w:hint="default" w:ascii="Times New Roman" w:hAnsi="Times New Roman" w:cs="Times New Roman"/>
              </w:rPr>
              <w:t>等；危险品运输必须持有公安部门颁发的“三证”：运输许可证、驾驶员执照及保安员证；</w:t>
            </w:r>
          </w:p>
          <w:p w14:paraId="26B184AF">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（3）加强道路运营管理，设置限速标志；道路沿线配备应急联系电话、设置交通标志、反光突起路标及视线诱导设施等；</w:t>
            </w:r>
          </w:p>
          <w:p w14:paraId="2AF64C1F">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4）工程建成后，建设单位应与道路交通安全管理部门协商，确定各自的管理职责和权限，在交通、公安、消防、环保和环境卫生等部门的指导下，成立应急事故领导小组，制定应急措施与应急处理程序，做好灭火、防毒、防污染等急救行动的物质准备和思想准备，对有关人员进行培训，并定期进行急救实战演习，以便一旦发生事故，及时组织调动人员、车辆、设备、药物对事故进行紧急处理，控制事故影响在最小范围内。</w:t>
            </w:r>
          </w:p>
        </w:tc>
      </w:tr>
      <w:tr w14:paraId="71611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753" w:type="dxa"/>
            <w:noWrap w:val="0"/>
            <w:vAlign w:val="center"/>
          </w:tcPr>
          <w:p w14:paraId="3C68C3DA">
            <w:pPr>
              <w:adjustRightInd w:val="0"/>
              <w:snapToGrid w:val="0"/>
              <w:jc w:val="center"/>
              <w:rPr>
                <w:rFonts w:hint="default" w:ascii="Times New Roman" w:hAnsi="Times New Roman" w:cs="Times New Roman"/>
                <w:bCs/>
                <w:color w:val="000000"/>
                <w:spacing w:val="10"/>
                <w:sz w:val="24"/>
              </w:rPr>
            </w:pPr>
            <w:r>
              <w:rPr>
                <w:rFonts w:hint="default" w:ascii="Times New Roman" w:hAnsi="Times New Roman" w:cs="Times New Roman"/>
                <w:bCs/>
                <w:color w:val="000000"/>
                <w:sz w:val="24"/>
              </w:rPr>
              <w:t>其他</w:t>
            </w:r>
          </w:p>
        </w:tc>
        <w:tc>
          <w:tcPr>
            <w:tcW w:w="8457" w:type="dxa"/>
            <w:noWrap w:val="0"/>
            <w:vAlign w:val="top"/>
          </w:tcPr>
          <w:p w14:paraId="0AE5A2CA">
            <w:pPr>
              <w:adjustRightInd w:val="0"/>
              <w:snapToGrid w:val="0"/>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5.11环境监测计划</w:t>
            </w:r>
          </w:p>
          <w:p w14:paraId="044B7976">
            <w:pPr>
              <w:pStyle w:val="2"/>
              <w:spacing w:line="360" w:lineRule="auto"/>
              <w:rPr>
                <w:rFonts w:hint="default" w:ascii="Times New Roman" w:hAnsi="Times New Roman" w:cs="Times New Roman"/>
                <w:b/>
                <w:bCs/>
              </w:rPr>
            </w:pPr>
            <w:r>
              <w:rPr>
                <w:rFonts w:hint="default" w:ascii="Times New Roman" w:hAnsi="Times New Roman" w:cs="Times New Roman"/>
                <w:b/>
                <w:bCs/>
              </w:rPr>
              <w:t>5.11.1制定目的</w:t>
            </w:r>
          </w:p>
          <w:p w14:paraId="70335E3F">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对</w:t>
            </w:r>
            <w:r>
              <w:rPr>
                <w:rFonts w:hint="default" w:ascii="Times New Roman" w:hAnsi="Times New Roman" w:cs="Times New Roman"/>
                <w:bCs/>
                <w:color w:val="000000"/>
                <w:sz w:val="24"/>
                <w:lang w:val="en-US" w:eastAsia="zh-CN"/>
              </w:rPr>
              <w:t>樊陈路一期东延段工程</w:t>
            </w:r>
            <w:r>
              <w:rPr>
                <w:rFonts w:hint="default" w:ascii="Times New Roman" w:hAnsi="Times New Roman" w:cs="Times New Roman"/>
              </w:rPr>
              <w:t>的施工期和运营期实行环境监测，可以全面、及时地掌握工程污染状态，了解区域环境质量变化，从而有利于监督各项环保措施的落实，并根据监测结果适时调整环境保护计划。</w:t>
            </w:r>
          </w:p>
          <w:p w14:paraId="0E38578B">
            <w:pPr>
              <w:pStyle w:val="2"/>
              <w:spacing w:line="360" w:lineRule="auto"/>
              <w:rPr>
                <w:rFonts w:hint="default" w:ascii="Times New Roman" w:hAnsi="Times New Roman" w:cs="Times New Roman"/>
                <w:b/>
                <w:bCs/>
              </w:rPr>
            </w:pPr>
            <w:r>
              <w:rPr>
                <w:rFonts w:hint="default" w:ascii="Times New Roman" w:hAnsi="Times New Roman" w:cs="Times New Roman"/>
                <w:b/>
                <w:bCs/>
              </w:rPr>
              <w:t>5.11.2环境监测机构</w:t>
            </w:r>
          </w:p>
          <w:p w14:paraId="3DF34C21">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本项目施工期和运营期的环境监测可以委托有资质的监测单位承担，应定期定点监测，编制监测报告，提供给监理公司或业主，以备生态环境局监督，若在监测中发现问题应及时报告，以便及时有效的采取措施。</w:t>
            </w:r>
          </w:p>
          <w:p w14:paraId="0D47E114">
            <w:pPr>
              <w:pStyle w:val="2"/>
              <w:spacing w:line="360" w:lineRule="auto"/>
              <w:rPr>
                <w:rFonts w:hint="default" w:ascii="Times New Roman" w:hAnsi="Times New Roman" w:cs="Times New Roman"/>
                <w:b/>
                <w:bCs/>
              </w:rPr>
            </w:pPr>
            <w:r>
              <w:rPr>
                <w:rFonts w:hint="default" w:ascii="Times New Roman" w:hAnsi="Times New Roman" w:cs="Times New Roman"/>
                <w:b/>
                <w:bCs/>
              </w:rPr>
              <w:t>5.11.3监测项目</w:t>
            </w:r>
          </w:p>
          <w:p w14:paraId="6275328A">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施工期监测项目主要是</w:t>
            </w:r>
            <w:r>
              <w:rPr>
                <w:rFonts w:hint="default" w:ascii="Times New Roman" w:hAnsi="Times New Roman" w:cs="Times New Roman"/>
                <w:lang w:val="en-US" w:eastAsia="zh-CN"/>
              </w:rPr>
              <w:t>颗粒物</w:t>
            </w:r>
            <w:r>
              <w:rPr>
                <w:rFonts w:hint="default" w:ascii="Times New Roman" w:hAnsi="Times New Roman" w:cs="Times New Roman"/>
              </w:rPr>
              <w:t>、施工噪声。因本项目路线未跨越水体，所以不需进行水质监测。运营期监测项目主要是敏感点噪声。</w:t>
            </w:r>
          </w:p>
          <w:p w14:paraId="72EB5605">
            <w:pPr>
              <w:pStyle w:val="2"/>
              <w:spacing w:line="360" w:lineRule="auto"/>
              <w:rPr>
                <w:rFonts w:hint="default" w:ascii="Times New Roman" w:hAnsi="Times New Roman" w:cs="Times New Roman"/>
                <w:b/>
                <w:bCs/>
              </w:rPr>
            </w:pPr>
            <w:r>
              <w:rPr>
                <w:rFonts w:hint="default" w:ascii="Times New Roman" w:hAnsi="Times New Roman" w:cs="Times New Roman"/>
                <w:b/>
                <w:bCs/>
              </w:rPr>
              <w:t>5.11.4环境监测计划</w:t>
            </w:r>
          </w:p>
          <w:p w14:paraId="2A7CD3B3">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本项目环境监测计划包括环境空气及噪声，具体见下表。</w:t>
            </w:r>
          </w:p>
          <w:p w14:paraId="0011C7B6">
            <w:pPr>
              <w:pStyle w:val="2"/>
              <w:spacing w:line="360" w:lineRule="auto"/>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表5</w:t>
            </w:r>
            <w:r>
              <w:rPr>
                <w:rFonts w:hint="default" w:ascii="Times New Roman" w:hAnsi="Times New Roman" w:cs="Times New Roman"/>
                <w:b/>
                <w:bCs/>
                <w:sz w:val="21"/>
                <w:szCs w:val="21"/>
                <w:lang w:val="en-US" w:eastAsia="zh-CN"/>
              </w:rPr>
              <w:t>.11</w:t>
            </w:r>
            <w:r>
              <w:rPr>
                <w:rFonts w:hint="default" w:ascii="Times New Roman" w:hAnsi="Times New Roman" w:cs="Times New Roman"/>
                <w:b/>
                <w:bCs/>
                <w:sz w:val="21"/>
                <w:szCs w:val="21"/>
              </w:rPr>
              <w:t>-1  环境监测计划一览表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44"/>
              <w:gridCol w:w="2136"/>
              <w:gridCol w:w="1350"/>
              <w:gridCol w:w="1784"/>
              <w:gridCol w:w="1221"/>
            </w:tblGrid>
            <w:tr w14:paraId="5393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tcBorders>
                    <w:top w:val="single" w:color="auto" w:sz="4" w:space="0"/>
                    <w:left w:val="single" w:color="auto" w:sz="4" w:space="0"/>
                    <w:bottom w:val="single" w:color="auto" w:sz="4" w:space="0"/>
                    <w:right w:val="single" w:color="auto" w:sz="4" w:space="0"/>
                  </w:tcBorders>
                  <w:noWrap w:val="0"/>
                  <w:vAlign w:val="center"/>
                </w:tcPr>
                <w:p w14:paraId="0CD4318C">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阶段</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42588B5A">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监测内容</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991D217">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highlight w:val="none"/>
                    </w:rPr>
                    <w:t>监测地点</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2EEA869">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监测项目</w:t>
                  </w:r>
                </w:p>
              </w:tc>
              <w:tc>
                <w:tcPr>
                  <w:tcW w:w="1784" w:type="dxa"/>
                  <w:tcBorders>
                    <w:top w:val="single" w:color="auto" w:sz="4" w:space="0"/>
                    <w:left w:val="single" w:color="auto" w:sz="4" w:space="0"/>
                    <w:bottom w:val="single" w:color="auto" w:sz="4" w:space="0"/>
                    <w:right w:val="single" w:color="auto" w:sz="4" w:space="0"/>
                  </w:tcBorders>
                  <w:noWrap w:val="0"/>
                  <w:vAlign w:val="center"/>
                </w:tcPr>
                <w:p w14:paraId="71129C79">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监测频次</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44609D40">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监测时间</w:t>
                  </w:r>
                </w:p>
              </w:tc>
            </w:tr>
            <w:tr w14:paraId="79E2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6" w:type="dxa"/>
                  <w:vMerge w:val="restart"/>
                  <w:tcBorders>
                    <w:top w:val="single" w:color="auto" w:sz="4" w:space="0"/>
                    <w:left w:val="single" w:color="auto" w:sz="4" w:space="0"/>
                    <w:right w:val="single" w:color="auto" w:sz="4" w:space="0"/>
                  </w:tcBorders>
                  <w:noWrap w:val="0"/>
                  <w:vAlign w:val="center"/>
                </w:tcPr>
                <w:p w14:paraId="0D357E35">
                  <w:pPr>
                    <w:pStyle w:val="34"/>
                    <w:spacing w:before="34"/>
                    <w:ind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施工期</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1F41990">
                  <w:pPr>
                    <w:spacing w:before="34"/>
                    <w:ind w:left="82" w:right="51"/>
                    <w:jc w:val="center"/>
                    <w:rPr>
                      <w:rFonts w:hint="default" w:ascii="Times New Roman" w:hAnsi="Times New Roman" w:cs="Times New Roman"/>
                      <w:color w:val="000000"/>
                      <w:szCs w:val="21"/>
                    </w:rPr>
                  </w:pPr>
                  <w:r>
                    <w:rPr>
                      <w:rFonts w:hint="default" w:ascii="Times New Roman" w:hAnsi="Times New Roman" w:cs="Times New Roman"/>
                      <w:color w:val="000000"/>
                      <w:szCs w:val="21"/>
                    </w:rPr>
                    <w:t>空气</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25728EE">
                  <w:pPr>
                    <w:spacing w:before="34"/>
                    <w:ind w:left="82" w:right="51"/>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施工现场</w:t>
                  </w:r>
                  <w:r>
                    <w:rPr>
                      <w:rFonts w:hint="default" w:ascii="Times New Roman" w:hAnsi="Times New Roman" w:cs="Times New Roman"/>
                      <w:color w:val="000000"/>
                      <w:szCs w:val="21"/>
                      <w:lang w:val="en-US" w:eastAsia="zh-CN"/>
                    </w:rPr>
                    <w:t>四周</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003DD3E">
                  <w:pPr>
                    <w:pStyle w:val="34"/>
                    <w:spacing w:before="34"/>
                    <w:ind w:left="82" w:right="51"/>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val="en-US" w:eastAsia="zh-CN"/>
                    </w:rPr>
                    <w:t>颗粒物</w:t>
                  </w:r>
                </w:p>
              </w:tc>
              <w:tc>
                <w:tcPr>
                  <w:tcW w:w="1784" w:type="dxa"/>
                  <w:tcBorders>
                    <w:top w:val="single" w:color="auto" w:sz="4" w:space="0"/>
                    <w:left w:val="single" w:color="auto" w:sz="4" w:space="0"/>
                    <w:bottom w:val="single" w:color="auto" w:sz="4" w:space="0"/>
                    <w:right w:val="single" w:color="auto" w:sz="4" w:space="0"/>
                  </w:tcBorders>
                  <w:noWrap w:val="0"/>
                  <w:vAlign w:val="center"/>
                </w:tcPr>
                <w:p w14:paraId="7C88DCD2">
                  <w:pPr>
                    <w:pStyle w:val="34"/>
                    <w:spacing w:before="34"/>
                    <w:ind w:left="82" w:right="51"/>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施工高峰期1期</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7F4F9F89">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3d</w:t>
                  </w:r>
                </w:p>
              </w:tc>
            </w:tr>
            <w:tr w14:paraId="5D89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tcBorders>
                    <w:left w:val="single" w:color="auto" w:sz="4" w:space="0"/>
                    <w:bottom w:val="single" w:color="auto" w:sz="4" w:space="0"/>
                    <w:right w:val="single" w:color="auto" w:sz="4" w:space="0"/>
                  </w:tcBorders>
                  <w:noWrap w:val="0"/>
                  <w:vAlign w:val="center"/>
                </w:tcPr>
                <w:p w14:paraId="46E2AAA0">
                  <w:pPr>
                    <w:pStyle w:val="34"/>
                    <w:spacing w:before="34"/>
                    <w:ind w:left="82" w:right="51"/>
                    <w:rPr>
                      <w:rFonts w:hint="default"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4AD4BA6">
                  <w:pPr>
                    <w:spacing w:before="34"/>
                    <w:ind w:left="82" w:right="51"/>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08013D0">
                  <w:pPr>
                    <w:spacing w:before="34"/>
                    <w:ind w:left="82" w:right="51"/>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榨屋居民点、陈家垄居民点</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2D9593A">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等效连续A声级Leq（A）</w:t>
                  </w:r>
                </w:p>
              </w:tc>
              <w:tc>
                <w:tcPr>
                  <w:tcW w:w="1784" w:type="dxa"/>
                  <w:tcBorders>
                    <w:top w:val="single" w:color="auto" w:sz="4" w:space="0"/>
                    <w:left w:val="single" w:color="auto" w:sz="4" w:space="0"/>
                    <w:bottom w:val="single" w:color="auto" w:sz="4" w:space="0"/>
                    <w:right w:val="single" w:color="auto" w:sz="4" w:space="0"/>
                  </w:tcBorders>
                  <w:noWrap w:val="0"/>
                  <w:vAlign w:val="center"/>
                </w:tcPr>
                <w:p w14:paraId="261B7861">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施工高峰期1期</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7BEDC7E7">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2d，昼夜各监测一次</w:t>
                  </w:r>
                </w:p>
              </w:tc>
            </w:tr>
            <w:tr w14:paraId="0417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tcBorders>
                    <w:top w:val="single" w:color="auto" w:sz="4" w:space="0"/>
                    <w:left w:val="single" w:color="auto" w:sz="4" w:space="0"/>
                    <w:bottom w:val="single" w:color="auto" w:sz="4" w:space="0"/>
                    <w:right w:val="single" w:color="auto" w:sz="4" w:space="0"/>
                  </w:tcBorders>
                  <w:noWrap w:val="0"/>
                  <w:vAlign w:val="center"/>
                </w:tcPr>
                <w:p w14:paraId="405F3D67">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运营期</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8164F6D">
                  <w:pPr>
                    <w:spacing w:before="34"/>
                    <w:ind w:left="82" w:right="51"/>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355887A">
                  <w:pPr>
                    <w:spacing w:before="34"/>
                    <w:ind w:left="82" w:right="51"/>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榨屋居民、陈家垄居民</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岳阳中心医院及赶山片区全民建设中心</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617D982">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等效连续A声级Leq（A）</w:t>
                  </w:r>
                </w:p>
              </w:tc>
              <w:tc>
                <w:tcPr>
                  <w:tcW w:w="1784" w:type="dxa"/>
                  <w:tcBorders>
                    <w:top w:val="single" w:color="auto" w:sz="4" w:space="0"/>
                    <w:left w:val="single" w:color="auto" w:sz="4" w:space="0"/>
                    <w:bottom w:val="single" w:color="auto" w:sz="4" w:space="0"/>
                    <w:right w:val="single" w:color="auto" w:sz="4" w:space="0"/>
                  </w:tcBorders>
                  <w:noWrap w:val="0"/>
                  <w:vAlign w:val="center"/>
                </w:tcPr>
                <w:p w14:paraId="342C1D4A">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rPr>
                    <w:t>运营近、中、远期三个时期各1期</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095A228">
                  <w:pPr>
                    <w:pStyle w:val="34"/>
                    <w:spacing w:before="34"/>
                    <w:ind w:left="82" w:right="51"/>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每期2d，昼夜各监测一次</w:t>
                  </w:r>
                </w:p>
              </w:tc>
            </w:tr>
          </w:tbl>
          <w:p w14:paraId="20638FB5">
            <w:pPr>
              <w:pStyle w:val="8"/>
              <w:rPr>
                <w:rFonts w:hint="default" w:ascii="Times New Roman" w:hAnsi="Times New Roman" w:cs="Times New Roman"/>
                <w:color w:val="000000"/>
                <w:lang w:val="en-US" w:eastAsia="zh-CN"/>
              </w:rPr>
            </w:pPr>
          </w:p>
        </w:tc>
      </w:tr>
      <w:tr w14:paraId="2CF30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12BD2553">
            <w:pPr>
              <w:adjustRightInd w:val="0"/>
              <w:snapToGrid w:val="0"/>
              <w:jc w:val="center"/>
              <w:rPr>
                <w:rFonts w:hint="default" w:ascii="Times New Roman" w:hAnsi="Times New Roman" w:cs="Times New Roman"/>
                <w:bCs/>
                <w:color w:val="000000"/>
                <w:spacing w:val="10"/>
                <w:sz w:val="24"/>
              </w:rPr>
            </w:pPr>
            <w:r>
              <w:rPr>
                <w:rFonts w:hint="default" w:ascii="Times New Roman" w:hAnsi="Times New Roman" w:cs="Times New Roman"/>
                <w:bCs/>
                <w:color w:val="000000"/>
                <w:sz w:val="24"/>
              </w:rPr>
              <w:t>环保投资</w:t>
            </w:r>
          </w:p>
        </w:tc>
        <w:tc>
          <w:tcPr>
            <w:tcW w:w="8457" w:type="dxa"/>
            <w:noWrap w:val="0"/>
            <w:vAlign w:val="top"/>
          </w:tcPr>
          <w:p w14:paraId="769AF7D8">
            <w:pPr>
              <w:spacing w:line="360" w:lineRule="auto"/>
              <w:ind w:firstLine="480" w:firstLineChars="200"/>
              <w:rPr>
                <w:rFonts w:hint="default" w:ascii="Times New Roman" w:hAnsi="Times New Roman" w:cs="Times New Roman"/>
                <w:color w:val="000000"/>
                <w:spacing w:val="4"/>
                <w:sz w:val="24"/>
                <w:highlight w:val="none"/>
              </w:rPr>
            </w:pPr>
            <w:r>
              <w:rPr>
                <w:rFonts w:hint="default" w:ascii="Times New Roman" w:hAnsi="Times New Roman" w:cs="Times New Roman"/>
                <w:color w:val="000000"/>
                <w:sz w:val="24"/>
              </w:rPr>
              <w:t>根据工程中已具有的环保措施及本评价提出的环保措施，估算本项目所需环境保护投资见下表。工程总投资为</w:t>
            </w:r>
            <w:r>
              <w:rPr>
                <w:rFonts w:hint="default" w:ascii="Times New Roman" w:hAnsi="Times New Roman" w:cs="Times New Roman"/>
                <w:color w:val="000000"/>
                <w:sz w:val="24"/>
                <w:lang w:val="en-US" w:eastAsia="zh-CN"/>
              </w:rPr>
              <w:t>3007.55</w:t>
            </w:r>
            <w:r>
              <w:rPr>
                <w:rFonts w:hint="default" w:ascii="Times New Roman" w:hAnsi="Times New Roman" w:cs="Times New Roman"/>
                <w:color w:val="000000"/>
                <w:sz w:val="24"/>
              </w:rPr>
              <w:t>万元，环保投资估算为</w:t>
            </w:r>
            <w:r>
              <w:rPr>
                <w:rFonts w:hint="default" w:ascii="Times New Roman" w:hAnsi="Times New Roman" w:cs="Times New Roman"/>
                <w:color w:val="000000"/>
                <w:sz w:val="24"/>
                <w:lang w:val="en-US" w:eastAsia="zh-CN"/>
              </w:rPr>
              <w:t>98</w:t>
            </w:r>
            <w:r>
              <w:rPr>
                <w:rFonts w:hint="default" w:ascii="Times New Roman" w:hAnsi="Times New Roman" w:cs="Times New Roman"/>
                <w:color w:val="000000"/>
                <w:sz w:val="24"/>
              </w:rPr>
              <w:t>万元，占工程总投资的</w:t>
            </w:r>
            <w:r>
              <w:rPr>
                <w:rFonts w:hint="default" w:ascii="Times New Roman" w:hAnsi="Times New Roman" w:cs="Times New Roman"/>
                <w:color w:val="000000"/>
                <w:sz w:val="24"/>
                <w:lang w:val="en-US" w:eastAsia="zh-CN"/>
              </w:rPr>
              <w:t>3.26</w:t>
            </w:r>
            <w:r>
              <w:rPr>
                <w:rFonts w:hint="default" w:ascii="Times New Roman" w:hAnsi="Times New Roman" w:cs="Times New Roman"/>
                <w:color w:val="000000"/>
                <w:sz w:val="24"/>
              </w:rPr>
              <w:t>%</w:t>
            </w:r>
            <w:r>
              <w:rPr>
                <w:rFonts w:hint="default" w:ascii="Times New Roman" w:hAnsi="Times New Roman" w:cs="Times New Roman"/>
                <w:color w:val="000000"/>
                <w:spacing w:val="4"/>
                <w:sz w:val="24"/>
              </w:rPr>
              <w:t>。</w:t>
            </w:r>
          </w:p>
          <w:p w14:paraId="7D299F03">
            <w:pPr>
              <w:spacing w:line="360" w:lineRule="auto"/>
              <w:ind w:firstLine="422" w:firstLineChars="200"/>
              <w:jc w:val="center"/>
              <w:rPr>
                <w:rFonts w:hint="default" w:ascii="Times New Roman" w:hAnsi="Times New Roman" w:cs="Times New Roman"/>
                <w:b/>
                <w:bCs/>
                <w:color w:val="000000"/>
                <w:szCs w:val="21"/>
                <w:highlight w:val="none"/>
                <w:lang w:bidi="ar"/>
              </w:rPr>
            </w:pPr>
            <w:r>
              <w:rPr>
                <w:rFonts w:hint="default" w:ascii="Times New Roman" w:hAnsi="Times New Roman" w:cs="Times New Roman"/>
                <w:b/>
                <w:bCs/>
                <w:color w:val="000000"/>
                <w:szCs w:val="21"/>
                <w:highlight w:val="none"/>
                <w:lang w:bidi="ar"/>
              </w:rPr>
              <w:t>表5</w:t>
            </w:r>
            <w:r>
              <w:rPr>
                <w:rFonts w:hint="default" w:ascii="Times New Roman" w:hAnsi="Times New Roman" w:cs="Times New Roman"/>
                <w:b/>
                <w:bCs/>
                <w:color w:val="000000"/>
                <w:szCs w:val="21"/>
                <w:highlight w:val="none"/>
                <w:lang w:val="en-US" w:eastAsia="zh-CN" w:bidi="ar"/>
              </w:rPr>
              <w:t>.11</w:t>
            </w:r>
            <w:r>
              <w:rPr>
                <w:rFonts w:hint="default" w:ascii="Times New Roman" w:hAnsi="Times New Roman" w:cs="Times New Roman"/>
                <w:b/>
                <w:bCs/>
                <w:color w:val="000000"/>
                <w:szCs w:val="21"/>
                <w:highlight w:val="none"/>
                <w:lang w:bidi="ar"/>
              </w:rPr>
              <w:t>-2  项目环保投资一览表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315"/>
              <w:gridCol w:w="4850"/>
              <w:gridCol w:w="956"/>
            </w:tblGrid>
            <w:tr w14:paraId="72CF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noWrap w:val="0"/>
                  <w:vAlign w:val="center"/>
                </w:tcPr>
                <w:p w14:paraId="436AC8F0">
                  <w:pPr>
                    <w:pStyle w:val="38"/>
                    <w:widowControl w:val="0"/>
                    <w:spacing w:line="240" w:lineRule="auto"/>
                    <w:ind w:leftChars="0"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阶段</w:t>
                  </w:r>
                </w:p>
              </w:tc>
              <w:tc>
                <w:tcPr>
                  <w:tcW w:w="6165" w:type="dxa"/>
                  <w:gridSpan w:val="2"/>
                  <w:noWrap w:val="0"/>
                  <w:vAlign w:val="center"/>
                </w:tcPr>
                <w:p w14:paraId="344C58E1">
                  <w:pPr>
                    <w:pStyle w:val="38"/>
                    <w:widowControl w:val="0"/>
                    <w:spacing w:line="240" w:lineRule="auto"/>
                    <w:ind w:leftChars="0"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治理措施及效果</w:t>
                  </w:r>
                </w:p>
              </w:tc>
              <w:tc>
                <w:tcPr>
                  <w:tcW w:w="956" w:type="dxa"/>
                  <w:noWrap w:val="0"/>
                  <w:vAlign w:val="center"/>
                </w:tcPr>
                <w:p w14:paraId="3C698BB4">
                  <w:pPr>
                    <w:pStyle w:val="38"/>
                    <w:widowControl w:val="0"/>
                    <w:spacing w:line="240" w:lineRule="auto"/>
                    <w:ind w:leftChars="0"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投资</w:t>
                  </w:r>
                </w:p>
                <w:p w14:paraId="059A86DE">
                  <w:pPr>
                    <w:pStyle w:val="38"/>
                    <w:widowControl w:val="0"/>
                    <w:spacing w:line="240" w:lineRule="auto"/>
                    <w:ind w:leftChars="0"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（万元）</w:t>
                  </w:r>
                </w:p>
              </w:tc>
            </w:tr>
            <w:tr w14:paraId="4C6B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05" w:type="dxa"/>
                  <w:vMerge w:val="restart"/>
                  <w:noWrap w:val="0"/>
                  <w:vAlign w:val="center"/>
                </w:tcPr>
                <w:p w14:paraId="2EA30D76">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施工期</w:t>
                  </w:r>
                </w:p>
              </w:tc>
              <w:tc>
                <w:tcPr>
                  <w:tcW w:w="1315" w:type="dxa"/>
                  <w:noWrap w:val="0"/>
                  <w:vAlign w:val="center"/>
                </w:tcPr>
                <w:p w14:paraId="553F5124">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生态环境</w:t>
                  </w:r>
                </w:p>
              </w:tc>
              <w:tc>
                <w:tcPr>
                  <w:tcW w:w="4850" w:type="dxa"/>
                  <w:noWrap w:val="0"/>
                  <w:vAlign w:val="center"/>
                </w:tcPr>
                <w:p w14:paraId="154BA7DE">
                  <w:pPr>
                    <w:pStyle w:val="38"/>
                    <w:spacing w:line="240" w:lineRule="auto"/>
                    <w:ind w:left="0" w:leftChars="0" w:firstLine="197" w:firstLineChars="94"/>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水土保持、移栽植被</w:t>
                  </w:r>
                </w:p>
              </w:tc>
              <w:tc>
                <w:tcPr>
                  <w:tcW w:w="956" w:type="dxa"/>
                  <w:noWrap w:val="0"/>
                  <w:vAlign w:val="center"/>
                </w:tcPr>
                <w:p w14:paraId="082992DC">
                  <w:pPr>
                    <w:pStyle w:val="39"/>
                    <w:spacing w:line="240" w:lineRule="auto"/>
                    <w:ind w:firstLine="0"/>
                    <w:jc w:val="center"/>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15</w:t>
                  </w:r>
                </w:p>
              </w:tc>
            </w:tr>
            <w:tr w14:paraId="511D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5" w:type="dxa"/>
                  <w:vMerge w:val="continue"/>
                  <w:noWrap w:val="0"/>
                  <w:vAlign w:val="center"/>
                </w:tcPr>
                <w:p w14:paraId="79492866">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73557F66">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噪声治理</w:t>
                  </w:r>
                </w:p>
              </w:tc>
              <w:tc>
                <w:tcPr>
                  <w:tcW w:w="4850" w:type="dxa"/>
                  <w:noWrap w:val="0"/>
                  <w:vAlign w:val="center"/>
                </w:tcPr>
                <w:p w14:paraId="42DCBDC6">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施工场地四周设置临时围挡</w:t>
                  </w:r>
                </w:p>
              </w:tc>
              <w:tc>
                <w:tcPr>
                  <w:tcW w:w="956" w:type="dxa"/>
                  <w:noWrap w:val="0"/>
                  <w:vAlign w:val="center"/>
                </w:tcPr>
                <w:p w14:paraId="523F4C9B">
                  <w:pPr>
                    <w:pStyle w:val="38"/>
                    <w:spacing w:line="240" w:lineRule="auto"/>
                    <w:ind w:leftChars="0" w:firstLine="0" w:firstLineChars="0"/>
                    <w:jc w:val="center"/>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10</w:t>
                  </w:r>
                </w:p>
              </w:tc>
            </w:tr>
            <w:tr w14:paraId="61F2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105" w:type="dxa"/>
                  <w:vMerge w:val="continue"/>
                  <w:noWrap w:val="0"/>
                  <w:vAlign w:val="center"/>
                </w:tcPr>
                <w:p w14:paraId="33B95A32">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27A963F3">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大气污染防治</w:t>
                  </w:r>
                </w:p>
              </w:tc>
              <w:tc>
                <w:tcPr>
                  <w:tcW w:w="4850" w:type="dxa"/>
                  <w:noWrap w:val="0"/>
                  <w:vAlign w:val="center"/>
                </w:tcPr>
                <w:p w14:paraId="00D733B9">
                  <w:pPr>
                    <w:pStyle w:val="39"/>
                    <w:spacing w:line="240" w:lineRule="auto"/>
                    <w:ind w:firstLine="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洒水车、防尘布网</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运输车辆应具备封闭式加盖装置</w:t>
                  </w:r>
                </w:p>
              </w:tc>
              <w:tc>
                <w:tcPr>
                  <w:tcW w:w="956" w:type="dxa"/>
                  <w:noWrap w:val="0"/>
                  <w:vAlign w:val="center"/>
                </w:tcPr>
                <w:p w14:paraId="0DFAA1DF">
                  <w:pPr>
                    <w:pStyle w:val="38"/>
                    <w:spacing w:line="240" w:lineRule="auto"/>
                    <w:ind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10</w:t>
                  </w:r>
                </w:p>
              </w:tc>
            </w:tr>
            <w:tr w14:paraId="5EAB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05" w:type="dxa"/>
                  <w:vMerge w:val="continue"/>
                  <w:noWrap w:val="0"/>
                  <w:vAlign w:val="center"/>
                </w:tcPr>
                <w:p w14:paraId="5144A2D4">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47B21261">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固废治理</w:t>
                  </w:r>
                </w:p>
              </w:tc>
              <w:tc>
                <w:tcPr>
                  <w:tcW w:w="4850" w:type="dxa"/>
                  <w:noWrap w:val="0"/>
                  <w:vAlign w:val="center"/>
                </w:tcPr>
                <w:p w14:paraId="40681A73">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弃渣、建筑垃圾集中收集定期外运</w:t>
                  </w:r>
                </w:p>
              </w:tc>
              <w:tc>
                <w:tcPr>
                  <w:tcW w:w="956" w:type="dxa"/>
                  <w:noWrap w:val="0"/>
                  <w:vAlign w:val="center"/>
                </w:tcPr>
                <w:p w14:paraId="69FE19C6">
                  <w:pPr>
                    <w:pStyle w:val="38"/>
                    <w:spacing w:line="240" w:lineRule="auto"/>
                    <w:ind w:leftChars="0" w:firstLine="0" w:firstLineChars="0"/>
                    <w:jc w:val="center"/>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15</w:t>
                  </w:r>
                </w:p>
              </w:tc>
            </w:tr>
            <w:tr w14:paraId="73DF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5" w:type="dxa"/>
                  <w:vMerge w:val="continue"/>
                  <w:noWrap w:val="0"/>
                  <w:vAlign w:val="center"/>
                </w:tcPr>
                <w:p w14:paraId="212EBDB6">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45A99C8A">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水污染治理</w:t>
                  </w:r>
                </w:p>
              </w:tc>
              <w:tc>
                <w:tcPr>
                  <w:tcW w:w="4850" w:type="dxa"/>
                  <w:noWrap w:val="0"/>
                  <w:vAlign w:val="center"/>
                </w:tcPr>
                <w:p w14:paraId="46854552">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隔油沉淀池1座</w:t>
                  </w:r>
                </w:p>
              </w:tc>
              <w:tc>
                <w:tcPr>
                  <w:tcW w:w="956" w:type="dxa"/>
                  <w:noWrap w:val="0"/>
                  <w:vAlign w:val="center"/>
                </w:tcPr>
                <w:p w14:paraId="302E2FD5">
                  <w:pPr>
                    <w:pStyle w:val="38"/>
                    <w:spacing w:line="240" w:lineRule="auto"/>
                    <w:ind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w:t>
                  </w:r>
                </w:p>
              </w:tc>
            </w:tr>
            <w:tr w14:paraId="69A9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05" w:type="dxa"/>
                  <w:vMerge w:val="restart"/>
                  <w:noWrap w:val="0"/>
                  <w:vAlign w:val="center"/>
                </w:tcPr>
                <w:p w14:paraId="653AF0BD">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营运期</w:t>
                  </w:r>
                </w:p>
              </w:tc>
              <w:tc>
                <w:tcPr>
                  <w:tcW w:w="1315" w:type="dxa"/>
                  <w:noWrap w:val="0"/>
                  <w:vAlign w:val="center"/>
                </w:tcPr>
                <w:p w14:paraId="6F2DA4B7">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生态环境</w:t>
                  </w:r>
                </w:p>
              </w:tc>
              <w:tc>
                <w:tcPr>
                  <w:tcW w:w="4850" w:type="dxa"/>
                  <w:noWrap w:val="0"/>
                  <w:vAlign w:val="center"/>
                </w:tcPr>
                <w:p w14:paraId="1D74B015">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道路两侧种植行道树</w:t>
                  </w:r>
                </w:p>
              </w:tc>
              <w:tc>
                <w:tcPr>
                  <w:tcW w:w="956" w:type="dxa"/>
                  <w:noWrap w:val="0"/>
                  <w:vAlign w:val="center"/>
                </w:tcPr>
                <w:p w14:paraId="333BA453">
                  <w:pPr>
                    <w:pStyle w:val="38"/>
                    <w:spacing w:line="240" w:lineRule="auto"/>
                    <w:ind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20</w:t>
                  </w:r>
                </w:p>
              </w:tc>
            </w:tr>
            <w:tr w14:paraId="629C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05" w:type="dxa"/>
                  <w:vMerge w:val="continue"/>
                  <w:noWrap w:val="0"/>
                  <w:vAlign w:val="center"/>
                </w:tcPr>
                <w:p w14:paraId="4FC8FFF5">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511C7BA9">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废气治理</w:t>
                  </w:r>
                </w:p>
              </w:tc>
              <w:tc>
                <w:tcPr>
                  <w:tcW w:w="4850" w:type="dxa"/>
                  <w:noWrap w:val="0"/>
                  <w:vAlign w:val="center"/>
                </w:tcPr>
                <w:p w14:paraId="15593F2B">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道路清扫，洒水车</w:t>
                  </w:r>
                </w:p>
              </w:tc>
              <w:tc>
                <w:tcPr>
                  <w:tcW w:w="956" w:type="dxa"/>
                  <w:noWrap w:val="0"/>
                  <w:vAlign w:val="center"/>
                </w:tcPr>
                <w:p w14:paraId="0A83F898">
                  <w:pPr>
                    <w:pStyle w:val="38"/>
                    <w:spacing w:line="240" w:lineRule="auto"/>
                    <w:ind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15</w:t>
                  </w:r>
                </w:p>
              </w:tc>
            </w:tr>
            <w:tr w14:paraId="05B0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105" w:type="dxa"/>
                  <w:vMerge w:val="continue"/>
                  <w:noWrap w:val="0"/>
                  <w:vAlign w:val="center"/>
                </w:tcPr>
                <w:p w14:paraId="582265FA">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3039D258">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固废治理</w:t>
                  </w:r>
                </w:p>
              </w:tc>
              <w:tc>
                <w:tcPr>
                  <w:tcW w:w="4850" w:type="dxa"/>
                  <w:noWrap w:val="0"/>
                  <w:vAlign w:val="center"/>
                </w:tcPr>
                <w:p w14:paraId="36F9F587">
                  <w:pPr>
                    <w:pStyle w:val="39"/>
                    <w:spacing w:line="240" w:lineRule="auto"/>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路侧设置垃圾箱</w:t>
                  </w:r>
                </w:p>
              </w:tc>
              <w:tc>
                <w:tcPr>
                  <w:tcW w:w="956" w:type="dxa"/>
                  <w:noWrap w:val="0"/>
                  <w:vAlign w:val="center"/>
                </w:tcPr>
                <w:p w14:paraId="11E67F46">
                  <w:pPr>
                    <w:pStyle w:val="38"/>
                    <w:spacing w:line="240" w:lineRule="auto"/>
                    <w:ind w:left="-4" w:firstLine="2" w:firstLineChars="1"/>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20C4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105" w:type="dxa"/>
                  <w:vMerge w:val="continue"/>
                  <w:noWrap w:val="0"/>
                  <w:vAlign w:val="center"/>
                </w:tcPr>
                <w:p w14:paraId="548265AA">
                  <w:pPr>
                    <w:pStyle w:val="39"/>
                    <w:spacing w:line="240" w:lineRule="auto"/>
                    <w:ind w:firstLine="0"/>
                    <w:jc w:val="center"/>
                    <w:rPr>
                      <w:rFonts w:hint="default" w:ascii="Times New Roman" w:hAnsi="Times New Roman" w:cs="Times New Roman"/>
                      <w:color w:val="000000"/>
                      <w:sz w:val="21"/>
                      <w:szCs w:val="21"/>
                      <w:highlight w:val="none"/>
                    </w:rPr>
                  </w:pPr>
                </w:p>
              </w:tc>
              <w:tc>
                <w:tcPr>
                  <w:tcW w:w="1315" w:type="dxa"/>
                  <w:noWrap w:val="0"/>
                  <w:vAlign w:val="center"/>
                </w:tcPr>
                <w:p w14:paraId="4084C7C0">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噪声治理</w:t>
                  </w:r>
                </w:p>
              </w:tc>
              <w:tc>
                <w:tcPr>
                  <w:tcW w:w="4850" w:type="dxa"/>
                  <w:noWrap w:val="0"/>
                  <w:vAlign w:val="center"/>
                </w:tcPr>
                <w:p w14:paraId="42705A68">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禁止鸣笛、减速标志、安装限速摄像头、定期路面养护、预留降噪费用、跟踪监测费用</w:t>
                  </w:r>
                </w:p>
              </w:tc>
              <w:tc>
                <w:tcPr>
                  <w:tcW w:w="956" w:type="dxa"/>
                  <w:noWrap w:val="0"/>
                  <w:vAlign w:val="center"/>
                </w:tcPr>
                <w:p w14:paraId="13F059E8">
                  <w:pPr>
                    <w:pStyle w:val="38"/>
                    <w:spacing w:line="240" w:lineRule="auto"/>
                    <w:ind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10</w:t>
                  </w:r>
                </w:p>
              </w:tc>
            </w:tr>
            <w:tr w14:paraId="4252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105" w:type="dxa"/>
                  <w:noWrap w:val="0"/>
                  <w:vAlign w:val="center"/>
                </w:tcPr>
                <w:p w14:paraId="6A41D028">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合计</w:t>
                  </w:r>
                </w:p>
              </w:tc>
              <w:tc>
                <w:tcPr>
                  <w:tcW w:w="1315" w:type="dxa"/>
                  <w:noWrap w:val="0"/>
                  <w:vAlign w:val="center"/>
                </w:tcPr>
                <w:p w14:paraId="355DE65B">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4850" w:type="dxa"/>
                  <w:noWrap w:val="0"/>
                  <w:vAlign w:val="center"/>
                </w:tcPr>
                <w:p w14:paraId="65D941F6">
                  <w:pPr>
                    <w:pStyle w:val="39"/>
                    <w:spacing w:line="240" w:lineRule="auto"/>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56" w:type="dxa"/>
                  <w:noWrap w:val="0"/>
                  <w:vAlign w:val="center"/>
                </w:tcPr>
                <w:p w14:paraId="68045699">
                  <w:pPr>
                    <w:pStyle w:val="38"/>
                    <w:spacing w:line="240" w:lineRule="auto"/>
                    <w:ind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98</w:t>
                  </w:r>
                </w:p>
              </w:tc>
            </w:tr>
          </w:tbl>
          <w:p w14:paraId="008D4248">
            <w:pPr>
              <w:adjustRightInd w:val="0"/>
              <w:snapToGrid w:val="0"/>
              <w:rPr>
                <w:rFonts w:hint="default" w:ascii="Times New Roman" w:hAnsi="Times New Roman" w:cs="Times New Roman"/>
                <w:bCs/>
                <w:color w:val="000000"/>
                <w:spacing w:val="10"/>
                <w:sz w:val="24"/>
              </w:rPr>
            </w:pPr>
          </w:p>
        </w:tc>
      </w:tr>
    </w:tbl>
    <w:p w14:paraId="357C5E19">
      <w:pPr>
        <w:rPr>
          <w:rFonts w:hint="default" w:ascii="Times New Roman" w:hAnsi="Times New Roman" w:cs="Times New Roman"/>
          <w:color w:val="000000"/>
        </w:rPr>
        <w:sectPr>
          <w:pgSz w:w="11907" w:h="16840"/>
          <w:pgMar w:top="1440" w:right="1797" w:bottom="1440" w:left="1797" w:header="851" w:footer="1077" w:gutter="0"/>
          <w:pgNumType w:fmt="decimal"/>
          <w:cols w:space="720" w:num="1"/>
          <w:docGrid w:linePitch="312" w:charSpace="0"/>
        </w:sectPr>
      </w:pPr>
    </w:p>
    <w:p w14:paraId="7C796F89">
      <w:pPr>
        <w:pStyle w:val="21"/>
        <w:jc w:val="center"/>
        <w:outlineLvl w:val="0"/>
        <w:rPr>
          <w:rFonts w:hint="default" w:ascii="Times New Roman" w:hAnsi="Times New Roman" w:cs="Times New Roman"/>
          <w:b/>
          <w:bCs/>
          <w:snapToGrid w:val="0"/>
          <w:color w:val="000000"/>
          <w:sz w:val="30"/>
          <w:szCs w:val="30"/>
        </w:rPr>
      </w:pPr>
      <w:bookmarkStart w:id="18" w:name="_Toc26646"/>
      <w:r>
        <w:rPr>
          <w:rFonts w:hint="default" w:ascii="Times New Roman" w:hAnsi="Times New Roman" w:cs="Times New Roman"/>
          <w:b/>
          <w:bCs/>
          <w:snapToGrid w:val="0"/>
          <w:color w:val="000000"/>
          <w:sz w:val="30"/>
          <w:szCs w:val="30"/>
        </w:rPr>
        <w:t>六、生态环境保护措施监督检查清单</w:t>
      </w:r>
      <w:bookmarkEnd w:id="1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7"/>
        <w:gridCol w:w="1716"/>
        <w:gridCol w:w="1404"/>
        <w:gridCol w:w="1749"/>
      </w:tblGrid>
      <w:tr w14:paraId="1929E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Merge w:val="restart"/>
            <w:tcBorders>
              <w:tl2br w:val="single" w:color="auto" w:sz="4" w:space="0"/>
            </w:tcBorders>
            <w:noWrap w:val="0"/>
            <w:vAlign w:val="top"/>
          </w:tcPr>
          <w:p w14:paraId="78D46504">
            <w:pPr>
              <w:pStyle w:val="21"/>
              <w:keepNext w:val="0"/>
              <w:keepLines w:val="0"/>
              <w:pageBreakBefore w:val="0"/>
              <w:kinsoku/>
              <w:wordWrap/>
              <w:overflowPunct/>
              <w:topLinePunct w:val="0"/>
              <w:autoSpaceDE/>
              <w:autoSpaceDN/>
              <w:bidi w:val="0"/>
              <w:adjustRightInd w:val="0"/>
              <w:snapToGrid w:val="0"/>
              <w:spacing w:before="120" w:beforeLines="5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19" w:name="_Toc3529"/>
            <w:r>
              <w:rPr>
                <w:rFonts w:hint="default" w:ascii="Times New Roman" w:hAnsi="Times New Roman" w:cs="Times New Roman"/>
                <w:color w:val="000000"/>
                <w:kern w:val="2"/>
                <w:szCs w:val="24"/>
                <w:lang w:val="en-US" w:eastAsia="zh-CN"/>
              </w:rPr>
              <w:t xml:space="preserve">      内容</w:t>
            </w:r>
            <w:bookmarkEnd w:id="19"/>
          </w:p>
          <w:p w14:paraId="1CB6C8B6">
            <w:pPr>
              <w:pStyle w:val="21"/>
              <w:keepNext w:val="0"/>
              <w:keepLines w:val="0"/>
              <w:pageBreakBefore w:val="0"/>
              <w:kinsoku/>
              <w:wordWrap/>
              <w:overflowPunct/>
              <w:topLinePunct w:val="0"/>
              <w:autoSpaceDE/>
              <w:autoSpaceDN/>
              <w:bidi w:val="0"/>
              <w:adjustRightInd w:val="0"/>
              <w:snapToGrid w:val="0"/>
              <w:spacing w:before="72" w:beforeLines="30" w:beforeAutospacing="0" w:after="0" w:afterAutospacing="0"/>
              <w:jc w:val="center"/>
              <w:textAlignment w:val="auto"/>
              <w:outlineLvl w:val="9"/>
              <w:rPr>
                <w:rFonts w:hint="default" w:ascii="Times New Roman" w:hAnsi="Times New Roman" w:cs="Times New Roman"/>
                <w:color w:val="000000"/>
                <w:kern w:val="2"/>
                <w:szCs w:val="24"/>
                <w:lang w:val="en-US" w:eastAsia="zh-CN"/>
              </w:rPr>
            </w:pPr>
          </w:p>
          <w:p w14:paraId="7736861F">
            <w:pPr>
              <w:pStyle w:val="21"/>
              <w:keepNext w:val="0"/>
              <w:keepLines w:val="0"/>
              <w:pageBreakBefore w:val="0"/>
              <w:kinsoku/>
              <w:wordWrap/>
              <w:overflowPunct/>
              <w:topLinePunct w:val="0"/>
              <w:autoSpaceDE/>
              <w:autoSpaceDN/>
              <w:bidi w:val="0"/>
              <w:adjustRightInd w:val="0"/>
              <w:snapToGrid w:val="0"/>
              <w:spacing w:before="0" w:beforeAutospacing="0" w:after="0" w:afterAutospacing="0" w:line="14" w:lineRule="auto"/>
              <w:textAlignment w:val="auto"/>
              <w:outlineLvl w:val="9"/>
              <w:rPr>
                <w:rFonts w:hint="default" w:ascii="Times New Roman" w:hAnsi="Times New Roman" w:cs="Times New Roman"/>
                <w:color w:val="000000"/>
                <w:kern w:val="2"/>
                <w:szCs w:val="24"/>
                <w:lang w:val="en-US" w:eastAsia="zh-CN"/>
              </w:rPr>
            </w:pPr>
            <w:r>
              <w:rPr>
                <w:rFonts w:hint="default" w:ascii="Times New Roman" w:hAnsi="Times New Roman" w:cs="Times New Roman"/>
                <w:color w:val="000000"/>
                <w:kern w:val="2"/>
                <w:szCs w:val="24"/>
                <w:lang w:val="en-US" w:eastAsia="zh-CN"/>
              </w:rPr>
              <w:t xml:space="preserve">  </w:t>
            </w:r>
          </w:p>
          <w:p w14:paraId="03E86927">
            <w:pPr>
              <w:pStyle w:val="21"/>
              <w:keepNext w:val="0"/>
              <w:keepLines w:val="0"/>
              <w:pageBreakBefore w:val="0"/>
              <w:kinsoku/>
              <w:wordWrap/>
              <w:overflowPunct/>
              <w:topLinePunct w:val="0"/>
              <w:autoSpaceDE/>
              <w:autoSpaceDN/>
              <w:bidi w:val="0"/>
              <w:adjustRightInd w:val="0"/>
              <w:snapToGrid w:val="0"/>
              <w:spacing w:before="0" w:beforeAutospacing="0" w:after="0" w:afterAutospacing="0"/>
              <w:textAlignment w:val="auto"/>
              <w:outlineLvl w:val="9"/>
              <w:rPr>
                <w:rFonts w:hint="default" w:ascii="Times New Roman" w:hAnsi="Times New Roman" w:cs="Times New Roman"/>
                <w:color w:val="000000"/>
                <w:kern w:val="2"/>
                <w:szCs w:val="24"/>
                <w:lang w:val="en-US" w:eastAsia="zh-CN"/>
              </w:rPr>
            </w:pPr>
            <w:bookmarkStart w:id="20" w:name="_Toc6756"/>
            <w:r>
              <w:rPr>
                <w:rFonts w:hint="default" w:ascii="Times New Roman" w:hAnsi="Times New Roman" w:cs="Times New Roman"/>
                <w:color w:val="000000"/>
                <w:kern w:val="2"/>
                <w:szCs w:val="24"/>
                <w:lang w:val="en-US" w:eastAsia="zh-CN"/>
              </w:rPr>
              <w:t>要素</w:t>
            </w:r>
            <w:bookmarkEnd w:id="20"/>
          </w:p>
        </w:tc>
        <w:tc>
          <w:tcPr>
            <w:tcW w:w="3843" w:type="dxa"/>
            <w:gridSpan w:val="2"/>
            <w:noWrap w:val="0"/>
            <w:vAlign w:val="center"/>
          </w:tcPr>
          <w:p w14:paraId="5F98CB4E">
            <w:pPr>
              <w:pStyle w:val="21"/>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21" w:name="_Toc19789"/>
            <w:r>
              <w:rPr>
                <w:rFonts w:hint="default" w:ascii="Times New Roman" w:hAnsi="Times New Roman" w:cs="Times New Roman"/>
                <w:color w:val="000000"/>
                <w:kern w:val="2"/>
                <w:szCs w:val="24"/>
                <w:lang w:val="en-US" w:eastAsia="zh-CN"/>
              </w:rPr>
              <w:t>施工期</w:t>
            </w:r>
            <w:bookmarkEnd w:id="21"/>
          </w:p>
        </w:tc>
        <w:tc>
          <w:tcPr>
            <w:tcW w:w="3153" w:type="dxa"/>
            <w:gridSpan w:val="2"/>
            <w:noWrap w:val="0"/>
            <w:vAlign w:val="center"/>
          </w:tcPr>
          <w:p w14:paraId="34C74633">
            <w:pPr>
              <w:pStyle w:val="21"/>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22" w:name="_Toc12753"/>
            <w:r>
              <w:rPr>
                <w:rFonts w:hint="default" w:ascii="Times New Roman" w:hAnsi="Times New Roman" w:cs="Times New Roman"/>
                <w:color w:val="000000"/>
                <w:kern w:val="2"/>
                <w:szCs w:val="24"/>
                <w:lang w:val="en-US" w:eastAsia="zh-CN"/>
              </w:rPr>
              <w:t>运营期</w:t>
            </w:r>
            <w:bookmarkEnd w:id="22"/>
          </w:p>
        </w:tc>
      </w:tr>
      <w:tr w14:paraId="275B5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Merge w:val="continue"/>
            <w:noWrap w:val="0"/>
            <w:vAlign w:val="top"/>
          </w:tcPr>
          <w:p w14:paraId="4A158E12">
            <w:pPr>
              <w:pStyle w:val="21"/>
              <w:keepNext w:val="0"/>
              <w:keepLines w:val="0"/>
              <w:pageBreakBefore w:val="0"/>
              <w:kinsoku/>
              <w:wordWrap/>
              <w:overflowPunct/>
              <w:topLinePunct w:val="0"/>
              <w:autoSpaceDE/>
              <w:autoSpaceDN/>
              <w:bidi w:val="0"/>
              <w:adjustRightInd w:val="0"/>
              <w:snapToGrid w:val="0"/>
              <w:spacing w:before="0" w:beforeAutospacing="0" w:after="0" w:afterAutospacing="0"/>
              <w:ind w:firstLine="840"/>
              <w:jc w:val="center"/>
              <w:textAlignment w:val="auto"/>
              <w:outlineLvl w:val="9"/>
              <w:rPr>
                <w:rFonts w:hint="default" w:ascii="Times New Roman" w:hAnsi="Times New Roman" w:cs="Times New Roman"/>
                <w:color w:val="000000"/>
                <w:kern w:val="2"/>
                <w:szCs w:val="24"/>
                <w:lang w:val="en-US" w:eastAsia="zh-CN"/>
              </w:rPr>
            </w:pPr>
          </w:p>
        </w:tc>
        <w:tc>
          <w:tcPr>
            <w:tcW w:w="2127" w:type="dxa"/>
            <w:noWrap w:val="0"/>
            <w:vAlign w:val="center"/>
          </w:tcPr>
          <w:p w14:paraId="2B7E3CA1">
            <w:pPr>
              <w:pStyle w:val="21"/>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23" w:name="_Toc13882"/>
            <w:r>
              <w:rPr>
                <w:rFonts w:hint="default" w:ascii="Times New Roman" w:hAnsi="Times New Roman" w:cs="Times New Roman"/>
                <w:color w:val="000000"/>
                <w:kern w:val="2"/>
                <w:szCs w:val="24"/>
                <w:lang w:val="en-US" w:eastAsia="zh-CN"/>
              </w:rPr>
              <w:t>环境保护措施</w:t>
            </w:r>
            <w:bookmarkEnd w:id="23"/>
          </w:p>
        </w:tc>
        <w:tc>
          <w:tcPr>
            <w:tcW w:w="1716" w:type="dxa"/>
            <w:noWrap w:val="0"/>
            <w:vAlign w:val="center"/>
          </w:tcPr>
          <w:p w14:paraId="5AB9F4DD">
            <w:pPr>
              <w:pStyle w:val="21"/>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24" w:name="_Toc22034"/>
            <w:r>
              <w:rPr>
                <w:rFonts w:hint="default" w:ascii="Times New Roman" w:hAnsi="Times New Roman" w:cs="Times New Roman"/>
                <w:color w:val="000000"/>
                <w:kern w:val="2"/>
                <w:szCs w:val="24"/>
                <w:lang w:val="en-US" w:eastAsia="zh-CN"/>
              </w:rPr>
              <w:t>验收要求</w:t>
            </w:r>
            <w:bookmarkEnd w:id="24"/>
          </w:p>
        </w:tc>
        <w:tc>
          <w:tcPr>
            <w:tcW w:w="1404" w:type="dxa"/>
            <w:noWrap w:val="0"/>
            <w:vAlign w:val="center"/>
          </w:tcPr>
          <w:p w14:paraId="65F38870">
            <w:pPr>
              <w:pStyle w:val="21"/>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25" w:name="_Toc26237"/>
            <w:r>
              <w:rPr>
                <w:rFonts w:hint="default" w:ascii="Times New Roman" w:hAnsi="Times New Roman" w:cs="Times New Roman"/>
                <w:color w:val="000000"/>
                <w:kern w:val="2"/>
                <w:szCs w:val="24"/>
                <w:lang w:val="en-US" w:eastAsia="zh-CN"/>
              </w:rPr>
              <w:t>环境保护措施</w:t>
            </w:r>
            <w:bookmarkEnd w:id="25"/>
          </w:p>
        </w:tc>
        <w:tc>
          <w:tcPr>
            <w:tcW w:w="1749" w:type="dxa"/>
            <w:noWrap w:val="0"/>
            <w:vAlign w:val="center"/>
          </w:tcPr>
          <w:p w14:paraId="275C260E">
            <w:pPr>
              <w:pStyle w:val="21"/>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cs="Times New Roman"/>
                <w:color w:val="000000"/>
                <w:kern w:val="2"/>
                <w:szCs w:val="24"/>
                <w:lang w:val="en-US" w:eastAsia="zh-CN"/>
              </w:rPr>
            </w:pPr>
            <w:bookmarkStart w:id="26" w:name="_Toc16337"/>
            <w:r>
              <w:rPr>
                <w:rFonts w:hint="default" w:ascii="Times New Roman" w:hAnsi="Times New Roman" w:cs="Times New Roman"/>
                <w:color w:val="000000"/>
                <w:kern w:val="2"/>
                <w:szCs w:val="24"/>
                <w:lang w:val="en-US" w:eastAsia="zh-CN"/>
              </w:rPr>
              <w:t>验收要求</w:t>
            </w:r>
            <w:bookmarkEnd w:id="26"/>
          </w:p>
        </w:tc>
      </w:tr>
      <w:tr w14:paraId="5E321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1" w:hRule="atLeast"/>
          <w:jc w:val="center"/>
        </w:trPr>
        <w:tc>
          <w:tcPr>
            <w:tcW w:w="1526" w:type="dxa"/>
            <w:noWrap w:val="0"/>
            <w:vAlign w:val="center"/>
          </w:tcPr>
          <w:p w14:paraId="3C02312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陆生生态</w:t>
            </w:r>
          </w:p>
        </w:tc>
        <w:tc>
          <w:tcPr>
            <w:tcW w:w="2127" w:type="dxa"/>
            <w:noWrap w:val="0"/>
            <w:vAlign w:val="center"/>
          </w:tcPr>
          <w:p w14:paraId="5B10533F">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场地平整前尽量对施工界限内的植物做好移栽工作，避免工程施工对其破坏；</w:t>
            </w:r>
            <w:r>
              <w:rPr>
                <w:rFonts w:hint="default" w:ascii="Times New Roman" w:hAnsi="Times New Roman" w:cs="Times New Roman"/>
                <w:color w:val="000000"/>
                <w:kern w:val="0"/>
                <w:sz w:val="24"/>
              </w:rPr>
              <w:t>植被恢复，</w:t>
            </w:r>
            <w:r>
              <w:rPr>
                <w:rFonts w:hint="default" w:ascii="Times New Roman" w:hAnsi="Times New Roman" w:cs="Times New Roman"/>
                <w:color w:val="000000"/>
                <w:sz w:val="24"/>
              </w:rPr>
              <w:t>表土回填覆绿，</w:t>
            </w:r>
            <w:r>
              <w:rPr>
                <w:rFonts w:hint="default" w:ascii="Times New Roman" w:hAnsi="Times New Roman" w:cs="Times New Roman"/>
                <w:color w:val="000000"/>
                <w:kern w:val="0"/>
                <w:sz w:val="24"/>
              </w:rPr>
              <w:t>做好拦挡和排水工作</w:t>
            </w:r>
          </w:p>
        </w:tc>
        <w:tc>
          <w:tcPr>
            <w:tcW w:w="1716" w:type="dxa"/>
            <w:noWrap w:val="0"/>
            <w:vAlign w:val="center"/>
          </w:tcPr>
          <w:p w14:paraId="674571FE">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按要求</w:t>
            </w:r>
            <w:r>
              <w:rPr>
                <w:rFonts w:hint="default" w:ascii="Times New Roman" w:hAnsi="Times New Roman" w:cs="Times New Roman"/>
                <w:color w:val="000000"/>
                <w:sz w:val="24"/>
                <w:lang w:val="en-US" w:eastAsia="zh-CN"/>
              </w:rPr>
              <w:t>恢复植被</w:t>
            </w:r>
          </w:p>
        </w:tc>
        <w:tc>
          <w:tcPr>
            <w:tcW w:w="1404" w:type="dxa"/>
            <w:noWrap w:val="0"/>
            <w:vAlign w:val="center"/>
          </w:tcPr>
          <w:p w14:paraId="0AD02BFA">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加强对路面的清洁，</w:t>
            </w:r>
            <w:r>
              <w:rPr>
                <w:rFonts w:hint="default" w:ascii="Times New Roman" w:hAnsi="Times New Roman" w:cs="Times New Roman"/>
                <w:color w:val="000000"/>
                <w:sz w:val="24"/>
              </w:rPr>
              <w:t>绿化要突出地方特色。对所有因工程开挖的裸地进行植被恢复</w:t>
            </w:r>
          </w:p>
        </w:tc>
        <w:tc>
          <w:tcPr>
            <w:tcW w:w="1749" w:type="dxa"/>
            <w:noWrap w:val="0"/>
            <w:vAlign w:val="center"/>
          </w:tcPr>
          <w:p w14:paraId="6A416B5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道路两侧行道树等已建设完备且植物生长状态良好；临时施工占地已复垦或恢复植被；各水土流失设施如排水系统等已按设计要求完善</w:t>
            </w:r>
          </w:p>
        </w:tc>
      </w:tr>
      <w:tr w14:paraId="3F47E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526" w:type="dxa"/>
            <w:noWrap w:val="0"/>
            <w:vAlign w:val="center"/>
          </w:tcPr>
          <w:p w14:paraId="20320AC9">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水生生态</w:t>
            </w:r>
          </w:p>
        </w:tc>
        <w:tc>
          <w:tcPr>
            <w:tcW w:w="2127" w:type="dxa"/>
            <w:noWrap w:val="0"/>
            <w:vAlign w:val="center"/>
          </w:tcPr>
          <w:p w14:paraId="6185CDBB">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在施工场地周边设置临时截排水设施、沉淀池，防止雨水满地漫流，造成水流冲蚀</w:t>
            </w:r>
          </w:p>
        </w:tc>
        <w:tc>
          <w:tcPr>
            <w:tcW w:w="1716" w:type="dxa"/>
            <w:noWrap w:val="0"/>
            <w:vAlign w:val="center"/>
          </w:tcPr>
          <w:p w14:paraId="129DFCF1">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lang w:val="en-US" w:eastAsia="zh-CN"/>
              </w:rPr>
              <w:t>/</w:t>
            </w:r>
          </w:p>
        </w:tc>
        <w:tc>
          <w:tcPr>
            <w:tcW w:w="1404" w:type="dxa"/>
            <w:noWrap w:val="0"/>
            <w:vAlign w:val="center"/>
          </w:tcPr>
          <w:p w14:paraId="206ED7DB">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49" w:type="dxa"/>
            <w:noWrap w:val="0"/>
            <w:vAlign w:val="center"/>
          </w:tcPr>
          <w:p w14:paraId="43DE737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r>
      <w:tr w14:paraId="2AC73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8" w:hRule="atLeast"/>
          <w:jc w:val="center"/>
        </w:trPr>
        <w:tc>
          <w:tcPr>
            <w:tcW w:w="1526" w:type="dxa"/>
            <w:noWrap w:val="0"/>
            <w:vAlign w:val="center"/>
          </w:tcPr>
          <w:p w14:paraId="350CEAD7">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地表水环境</w:t>
            </w:r>
          </w:p>
        </w:tc>
        <w:tc>
          <w:tcPr>
            <w:tcW w:w="2127" w:type="dxa"/>
            <w:noWrap w:val="0"/>
            <w:vAlign w:val="center"/>
          </w:tcPr>
          <w:p w14:paraId="39399A8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施工期生活污水</w:t>
            </w:r>
            <w:r>
              <w:rPr>
                <w:rFonts w:hint="default" w:ascii="Times New Roman" w:hAnsi="Times New Roman" w:cs="Times New Roman"/>
                <w:color w:val="000000"/>
                <w:sz w:val="24"/>
                <w:lang w:val="en-US" w:eastAsia="zh-CN"/>
              </w:rPr>
              <w:t>进入当地村民污水系统，用作农肥</w:t>
            </w:r>
            <w:r>
              <w:rPr>
                <w:rFonts w:hint="default" w:ascii="Times New Roman" w:hAnsi="Times New Roman" w:cs="Times New Roman"/>
                <w:color w:val="000000"/>
                <w:sz w:val="24"/>
              </w:rPr>
              <w:t>，施工期废水通过隔油沉淀池处理</w:t>
            </w:r>
          </w:p>
        </w:tc>
        <w:tc>
          <w:tcPr>
            <w:tcW w:w="1716" w:type="dxa"/>
            <w:noWrap w:val="0"/>
            <w:vAlign w:val="center"/>
          </w:tcPr>
          <w:p w14:paraId="18CA9D52">
            <w:pPr>
              <w:keepNext w:val="0"/>
              <w:keepLines w:val="0"/>
              <w:pageBreakBefore w:val="0"/>
              <w:kinsoku/>
              <w:wordWrap/>
              <w:overflowPunct/>
              <w:topLinePunct w:val="0"/>
              <w:autoSpaceDE/>
              <w:autoSpaceDN/>
              <w:bidi w:val="0"/>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生活污水</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不外排；</w:t>
            </w:r>
          </w:p>
          <w:p w14:paraId="7FB15EA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施工废水：不外排。</w:t>
            </w:r>
          </w:p>
        </w:tc>
        <w:tc>
          <w:tcPr>
            <w:tcW w:w="1404" w:type="dxa"/>
            <w:noWrap w:val="0"/>
            <w:vAlign w:val="center"/>
          </w:tcPr>
          <w:p w14:paraId="3CBE452E">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雨污分流</w:t>
            </w:r>
          </w:p>
        </w:tc>
        <w:tc>
          <w:tcPr>
            <w:tcW w:w="1749" w:type="dxa"/>
            <w:noWrap w:val="0"/>
            <w:vAlign w:val="center"/>
          </w:tcPr>
          <w:p w14:paraId="34B4215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接入市政雨污管网</w:t>
            </w:r>
          </w:p>
        </w:tc>
      </w:tr>
      <w:tr w14:paraId="28051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noWrap w:val="0"/>
            <w:vAlign w:val="center"/>
          </w:tcPr>
          <w:p w14:paraId="5E921E7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地下水及土壤环境</w:t>
            </w:r>
          </w:p>
        </w:tc>
        <w:tc>
          <w:tcPr>
            <w:tcW w:w="2127" w:type="dxa"/>
            <w:noWrap w:val="0"/>
            <w:vAlign w:val="center"/>
          </w:tcPr>
          <w:p w14:paraId="3581610F">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16" w:type="dxa"/>
            <w:noWrap w:val="0"/>
            <w:vAlign w:val="center"/>
          </w:tcPr>
          <w:p w14:paraId="63AC8876">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404" w:type="dxa"/>
            <w:noWrap w:val="0"/>
            <w:vAlign w:val="center"/>
          </w:tcPr>
          <w:p w14:paraId="63CEB154">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49" w:type="dxa"/>
            <w:noWrap w:val="0"/>
            <w:vAlign w:val="center"/>
          </w:tcPr>
          <w:p w14:paraId="14454AF6">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r>
      <w:tr w14:paraId="66DFB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1526" w:type="dxa"/>
            <w:noWrap w:val="0"/>
            <w:vAlign w:val="center"/>
          </w:tcPr>
          <w:p w14:paraId="14556E94">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声环境</w:t>
            </w:r>
          </w:p>
        </w:tc>
        <w:tc>
          <w:tcPr>
            <w:tcW w:w="2127" w:type="dxa"/>
            <w:noWrap w:val="0"/>
            <w:vAlign w:val="center"/>
          </w:tcPr>
          <w:p w14:paraId="66AB5BE7">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加强施工管理，合理安排作业时间，选用低噪声设备或采取隔声、消声等措施降噪，严格按照施工噪声管理的有关规定作业</w:t>
            </w:r>
          </w:p>
        </w:tc>
        <w:tc>
          <w:tcPr>
            <w:tcW w:w="1716" w:type="dxa"/>
            <w:noWrap w:val="0"/>
            <w:vAlign w:val="center"/>
          </w:tcPr>
          <w:p w14:paraId="37231DFF">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执行《建筑施工场界环境噪声排放标准》（GB12523—2011）</w:t>
            </w:r>
          </w:p>
        </w:tc>
        <w:tc>
          <w:tcPr>
            <w:tcW w:w="1404" w:type="dxa"/>
            <w:noWrap w:val="0"/>
            <w:vAlign w:val="center"/>
          </w:tcPr>
          <w:p w14:paraId="558C359F">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加强道路交通管理，加强道路通车后的路面养护工作</w:t>
            </w:r>
            <w:r>
              <w:rPr>
                <w:rFonts w:hint="default" w:ascii="Times New Roman" w:hAnsi="Times New Roman" w:cs="Times New Roman"/>
                <w:color w:val="000000"/>
                <w:sz w:val="24"/>
                <w:lang w:val="en-US" w:eastAsia="zh-CN"/>
              </w:rPr>
              <w:t>和绿化</w:t>
            </w:r>
            <w:r>
              <w:rPr>
                <w:rFonts w:hint="default" w:ascii="Times New Roman" w:hAnsi="Times New Roman" w:cs="Times New Roman"/>
                <w:color w:val="000000"/>
                <w:sz w:val="24"/>
              </w:rPr>
              <w:t>；在敏感点路段附近设置禁鸣、限速标志</w:t>
            </w:r>
          </w:p>
        </w:tc>
        <w:tc>
          <w:tcPr>
            <w:tcW w:w="1749" w:type="dxa"/>
            <w:noWrap w:val="0"/>
            <w:vAlign w:val="center"/>
          </w:tcPr>
          <w:p w14:paraId="5220FC05">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执行《声环境质量标准》（GB3096-2008）中的2类、4a类标准</w:t>
            </w:r>
          </w:p>
        </w:tc>
      </w:tr>
      <w:tr w14:paraId="1E342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526" w:type="dxa"/>
            <w:noWrap w:val="0"/>
            <w:vAlign w:val="center"/>
          </w:tcPr>
          <w:p w14:paraId="229480E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振动</w:t>
            </w:r>
          </w:p>
        </w:tc>
        <w:tc>
          <w:tcPr>
            <w:tcW w:w="2127" w:type="dxa"/>
            <w:noWrap w:val="0"/>
            <w:vAlign w:val="center"/>
          </w:tcPr>
          <w:p w14:paraId="52081D1A">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16" w:type="dxa"/>
            <w:noWrap w:val="0"/>
            <w:vAlign w:val="center"/>
          </w:tcPr>
          <w:p w14:paraId="6768AF1F">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404" w:type="dxa"/>
            <w:noWrap w:val="0"/>
            <w:vAlign w:val="center"/>
          </w:tcPr>
          <w:p w14:paraId="1E7E62F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49" w:type="dxa"/>
            <w:noWrap w:val="0"/>
            <w:vAlign w:val="center"/>
          </w:tcPr>
          <w:p w14:paraId="50EE751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r>
      <w:tr w14:paraId="4BB4D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9" w:hRule="atLeast"/>
          <w:jc w:val="center"/>
        </w:trPr>
        <w:tc>
          <w:tcPr>
            <w:tcW w:w="1526" w:type="dxa"/>
            <w:noWrap w:val="0"/>
            <w:vAlign w:val="center"/>
          </w:tcPr>
          <w:p w14:paraId="252DEA3B">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大气环境</w:t>
            </w:r>
          </w:p>
        </w:tc>
        <w:tc>
          <w:tcPr>
            <w:tcW w:w="2127" w:type="dxa"/>
            <w:noWrap w:val="0"/>
            <w:vAlign w:val="center"/>
          </w:tcPr>
          <w:p w14:paraId="7F41EB87">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配备洒水车洒水抑尘，沿线设置围挡、物料遮盖；裸露土地遮盖；</w:t>
            </w:r>
            <w:r>
              <w:rPr>
                <w:rFonts w:hint="default" w:ascii="Times New Roman" w:hAnsi="Times New Roman" w:cs="Times New Roman"/>
                <w:color w:val="000000"/>
                <w:sz w:val="24"/>
                <w:lang w:val="en-US" w:eastAsia="zh-CN"/>
              </w:rPr>
              <w:t>加强对施工机械和运输车辆的维护保养</w:t>
            </w:r>
          </w:p>
        </w:tc>
        <w:tc>
          <w:tcPr>
            <w:tcW w:w="1716" w:type="dxa"/>
            <w:noWrap w:val="0"/>
            <w:vAlign w:val="center"/>
          </w:tcPr>
          <w:p w14:paraId="7337816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《大气污染物综合排放标准》中的无组织排放监控浓度限值</w:t>
            </w:r>
          </w:p>
        </w:tc>
        <w:tc>
          <w:tcPr>
            <w:tcW w:w="1404" w:type="dxa"/>
            <w:noWrap w:val="0"/>
            <w:vAlign w:val="center"/>
          </w:tcPr>
          <w:p w14:paraId="469A856A">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rPr>
              <w:t>加强道路保洁及养护，加强车辆管理，加强绿化对交叉口进行空间拓宽，弥补平面交叉时间上的损失</w:t>
            </w:r>
            <w:r>
              <w:rPr>
                <w:rFonts w:hint="default" w:ascii="Times New Roman" w:hAnsi="Times New Roman" w:cs="Times New Roman"/>
                <w:color w:val="000000"/>
                <w:sz w:val="24"/>
                <w:lang w:eastAsia="zh-CN"/>
              </w:rPr>
              <w:t>。</w:t>
            </w:r>
          </w:p>
        </w:tc>
        <w:tc>
          <w:tcPr>
            <w:tcW w:w="1749" w:type="dxa"/>
            <w:noWrap w:val="0"/>
            <w:vAlign w:val="center"/>
          </w:tcPr>
          <w:p w14:paraId="7C1DCE63">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《大气污染物综合排放标准》中的</w:t>
            </w:r>
            <w:r>
              <w:rPr>
                <w:rFonts w:hint="default" w:ascii="Times New Roman" w:hAnsi="Times New Roman" w:cs="Times New Roman"/>
                <w:color w:val="000000"/>
                <w:sz w:val="24"/>
                <w:lang w:val="en-US" w:eastAsia="zh-CN"/>
              </w:rPr>
              <w:t>标准</w:t>
            </w:r>
          </w:p>
        </w:tc>
      </w:tr>
      <w:tr w14:paraId="48F95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1" w:hRule="atLeast"/>
          <w:jc w:val="center"/>
        </w:trPr>
        <w:tc>
          <w:tcPr>
            <w:tcW w:w="1526" w:type="dxa"/>
            <w:noWrap w:val="0"/>
            <w:vAlign w:val="center"/>
          </w:tcPr>
          <w:p w14:paraId="157F93AD">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固体废物</w:t>
            </w:r>
          </w:p>
        </w:tc>
        <w:tc>
          <w:tcPr>
            <w:tcW w:w="2127" w:type="dxa"/>
            <w:noWrap w:val="0"/>
            <w:vAlign w:val="center"/>
          </w:tcPr>
          <w:p w14:paraId="378DD56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生活垃圾集中收集，交由环卫部门统一处理；弃渣、建筑垃圾送至指定的消纳场所</w:t>
            </w:r>
          </w:p>
        </w:tc>
        <w:tc>
          <w:tcPr>
            <w:tcW w:w="1716" w:type="dxa"/>
            <w:noWrap w:val="0"/>
            <w:vAlign w:val="center"/>
          </w:tcPr>
          <w:p w14:paraId="40A951BC">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集中收集、统一处理，施工区无乱堆乱弃现象</w:t>
            </w:r>
          </w:p>
        </w:tc>
        <w:tc>
          <w:tcPr>
            <w:tcW w:w="1404" w:type="dxa"/>
            <w:noWrap w:val="0"/>
            <w:vAlign w:val="center"/>
          </w:tcPr>
          <w:p w14:paraId="1C7DFDCB">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通过制定有关法规，管理泥头车等其它装有以散落物车辆的行驶，防止固体废弃物污染。</w:t>
            </w:r>
          </w:p>
        </w:tc>
        <w:tc>
          <w:tcPr>
            <w:tcW w:w="1749" w:type="dxa"/>
            <w:noWrap w:val="0"/>
            <w:vAlign w:val="center"/>
          </w:tcPr>
          <w:p w14:paraId="4471038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强化道路沿线的固体废弃物污染治理的监督工作，道路沿线的固体废弃物应定期进行清理。</w:t>
            </w:r>
          </w:p>
        </w:tc>
      </w:tr>
      <w:tr w14:paraId="37E33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26" w:type="dxa"/>
            <w:noWrap w:val="0"/>
            <w:vAlign w:val="center"/>
          </w:tcPr>
          <w:p w14:paraId="080F6019">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电磁环境</w:t>
            </w:r>
          </w:p>
        </w:tc>
        <w:tc>
          <w:tcPr>
            <w:tcW w:w="2127" w:type="dxa"/>
            <w:noWrap w:val="0"/>
            <w:vAlign w:val="center"/>
          </w:tcPr>
          <w:p w14:paraId="5E21546B">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16" w:type="dxa"/>
            <w:noWrap w:val="0"/>
            <w:vAlign w:val="center"/>
          </w:tcPr>
          <w:p w14:paraId="5E4F9845">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404" w:type="dxa"/>
            <w:noWrap w:val="0"/>
            <w:vAlign w:val="center"/>
          </w:tcPr>
          <w:p w14:paraId="0772023F">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49" w:type="dxa"/>
            <w:noWrap w:val="0"/>
            <w:vAlign w:val="center"/>
          </w:tcPr>
          <w:p w14:paraId="53AFE7F6">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r>
      <w:tr w14:paraId="45FAD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5" w:hRule="atLeast"/>
          <w:jc w:val="center"/>
        </w:trPr>
        <w:tc>
          <w:tcPr>
            <w:tcW w:w="1526" w:type="dxa"/>
            <w:noWrap w:val="0"/>
            <w:vAlign w:val="center"/>
          </w:tcPr>
          <w:p w14:paraId="18F9049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环境风险</w:t>
            </w:r>
          </w:p>
        </w:tc>
        <w:tc>
          <w:tcPr>
            <w:tcW w:w="2127" w:type="dxa"/>
            <w:noWrap w:val="0"/>
            <w:vAlign w:val="center"/>
          </w:tcPr>
          <w:p w14:paraId="2BED2404">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16" w:type="dxa"/>
            <w:noWrap w:val="0"/>
            <w:vAlign w:val="center"/>
          </w:tcPr>
          <w:p w14:paraId="2582FE16">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404" w:type="dxa"/>
            <w:noWrap w:val="0"/>
            <w:vAlign w:val="center"/>
          </w:tcPr>
          <w:p w14:paraId="3A8DCF3C">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pacing w:val="2"/>
                <w:sz w:val="24"/>
              </w:rPr>
              <w:t>严格落实新四禁方案，剧毒危险物品运输车辆(含空载状态)、易燃易爆运输车辆(含空载状态)在0:00-24:00时段内禁止进入中心区内。</w:t>
            </w:r>
          </w:p>
        </w:tc>
        <w:tc>
          <w:tcPr>
            <w:tcW w:w="1749" w:type="dxa"/>
            <w:noWrap w:val="0"/>
            <w:vAlign w:val="center"/>
          </w:tcPr>
          <w:p w14:paraId="745F5DC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减少事故发生概率，及时响应</w:t>
            </w:r>
          </w:p>
        </w:tc>
      </w:tr>
      <w:tr w14:paraId="7754F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8" w:hRule="atLeast"/>
          <w:jc w:val="center"/>
        </w:trPr>
        <w:tc>
          <w:tcPr>
            <w:tcW w:w="1526" w:type="dxa"/>
            <w:noWrap w:val="0"/>
            <w:vAlign w:val="center"/>
          </w:tcPr>
          <w:p w14:paraId="488D40D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环境监测</w:t>
            </w:r>
          </w:p>
        </w:tc>
        <w:tc>
          <w:tcPr>
            <w:tcW w:w="2127" w:type="dxa"/>
            <w:noWrap w:val="0"/>
            <w:vAlign w:val="center"/>
          </w:tcPr>
          <w:p w14:paraId="79646C0E">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1、污染物排放监测：道路沿线TSP、施工噪声监测；</w:t>
            </w:r>
          </w:p>
          <w:p w14:paraId="079574E3">
            <w:pPr>
              <w:pStyle w:val="8"/>
              <w:keepNext w:val="0"/>
              <w:keepLines w:val="0"/>
              <w:pageBreakBefore w:val="0"/>
              <w:kinsoku/>
              <w:wordWrap/>
              <w:overflowPunct/>
              <w:topLinePunct w:val="0"/>
              <w:autoSpaceDE/>
              <w:autoSpaceDN/>
              <w:bidi w:val="0"/>
              <w:textAlignment w:val="auto"/>
              <w:outlineLvl w:val="9"/>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2、环境质量监测：沿线敏感点TSP、噪声监测</w:t>
            </w:r>
          </w:p>
        </w:tc>
        <w:tc>
          <w:tcPr>
            <w:tcW w:w="1716" w:type="dxa"/>
            <w:noWrap w:val="0"/>
            <w:vAlign w:val="center"/>
          </w:tcPr>
          <w:p w14:paraId="63422A3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1、《大气污染物综合排放标准》、《建筑施工场界环境噪声排放标准》；</w:t>
            </w:r>
          </w:p>
          <w:p w14:paraId="1C82F34A">
            <w:pPr>
              <w:pStyle w:val="8"/>
              <w:keepNext w:val="0"/>
              <w:keepLines w:val="0"/>
              <w:pageBreakBefore w:val="0"/>
              <w:kinsoku/>
              <w:wordWrap/>
              <w:overflowPunct/>
              <w:topLinePunct w:val="0"/>
              <w:autoSpaceDE/>
              <w:autoSpaceDN/>
              <w:bidi w:val="0"/>
              <w:textAlignment w:val="auto"/>
              <w:outlineLvl w:val="9"/>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《环境空气质量标准》（GB3095-2012）</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《声环境质量标准》（GB3096-2008）2类、4a类</w:t>
            </w:r>
          </w:p>
        </w:tc>
        <w:tc>
          <w:tcPr>
            <w:tcW w:w="1404" w:type="dxa"/>
            <w:noWrap w:val="0"/>
            <w:vAlign w:val="center"/>
          </w:tcPr>
          <w:p w14:paraId="77B551C3">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声环境敏感点噪声监测</w:t>
            </w:r>
          </w:p>
        </w:tc>
        <w:tc>
          <w:tcPr>
            <w:tcW w:w="1749" w:type="dxa"/>
            <w:noWrap w:val="0"/>
            <w:vAlign w:val="center"/>
          </w:tcPr>
          <w:p w14:paraId="39B4C8C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《声环境质量标准》（GB3096-2008）2类、4a类</w:t>
            </w:r>
          </w:p>
        </w:tc>
      </w:tr>
      <w:tr w14:paraId="66357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noWrap w:val="0"/>
            <w:vAlign w:val="center"/>
          </w:tcPr>
          <w:p w14:paraId="220F45E6">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其他</w:t>
            </w:r>
          </w:p>
        </w:tc>
        <w:tc>
          <w:tcPr>
            <w:tcW w:w="2127" w:type="dxa"/>
            <w:noWrap w:val="0"/>
            <w:vAlign w:val="center"/>
          </w:tcPr>
          <w:p w14:paraId="05CD7C43">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16" w:type="dxa"/>
            <w:noWrap w:val="0"/>
            <w:vAlign w:val="center"/>
          </w:tcPr>
          <w:p w14:paraId="3A740159">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404" w:type="dxa"/>
            <w:noWrap w:val="0"/>
            <w:vAlign w:val="center"/>
          </w:tcPr>
          <w:p w14:paraId="3A233101">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49" w:type="dxa"/>
            <w:noWrap w:val="0"/>
            <w:vAlign w:val="center"/>
          </w:tcPr>
          <w:p w14:paraId="63C174B0">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w:t>
            </w:r>
          </w:p>
        </w:tc>
      </w:tr>
    </w:tbl>
    <w:p w14:paraId="25825B7E">
      <w:pPr>
        <w:pStyle w:val="21"/>
        <w:jc w:val="center"/>
        <w:outlineLvl w:val="0"/>
        <w:rPr>
          <w:rFonts w:hint="default" w:ascii="Times New Roman" w:hAnsi="Times New Roman" w:cs="Times New Roman"/>
          <w:b/>
          <w:bCs/>
          <w:snapToGrid w:val="0"/>
          <w:color w:val="000000"/>
          <w:sz w:val="30"/>
          <w:szCs w:val="30"/>
        </w:rPr>
      </w:pPr>
      <w:r>
        <w:rPr>
          <w:rFonts w:hint="default" w:ascii="Times New Roman" w:hAnsi="Times New Roman" w:cs="Times New Roman"/>
          <w:snapToGrid w:val="0"/>
          <w:color w:val="000000"/>
          <w:sz w:val="30"/>
          <w:szCs w:val="30"/>
        </w:rPr>
        <w:br w:type="page"/>
      </w:r>
      <w:bookmarkStart w:id="27" w:name="_Toc31287"/>
      <w:r>
        <w:rPr>
          <w:rFonts w:hint="default" w:ascii="Times New Roman" w:hAnsi="Times New Roman" w:cs="Times New Roman"/>
          <w:b/>
          <w:bCs/>
          <w:snapToGrid w:val="0"/>
          <w:color w:val="000000"/>
          <w:sz w:val="30"/>
          <w:szCs w:val="30"/>
        </w:rPr>
        <w:t>七、结论</w:t>
      </w:r>
      <w:bookmarkEnd w:id="2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12"/>
      </w:tblGrid>
      <w:tr w14:paraId="59940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12" w:type="dxa"/>
            <w:noWrap w:val="0"/>
            <w:vAlign w:val="center"/>
          </w:tcPr>
          <w:p w14:paraId="090ED7BD">
            <w:pPr>
              <w:autoSpaceDE w:val="0"/>
              <w:autoSpaceDN w:val="0"/>
              <w:adjustRightInd w:val="0"/>
              <w:spacing w:line="360" w:lineRule="auto"/>
              <w:ind w:firstLine="480" w:firstLineChars="200"/>
              <w:jc w:val="both"/>
              <w:rPr>
                <w:rFonts w:hint="default" w:ascii="Times New Roman" w:hAnsi="Times New Roman" w:cs="Times New Roman"/>
                <w:color w:val="000000"/>
                <w:szCs w:val="24"/>
                <w:lang w:eastAsia="zh-CN"/>
              </w:rPr>
            </w:pPr>
            <w:r>
              <w:rPr>
                <w:rFonts w:hint="default" w:ascii="Times New Roman" w:hAnsi="Times New Roman" w:cs="Times New Roman"/>
                <w:sz w:val="24"/>
              </w:rPr>
              <w:t>综上所述，本项目符合国家产业政策，选址基本合理。在落实本报告提出的各项环境保护措施，并确保项目产生的各项污染物达标排放、固体废物有效合规处置的前提下，其对生态环境的影响可控。因此，从环境保护的角度分析，项目建设可行。</w:t>
            </w:r>
          </w:p>
        </w:tc>
      </w:tr>
    </w:tbl>
    <w:p w14:paraId="51582432">
      <w:pPr>
        <w:rPr>
          <w:rFonts w:hint="default" w:ascii="Times New Roman" w:hAnsi="Times New Roman" w:cs="Times New Roma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Corbel">
    <w:panose1 w:val="020B0503020204020204"/>
    <w:charset w:val="00"/>
    <w:family w:val="swiss"/>
    <w:pitch w:val="default"/>
    <w:sig w:usb0="A00002EF" w:usb1="4000A44B" w:usb2="00000000" w:usb3="00000000" w:csb0="2000019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2A9B1">
    <w:pPr>
      <w:pStyle w:val="18"/>
      <w:ind w:right="360" w:firstLine="360"/>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97DAD">
    <w:pPr>
      <w:pStyle w:val="18"/>
      <w:framePr w:wrap="around" w:vAnchor="text" w:hAnchor="margin" w:xAlign="outside" w:y="1"/>
      <w:rPr>
        <w:rStyle w:val="25"/>
      </w:rPr>
    </w:pPr>
    <w:r>
      <w:fldChar w:fldCharType="begin"/>
    </w:r>
    <w:r>
      <w:rPr>
        <w:rStyle w:val="25"/>
      </w:rPr>
      <w:instrText xml:space="preserve">PAGE  </w:instrText>
    </w:r>
    <w:r>
      <w:fldChar w:fldCharType="end"/>
    </w:r>
  </w:p>
  <w:p w14:paraId="3414EC81">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E434">
    <w:pPr>
      <w:pStyle w:val="18"/>
      <w:ind w:right="360" w:firstLine="360"/>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72ADC">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5872ADC">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433A9"/>
    <w:multiLevelType w:val="singleLevel"/>
    <w:tmpl w:val="89D433A9"/>
    <w:lvl w:ilvl="0" w:tentative="0">
      <w:start w:val="1"/>
      <w:numFmt w:val="decimal"/>
      <w:suff w:val="nothing"/>
      <w:lvlText w:val="（%1）"/>
      <w:lvlJc w:val="left"/>
    </w:lvl>
  </w:abstractNum>
  <w:abstractNum w:abstractNumId="1">
    <w:nsid w:val="A7FB7B08"/>
    <w:multiLevelType w:val="singleLevel"/>
    <w:tmpl w:val="A7FB7B08"/>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2">
    <w:nsid w:val="F6C8F5EE"/>
    <w:multiLevelType w:val="singleLevel"/>
    <w:tmpl w:val="F6C8F5EE"/>
    <w:lvl w:ilvl="0" w:tentative="0">
      <w:start w:val="1"/>
      <w:numFmt w:val="decimal"/>
      <w:lvlText w:val="%1."/>
      <w:lvlJc w:val="left"/>
      <w:pPr>
        <w:tabs>
          <w:tab w:val="left" w:pos="312"/>
        </w:tabs>
      </w:pPr>
    </w:lvl>
  </w:abstractNum>
  <w:abstractNum w:abstractNumId="3">
    <w:nsid w:val="6FDA25FE"/>
    <w:multiLevelType w:val="singleLevel"/>
    <w:tmpl w:val="6FDA25FE"/>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3"/>
  <w:displayBackgroundShape w:val="1"/>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5NjBhZmRkODEyYjg5ZTYxYmM3NTEwOGNhN2M1MmEifQ=="/>
  </w:docVars>
  <w:rsids>
    <w:rsidRoot w:val="766B1DBC"/>
    <w:rsid w:val="004B48CF"/>
    <w:rsid w:val="00BE0A6F"/>
    <w:rsid w:val="00BE32F3"/>
    <w:rsid w:val="01080A12"/>
    <w:rsid w:val="011E3D92"/>
    <w:rsid w:val="01436412"/>
    <w:rsid w:val="0159126E"/>
    <w:rsid w:val="01617EFC"/>
    <w:rsid w:val="01B370EF"/>
    <w:rsid w:val="01D64ED1"/>
    <w:rsid w:val="02336C93"/>
    <w:rsid w:val="02476BE4"/>
    <w:rsid w:val="025D4D8E"/>
    <w:rsid w:val="02803986"/>
    <w:rsid w:val="02903B70"/>
    <w:rsid w:val="02A81B3F"/>
    <w:rsid w:val="02CD1F13"/>
    <w:rsid w:val="02D2752A"/>
    <w:rsid w:val="02E227EE"/>
    <w:rsid w:val="03015F3D"/>
    <w:rsid w:val="030C1265"/>
    <w:rsid w:val="033124A2"/>
    <w:rsid w:val="036075BE"/>
    <w:rsid w:val="038E15BE"/>
    <w:rsid w:val="03934A27"/>
    <w:rsid w:val="040D3568"/>
    <w:rsid w:val="040E27E3"/>
    <w:rsid w:val="040E4592"/>
    <w:rsid w:val="04293179"/>
    <w:rsid w:val="04640655"/>
    <w:rsid w:val="048C161B"/>
    <w:rsid w:val="04C2712A"/>
    <w:rsid w:val="04E70524"/>
    <w:rsid w:val="052536DF"/>
    <w:rsid w:val="05301CF4"/>
    <w:rsid w:val="05485B7B"/>
    <w:rsid w:val="054D2E98"/>
    <w:rsid w:val="057C377D"/>
    <w:rsid w:val="059B038E"/>
    <w:rsid w:val="05D65561"/>
    <w:rsid w:val="06252291"/>
    <w:rsid w:val="062F14C1"/>
    <w:rsid w:val="063509A2"/>
    <w:rsid w:val="063A2E96"/>
    <w:rsid w:val="06530F29"/>
    <w:rsid w:val="06732DD2"/>
    <w:rsid w:val="067F7E6E"/>
    <w:rsid w:val="068F128E"/>
    <w:rsid w:val="06C47189"/>
    <w:rsid w:val="06D957E4"/>
    <w:rsid w:val="06DF3513"/>
    <w:rsid w:val="070F2026"/>
    <w:rsid w:val="072145DC"/>
    <w:rsid w:val="07432E95"/>
    <w:rsid w:val="074A0790"/>
    <w:rsid w:val="074E2EF7"/>
    <w:rsid w:val="076D5D6F"/>
    <w:rsid w:val="07F615C4"/>
    <w:rsid w:val="07F67816"/>
    <w:rsid w:val="084F3D0D"/>
    <w:rsid w:val="08970F2F"/>
    <w:rsid w:val="08C77405"/>
    <w:rsid w:val="08F8136C"/>
    <w:rsid w:val="09451EAA"/>
    <w:rsid w:val="09455D1F"/>
    <w:rsid w:val="096635C0"/>
    <w:rsid w:val="096C016D"/>
    <w:rsid w:val="0971603A"/>
    <w:rsid w:val="09952584"/>
    <w:rsid w:val="09954E0D"/>
    <w:rsid w:val="09C15C02"/>
    <w:rsid w:val="09DE547F"/>
    <w:rsid w:val="0A240AF4"/>
    <w:rsid w:val="0A664130"/>
    <w:rsid w:val="0AB001CB"/>
    <w:rsid w:val="0AB614DF"/>
    <w:rsid w:val="0AD41965"/>
    <w:rsid w:val="0B1D50BA"/>
    <w:rsid w:val="0B906F8A"/>
    <w:rsid w:val="0BD75BB1"/>
    <w:rsid w:val="0C0E25FE"/>
    <w:rsid w:val="0C0F0EA7"/>
    <w:rsid w:val="0C28307E"/>
    <w:rsid w:val="0C39608E"/>
    <w:rsid w:val="0C776A4C"/>
    <w:rsid w:val="0CAB327E"/>
    <w:rsid w:val="0CC432F9"/>
    <w:rsid w:val="0CCD3DF9"/>
    <w:rsid w:val="0CFF0F1B"/>
    <w:rsid w:val="0D3901BE"/>
    <w:rsid w:val="0D562B05"/>
    <w:rsid w:val="0D5C636E"/>
    <w:rsid w:val="0DC5260B"/>
    <w:rsid w:val="0DC52F4F"/>
    <w:rsid w:val="0DED7FE9"/>
    <w:rsid w:val="0E1529C0"/>
    <w:rsid w:val="0E1C297E"/>
    <w:rsid w:val="0E265167"/>
    <w:rsid w:val="0EA72FFB"/>
    <w:rsid w:val="0EB86D83"/>
    <w:rsid w:val="0EE6103C"/>
    <w:rsid w:val="0EF55566"/>
    <w:rsid w:val="0F645140"/>
    <w:rsid w:val="0F6634D4"/>
    <w:rsid w:val="0F6939A2"/>
    <w:rsid w:val="104B563A"/>
    <w:rsid w:val="10D95F27"/>
    <w:rsid w:val="1103077A"/>
    <w:rsid w:val="11673533"/>
    <w:rsid w:val="11F63C88"/>
    <w:rsid w:val="121627EC"/>
    <w:rsid w:val="125C471A"/>
    <w:rsid w:val="129245E0"/>
    <w:rsid w:val="129565F6"/>
    <w:rsid w:val="12993BC0"/>
    <w:rsid w:val="12C7746D"/>
    <w:rsid w:val="12D06EB6"/>
    <w:rsid w:val="132D4308"/>
    <w:rsid w:val="132E1B44"/>
    <w:rsid w:val="132F2FB8"/>
    <w:rsid w:val="133631BD"/>
    <w:rsid w:val="1358234D"/>
    <w:rsid w:val="138349A1"/>
    <w:rsid w:val="13F21D43"/>
    <w:rsid w:val="13F60B9E"/>
    <w:rsid w:val="13FA41EA"/>
    <w:rsid w:val="13FA6AA2"/>
    <w:rsid w:val="140D1B09"/>
    <w:rsid w:val="144A43FD"/>
    <w:rsid w:val="14690B7A"/>
    <w:rsid w:val="14A95C11"/>
    <w:rsid w:val="14ED0F12"/>
    <w:rsid w:val="14F275B8"/>
    <w:rsid w:val="152A0AFF"/>
    <w:rsid w:val="153B4ABB"/>
    <w:rsid w:val="158A3C94"/>
    <w:rsid w:val="15C70A44"/>
    <w:rsid w:val="15EC6D3B"/>
    <w:rsid w:val="15F5110D"/>
    <w:rsid w:val="161F262E"/>
    <w:rsid w:val="16377978"/>
    <w:rsid w:val="1643486D"/>
    <w:rsid w:val="16484248"/>
    <w:rsid w:val="16493207"/>
    <w:rsid w:val="164C2B90"/>
    <w:rsid w:val="16663DB9"/>
    <w:rsid w:val="16B0746E"/>
    <w:rsid w:val="16E333A9"/>
    <w:rsid w:val="17045380"/>
    <w:rsid w:val="170C591A"/>
    <w:rsid w:val="171157DD"/>
    <w:rsid w:val="171C3159"/>
    <w:rsid w:val="175C51BC"/>
    <w:rsid w:val="17667DE9"/>
    <w:rsid w:val="177D47DC"/>
    <w:rsid w:val="17935082"/>
    <w:rsid w:val="17A4103D"/>
    <w:rsid w:val="17C63699"/>
    <w:rsid w:val="17EB6C6C"/>
    <w:rsid w:val="1804388A"/>
    <w:rsid w:val="181E2472"/>
    <w:rsid w:val="183F48C2"/>
    <w:rsid w:val="1890063D"/>
    <w:rsid w:val="18A752A7"/>
    <w:rsid w:val="18A94568"/>
    <w:rsid w:val="18B0756E"/>
    <w:rsid w:val="18C979CD"/>
    <w:rsid w:val="192115A4"/>
    <w:rsid w:val="19807A8E"/>
    <w:rsid w:val="19882298"/>
    <w:rsid w:val="19AB0116"/>
    <w:rsid w:val="19D67B51"/>
    <w:rsid w:val="1A0B4DF5"/>
    <w:rsid w:val="1A202A12"/>
    <w:rsid w:val="1AE9320B"/>
    <w:rsid w:val="1B26620D"/>
    <w:rsid w:val="1B7B7127"/>
    <w:rsid w:val="1B7E1EDC"/>
    <w:rsid w:val="1B9860B1"/>
    <w:rsid w:val="1BD6553D"/>
    <w:rsid w:val="1BDA094C"/>
    <w:rsid w:val="1BEF65FF"/>
    <w:rsid w:val="1C2347C4"/>
    <w:rsid w:val="1CBD41DC"/>
    <w:rsid w:val="1CD001DE"/>
    <w:rsid w:val="1CEF0B76"/>
    <w:rsid w:val="1CF245F9"/>
    <w:rsid w:val="1CF75746"/>
    <w:rsid w:val="1D214EDE"/>
    <w:rsid w:val="1DC87107"/>
    <w:rsid w:val="1E536265"/>
    <w:rsid w:val="1E574017"/>
    <w:rsid w:val="1E8E56B0"/>
    <w:rsid w:val="1E957931"/>
    <w:rsid w:val="1EC21DA9"/>
    <w:rsid w:val="1EFD4A0D"/>
    <w:rsid w:val="1EFD7285"/>
    <w:rsid w:val="1F287605"/>
    <w:rsid w:val="1F291E28"/>
    <w:rsid w:val="1F2A4A3E"/>
    <w:rsid w:val="1F3F789D"/>
    <w:rsid w:val="1F487665"/>
    <w:rsid w:val="1F683A4D"/>
    <w:rsid w:val="1F776FA0"/>
    <w:rsid w:val="1F994E49"/>
    <w:rsid w:val="1FE967CC"/>
    <w:rsid w:val="2000527E"/>
    <w:rsid w:val="2010562B"/>
    <w:rsid w:val="206375BB"/>
    <w:rsid w:val="207922E0"/>
    <w:rsid w:val="20A2271B"/>
    <w:rsid w:val="20B71716"/>
    <w:rsid w:val="20BB6220"/>
    <w:rsid w:val="20CA3913"/>
    <w:rsid w:val="20EE4511"/>
    <w:rsid w:val="214B077B"/>
    <w:rsid w:val="21B00A1C"/>
    <w:rsid w:val="21B55BF5"/>
    <w:rsid w:val="21E07116"/>
    <w:rsid w:val="21FC0048"/>
    <w:rsid w:val="2217331E"/>
    <w:rsid w:val="222119FE"/>
    <w:rsid w:val="224D407F"/>
    <w:rsid w:val="2273517F"/>
    <w:rsid w:val="227930C6"/>
    <w:rsid w:val="22C5630B"/>
    <w:rsid w:val="22E22A19"/>
    <w:rsid w:val="231B417D"/>
    <w:rsid w:val="233F1C1A"/>
    <w:rsid w:val="240468BD"/>
    <w:rsid w:val="244514B2"/>
    <w:rsid w:val="245B4638"/>
    <w:rsid w:val="245F7283"/>
    <w:rsid w:val="246D27B7"/>
    <w:rsid w:val="2472601F"/>
    <w:rsid w:val="25186BC6"/>
    <w:rsid w:val="252235A1"/>
    <w:rsid w:val="2589098E"/>
    <w:rsid w:val="2598351C"/>
    <w:rsid w:val="25E92311"/>
    <w:rsid w:val="263976E9"/>
    <w:rsid w:val="26960E4D"/>
    <w:rsid w:val="26D455CD"/>
    <w:rsid w:val="26F03E94"/>
    <w:rsid w:val="27B30E28"/>
    <w:rsid w:val="280E2503"/>
    <w:rsid w:val="280F780A"/>
    <w:rsid w:val="281B6A29"/>
    <w:rsid w:val="286C21C2"/>
    <w:rsid w:val="288B3B53"/>
    <w:rsid w:val="2936142F"/>
    <w:rsid w:val="296F0EAA"/>
    <w:rsid w:val="29C04211"/>
    <w:rsid w:val="29D84B76"/>
    <w:rsid w:val="2A064297"/>
    <w:rsid w:val="2A1254DB"/>
    <w:rsid w:val="2A365D44"/>
    <w:rsid w:val="2A677CA8"/>
    <w:rsid w:val="2AA178F5"/>
    <w:rsid w:val="2AAA3024"/>
    <w:rsid w:val="2AF924F2"/>
    <w:rsid w:val="2AFC754D"/>
    <w:rsid w:val="2B91322F"/>
    <w:rsid w:val="2C047DA5"/>
    <w:rsid w:val="2C0762C3"/>
    <w:rsid w:val="2C4E66D8"/>
    <w:rsid w:val="2C8114F5"/>
    <w:rsid w:val="2C9A7EEF"/>
    <w:rsid w:val="2C9F4DA6"/>
    <w:rsid w:val="2CF241A1"/>
    <w:rsid w:val="2CF25F4F"/>
    <w:rsid w:val="2D3379EF"/>
    <w:rsid w:val="2D524C40"/>
    <w:rsid w:val="2D822236"/>
    <w:rsid w:val="2DD34C40"/>
    <w:rsid w:val="2DF67CC1"/>
    <w:rsid w:val="2E154674"/>
    <w:rsid w:val="2E4F1364"/>
    <w:rsid w:val="2E70537D"/>
    <w:rsid w:val="2EA339A5"/>
    <w:rsid w:val="2ED33EAD"/>
    <w:rsid w:val="2EEE59A8"/>
    <w:rsid w:val="2F367505"/>
    <w:rsid w:val="2F374CA0"/>
    <w:rsid w:val="2F4203D7"/>
    <w:rsid w:val="2F991099"/>
    <w:rsid w:val="2FCD1F6D"/>
    <w:rsid w:val="2FE10940"/>
    <w:rsid w:val="30372AD8"/>
    <w:rsid w:val="30773546"/>
    <w:rsid w:val="30ED53AB"/>
    <w:rsid w:val="312568AA"/>
    <w:rsid w:val="31320499"/>
    <w:rsid w:val="317E24A7"/>
    <w:rsid w:val="318C0244"/>
    <w:rsid w:val="31920534"/>
    <w:rsid w:val="31ED267E"/>
    <w:rsid w:val="32780CA4"/>
    <w:rsid w:val="32B351C0"/>
    <w:rsid w:val="32B36180"/>
    <w:rsid w:val="32B858B7"/>
    <w:rsid w:val="32C043F9"/>
    <w:rsid w:val="32FB467E"/>
    <w:rsid w:val="331C6AE0"/>
    <w:rsid w:val="336C5A75"/>
    <w:rsid w:val="33DC2034"/>
    <w:rsid w:val="33ED1373"/>
    <w:rsid w:val="34184727"/>
    <w:rsid w:val="34223750"/>
    <w:rsid w:val="346258FD"/>
    <w:rsid w:val="347A6591"/>
    <w:rsid w:val="348937F9"/>
    <w:rsid w:val="34A74BC5"/>
    <w:rsid w:val="34B131D2"/>
    <w:rsid w:val="34B61F58"/>
    <w:rsid w:val="34E02B31"/>
    <w:rsid w:val="3519160F"/>
    <w:rsid w:val="355377A7"/>
    <w:rsid w:val="35606900"/>
    <w:rsid w:val="35B446E9"/>
    <w:rsid w:val="35B55A68"/>
    <w:rsid w:val="35C67F79"/>
    <w:rsid w:val="35CD1B07"/>
    <w:rsid w:val="3600792F"/>
    <w:rsid w:val="36317AE8"/>
    <w:rsid w:val="36402451"/>
    <w:rsid w:val="364A2958"/>
    <w:rsid w:val="366F6862"/>
    <w:rsid w:val="36716136"/>
    <w:rsid w:val="368B3820"/>
    <w:rsid w:val="368E40C0"/>
    <w:rsid w:val="36C22E36"/>
    <w:rsid w:val="36C96FDB"/>
    <w:rsid w:val="372C0551"/>
    <w:rsid w:val="376E7C50"/>
    <w:rsid w:val="37D526F5"/>
    <w:rsid w:val="37DB64E0"/>
    <w:rsid w:val="37DF5322"/>
    <w:rsid w:val="3852648C"/>
    <w:rsid w:val="389561E8"/>
    <w:rsid w:val="38C16934"/>
    <w:rsid w:val="38F815D3"/>
    <w:rsid w:val="391933A4"/>
    <w:rsid w:val="39BA70D7"/>
    <w:rsid w:val="39F31088"/>
    <w:rsid w:val="39FB3881"/>
    <w:rsid w:val="3A007BFC"/>
    <w:rsid w:val="3A087E95"/>
    <w:rsid w:val="3A1A1B12"/>
    <w:rsid w:val="3A1D0F38"/>
    <w:rsid w:val="3A4E7E58"/>
    <w:rsid w:val="3A812574"/>
    <w:rsid w:val="3AAD582D"/>
    <w:rsid w:val="3ADF7B88"/>
    <w:rsid w:val="3AE56270"/>
    <w:rsid w:val="3B245AE8"/>
    <w:rsid w:val="3B4C68C5"/>
    <w:rsid w:val="3BAC41BB"/>
    <w:rsid w:val="3BF27D19"/>
    <w:rsid w:val="3C237ED3"/>
    <w:rsid w:val="3C256A70"/>
    <w:rsid w:val="3C2765AA"/>
    <w:rsid w:val="3CC956E1"/>
    <w:rsid w:val="3CCD4DB4"/>
    <w:rsid w:val="3CE60F00"/>
    <w:rsid w:val="3CE61B74"/>
    <w:rsid w:val="3CF07EF8"/>
    <w:rsid w:val="3D874491"/>
    <w:rsid w:val="3D967CC7"/>
    <w:rsid w:val="3DD82F3F"/>
    <w:rsid w:val="3E0D080E"/>
    <w:rsid w:val="3E4701AD"/>
    <w:rsid w:val="3E677860"/>
    <w:rsid w:val="3E7072B3"/>
    <w:rsid w:val="3E726EF0"/>
    <w:rsid w:val="3E7F2170"/>
    <w:rsid w:val="3E8F7AA2"/>
    <w:rsid w:val="3EA130E8"/>
    <w:rsid w:val="3EA574B5"/>
    <w:rsid w:val="3ECC2AA4"/>
    <w:rsid w:val="3F5B7984"/>
    <w:rsid w:val="3F7313F8"/>
    <w:rsid w:val="3F830C89"/>
    <w:rsid w:val="3F8D6E66"/>
    <w:rsid w:val="3FE200A5"/>
    <w:rsid w:val="404B3C32"/>
    <w:rsid w:val="408016EC"/>
    <w:rsid w:val="408D7245"/>
    <w:rsid w:val="409D2753"/>
    <w:rsid w:val="40D22633"/>
    <w:rsid w:val="40D56C96"/>
    <w:rsid w:val="40E01CD0"/>
    <w:rsid w:val="40E02AF3"/>
    <w:rsid w:val="40F2256A"/>
    <w:rsid w:val="41222436"/>
    <w:rsid w:val="41293188"/>
    <w:rsid w:val="41BF268F"/>
    <w:rsid w:val="41DC5E6D"/>
    <w:rsid w:val="425A1A7E"/>
    <w:rsid w:val="42722B78"/>
    <w:rsid w:val="427F2179"/>
    <w:rsid w:val="42937435"/>
    <w:rsid w:val="42E575FB"/>
    <w:rsid w:val="43235250"/>
    <w:rsid w:val="432F644D"/>
    <w:rsid w:val="434B5F61"/>
    <w:rsid w:val="43D42973"/>
    <w:rsid w:val="44376ED5"/>
    <w:rsid w:val="444634F7"/>
    <w:rsid w:val="4454417F"/>
    <w:rsid w:val="44760DBC"/>
    <w:rsid w:val="44E14A1E"/>
    <w:rsid w:val="4510317B"/>
    <w:rsid w:val="45300F6B"/>
    <w:rsid w:val="45356065"/>
    <w:rsid w:val="454D525F"/>
    <w:rsid w:val="45596713"/>
    <w:rsid w:val="455C6204"/>
    <w:rsid w:val="4578678D"/>
    <w:rsid w:val="457C3C41"/>
    <w:rsid w:val="459C3262"/>
    <w:rsid w:val="45B536DD"/>
    <w:rsid w:val="45C344D5"/>
    <w:rsid w:val="45C81AEB"/>
    <w:rsid w:val="45DC2DA5"/>
    <w:rsid w:val="461B7482"/>
    <w:rsid w:val="46252533"/>
    <w:rsid w:val="46752E4C"/>
    <w:rsid w:val="467852BF"/>
    <w:rsid w:val="468B06C3"/>
    <w:rsid w:val="46981C12"/>
    <w:rsid w:val="46C01F5A"/>
    <w:rsid w:val="46D51A6A"/>
    <w:rsid w:val="46DE3130"/>
    <w:rsid w:val="471F1CF7"/>
    <w:rsid w:val="47226FD9"/>
    <w:rsid w:val="47321912"/>
    <w:rsid w:val="47562428"/>
    <w:rsid w:val="47F308F3"/>
    <w:rsid w:val="47F95F8C"/>
    <w:rsid w:val="48174664"/>
    <w:rsid w:val="48376AB4"/>
    <w:rsid w:val="48577D5B"/>
    <w:rsid w:val="486B1B70"/>
    <w:rsid w:val="48827FAC"/>
    <w:rsid w:val="49064E04"/>
    <w:rsid w:val="49065863"/>
    <w:rsid w:val="490C1CEF"/>
    <w:rsid w:val="491B3E80"/>
    <w:rsid w:val="495A5150"/>
    <w:rsid w:val="496E6505"/>
    <w:rsid w:val="49A00F00"/>
    <w:rsid w:val="49A34401"/>
    <w:rsid w:val="49B17161"/>
    <w:rsid w:val="49D40682"/>
    <w:rsid w:val="49F92273"/>
    <w:rsid w:val="4A294308"/>
    <w:rsid w:val="4A333013"/>
    <w:rsid w:val="4A454B8F"/>
    <w:rsid w:val="4A954692"/>
    <w:rsid w:val="4AA25C1D"/>
    <w:rsid w:val="4AC210F2"/>
    <w:rsid w:val="4ACB6250"/>
    <w:rsid w:val="4AE50A49"/>
    <w:rsid w:val="4B1F5D09"/>
    <w:rsid w:val="4B241572"/>
    <w:rsid w:val="4B3119CC"/>
    <w:rsid w:val="4B693428"/>
    <w:rsid w:val="4B7047B7"/>
    <w:rsid w:val="4B7342A7"/>
    <w:rsid w:val="4BBC386B"/>
    <w:rsid w:val="4BD00E47"/>
    <w:rsid w:val="4BDA424C"/>
    <w:rsid w:val="4BF54CBC"/>
    <w:rsid w:val="4C285091"/>
    <w:rsid w:val="4C7725FC"/>
    <w:rsid w:val="4C851364"/>
    <w:rsid w:val="4C8D79CC"/>
    <w:rsid w:val="4CBA3777"/>
    <w:rsid w:val="4CC81420"/>
    <w:rsid w:val="4CD62D3F"/>
    <w:rsid w:val="4D505A2A"/>
    <w:rsid w:val="4D553C64"/>
    <w:rsid w:val="4D6617B2"/>
    <w:rsid w:val="4D95296E"/>
    <w:rsid w:val="4DA1334D"/>
    <w:rsid w:val="4DA3384C"/>
    <w:rsid w:val="4DA901CF"/>
    <w:rsid w:val="4DFE254E"/>
    <w:rsid w:val="4E0D22D9"/>
    <w:rsid w:val="4E4D0DDF"/>
    <w:rsid w:val="4E5013FC"/>
    <w:rsid w:val="4EA33BAD"/>
    <w:rsid w:val="4EC1058A"/>
    <w:rsid w:val="4EEF1E97"/>
    <w:rsid w:val="4F2953A8"/>
    <w:rsid w:val="4F3C2FF7"/>
    <w:rsid w:val="4F9F53EC"/>
    <w:rsid w:val="4FA729B5"/>
    <w:rsid w:val="4FB22261"/>
    <w:rsid w:val="5012006E"/>
    <w:rsid w:val="50270D66"/>
    <w:rsid w:val="508623FB"/>
    <w:rsid w:val="509B6D02"/>
    <w:rsid w:val="50C64E79"/>
    <w:rsid w:val="50DF5B07"/>
    <w:rsid w:val="50E84DEF"/>
    <w:rsid w:val="50EC48E0"/>
    <w:rsid w:val="511F2F07"/>
    <w:rsid w:val="516738B0"/>
    <w:rsid w:val="516E5A6B"/>
    <w:rsid w:val="517C2DA8"/>
    <w:rsid w:val="518B708D"/>
    <w:rsid w:val="51DA0BDC"/>
    <w:rsid w:val="51F003FF"/>
    <w:rsid w:val="522A45EE"/>
    <w:rsid w:val="52311B8F"/>
    <w:rsid w:val="52B458D1"/>
    <w:rsid w:val="52C1626E"/>
    <w:rsid w:val="52ED4EE8"/>
    <w:rsid w:val="52F65EE9"/>
    <w:rsid w:val="53285977"/>
    <w:rsid w:val="53422EDD"/>
    <w:rsid w:val="5343652A"/>
    <w:rsid w:val="53780C68"/>
    <w:rsid w:val="537957C3"/>
    <w:rsid w:val="53844EE2"/>
    <w:rsid w:val="53A378F8"/>
    <w:rsid w:val="53A616BE"/>
    <w:rsid w:val="53AB0A82"/>
    <w:rsid w:val="54060FA4"/>
    <w:rsid w:val="54291257"/>
    <w:rsid w:val="543071D9"/>
    <w:rsid w:val="54370568"/>
    <w:rsid w:val="54436F0C"/>
    <w:rsid w:val="5486329D"/>
    <w:rsid w:val="548F4191"/>
    <w:rsid w:val="54D462C3"/>
    <w:rsid w:val="54FB4092"/>
    <w:rsid w:val="55320D2F"/>
    <w:rsid w:val="55495FBC"/>
    <w:rsid w:val="554F7048"/>
    <w:rsid w:val="55547AD1"/>
    <w:rsid w:val="55BA19F0"/>
    <w:rsid w:val="55BA7B55"/>
    <w:rsid w:val="56044CF0"/>
    <w:rsid w:val="563035E7"/>
    <w:rsid w:val="565C42B5"/>
    <w:rsid w:val="565D2B52"/>
    <w:rsid w:val="56757125"/>
    <w:rsid w:val="56921A85"/>
    <w:rsid w:val="56D656CC"/>
    <w:rsid w:val="572C2786"/>
    <w:rsid w:val="577E64AD"/>
    <w:rsid w:val="5790495D"/>
    <w:rsid w:val="57A079BE"/>
    <w:rsid w:val="57B15B24"/>
    <w:rsid w:val="57C22B3C"/>
    <w:rsid w:val="57C926DA"/>
    <w:rsid w:val="57D85BBE"/>
    <w:rsid w:val="57ED32D0"/>
    <w:rsid w:val="58233677"/>
    <w:rsid w:val="58276B45"/>
    <w:rsid w:val="582C7CB7"/>
    <w:rsid w:val="58516D67"/>
    <w:rsid w:val="58913FBE"/>
    <w:rsid w:val="58DC7930"/>
    <w:rsid w:val="594B6D36"/>
    <w:rsid w:val="594C0B5A"/>
    <w:rsid w:val="599C7984"/>
    <w:rsid w:val="59AF294E"/>
    <w:rsid w:val="5A0A5DD6"/>
    <w:rsid w:val="5A1E3604"/>
    <w:rsid w:val="5A4E2167"/>
    <w:rsid w:val="5A846C42"/>
    <w:rsid w:val="5B0441BD"/>
    <w:rsid w:val="5B1C2EB3"/>
    <w:rsid w:val="5B652FF7"/>
    <w:rsid w:val="5B8212AA"/>
    <w:rsid w:val="5B891F73"/>
    <w:rsid w:val="5BB666A6"/>
    <w:rsid w:val="5BE54D4D"/>
    <w:rsid w:val="5C2825EE"/>
    <w:rsid w:val="5C3A2F2B"/>
    <w:rsid w:val="5C591976"/>
    <w:rsid w:val="5C624389"/>
    <w:rsid w:val="5CB14C2F"/>
    <w:rsid w:val="5CF64114"/>
    <w:rsid w:val="5CFA7995"/>
    <w:rsid w:val="5D51723D"/>
    <w:rsid w:val="5D7B4A1E"/>
    <w:rsid w:val="5DA86032"/>
    <w:rsid w:val="5DB8393B"/>
    <w:rsid w:val="5DBE10E1"/>
    <w:rsid w:val="5E1E00A2"/>
    <w:rsid w:val="5E2A2EEB"/>
    <w:rsid w:val="5E301D82"/>
    <w:rsid w:val="5E38420D"/>
    <w:rsid w:val="5E7F69EC"/>
    <w:rsid w:val="5EEA0A39"/>
    <w:rsid w:val="5F0E0117"/>
    <w:rsid w:val="5F1F07A7"/>
    <w:rsid w:val="5F1F14EF"/>
    <w:rsid w:val="5F310919"/>
    <w:rsid w:val="5F3C2ED6"/>
    <w:rsid w:val="5F827310"/>
    <w:rsid w:val="5FFC5942"/>
    <w:rsid w:val="60352AA6"/>
    <w:rsid w:val="607B12CA"/>
    <w:rsid w:val="607C7302"/>
    <w:rsid w:val="608A688B"/>
    <w:rsid w:val="60F2702F"/>
    <w:rsid w:val="60F670B5"/>
    <w:rsid w:val="60FD6695"/>
    <w:rsid w:val="610A40AE"/>
    <w:rsid w:val="61284CC2"/>
    <w:rsid w:val="61490800"/>
    <w:rsid w:val="616E1677"/>
    <w:rsid w:val="61930DA7"/>
    <w:rsid w:val="61C5357E"/>
    <w:rsid w:val="61E15FB7"/>
    <w:rsid w:val="61E16F91"/>
    <w:rsid w:val="62150505"/>
    <w:rsid w:val="62306D5D"/>
    <w:rsid w:val="62307541"/>
    <w:rsid w:val="62854B94"/>
    <w:rsid w:val="629260FC"/>
    <w:rsid w:val="62D20DCC"/>
    <w:rsid w:val="63CB4828"/>
    <w:rsid w:val="63DA06E3"/>
    <w:rsid w:val="64177A6E"/>
    <w:rsid w:val="64220C2D"/>
    <w:rsid w:val="6451494E"/>
    <w:rsid w:val="64607667"/>
    <w:rsid w:val="646D1DA4"/>
    <w:rsid w:val="646E1353"/>
    <w:rsid w:val="64B56841"/>
    <w:rsid w:val="64E536C8"/>
    <w:rsid w:val="64FB0ADF"/>
    <w:rsid w:val="65832956"/>
    <w:rsid w:val="659B5E9E"/>
    <w:rsid w:val="65FE7137"/>
    <w:rsid w:val="65FF5740"/>
    <w:rsid w:val="660B7A8B"/>
    <w:rsid w:val="66134265"/>
    <w:rsid w:val="66762719"/>
    <w:rsid w:val="66B521F3"/>
    <w:rsid w:val="66BE0981"/>
    <w:rsid w:val="66C739CD"/>
    <w:rsid w:val="66DF75CA"/>
    <w:rsid w:val="66FB5425"/>
    <w:rsid w:val="671A63CB"/>
    <w:rsid w:val="671D2314"/>
    <w:rsid w:val="675E2F9F"/>
    <w:rsid w:val="67801959"/>
    <w:rsid w:val="67F65BEC"/>
    <w:rsid w:val="683A2EDF"/>
    <w:rsid w:val="684F3280"/>
    <w:rsid w:val="685960DB"/>
    <w:rsid w:val="68693EB2"/>
    <w:rsid w:val="68A525EA"/>
    <w:rsid w:val="68AA5354"/>
    <w:rsid w:val="68BC2C6B"/>
    <w:rsid w:val="68BF7978"/>
    <w:rsid w:val="68E1689C"/>
    <w:rsid w:val="68FF7137"/>
    <w:rsid w:val="69176362"/>
    <w:rsid w:val="6A0E546F"/>
    <w:rsid w:val="6A1B204A"/>
    <w:rsid w:val="6AA03EED"/>
    <w:rsid w:val="6AE85CC0"/>
    <w:rsid w:val="6B9D6AAA"/>
    <w:rsid w:val="6BAB41DF"/>
    <w:rsid w:val="6BCE3D22"/>
    <w:rsid w:val="6BCE74C6"/>
    <w:rsid w:val="6BD149A6"/>
    <w:rsid w:val="6BF54B38"/>
    <w:rsid w:val="6C042FCD"/>
    <w:rsid w:val="6C241BF0"/>
    <w:rsid w:val="6C5374D3"/>
    <w:rsid w:val="6C8B0FF9"/>
    <w:rsid w:val="6C9E7C37"/>
    <w:rsid w:val="6CB33533"/>
    <w:rsid w:val="6CF36258"/>
    <w:rsid w:val="6CF50776"/>
    <w:rsid w:val="6D062D75"/>
    <w:rsid w:val="6D425770"/>
    <w:rsid w:val="6D5737C1"/>
    <w:rsid w:val="6D846795"/>
    <w:rsid w:val="6D873F6C"/>
    <w:rsid w:val="6D8A12B0"/>
    <w:rsid w:val="6DA40846"/>
    <w:rsid w:val="6DCF3167"/>
    <w:rsid w:val="6DDF577F"/>
    <w:rsid w:val="6E3E7153"/>
    <w:rsid w:val="6E662902"/>
    <w:rsid w:val="6E6871C0"/>
    <w:rsid w:val="6E760ED3"/>
    <w:rsid w:val="6F3B08DB"/>
    <w:rsid w:val="6F6C5F58"/>
    <w:rsid w:val="6FA2319D"/>
    <w:rsid w:val="6FAF4FF5"/>
    <w:rsid w:val="6FC22F83"/>
    <w:rsid w:val="70176BEA"/>
    <w:rsid w:val="704E514D"/>
    <w:rsid w:val="70967F6C"/>
    <w:rsid w:val="70A66401"/>
    <w:rsid w:val="70CA746A"/>
    <w:rsid w:val="712D5A61"/>
    <w:rsid w:val="713954C7"/>
    <w:rsid w:val="714D0F73"/>
    <w:rsid w:val="71834994"/>
    <w:rsid w:val="71840E76"/>
    <w:rsid w:val="71987D6B"/>
    <w:rsid w:val="719E532A"/>
    <w:rsid w:val="71BC6367"/>
    <w:rsid w:val="722A11E8"/>
    <w:rsid w:val="72412E3C"/>
    <w:rsid w:val="726A16B0"/>
    <w:rsid w:val="727109F1"/>
    <w:rsid w:val="72711471"/>
    <w:rsid w:val="727662A7"/>
    <w:rsid w:val="729247AC"/>
    <w:rsid w:val="732E4011"/>
    <w:rsid w:val="733777E5"/>
    <w:rsid w:val="735235A0"/>
    <w:rsid w:val="737F2F3A"/>
    <w:rsid w:val="738E4350"/>
    <w:rsid w:val="739B0D6D"/>
    <w:rsid w:val="73A56E44"/>
    <w:rsid w:val="73AC6191"/>
    <w:rsid w:val="73AE074E"/>
    <w:rsid w:val="73BC5F3C"/>
    <w:rsid w:val="73CD0149"/>
    <w:rsid w:val="73CD3C54"/>
    <w:rsid w:val="74161AF0"/>
    <w:rsid w:val="74244353"/>
    <w:rsid w:val="748A7DE8"/>
    <w:rsid w:val="74F17E67"/>
    <w:rsid w:val="74FC6F38"/>
    <w:rsid w:val="75156118"/>
    <w:rsid w:val="753411BE"/>
    <w:rsid w:val="75363ACC"/>
    <w:rsid w:val="75461F61"/>
    <w:rsid w:val="762A1882"/>
    <w:rsid w:val="762D3121"/>
    <w:rsid w:val="7635241D"/>
    <w:rsid w:val="763747D2"/>
    <w:rsid w:val="76385E3E"/>
    <w:rsid w:val="766B1DBC"/>
    <w:rsid w:val="76724FD8"/>
    <w:rsid w:val="767D522A"/>
    <w:rsid w:val="769813AA"/>
    <w:rsid w:val="769E5DCD"/>
    <w:rsid w:val="769F2594"/>
    <w:rsid w:val="76B7273F"/>
    <w:rsid w:val="77020520"/>
    <w:rsid w:val="770734FA"/>
    <w:rsid w:val="77202AE9"/>
    <w:rsid w:val="772162AB"/>
    <w:rsid w:val="77626DFA"/>
    <w:rsid w:val="77E95ED0"/>
    <w:rsid w:val="77FB61E7"/>
    <w:rsid w:val="77FD6F56"/>
    <w:rsid w:val="78144598"/>
    <w:rsid w:val="782E006B"/>
    <w:rsid w:val="78300CA6"/>
    <w:rsid w:val="78A04E22"/>
    <w:rsid w:val="79092014"/>
    <w:rsid w:val="791233E7"/>
    <w:rsid w:val="79167E9C"/>
    <w:rsid w:val="792C76C0"/>
    <w:rsid w:val="794F4625"/>
    <w:rsid w:val="79543D7B"/>
    <w:rsid w:val="79960FDD"/>
    <w:rsid w:val="799E3AC7"/>
    <w:rsid w:val="79AC68AE"/>
    <w:rsid w:val="79C64114"/>
    <w:rsid w:val="79DA35C0"/>
    <w:rsid w:val="79FC4856"/>
    <w:rsid w:val="7A150893"/>
    <w:rsid w:val="7A3A02D4"/>
    <w:rsid w:val="7A524266"/>
    <w:rsid w:val="7A652E89"/>
    <w:rsid w:val="7A6D61E2"/>
    <w:rsid w:val="7A982578"/>
    <w:rsid w:val="7A9B4AFD"/>
    <w:rsid w:val="7AA15E8B"/>
    <w:rsid w:val="7AC90333"/>
    <w:rsid w:val="7B1D19B6"/>
    <w:rsid w:val="7B2362F0"/>
    <w:rsid w:val="7B2E5E4E"/>
    <w:rsid w:val="7B3B33D1"/>
    <w:rsid w:val="7B3D31C4"/>
    <w:rsid w:val="7B42669E"/>
    <w:rsid w:val="7B78253C"/>
    <w:rsid w:val="7B8F3F36"/>
    <w:rsid w:val="7BD16046"/>
    <w:rsid w:val="7BD30CB9"/>
    <w:rsid w:val="7C1A7CA3"/>
    <w:rsid w:val="7C2154D6"/>
    <w:rsid w:val="7C2C2FCB"/>
    <w:rsid w:val="7C37539F"/>
    <w:rsid w:val="7C484151"/>
    <w:rsid w:val="7D083FA0"/>
    <w:rsid w:val="7D2F6DB5"/>
    <w:rsid w:val="7D480833"/>
    <w:rsid w:val="7D510665"/>
    <w:rsid w:val="7D5D29BA"/>
    <w:rsid w:val="7DCD5E4E"/>
    <w:rsid w:val="7E3037AE"/>
    <w:rsid w:val="7E7B38B3"/>
    <w:rsid w:val="7F17164A"/>
    <w:rsid w:val="7F177DF1"/>
    <w:rsid w:val="7F211154"/>
    <w:rsid w:val="7F762F0E"/>
    <w:rsid w:val="7F8752AA"/>
    <w:rsid w:val="7FAE0E2E"/>
    <w:rsid w:val="7FCB2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qFormat/>
    <w:uiPriority w:val="99"/>
    <w:pPr>
      <w:keepNext/>
      <w:keepLines/>
      <w:spacing w:before="260" w:after="260" w:line="416" w:lineRule="auto"/>
      <w:outlineLvl w:val="1"/>
    </w:pPr>
    <w:rPr>
      <w:rFonts w:ascii="Cambria" w:hAnsi="Cambria" w:cs="Cambria"/>
      <w:b/>
      <w:bCs/>
      <w:sz w:val="32"/>
      <w:szCs w:val="32"/>
    </w:rPr>
  </w:style>
  <w:style w:type="paragraph" w:styleId="5">
    <w:name w:val="heading 3"/>
    <w:basedOn w:val="1"/>
    <w:next w:val="1"/>
    <w:qFormat/>
    <w:uiPriority w:val="9"/>
    <w:pPr>
      <w:keepNext/>
      <w:keepLines/>
      <w:spacing w:beforeLines="0" w:beforeAutospacing="0" w:afterLines="0" w:afterAutospacing="0" w:line="360" w:lineRule="auto"/>
      <w:outlineLvl w:val="2"/>
    </w:pPr>
    <w:rPr>
      <w:rFonts w:ascii="Calibri" w:hAnsi="Calibri"/>
      <w:b/>
      <w:sz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jc w:val="left"/>
    </w:pPr>
    <w:rPr>
      <w:color w:val="000000"/>
      <w:kern w:val="0"/>
      <w:sz w:val="24"/>
    </w:rPr>
  </w:style>
  <w:style w:type="paragraph" w:styleId="6">
    <w:name w:val="caption"/>
    <w:basedOn w:val="1"/>
    <w:next w:val="7"/>
    <w:qFormat/>
    <w:uiPriority w:val="0"/>
    <w:pPr>
      <w:widowControl/>
      <w:adjustRightInd w:val="0"/>
      <w:snapToGrid w:val="0"/>
      <w:jc w:val="center"/>
    </w:pPr>
    <w:rPr>
      <w:rFonts w:eastAsia="黑体"/>
      <w:sz w:val="24"/>
      <w:szCs w:val="20"/>
    </w:rPr>
  </w:style>
  <w:style w:type="paragraph" w:styleId="7">
    <w:name w:val="Body Text First Indent"/>
    <w:basedOn w:val="8"/>
    <w:next w:val="1"/>
    <w:unhideWhenUsed/>
    <w:qFormat/>
    <w:uiPriority w:val="99"/>
    <w:pPr>
      <w:spacing w:after="0" w:line="360" w:lineRule="auto"/>
      <w:ind w:firstLine="200" w:firstLineChars="200"/>
    </w:pPr>
    <w:rPr>
      <w:kern w:val="0"/>
      <w:sz w:val="24"/>
      <w:szCs w:val="20"/>
    </w:r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annotation text"/>
    <w:basedOn w:val="1"/>
    <w:qFormat/>
    <w:uiPriority w:val="0"/>
    <w:pPr>
      <w:jc w:val="left"/>
    </w:pPr>
  </w:style>
  <w:style w:type="paragraph" w:styleId="10">
    <w:name w:val="Body Text Indent"/>
    <w:basedOn w:val="1"/>
    <w:next w:val="11"/>
    <w:semiHidden/>
    <w:qFormat/>
    <w:uiPriority w:val="0"/>
    <w:pPr>
      <w:spacing w:after="120"/>
      <w:ind w:left="420" w:leftChars="200"/>
    </w:pPr>
    <w:rPr>
      <w:kern w:val="0"/>
      <w:sz w:val="24"/>
    </w:rPr>
  </w:style>
  <w:style w:type="paragraph" w:styleId="11">
    <w:name w:val="Body Text First Indent 2"/>
    <w:basedOn w:val="10"/>
    <w:next w:val="1"/>
    <w:qFormat/>
    <w:uiPriority w:val="0"/>
    <w:pPr>
      <w:spacing w:after="120" w:line="240" w:lineRule="auto"/>
      <w:ind w:left="420" w:leftChars="200" w:firstLine="420" w:firstLineChars="200"/>
    </w:pPr>
    <w:rPr>
      <w:rFonts w:ascii="Corbel" w:hAnsi="Corbel"/>
      <w:sz w:val="21"/>
    </w:rPr>
  </w:style>
  <w:style w:type="paragraph" w:styleId="12">
    <w:name w:val="List Bullet 2"/>
    <w:basedOn w:val="1"/>
    <w:next w:val="13"/>
    <w:qFormat/>
    <w:uiPriority w:val="0"/>
    <w:pPr>
      <w:numPr>
        <w:ilvl w:val="0"/>
        <w:numId w:val="1"/>
      </w:numPr>
    </w:pPr>
  </w:style>
  <w:style w:type="paragraph" w:customStyle="1" w:styleId="13">
    <w:name w:val="xl70"/>
    <w:basedOn w:val="1"/>
    <w:next w:val="14"/>
    <w:qFormat/>
    <w:uiPriority w:val="0"/>
    <w:pPr>
      <w:widowControl/>
      <w:spacing w:before="280" w:after="280"/>
    </w:pPr>
    <w:rPr>
      <w:rFonts w:ascii="宋体"/>
    </w:rPr>
  </w:style>
  <w:style w:type="paragraph" w:customStyle="1" w:styleId="14">
    <w:name w:val="正文缩进1"/>
    <w:basedOn w:val="1"/>
    <w:next w:val="15"/>
    <w:qFormat/>
    <w:uiPriority w:val="0"/>
    <w:pPr>
      <w:ind w:firstLine="420"/>
    </w:pPr>
    <w:rPr>
      <w:rFonts w:ascii="宋体"/>
      <w:sz w:val="28"/>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6">
    <w:name w:val="Plain Text"/>
    <w:basedOn w:val="1"/>
    <w:next w:val="17"/>
    <w:qFormat/>
    <w:uiPriority w:val="0"/>
    <w:rPr>
      <w:rFonts w:ascii="宋体" w:hAnsi="Courier New"/>
      <w:szCs w:val="21"/>
    </w:rPr>
  </w:style>
  <w:style w:type="paragraph" w:styleId="17">
    <w:name w:val="toc 1"/>
    <w:basedOn w:val="1"/>
    <w:next w:val="1"/>
    <w:qFormat/>
    <w:uiPriority w:val="0"/>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List"/>
    <w:basedOn w:val="1"/>
    <w:next w:val="12"/>
    <w:unhideWhenUsed/>
    <w:qFormat/>
    <w:uiPriority w:val="99"/>
    <w:pPr>
      <w:ind w:left="200" w:hanging="200" w:hangingChars="200"/>
      <w:contextualSpacing/>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style>
  <w:style w:type="character" w:styleId="26">
    <w:name w:val="annotation reference"/>
    <w:semiHidden/>
    <w:qFormat/>
    <w:uiPriority w:val="0"/>
    <w:rPr>
      <w:sz w:val="21"/>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报告书正文"/>
    <w:basedOn w:val="1"/>
    <w:qFormat/>
    <w:uiPriority w:val="0"/>
    <w:pPr>
      <w:keepNext w:val="0"/>
      <w:keepLines w:val="0"/>
      <w:widowControl w:val="0"/>
      <w:suppressLineNumbers w:val="0"/>
      <w:spacing w:before="0" w:beforeAutospacing="0" w:after="0" w:afterAutospacing="0" w:line="300" w:lineRule="auto"/>
      <w:ind w:left="0" w:right="0" w:firstLine="200" w:firstLineChars="200"/>
      <w:jc w:val="both"/>
    </w:pPr>
    <w:rPr>
      <w:rFonts w:hint="default" w:ascii="Times New Roman" w:hAnsi="Times New Roman" w:eastAsia="宋体" w:cs="Times New Roman"/>
      <w:kern w:val="2"/>
      <w:sz w:val="24"/>
      <w:szCs w:val="20"/>
      <w:lang w:val="en-US" w:eastAsia="zh-CN" w:bidi="ar"/>
    </w:rPr>
  </w:style>
  <w:style w:type="character" w:customStyle="1" w:styleId="29">
    <w:name w:val="postbody1"/>
    <w:qFormat/>
    <w:uiPriority w:val="0"/>
    <w:rPr>
      <w:rFonts w:ascii="Times New Roman" w:hAnsi="Times New Roman" w:eastAsia="宋体" w:cs="宋体"/>
      <w:kern w:val="44"/>
      <w:sz w:val="21"/>
      <w:szCs w:val="21"/>
      <w:lang w:val="en-US" w:eastAsia="zh-CN" w:bidi="ar-SA"/>
    </w:rPr>
  </w:style>
  <w:style w:type="paragraph" w:customStyle="1" w:styleId="30">
    <w:name w:val="正文文本缩进 21"/>
    <w:basedOn w:val="1"/>
    <w:qFormat/>
    <w:uiPriority w:val="0"/>
    <w:pPr>
      <w:adjustRightInd w:val="0"/>
      <w:spacing w:line="360" w:lineRule="auto"/>
      <w:ind w:firstLine="480"/>
      <w:textAlignment w:val="baseline"/>
    </w:pPr>
    <w:rPr>
      <w:rFonts w:ascii="宋体"/>
      <w:kern w:val="0"/>
      <w:sz w:val="24"/>
    </w:rPr>
  </w:style>
  <w:style w:type="paragraph" w:customStyle="1" w:styleId="31">
    <w:name w:val="文本"/>
    <w:basedOn w:val="1"/>
    <w:qFormat/>
    <w:uiPriority w:val="0"/>
    <w:pPr>
      <w:spacing w:line="360" w:lineRule="auto"/>
      <w:ind w:firstLine="200" w:firstLineChars="200"/>
    </w:pPr>
    <w:rPr>
      <w:rFonts w:ascii="宋体" w:hAnsi="宋体"/>
      <w:sz w:val="28"/>
      <w:szCs w:val="28"/>
    </w:rPr>
  </w:style>
  <w:style w:type="paragraph" w:customStyle="1" w:styleId="32">
    <w:name w:val="表头李"/>
    <w:basedOn w:val="1"/>
    <w:next w:val="33"/>
    <w:qFormat/>
    <w:uiPriority w:val="0"/>
    <w:pPr>
      <w:spacing w:line="240" w:lineRule="auto"/>
      <w:jc w:val="center"/>
    </w:pPr>
    <w:rPr>
      <w:rFonts w:hint="eastAsia" w:cs="Times New Roman"/>
      <w:b/>
      <w:bCs/>
      <w:sz w:val="24"/>
    </w:rPr>
  </w:style>
  <w:style w:type="paragraph" w:customStyle="1" w:styleId="33">
    <w:name w:val="表格"/>
    <w:basedOn w:val="20"/>
    <w:next w:val="1"/>
    <w:qFormat/>
    <w:uiPriority w:val="0"/>
    <w:pPr>
      <w:adjustRightInd w:val="0"/>
      <w:snapToGrid w:val="0"/>
      <w:spacing w:beforeLines="10" w:afterLines="10" w:line="259" w:lineRule="auto"/>
      <w:jc w:val="center"/>
    </w:pPr>
    <w:rPr>
      <w:rFonts w:ascii="宋体"/>
      <w:kern w:val="0"/>
      <w:szCs w:val="20"/>
    </w:rPr>
  </w:style>
  <w:style w:type="paragraph" w:customStyle="1" w:styleId="34">
    <w:name w:val="Table Paragraph"/>
    <w:basedOn w:val="1"/>
    <w:qFormat/>
    <w:uiPriority w:val="1"/>
    <w:pPr>
      <w:jc w:val="center"/>
    </w:pPr>
    <w:rPr>
      <w:rFonts w:eastAsia="Times New Roman"/>
    </w:rPr>
  </w:style>
  <w:style w:type="paragraph" w:customStyle="1" w:styleId="35">
    <w:name w:val="表格文字"/>
    <w:basedOn w:val="16"/>
    <w:qFormat/>
    <w:uiPriority w:val="0"/>
    <w:pPr>
      <w:adjustRightInd w:val="0"/>
      <w:snapToGrid w:val="0"/>
      <w:jc w:val="center"/>
      <w:textAlignment w:val="center"/>
    </w:pPr>
    <w:rPr>
      <w:rFonts w:eastAsia="宋体"/>
      <w:kern w:val="2"/>
      <w:sz w:val="21"/>
      <w:szCs w:val="18"/>
      <w:lang w:val="en-US" w:eastAsia="zh-CN" w:bidi="ar-SA"/>
    </w:rPr>
  </w:style>
  <w:style w:type="paragraph" w:customStyle="1" w:styleId="36">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样式 样式 (符号) 宋体 小四 行距: 1.5 倍行距 + 首行缩进:  2 字符"/>
    <w:basedOn w:val="1"/>
    <w:qFormat/>
    <w:uiPriority w:val="0"/>
    <w:pPr>
      <w:spacing w:line="360" w:lineRule="auto"/>
      <w:ind w:firstLine="456" w:firstLineChars="200"/>
    </w:pPr>
    <w:rPr>
      <w:rFonts w:hAnsi="宋体" w:cs="宋体"/>
      <w:sz w:val="24"/>
      <w:szCs w:val="20"/>
    </w:rPr>
  </w:style>
  <w:style w:type="paragraph" w:customStyle="1" w:styleId="38">
    <w:name w:val="样式 君邦正文 + Times New Roman"/>
    <w:basedOn w:val="1"/>
    <w:qFormat/>
    <w:uiPriority w:val="0"/>
    <w:pPr>
      <w:widowControl/>
      <w:adjustRightInd w:val="0"/>
      <w:snapToGrid w:val="0"/>
      <w:spacing w:line="360" w:lineRule="auto"/>
      <w:ind w:left="-2" w:leftChars="-2" w:firstLine="200" w:firstLineChars="200"/>
    </w:pPr>
    <w:rPr>
      <w:rFonts w:ascii="Courier New" w:hAnsi="Courier New" w:cs="Courier New"/>
      <w:sz w:val="24"/>
      <w:szCs w:val="20"/>
    </w:rPr>
  </w:style>
  <w:style w:type="paragraph" w:customStyle="1" w:styleId="39">
    <w:name w:val="样式 首行缩进:  0.77 厘米 行距: 固定值 20 磅"/>
    <w:basedOn w:val="1"/>
    <w:qFormat/>
    <w:uiPriority w:val="0"/>
    <w:pPr>
      <w:spacing w:line="360" w:lineRule="auto"/>
      <w:ind w:firstLine="435"/>
    </w:pPr>
    <w:rPr>
      <w:rFonts w:ascii="Courier New" w:hAnsi="Courier New" w:cs="Courier New"/>
      <w:sz w:val="24"/>
      <w:szCs w:val="20"/>
    </w:rPr>
  </w:style>
  <w:style w:type="paragraph" w:customStyle="1" w:styleId="40">
    <w:name w:val="_Style 1"/>
    <w:basedOn w:val="1"/>
    <w:next w:val="1"/>
    <w:qFormat/>
    <w:uiPriority w:val="0"/>
    <w:pPr>
      <w:ind w:firstLine="420" w:firstLineChars="200"/>
    </w:pPr>
    <w:rPr>
      <w:rFonts w:ascii="Calibri" w:hAnsi="Calibri" w:eastAsia="宋体" w:cs="Times New Roman"/>
      <w:szCs w:val="22"/>
    </w:rPr>
  </w:style>
  <w:style w:type="paragraph" w:customStyle="1" w:styleId="41">
    <w:name w:val="环评正文"/>
    <w:basedOn w:val="1"/>
    <w:qFormat/>
    <w:uiPriority w:val="0"/>
    <w:pPr>
      <w:spacing w:line="360" w:lineRule="auto"/>
      <w:ind w:firstLine="1446" w:firstLineChars="200"/>
    </w:pPr>
    <w:rPr>
      <w:rFonts w:ascii="Times New Roman" w:hAnsi="Times New Roman" w:eastAsia="宋体" w:cs="Times New Roman"/>
      <w:sz w:val="24"/>
    </w:rPr>
  </w:style>
  <w:style w:type="paragraph" w:customStyle="1" w:styleId="42">
    <w:name w:val="报告正文"/>
    <w:basedOn w:val="1"/>
    <w:qFormat/>
    <w:uiPriority w:val="0"/>
    <w:pPr>
      <w:spacing w:line="360" w:lineRule="auto"/>
      <w:ind w:firstLine="480" w:firstLineChars="200"/>
    </w:pPr>
    <w:rPr>
      <w:rFonts w:hAns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340</Words>
  <Characters>372</Characters>
  <Lines>0</Lines>
  <Paragraphs>0</Paragraphs>
  <TotalTime>0</TotalTime>
  <ScaleCrop>false</ScaleCrop>
  <LinksUpToDate>false</LinksUpToDate>
  <CharactersWithSpaces>430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2023-06-21T06:45:00Z</dcterms:created>
  <dc:creator>Administrator</dc:creator>
  <cp:lastModifiedBy>任森华</cp:lastModifiedBy>
  <dcterms:modified xsi:type="dcterms:W3CDTF">2025-06-19T03:10:09Z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FE857EB5BCBC439980959E0FDBEE573B_13</vt:lpwstr>
  </property>
  <property fmtid="{D5CDD505-2E9C-101B-9397-08002B2CF9AE}" pid="4" name="KSOTemplateDocerSaveRecord">
    <vt:lpwstr>eyJoZGlkIjoiNTUwOWE4NDAwMzk2ODJkMWJhOTJkMzViNDgyMmIwYjMiLCJ1c2VySWQiOiI0MTk3NDgyNTgifQ==</vt:lpwstr>
  </property>
</Properties>
</file>