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hd w:val="clear" w:color="auto" w:fill="FFFFFF"/>
        <w:spacing w:before="0" w:beforeLines="0" w:beforeAutospacing="0" w:after="0" w:afterLines="0" w:afterAutospacing="0" w:line="33" w:lineRule="atLeast"/>
        <w:ind w:firstLine="420"/>
        <w:jc w:val="both"/>
        <w:rPr>
          <w:rFonts w:hint="default" w:ascii="宋体" w:hAnsi="宋体" w:eastAsia="宋体" w:cs="Times New Roman"/>
          <w:b/>
          <w:bCs/>
          <w:kern w:val="2"/>
          <w:sz w:val="52"/>
          <w:szCs w:val="44"/>
          <w:lang w:val="zh-CN"/>
        </w:rPr>
      </w:pPr>
      <w:r>
        <w:rPr>
          <w:rFonts w:hint="default" w:ascii="宋体" w:hAnsi="宋体" w:eastAsia="宋体" w:cs="Times New Roman"/>
          <w:b/>
          <w:bCs/>
          <w:kern w:val="2"/>
          <w:sz w:val="52"/>
          <w:szCs w:val="44"/>
          <w:lang w:val="zh-CN"/>
        </w:rPr>
        <w:t>202</w:t>
      </w:r>
      <w:r>
        <w:rPr>
          <w:rFonts w:hint="eastAsia" w:ascii="宋体" w:hAnsi="宋体" w:eastAsia="宋体" w:cs="Times New Roman"/>
          <w:b/>
          <w:bCs/>
          <w:kern w:val="2"/>
          <w:sz w:val="52"/>
          <w:szCs w:val="44"/>
          <w:lang w:val="en-US" w:eastAsia="zh-CN"/>
        </w:rPr>
        <w:t>1</w:t>
      </w:r>
      <w:r>
        <w:rPr>
          <w:rFonts w:hint="default" w:ascii="宋体" w:hAnsi="宋体" w:eastAsia="宋体" w:cs="Times New Roman"/>
          <w:b/>
          <w:bCs/>
          <w:kern w:val="2"/>
          <w:sz w:val="52"/>
          <w:szCs w:val="44"/>
          <w:lang w:val="zh-CN"/>
        </w:rPr>
        <w:t>年度岳阳市农业综合技术推广站整体支出绩效自评报告</w:t>
      </w:r>
    </w:p>
    <w:p>
      <w:pPr>
        <w:pStyle w:val="2"/>
        <w:shd w:val="clear" w:color="auto" w:fill="FFFFFF"/>
        <w:spacing w:before="0" w:beforeLines="0" w:beforeAutospacing="0" w:after="0" w:afterLines="0" w:afterAutospacing="0" w:line="33" w:lineRule="atLeast"/>
        <w:ind w:firstLine="420"/>
        <w:jc w:val="both"/>
        <w:rPr>
          <w:rFonts w:hint="default" w:ascii="宋体" w:hAnsi="宋体" w:eastAsia="宋体" w:cs="Times New Roman"/>
          <w:kern w:val="2"/>
          <w:sz w:val="32"/>
          <w:szCs w:val="24"/>
          <w:lang w:val="zh-CN"/>
        </w:rPr>
      </w:pPr>
      <w:r>
        <w:rPr>
          <w:rFonts w:hint="default" w:ascii="宋体" w:hAnsi="宋体" w:eastAsia="宋体" w:cs="Times New Roman"/>
          <w:kern w:val="2"/>
          <w:sz w:val="32"/>
          <w:szCs w:val="24"/>
          <w:lang w:val="zh-CN"/>
        </w:rPr>
        <w:t>根据要求，我站专门成立财政支出绩效评价工作小组，组织对202</w:t>
      </w:r>
      <w:r>
        <w:rPr>
          <w:rFonts w:hint="eastAsia" w:ascii="宋体" w:hAnsi="宋体" w:eastAsia="宋体" w:cs="Times New Roman"/>
          <w:kern w:val="2"/>
          <w:sz w:val="32"/>
          <w:szCs w:val="24"/>
          <w:lang w:val="en-US" w:eastAsia="zh-CN"/>
        </w:rPr>
        <w:t>1</w:t>
      </w:r>
      <w:r>
        <w:rPr>
          <w:rFonts w:hint="default" w:ascii="宋体" w:hAnsi="宋体" w:eastAsia="宋体" w:cs="Times New Roman"/>
          <w:kern w:val="2"/>
          <w:sz w:val="32"/>
          <w:szCs w:val="24"/>
          <w:lang w:val="zh-CN"/>
        </w:rPr>
        <w:t>年度部门整体支出开展了绩效自评。现将有关情况报告如下：</w:t>
      </w:r>
    </w:p>
    <w:p>
      <w:pPr>
        <w:pStyle w:val="2"/>
        <w:shd w:val="clear" w:color="auto" w:fill="FFFFFF"/>
        <w:spacing w:before="0" w:beforeLines="0" w:beforeAutospacing="0" w:after="0" w:afterLines="0" w:afterAutospacing="0" w:line="33" w:lineRule="atLeast"/>
        <w:ind w:firstLine="420"/>
        <w:jc w:val="both"/>
        <w:rPr>
          <w:rFonts w:hint="default" w:ascii="宋体" w:hAnsi="宋体" w:eastAsia="宋体" w:cs="Times New Roman"/>
          <w:kern w:val="2"/>
          <w:sz w:val="32"/>
          <w:szCs w:val="24"/>
          <w:lang w:val="zh-CN"/>
        </w:rPr>
      </w:pPr>
    </w:p>
    <w:p>
      <w:pPr>
        <w:pStyle w:val="2"/>
        <w:shd w:val="clear" w:color="auto" w:fill="FFFFFF"/>
        <w:spacing w:before="0" w:beforeLines="0" w:beforeAutospacing="0" w:after="0" w:afterLines="0" w:afterAutospacing="0" w:line="33" w:lineRule="atLeast"/>
        <w:ind w:firstLine="420"/>
        <w:jc w:val="both"/>
        <w:rPr>
          <w:rFonts w:hint="default" w:ascii="宋体" w:hAnsi="宋体" w:eastAsia="宋体" w:cs="Times New Roman"/>
          <w:kern w:val="2"/>
          <w:sz w:val="32"/>
          <w:szCs w:val="24"/>
          <w:lang w:val="zh-CN"/>
        </w:rPr>
      </w:pPr>
      <w:r>
        <w:rPr>
          <w:rFonts w:hint="default" w:ascii="宋体" w:hAnsi="宋体" w:eastAsia="宋体" w:cs="Times New Roman"/>
          <w:kern w:val="2"/>
          <w:sz w:val="32"/>
          <w:szCs w:val="24"/>
          <w:lang w:val="zh-CN"/>
        </w:rPr>
        <w:t>一、部门概况</w:t>
      </w:r>
    </w:p>
    <w:p>
      <w:pPr>
        <w:pStyle w:val="2"/>
        <w:shd w:val="clear" w:color="auto" w:fill="FFFFFF"/>
        <w:spacing w:before="0" w:beforeLines="0" w:beforeAutospacing="0" w:after="0" w:afterLines="0" w:afterAutospacing="0" w:line="33" w:lineRule="atLeast"/>
        <w:ind w:firstLine="420"/>
        <w:jc w:val="both"/>
        <w:rPr>
          <w:rFonts w:hint="default" w:ascii="宋体" w:hAnsi="宋体" w:eastAsia="宋体" w:cs="Times New Roman"/>
          <w:kern w:val="2"/>
          <w:sz w:val="32"/>
          <w:szCs w:val="24"/>
          <w:lang w:val="zh-CN"/>
        </w:rPr>
      </w:pPr>
      <w:r>
        <w:rPr>
          <w:rFonts w:hint="default" w:ascii="宋体" w:hAnsi="宋体" w:eastAsia="宋体" w:cs="Times New Roman"/>
          <w:kern w:val="2"/>
          <w:sz w:val="32"/>
          <w:szCs w:val="24"/>
          <w:lang w:val="zh-CN"/>
        </w:rPr>
        <w:t>（一）部门基本情况</w:t>
      </w:r>
    </w:p>
    <w:p>
      <w:pPr>
        <w:widowControl w:val="0"/>
        <w:spacing w:beforeLines="0" w:afterLines="0" w:line="500" w:lineRule="exact"/>
        <w:ind w:firstLine="640" w:firstLineChars="200"/>
        <w:jc w:val="left"/>
        <w:rPr>
          <w:rFonts w:hint="default" w:ascii="宋体" w:hAnsi="宋体" w:eastAsia="宋体"/>
          <w:sz w:val="32"/>
          <w:szCs w:val="24"/>
          <w:lang w:val="zh-CN" w:eastAsia="zh-CN"/>
        </w:rPr>
      </w:pPr>
      <w:r>
        <w:rPr>
          <w:rFonts w:hint="default" w:ascii="宋体" w:hAnsi="宋体" w:eastAsia="宋体"/>
          <w:sz w:val="32"/>
          <w:szCs w:val="24"/>
          <w:lang w:val="zh-CN" w:eastAsia="zh-CN"/>
        </w:rPr>
        <w:t>岳阳市农业综合技术推广站单位内设机构包括：</w:t>
      </w:r>
      <w:r>
        <w:rPr>
          <w:rFonts w:hint="default" w:ascii="宋体" w:hAnsi="宋体" w:eastAsia="宋体"/>
          <w:sz w:val="32"/>
          <w:szCs w:val="24"/>
          <w:lang w:val="en-US" w:eastAsia="zh-CN"/>
        </w:rPr>
        <w:t>1.综合科。负责单位办公、财务、后勤保障工作，承担人事、档案、综治、信访及党风廉政建设等工作。2.种植技术推广科。制订实施种植业技术推广计划，组织实施种植业技术推广项目；承担农技员培训和学历教育；承担种植业新技术、新品种的引进、试验和示范推广及试验示范基地建设；指导基层种植业推广机构的推广活动，开展种植业技术培训和相关信息统计工作。3.畜牧技术推广科。制订实施畜牧业技术推广计划，组织实施畜牧业技术推广项目；承担畜牧新技术引进、试验和示范推广及试验示范基地建设，指导基层畜牧推广机构的畜牧推广活动，开展畜牧技术培训和相关信息统计工作；参与全市重大疫情的防控工作。4.水产技术推广科。制订实施水产技术推广计划，组织实施水产技术推广项目；承担现代渔业生产模式和关键技术和引进、试验和示范推广及试验示范基地建设；承担水生动物疫病、水产养殖灾害的监测、预报和预防工作；承担重大水生动物疫病防控和应急处置的技术工作；组织渔业行业职业技能鉴定，开展水产技术培训和相关信息统计工作。5.农机与能源技术推广科。制订实施农机和能源技术推广计划，组织实施农机和能源技术推广项目；承担农机和能源新技术、新模式的引进、试验和示范推广及技术先进性、适用性、安全性评价；承担农机技术试验示范基地建设，指导基层农机和能源推广机构推广活动，开展农机和能源技术培训和相关信息统计工作。6.农民教育科。承担农民教育培训，培养高素质农民，组织优秀新型农业经营组织负责人境外培训；承担农民职业技能鉴定，组织农民体育赛事活动，开展农业声像宣传和管理。</w:t>
      </w:r>
    </w:p>
    <w:p>
      <w:pPr>
        <w:pStyle w:val="2"/>
        <w:shd w:val="clear" w:color="auto" w:fill="FFFFFF"/>
        <w:spacing w:before="0" w:beforeLines="0" w:beforeAutospacing="0" w:after="0" w:afterLines="0" w:afterAutospacing="0" w:line="33" w:lineRule="atLeast"/>
        <w:ind w:firstLine="420"/>
        <w:jc w:val="both"/>
        <w:rPr>
          <w:rFonts w:hint="default" w:ascii="宋体" w:hAnsi="宋体" w:eastAsia="宋体" w:cs="Times New Roman"/>
          <w:kern w:val="2"/>
          <w:sz w:val="32"/>
          <w:szCs w:val="24"/>
        </w:rPr>
      </w:pPr>
      <w:r>
        <w:rPr>
          <w:rFonts w:hint="default" w:ascii="宋体" w:hAnsi="宋体" w:eastAsia="宋体" w:cs="Times New Roman"/>
          <w:kern w:val="2"/>
          <w:sz w:val="32"/>
          <w:szCs w:val="24"/>
        </w:rPr>
        <w:t>（二）部门主要职能</w:t>
      </w:r>
    </w:p>
    <w:p>
      <w:pPr>
        <w:widowControl w:val="0"/>
        <w:spacing w:beforeLines="0" w:afterLines="0" w:line="500" w:lineRule="exact"/>
        <w:ind w:firstLine="640" w:firstLineChars="200"/>
        <w:jc w:val="left"/>
        <w:rPr>
          <w:rFonts w:hint="default" w:ascii="宋体" w:hAnsi="宋体" w:eastAsia="宋体"/>
          <w:sz w:val="32"/>
          <w:szCs w:val="24"/>
          <w:lang w:val="en-US" w:eastAsia="zh-CN"/>
        </w:rPr>
      </w:pPr>
      <w:r>
        <w:rPr>
          <w:rFonts w:hint="default" w:ascii="宋体" w:hAnsi="宋体" w:eastAsia="宋体"/>
          <w:sz w:val="32"/>
          <w:szCs w:val="24"/>
          <w:lang w:val="en-US" w:eastAsia="zh-CN"/>
        </w:rPr>
        <w:t>市农业综合技术推广站是由市农业农村局管理的公益一类副处级机构，编制29个，在职人数29人，退休人数16人。主要职责为：贯彻执行农业技术推广相关法律法规，负责农业综合技术推广体系建设；负责对基层农业技术推广机构的业务指导和考评。负责制定农业综合技术推广计划，组织实施农业综合技术推广项目；负责新技术的引进、试验、示范推广及新技术先进性、适用性和安全性评价，开展农业综合技术培训。指导全市农业广播电视学校体系建设；负责农民教育培训，承担农民职业技能鉴定，组织农民体育赛事活动。负责全市水生动物疫病、水产养殖灾害的监测、预报和预防；承担重大水生动物疫病应急处置的技术工作。</w:t>
      </w:r>
    </w:p>
    <w:p>
      <w:pPr>
        <w:pStyle w:val="2"/>
        <w:shd w:val="clear" w:color="auto" w:fill="FFFFFF"/>
        <w:spacing w:before="0" w:beforeLines="0" w:beforeAutospacing="0" w:after="0" w:afterLines="0" w:afterAutospacing="0" w:line="33" w:lineRule="atLeast"/>
        <w:ind w:firstLine="420"/>
        <w:jc w:val="both"/>
        <w:rPr>
          <w:rFonts w:hint="default" w:ascii="宋体" w:hAnsi="宋体" w:eastAsia="宋体" w:cs="Times New Roman"/>
          <w:kern w:val="2"/>
          <w:sz w:val="32"/>
          <w:szCs w:val="24"/>
          <w:lang w:val="zh-CN"/>
        </w:rPr>
      </w:pPr>
      <w:r>
        <w:rPr>
          <w:rFonts w:hint="default" w:ascii="宋体" w:hAnsi="宋体" w:eastAsia="宋体" w:cs="Times New Roman"/>
          <w:kern w:val="2"/>
          <w:sz w:val="32"/>
          <w:szCs w:val="24"/>
          <w:lang w:val="zh-CN"/>
        </w:rPr>
        <w:t>二、年度重点工作</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贯彻落实中央、省一号文件、省市《乡村振兴战略规划(2018—2022年)》文件和省市农业农村工作会议精神，立足农技推广培训职能，以项目建设为抓手，推进单位各项业务工作。</w:t>
      </w:r>
    </w:p>
    <w:p>
      <w:pPr>
        <w:spacing w:beforeLines="0" w:afterLines="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1、建设服务平台，完善体系强能力。进一步完善体系建设，依托推广、农广体系建设项目，抓好基层农技、农广体系建设，目前我市县级推广机构已基本完成改革，但只有华容、云溪、楼区、屈原四个县市区将农业、畜牧水产、农机综合设置，其他7个县市区机构仍然分设，乡镇农技站全部合并成一个中心站，站房和农技员工资待遇全部到位。完善现代农业技术推广信息化平台，基层农技人员全部使用中国农技推广APP开展手机云端服务，并指导科技示范户利用中国农技推广APP平台学习农业新政策、了解新品种、掌握新技术。通过市县共抓，对推广体系管理信息系统明确专人负责，按时按质完成了APP平台建设和全国基层农技推广体系管理信息系统2020年数据信息填报。创建星级基层农技站，发展农民田间学校，我市现有10个省级5星农技站，5个国家级5星农技站，12个省级5星田间学校；今年我市有6个田间学校申报湖南省农民田间学校示范校。我市9个县级农广校分校在本轮改革中都保留下来，有的分校力量还有所增强。</w:t>
      </w:r>
    </w:p>
    <w:p>
      <w:pPr>
        <w:spacing w:beforeLines="0" w:afterLines="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2、创建示范基地，推广技术增效益。开展高效农业示范基地创建，全市共创建了21个高效农业示范基地，1240个科技示范户，并依托示范基地和科技示范户，强化技术指导服务，落实三项技术（机收再生稻“四防一增”高产高效技术、稻油轮作“三化”技术、有机生态稻田综合种养技术）推广，全市再生稻种植面积20.28万亩，机收再生稻“四防一增”高产高效栽培技术应用面积达20.07万亩，占总面积的98.91%；稻油总面积107万亩，稻油轮作“三化技术”应用面积104.3万亩，占总面积的97.48%；稻田综合种养总面积88.67万亩，有机生态稻田综合种养面积86.34万亩，占养殖总面积的97.38%；主推技术到位率都在95%以上。累计推广有序抛秧机近200台，机插（抛）早稻面积92.3万亩。为我市粮食安全生产提供了有力的保障。</w:t>
      </w:r>
    </w:p>
    <w:p>
      <w:pPr>
        <w:spacing w:beforeLines="0" w:afterLines="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创精品示范基地2个 ，一是有机生态稻虾综合种养水稻品种展示基地。开展稻虾综合种养水稻品种展示，筛选出适合我市稻虾综合种养的优质高产水稻品种，提高稻虾综合种养效益。我站选点在临湘市江南镇益湘家庭农场开展稻虾综合种养水稻品种展示，总面积90亩，共收集18个品种，其中包括6个一晚（一季）品种，11个杂交晚稻品种和1个常规品种。二是优质水稻玉针香有机栽培技术示范推广基地。采用有机栽培技术，生产有机无公害玉针香大米，提高大米品质，为全市大面积推广优质稻有机栽培技术提供技术支撑。我站选点在华容县禹农云耕水稻种植专业合作社，建立了50亩优质稻有机栽培试验示范基地。</w:t>
      </w:r>
    </w:p>
    <w:p>
      <w:pPr>
        <w:spacing w:beforeLines="0" w:afterLines="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为推动我市水产养殖转型升级，我站与岳阳县怡江种养合作社合作建立了我市首个池塘内循环流水养殖技术（跑道养殖技术）示范基地。该养殖场在60亩的水面修建3条水槽，在养殖槽内“圈养”草鱼、青鱼，鱼的运动量增大、肉质紧实，加上养殖槽三面均是混凝土硬化，养出的鱼也不带泥腥味儿，鱼的品质提高了，每斤价格也提高了0.5元—0.8元。</w:t>
      </w:r>
    </w:p>
    <w:p>
      <w:pPr>
        <w:spacing w:beforeLines="0" w:afterLines="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3、开展三农培训，提升技能树人才。一是强化队伍建设，开展基层农技人员培训。为进一步加强基层农技推广人才队伍建设，提升基层农技推广服务供给能力。组织县市区农技人员参加基层农技人员培训，我市5县5区将共有218人参加六个项目的培训，27名基层农技人员参加了学历提升，68名高中应届毕业生参加定向培养，其中本科9名，专科59名。组织开展了水稻有序抛秧技术示范与培训会和农机安全监理人员培训班，培训农技人员近150多人。组织农技人员参加网络培训。今年组织参与全国农技中心远程培训4场、农技大讲堂培训7场，培训农技人员4600余人次。二是强化产业领军人才培训，抓好“农广助农”品牌培训工程。我站今年向省农广校争取资金50多万元，组织举办了6期“农广助农”产业领军人才培训班，参训学员近400人次，为我市培养了一大批黄茶、生猪、芥菜、甜酒、栀子和稻田综合种养产业领军人才，为我市重点农业产业的发展提供了坚实的人才支撑。三是强化农民培训，抓好高素质农民培育。全市农教系统、推广系统，今年共承担生产经营型和专业技能型高素质农民培训任务1000多人。通过认真组织、统筹计划、严格监管并狠抓落实，培训任务均如期完成。引导发挥农民田间学校作用，各县市区通过田间学校组织开展基地观摩，共现场培训人数2850余人，通过现场观摩再生稻高效栽培模式、“稻+虾”等稻田综合种养技术模式、绿色防控技术模式、水稻全程机械化等模式，使一批资源节约、增产增效、生态环保、质量安全的优质绿色高效技术得到深化推广。</w:t>
      </w:r>
    </w:p>
    <w:p>
      <w:pPr>
        <w:spacing w:beforeLines="0" w:afterLines="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 xml:space="preserve">4、服务特色产业，创新技术补短板。一是开展黄茶闷黄关键技术机械化生产研究。为了推进我市黄茶产业高质量快速发展，针对黄茶加工关键环节技术短板，组织开展黄茶闷黄关键技术机械化生产研究，项目已成功申报省农业农村厅2020年农业优势特色产业项目---茶叶全自动闷黄机研制，并与市农科院和洞庭春茶厂联合申报省科技厅项目---多层输送带箱式茶叶闷黄机研制及岳阳黄茶机械化加工技术规范制定，现在2个项目都已成功立项，争取项目资金共70万元。二是推动岳阳市水生动物疫病防控监测区域中心建设。为建设服务现代渔业发展需要、省内一流、全国先进的水生动物疫病防控监测区域中心，承担辖区内水生动物疫病监测、防疫、病害防治技术服务、水产品质量安全和渔业水域环境检测，渔用药物耐药性监测普查、为水产苗种产地检疫提供技术支撑，并指导、带动辖区内县级水生动物防治站，开展水生动物疫病防治，完善省市县三级水生动物疫病预防监测体系，我站积极申报2020年国家农业部项目——岳阳市水生动物疫病防控监测区域中心建设项目，该项目已获批中央财政预算内资金400万元。项目的实施将为保护渔业水域环境，提高水产品质量安全水平，提升水生动物疫病防控能力，推动水产业持续健康发展提供有力技术支撑。 </w:t>
      </w:r>
    </w:p>
    <w:p>
      <w:pPr>
        <w:spacing w:beforeLines="0" w:afterLines="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5、发挥媒体资源优势，促销农产品。为切实解决农产品滞销问题，由湖南广播电视台广播传媒中心携手湖南省农民科技教育培训中心（省农广校）系统联合发起《振兴吧乡村》县长代言农产品网络直播活动，我站组织承办了2期，分别是汩罗长乐甜酒和岳阳王鸽，由湖南卫视、芒果TV、红网等新闻媒体报道，甜酒的销售近1.5万单，销售金额达到100万元，王鸽的销售金额达到46.7万元，活动取得较好的效果，示范引领了我市农产品直播带货活动。</w:t>
      </w:r>
    </w:p>
    <w:p>
      <w:pPr>
        <w:spacing w:beforeLines="0" w:afterLines="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6、完成有关技术性、事务性工作，发挥作用促发展。一是开展农机安全监理工作。完成2020年我市11个县市区农机购置补贴机具抽查核验工作，完成全市农机安全监理员证件清理和换发，落实我市农机安责险推广与统计工作，落实农机驾驶员考试工作，安排、监督各县市区农机驾驶员交叉监考24场次，2020年我市830人参加考试，783人合格，合格率94.3%。积极参与我市“平安农机”示范市创建工作，完成农机监理日常系统的管理、月报汇总上报及农机安全监理人员培训等技术性事务性工作。二是开展重大水生动物疫病疫情测报工作。根据《2020年国家水生动物疫病监测计划》的要求，我站在华容、湘阴、汨罗、平江、岳阳县等5市县组织开展鲤春病毒血症、锦鲤疱疹病毒病、鲫造血器官坏死病、草鱼出血病、鲤浮肿病等5种重大水生动物疫病疫情监测。严格按照《方案》要求，分别在5月和8月2次共采样5000尾送检，圆满完成了今年的水生动物疫病疫情监测工作。三是持续推进技术帮扶活动。践行“一线工作法”，打通服务三农“最后一公里”， 依托推广体系建设项目，落实资金安排，调动基层农技人员积极性，继续推进“百名农技人员帮扶百家新型农业经营主体”活动，共培育科技示范户1240户，选拨技术指导员290人，切实帮助新型农业经营组织解决技术难题，培训技术人员，为我市现代农业产业发展，乡村振兴提供技术和人才支撑。四是抓好非洲猪瘟防控技术推广。为促进生猪产业健康发展，确保猪肉有效供给，我站通过主办培训班、发放技术资料和技术指导服务等多种形式，积极参与非洲猪瘟防控技术推广，在各方共同努力下，我市非洲猪瘟防控取得了阶段性成果。疫情发生强度明显下降，关键环节病毒污染情况得到改善，养殖、屠宰、运输、无害化处理等环节污染率明显下降，养殖场户生物安全意识明显提高，群防群控格局初步形成，生猪生产恢复势头良好。今年，全市出栏生猪380万头，同比增长6.7%。五是开展最美农技员、渔技员初评推荐。经我站初评推荐，我市今年有3名农技员被评为2020年度全省“最美基层农技员”，其中一人入选全国第二届“寻找最美农技员”候选人；华容县农业综合技术推广中心副主任张瑰获评为全国第二届“最美渔技员”（我省唯一1名）。六是开展湖南省农民田间学校示范校复核推荐。为进一步推进我市农民田间学校示范校的创建工作，充分发挥农民田间学校示范校的示范引领作用，按照《湖南省农业农村厅办公室关于开展2020年度农民田间学校示范校认定工作的通知》要求，通过自主申报，县（市、区）农业农村部门初审，我站复核，决定推荐汩罗市云耕鳅语种养专业合作社农民田间学校等6个农民田间学校参加湖南省2020年度农民田间学校示范校认定。七是开展农业丰收奖推荐申报。今年有四个县参加五个项目的农业丰收奖的申报工作，有岳阳县的水稻集中育秧技术推广、平江的水稻病虫害防治和油菜高产栽培技术推广、临湘稻油水旱轮作绿色优质高效示范推广、汩罗“早加晚优”模式绿色高质高效技术推广应用。八是开展各行业统计工作。为确保统计数据全面客观真实地反映我市农业各行业生产水平，2020年全面加强了种植业、畜牧业、渔业和农机、农教统计汇总工作，不断督促各县市区完成统计汇总上报。目前已按相关要求全面完成了各行业统计的月报、季报、预计报和年报工作。</w:t>
      </w:r>
    </w:p>
    <w:p>
      <w:pPr>
        <w:pStyle w:val="2"/>
        <w:numPr>
          <w:ilvl w:val="0"/>
          <w:numId w:val="0"/>
        </w:numPr>
        <w:shd w:val="clear" w:color="auto" w:fill="FFFFFF"/>
        <w:spacing w:before="0" w:beforeLines="0" w:beforeAutospacing="0" w:after="0" w:afterLines="0" w:afterAutospacing="0" w:line="33" w:lineRule="atLeast"/>
        <w:ind w:left="420"/>
        <w:jc w:val="both"/>
        <w:rPr>
          <w:rFonts w:hint="default" w:ascii="宋体" w:hAnsi="宋体" w:eastAsia="宋体" w:cs="宋体"/>
          <w:color w:val="000000"/>
          <w:sz w:val="21"/>
          <w:szCs w:val="21"/>
          <w:shd w:val="clear" w:color="auto" w:fill="FFFFFF"/>
        </w:rPr>
      </w:pPr>
    </w:p>
    <w:p>
      <w:pPr>
        <w:pStyle w:val="2"/>
        <w:numPr>
          <w:ilvl w:val="0"/>
          <w:numId w:val="0"/>
        </w:numPr>
        <w:shd w:val="clear" w:color="auto" w:fill="FFFFFF"/>
        <w:spacing w:before="0" w:beforeLines="0" w:beforeAutospacing="0" w:after="0" w:afterLines="0" w:afterAutospacing="0" w:line="33" w:lineRule="atLeast"/>
        <w:ind w:left="420"/>
        <w:jc w:val="both"/>
        <w:rPr>
          <w:rFonts w:hint="default" w:ascii="宋体" w:hAnsi="宋体" w:eastAsia="宋体" w:cs="宋体"/>
          <w:color w:val="000000"/>
          <w:sz w:val="21"/>
          <w:szCs w:val="21"/>
          <w:shd w:val="clear" w:color="auto" w:fill="FFFFFF"/>
        </w:rPr>
      </w:pPr>
    </w:p>
    <w:p>
      <w:pPr>
        <w:pStyle w:val="2"/>
        <w:shd w:val="clear" w:color="auto" w:fill="FFFFFF"/>
        <w:spacing w:before="0" w:beforeLines="0" w:beforeAutospacing="0" w:after="0" w:afterLines="0" w:afterAutospacing="0" w:line="33" w:lineRule="atLeast"/>
        <w:ind w:firstLine="420"/>
        <w:jc w:val="both"/>
        <w:rPr>
          <w:rFonts w:hint="default" w:ascii="宋体" w:hAnsi="宋体" w:eastAsia="宋体" w:cs="Times New Roman"/>
          <w:kern w:val="2"/>
          <w:sz w:val="32"/>
          <w:szCs w:val="24"/>
          <w:lang w:val="zh-CN"/>
        </w:rPr>
      </w:pPr>
      <w:r>
        <w:rPr>
          <w:rFonts w:hint="default" w:ascii="宋体" w:hAnsi="宋体" w:eastAsia="宋体" w:cs="Times New Roman"/>
          <w:kern w:val="2"/>
          <w:sz w:val="32"/>
          <w:szCs w:val="24"/>
          <w:lang w:val="zh-CN"/>
        </w:rPr>
        <w:t>三、部门整体收支情况</w:t>
      </w:r>
    </w:p>
    <w:p>
      <w:pPr>
        <w:pStyle w:val="2"/>
        <w:shd w:val="clear" w:color="auto" w:fill="FFFFFF"/>
        <w:spacing w:before="0" w:beforeLines="0" w:beforeAutospacing="0" w:after="0" w:afterLines="0" w:afterAutospacing="0" w:line="33" w:lineRule="atLeast"/>
        <w:ind w:firstLine="420"/>
        <w:jc w:val="both"/>
        <w:rPr>
          <w:rFonts w:hint="default" w:ascii="宋体" w:hAnsi="宋体" w:eastAsia="宋体" w:cs="Times New Roman"/>
          <w:kern w:val="2"/>
          <w:sz w:val="32"/>
          <w:szCs w:val="24"/>
          <w:lang w:val="zh-CN"/>
        </w:rPr>
      </w:pPr>
      <w:r>
        <w:rPr>
          <w:rFonts w:hint="default" w:ascii="宋体" w:hAnsi="宋体" w:eastAsia="宋体" w:cs="Times New Roman"/>
          <w:kern w:val="2"/>
          <w:sz w:val="32"/>
          <w:szCs w:val="24"/>
          <w:lang w:val="zh-CN"/>
        </w:rPr>
        <w:t>1、收入情况：我站全年收入</w:t>
      </w:r>
      <w:r>
        <w:rPr>
          <w:rFonts w:hint="eastAsia" w:ascii="宋体" w:hAnsi="宋体" w:eastAsia="宋体" w:cs="Times New Roman"/>
          <w:kern w:val="2"/>
          <w:sz w:val="32"/>
          <w:szCs w:val="24"/>
          <w:lang w:val="en-US" w:eastAsia="zh-CN"/>
        </w:rPr>
        <w:t>736.42</w:t>
      </w:r>
      <w:r>
        <w:rPr>
          <w:rFonts w:hint="default" w:ascii="宋体" w:hAnsi="宋体" w:eastAsia="宋体" w:cs="Times New Roman"/>
          <w:kern w:val="2"/>
          <w:sz w:val="32"/>
          <w:szCs w:val="24"/>
          <w:lang w:val="zh-CN"/>
        </w:rPr>
        <w:t>万元，其中：全年财政拨款收入</w:t>
      </w:r>
      <w:r>
        <w:rPr>
          <w:rFonts w:hint="eastAsia" w:ascii="宋体" w:hAnsi="宋体" w:eastAsia="宋体" w:cs="Times New Roman"/>
          <w:kern w:val="2"/>
          <w:sz w:val="32"/>
          <w:szCs w:val="24"/>
          <w:lang w:val="en-US" w:eastAsia="zh-CN"/>
        </w:rPr>
        <w:t>620.63</w:t>
      </w:r>
      <w:r>
        <w:rPr>
          <w:rFonts w:hint="default" w:ascii="宋体" w:hAnsi="宋体" w:eastAsia="宋体" w:cs="Times New Roman"/>
          <w:kern w:val="2"/>
          <w:sz w:val="32"/>
          <w:szCs w:val="24"/>
          <w:lang w:val="zh-CN"/>
        </w:rPr>
        <w:t>万元、其他收入</w:t>
      </w:r>
      <w:r>
        <w:rPr>
          <w:rFonts w:hint="eastAsia" w:ascii="宋体" w:hAnsi="宋体" w:eastAsia="宋体" w:cs="Times New Roman"/>
          <w:kern w:val="2"/>
          <w:sz w:val="32"/>
          <w:szCs w:val="24"/>
          <w:lang w:val="en-US" w:eastAsia="zh-CN"/>
        </w:rPr>
        <w:t>115.79</w:t>
      </w:r>
      <w:r>
        <w:rPr>
          <w:rFonts w:hint="default" w:ascii="宋体" w:hAnsi="宋体" w:eastAsia="宋体" w:cs="Times New Roman"/>
          <w:kern w:val="2"/>
          <w:sz w:val="32"/>
          <w:szCs w:val="24"/>
          <w:lang w:val="zh-CN"/>
        </w:rPr>
        <w:t>万元。</w:t>
      </w:r>
    </w:p>
    <w:p>
      <w:pPr>
        <w:pStyle w:val="5"/>
        <w:ind w:firstLine="640" w:firstLineChars="200"/>
        <w:rPr>
          <w:rFonts w:hint="eastAsia" w:asciiTheme="minorEastAsia" w:hAnsiTheme="minorEastAsia" w:eastAsiaTheme="minorEastAsia"/>
          <w:sz w:val="32"/>
          <w:szCs w:val="32"/>
        </w:rPr>
      </w:pPr>
      <w:r>
        <w:rPr>
          <w:rFonts w:hint="default" w:ascii="宋体" w:hAnsi="宋体" w:eastAsia="宋体" w:cs="Times New Roman"/>
          <w:kern w:val="2"/>
          <w:sz w:val="32"/>
          <w:szCs w:val="24"/>
          <w:lang w:val="zh-CN"/>
        </w:rPr>
        <w:t>2、支出情况：全年支出</w:t>
      </w:r>
      <w:r>
        <w:rPr>
          <w:rFonts w:hint="eastAsia" w:ascii="宋体" w:hAnsi="宋体" w:eastAsia="宋体" w:cs="Times New Roman"/>
          <w:kern w:val="2"/>
          <w:sz w:val="32"/>
          <w:szCs w:val="24"/>
          <w:lang w:val="en-US" w:eastAsia="zh-CN"/>
        </w:rPr>
        <w:t>734.9</w:t>
      </w:r>
      <w:r>
        <w:rPr>
          <w:rFonts w:hint="default" w:ascii="宋体" w:hAnsi="宋体" w:eastAsia="宋体" w:cs="Times New Roman"/>
          <w:kern w:val="2"/>
          <w:sz w:val="32"/>
          <w:szCs w:val="24"/>
          <w:lang w:val="zh-CN"/>
        </w:rPr>
        <w:t>万元，</w:t>
      </w:r>
      <w:r>
        <w:rPr>
          <w:rFonts w:hint="eastAsia" w:asciiTheme="minorEastAsia" w:hAnsiTheme="minorEastAsia" w:eastAsiaTheme="minorEastAsia"/>
          <w:sz w:val="32"/>
          <w:szCs w:val="32"/>
        </w:rPr>
        <w:t>基本支出</w:t>
      </w:r>
      <w:r>
        <w:rPr>
          <w:rFonts w:hint="eastAsia" w:asciiTheme="minorEastAsia" w:hAnsiTheme="minorEastAsia" w:eastAsiaTheme="minorEastAsia"/>
          <w:sz w:val="32"/>
          <w:szCs w:val="32"/>
          <w:lang w:val="en-US" w:eastAsia="zh-CN"/>
        </w:rPr>
        <w:t>552.57</w:t>
      </w:r>
      <w:r>
        <w:rPr>
          <w:rFonts w:hint="eastAsia" w:asciiTheme="minorEastAsia" w:hAnsiTheme="minorEastAsia" w:eastAsiaTheme="minorEastAsia"/>
          <w:sz w:val="32"/>
          <w:szCs w:val="32"/>
        </w:rPr>
        <w:t>万元，项目支出</w:t>
      </w:r>
      <w:r>
        <w:rPr>
          <w:rFonts w:hint="eastAsia" w:asciiTheme="minorEastAsia" w:hAnsiTheme="minorEastAsia" w:eastAsiaTheme="minorEastAsia"/>
          <w:sz w:val="32"/>
          <w:szCs w:val="32"/>
          <w:lang w:val="en-US" w:eastAsia="zh-CN"/>
        </w:rPr>
        <w:t>182.33</w:t>
      </w:r>
      <w:r>
        <w:rPr>
          <w:rFonts w:hint="eastAsia" w:asciiTheme="minorEastAsia" w:hAnsiTheme="minorEastAsia" w:eastAsiaTheme="minorEastAsia"/>
          <w:sz w:val="32"/>
          <w:szCs w:val="32"/>
        </w:rPr>
        <w:t>万元；上缴上级支出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万元；经营支出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万元，；对附属单位补助支出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p>
    <w:p>
      <w:pPr>
        <w:pStyle w:val="2"/>
        <w:shd w:val="clear" w:color="auto" w:fill="FFFFFF"/>
        <w:spacing w:before="0" w:beforeLines="0" w:beforeAutospacing="0" w:after="0" w:afterLines="0" w:afterAutospacing="0" w:line="33" w:lineRule="atLeast"/>
        <w:ind w:firstLine="420"/>
        <w:jc w:val="both"/>
        <w:rPr>
          <w:rFonts w:hint="default" w:ascii="宋体" w:hAnsi="宋体" w:eastAsia="宋体" w:cs="Times New Roman"/>
          <w:kern w:val="2"/>
          <w:sz w:val="32"/>
          <w:szCs w:val="24"/>
          <w:lang w:val="zh-CN"/>
        </w:rPr>
      </w:pPr>
      <w:r>
        <w:rPr>
          <w:rFonts w:hint="default" w:ascii="宋体" w:hAnsi="宋体" w:eastAsia="宋体" w:cs="Times New Roman"/>
          <w:kern w:val="2"/>
          <w:sz w:val="32"/>
          <w:szCs w:val="24"/>
          <w:lang w:val="zh-CN"/>
        </w:rPr>
        <w:t>四、部门（单位）整体支出管理及绩效情况</w:t>
      </w:r>
    </w:p>
    <w:p>
      <w:pPr>
        <w:pStyle w:val="2"/>
        <w:shd w:val="clear" w:color="auto" w:fill="FFFFFF"/>
        <w:spacing w:before="0" w:beforeLines="0" w:beforeAutospacing="0" w:after="0" w:afterLines="0" w:afterAutospacing="0" w:line="33" w:lineRule="atLeast"/>
        <w:ind w:firstLine="420"/>
        <w:jc w:val="both"/>
        <w:rPr>
          <w:rFonts w:hint="default" w:ascii="宋体" w:hAnsi="宋体" w:eastAsia="宋体" w:cs="Times New Roman"/>
          <w:kern w:val="2"/>
          <w:sz w:val="32"/>
          <w:szCs w:val="24"/>
          <w:lang w:val="zh-CN"/>
        </w:rPr>
      </w:pPr>
      <w:r>
        <w:rPr>
          <w:rFonts w:hint="default" w:ascii="宋体" w:hAnsi="宋体" w:eastAsia="宋体" w:cs="Times New Roman"/>
          <w:kern w:val="2"/>
          <w:sz w:val="32"/>
          <w:szCs w:val="24"/>
          <w:lang w:val="zh-CN"/>
        </w:rPr>
        <w:t>（一）部门整体支出情况分析</w:t>
      </w:r>
    </w:p>
    <w:p>
      <w:pPr>
        <w:spacing w:beforeLines="0" w:afterLines="0" w:line="500" w:lineRule="exact"/>
        <w:ind w:firstLine="640" w:firstLineChars="200"/>
        <w:rPr>
          <w:rFonts w:hint="default" w:ascii="宋体" w:hAnsi="宋体" w:eastAsia="宋体" w:cs="Times New Roman"/>
          <w:sz w:val="32"/>
          <w:szCs w:val="24"/>
          <w:lang w:val="en-US" w:eastAsia="zh-CN" w:bidi="ar"/>
        </w:rPr>
      </w:pPr>
      <w:r>
        <w:rPr>
          <w:rFonts w:hint="default" w:ascii="宋体" w:hAnsi="宋体" w:eastAsia="宋体" w:cs="Times New Roman"/>
          <w:sz w:val="32"/>
          <w:szCs w:val="24"/>
          <w:lang w:val="zh-CN" w:eastAsia="zh-CN" w:bidi="ar"/>
        </w:rPr>
        <w:t>1、</w:t>
      </w:r>
      <w:r>
        <w:rPr>
          <w:rFonts w:hint="default" w:ascii="宋体" w:hAnsi="宋体" w:eastAsia="宋体" w:cs="Times New Roman"/>
          <w:sz w:val="32"/>
          <w:szCs w:val="24"/>
          <w:lang w:val="en-US" w:eastAsia="zh-CN" w:bidi="ar"/>
        </w:rPr>
        <w:t>本年支出合计</w:t>
      </w:r>
      <w:r>
        <w:rPr>
          <w:rFonts w:hint="eastAsia" w:ascii="宋体" w:hAnsi="宋体" w:eastAsia="宋体" w:cs="Times New Roman"/>
          <w:sz w:val="32"/>
          <w:szCs w:val="24"/>
          <w:lang w:val="en-US" w:eastAsia="zh-CN" w:bidi="ar"/>
        </w:rPr>
        <w:t>734.9</w:t>
      </w:r>
      <w:r>
        <w:rPr>
          <w:rFonts w:hint="default" w:ascii="宋体" w:hAnsi="宋体" w:eastAsia="宋体" w:cs="Times New Roman"/>
          <w:sz w:val="32"/>
          <w:szCs w:val="24"/>
          <w:lang w:val="en-US" w:eastAsia="zh-CN" w:bidi="ar"/>
        </w:rPr>
        <w:t>万元，其中：基本支出</w:t>
      </w:r>
      <w:r>
        <w:rPr>
          <w:rFonts w:hint="eastAsia" w:ascii="宋体" w:hAnsi="宋体" w:eastAsia="宋体" w:cs="Times New Roman"/>
          <w:sz w:val="32"/>
          <w:szCs w:val="24"/>
          <w:lang w:val="en-US" w:eastAsia="zh-CN" w:bidi="ar"/>
        </w:rPr>
        <w:t>552.57</w:t>
      </w:r>
      <w:r>
        <w:rPr>
          <w:rFonts w:hint="default" w:ascii="宋体" w:hAnsi="宋体" w:eastAsia="宋体" w:cs="Times New Roman"/>
          <w:sz w:val="32"/>
          <w:szCs w:val="24"/>
          <w:lang w:val="zh-CN" w:eastAsia="zh-CN" w:bidi="ar"/>
        </w:rPr>
        <w:t>万元，</w:t>
      </w:r>
      <w:r>
        <w:rPr>
          <w:rFonts w:hint="default" w:ascii="宋体" w:hAnsi="宋体" w:eastAsia="宋体" w:cs="Times New Roman"/>
          <w:sz w:val="32"/>
          <w:szCs w:val="24"/>
          <w:lang w:val="en-US" w:eastAsia="zh-CN" w:bidi="ar"/>
        </w:rPr>
        <w:t>占</w:t>
      </w:r>
      <w:r>
        <w:rPr>
          <w:rFonts w:hint="eastAsia" w:ascii="宋体" w:hAnsi="宋体" w:eastAsia="宋体" w:cs="Times New Roman"/>
          <w:sz w:val="32"/>
          <w:szCs w:val="24"/>
          <w:lang w:val="en-US" w:eastAsia="zh-CN" w:bidi="ar"/>
        </w:rPr>
        <w:t>75</w:t>
      </w:r>
      <w:r>
        <w:rPr>
          <w:rFonts w:hint="default" w:ascii="宋体" w:hAnsi="宋体" w:eastAsia="宋体" w:cs="Times New Roman"/>
          <w:sz w:val="32"/>
          <w:szCs w:val="24"/>
          <w:lang w:val="en-US" w:eastAsia="zh-CN" w:bidi="ar"/>
        </w:rPr>
        <w:t>%；项目支出</w:t>
      </w:r>
      <w:r>
        <w:rPr>
          <w:rFonts w:hint="eastAsia" w:ascii="宋体" w:hAnsi="宋体" w:eastAsia="宋体" w:cs="Times New Roman"/>
          <w:sz w:val="32"/>
          <w:szCs w:val="24"/>
          <w:lang w:val="en-US" w:eastAsia="zh-CN" w:bidi="ar"/>
        </w:rPr>
        <w:t>182.33</w:t>
      </w:r>
      <w:r>
        <w:rPr>
          <w:rFonts w:hint="default" w:ascii="宋体" w:hAnsi="宋体" w:eastAsia="宋体" w:cs="Times New Roman"/>
          <w:sz w:val="32"/>
          <w:szCs w:val="24"/>
          <w:lang w:val="en-US" w:eastAsia="zh-CN" w:bidi="ar"/>
        </w:rPr>
        <w:t>万元，占</w:t>
      </w:r>
      <w:r>
        <w:rPr>
          <w:rFonts w:hint="eastAsia" w:ascii="宋体" w:hAnsi="宋体" w:eastAsia="宋体" w:cs="Times New Roman"/>
          <w:sz w:val="32"/>
          <w:szCs w:val="24"/>
          <w:lang w:val="en-US" w:eastAsia="zh-CN" w:bidi="ar"/>
        </w:rPr>
        <w:t>25</w:t>
      </w:r>
      <w:r>
        <w:rPr>
          <w:rFonts w:hint="default" w:ascii="宋体" w:hAnsi="宋体" w:eastAsia="宋体" w:cs="Times New Roman"/>
          <w:sz w:val="32"/>
          <w:szCs w:val="24"/>
          <w:lang w:val="en-US" w:eastAsia="zh-CN" w:bidi="ar"/>
        </w:rPr>
        <w:t>%。</w:t>
      </w:r>
    </w:p>
    <w:p>
      <w:pPr>
        <w:pStyle w:val="2"/>
        <w:shd w:val="clear" w:color="auto" w:fill="FFFFFF"/>
        <w:spacing w:before="0" w:beforeLines="0" w:beforeAutospacing="0" w:after="0" w:afterLines="0" w:afterAutospacing="0" w:line="33" w:lineRule="atLeast"/>
        <w:ind w:firstLine="420"/>
        <w:jc w:val="both"/>
        <w:rPr>
          <w:rFonts w:hint="default" w:ascii="宋体" w:hAnsi="宋体" w:eastAsia="宋体" w:cs="Times New Roman"/>
          <w:kern w:val="2"/>
          <w:sz w:val="32"/>
          <w:szCs w:val="24"/>
        </w:rPr>
      </w:pPr>
      <w:r>
        <w:rPr>
          <w:rFonts w:hint="default" w:ascii="宋体" w:hAnsi="宋体" w:eastAsia="宋体" w:cs="Times New Roman"/>
          <w:kern w:val="2"/>
          <w:sz w:val="32"/>
          <w:szCs w:val="24"/>
        </w:rPr>
        <w:t>2、202</w:t>
      </w:r>
      <w:r>
        <w:rPr>
          <w:rFonts w:hint="eastAsia" w:ascii="宋体" w:hAnsi="宋体" w:eastAsia="宋体" w:cs="Times New Roman"/>
          <w:kern w:val="2"/>
          <w:sz w:val="32"/>
          <w:szCs w:val="24"/>
          <w:lang w:val="en-US" w:eastAsia="zh-CN"/>
        </w:rPr>
        <w:t>1</w:t>
      </w:r>
      <w:r>
        <w:rPr>
          <w:rFonts w:hint="default" w:ascii="宋体" w:hAnsi="宋体" w:eastAsia="宋体" w:cs="Times New Roman"/>
          <w:kern w:val="2"/>
          <w:sz w:val="32"/>
          <w:szCs w:val="24"/>
        </w:rPr>
        <w:t>年度“三公”经费财政拨款支出预算为</w:t>
      </w:r>
      <w:r>
        <w:rPr>
          <w:rFonts w:hint="eastAsia" w:ascii="宋体" w:hAnsi="宋体" w:eastAsia="宋体" w:cs="Times New Roman"/>
          <w:kern w:val="2"/>
          <w:sz w:val="32"/>
          <w:szCs w:val="24"/>
          <w:lang w:val="en-US" w:eastAsia="zh-CN"/>
        </w:rPr>
        <w:t>6</w:t>
      </w:r>
      <w:r>
        <w:rPr>
          <w:rFonts w:hint="default" w:ascii="宋体" w:hAnsi="宋体" w:eastAsia="宋体" w:cs="Times New Roman"/>
          <w:kern w:val="2"/>
          <w:sz w:val="32"/>
          <w:szCs w:val="24"/>
        </w:rPr>
        <w:t>万元，支出决算为3.58万元,</w:t>
      </w:r>
      <w:r>
        <w:rPr>
          <w:rFonts w:hint="default" w:ascii="宋体" w:hAnsi="宋体" w:eastAsia="宋体" w:cs="Times New Roman"/>
          <w:kern w:val="2"/>
          <w:sz w:val="32"/>
          <w:szCs w:val="24"/>
          <w:lang w:val="zh-CN"/>
        </w:rPr>
        <w:t>完成预算的5</w:t>
      </w:r>
      <w:r>
        <w:rPr>
          <w:rFonts w:hint="eastAsia" w:ascii="宋体" w:hAnsi="宋体" w:eastAsia="宋体" w:cs="Times New Roman"/>
          <w:kern w:val="2"/>
          <w:sz w:val="32"/>
          <w:szCs w:val="24"/>
          <w:lang w:val="en-US" w:eastAsia="zh-CN"/>
        </w:rPr>
        <w:t>9.66</w:t>
      </w:r>
      <w:bookmarkStart w:id="0" w:name="_GoBack"/>
      <w:bookmarkEnd w:id="0"/>
      <w:r>
        <w:rPr>
          <w:rFonts w:hint="default" w:ascii="宋体" w:hAnsi="宋体" w:eastAsia="宋体" w:cs="Times New Roman"/>
          <w:kern w:val="2"/>
          <w:sz w:val="32"/>
          <w:szCs w:val="24"/>
          <w:lang w:val="zh-CN"/>
        </w:rPr>
        <w:t>%，</w:t>
      </w:r>
      <w:r>
        <w:rPr>
          <w:rFonts w:hint="default" w:ascii="宋体" w:hAnsi="宋体" w:eastAsia="宋体" w:cs="Times New Roman"/>
          <w:kern w:val="2"/>
          <w:sz w:val="32"/>
          <w:szCs w:val="24"/>
        </w:rPr>
        <w:t>主要原因是我们厉行节约，大力压减三公经费开支。</w:t>
      </w:r>
    </w:p>
    <w:p>
      <w:pPr>
        <w:pStyle w:val="2"/>
        <w:shd w:val="clear" w:color="auto" w:fill="FFFFFF"/>
        <w:spacing w:before="0" w:beforeLines="0" w:beforeAutospacing="0" w:after="0" w:afterLines="0" w:afterAutospacing="0" w:line="33" w:lineRule="atLeast"/>
        <w:ind w:firstLine="420"/>
        <w:jc w:val="both"/>
        <w:rPr>
          <w:rFonts w:hint="default" w:ascii="宋体" w:hAnsi="宋体" w:eastAsia="宋体" w:cs="Times New Roman"/>
          <w:kern w:val="2"/>
          <w:sz w:val="32"/>
          <w:szCs w:val="24"/>
        </w:rPr>
      </w:pPr>
    </w:p>
    <w:p>
      <w:pPr>
        <w:pStyle w:val="2"/>
        <w:numPr>
          <w:ilvl w:val="0"/>
          <w:numId w:val="1"/>
        </w:numPr>
        <w:shd w:val="clear" w:color="auto" w:fill="FFFFFF"/>
        <w:spacing w:before="0" w:beforeLines="0" w:beforeAutospacing="0" w:after="0" w:afterLines="0" w:afterAutospacing="0" w:line="33" w:lineRule="atLeast"/>
        <w:ind w:firstLine="420"/>
        <w:jc w:val="both"/>
        <w:rPr>
          <w:rFonts w:hint="default" w:ascii="宋体" w:hAnsi="宋体" w:eastAsia="宋体" w:cs="Times New Roman"/>
          <w:kern w:val="2"/>
          <w:sz w:val="32"/>
          <w:szCs w:val="24"/>
        </w:rPr>
      </w:pPr>
      <w:r>
        <w:rPr>
          <w:rFonts w:hint="default" w:ascii="宋体" w:hAnsi="宋体" w:eastAsia="宋体" w:cs="Times New Roman"/>
          <w:kern w:val="2"/>
          <w:sz w:val="32"/>
          <w:szCs w:val="24"/>
        </w:rPr>
        <w:t>固定资产管理情况分析。坚持厉行节约、物尽其用的原则，资产管理采取统一建账、统一核算管理，对每件固定资产使用明确保管职责，闲置的资产，办公室统一调节使用，发挥其效益，特别是按照市资产管理领导小组的要求，对资产进行了全面的清理，保证能用则用的原则，对不能用的资产，采取先处置后购置，保证了资产的安全高效。</w:t>
      </w:r>
    </w:p>
    <w:p>
      <w:pPr>
        <w:pStyle w:val="2"/>
        <w:numPr>
          <w:ilvl w:val="0"/>
          <w:numId w:val="0"/>
        </w:numPr>
        <w:shd w:val="clear" w:color="auto" w:fill="FFFFFF"/>
        <w:spacing w:before="0" w:beforeLines="0" w:beforeAutospacing="0" w:after="0" w:afterLines="0" w:afterAutospacing="0" w:line="33" w:lineRule="atLeast"/>
        <w:ind w:left="420"/>
        <w:jc w:val="both"/>
        <w:rPr>
          <w:rFonts w:hint="default" w:ascii="宋体" w:hAnsi="宋体" w:eastAsia="宋体" w:cs="Times New Roman"/>
          <w:kern w:val="2"/>
          <w:sz w:val="32"/>
          <w:szCs w:val="24"/>
        </w:rPr>
      </w:pPr>
      <w:r>
        <w:rPr>
          <w:rFonts w:hint="default" w:ascii="宋体" w:hAnsi="宋体" w:eastAsia="宋体" w:cs="Times New Roman"/>
          <w:kern w:val="2"/>
          <w:sz w:val="32"/>
          <w:szCs w:val="24"/>
        </w:rPr>
        <w:t>（二）部门整体支出管理情况分析</w:t>
      </w:r>
    </w:p>
    <w:p>
      <w:pPr>
        <w:pStyle w:val="2"/>
        <w:shd w:val="clear" w:color="auto" w:fill="FFFFFF"/>
        <w:spacing w:before="0" w:beforeLines="0" w:beforeAutospacing="0" w:after="0" w:afterLines="0" w:afterAutospacing="0" w:line="33" w:lineRule="atLeast"/>
        <w:ind w:firstLine="420"/>
        <w:jc w:val="both"/>
        <w:rPr>
          <w:rFonts w:hint="default" w:ascii="宋体" w:hAnsi="宋体" w:eastAsia="宋体" w:cs="Times New Roman"/>
          <w:kern w:val="2"/>
          <w:sz w:val="32"/>
          <w:szCs w:val="24"/>
        </w:rPr>
      </w:pPr>
      <w:r>
        <w:rPr>
          <w:rFonts w:hint="default" w:ascii="宋体" w:hAnsi="宋体" w:eastAsia="宋体" w:cs="Times New Roman"/>
          <w:kern w:val="2"/>
          <w:sz w:val="32"/>
          <w:szCs w:val="24"/>
        </w:rPr>
        <w:t>1、按照预算支出管理。在支出预算编制上，人员经费按照配置定额，逐人核定编制，公用经费分类分档，按定额编制；根据“总量控制、计划管理”的要求从严控制经费开支，按照预算科目和项目资金的规定使用财政资金，保障部门整体支出的规范化、制度化。</w:t>
      </w:r>
    </w:p>
    <w:p>
      <w:pPr>
        <w:pStyle w:val="2"/>
        <w:shd w:val="clear" w:color="auto" w:fill="FFFFFF"/>
        <w:spacing w:before="0" w:beforeLines="0" w:beforeAutospacing="0" w:after="0" w:afterLines="0" w:afterAutospacing="0" w:line="33" w:lineRule="atLeast"/>
        <w:ind w:firstLine="420"/>
        <w:jc w:val="both"/>
        <w:rPr>
          <w:rFonts w:hint="default" w:ascii="宋体" w:hAnsi="宋体" w:eastAsia="宋体" w:cs="Times New Roman"/>
          <w:kern w:val="2"/>
          <w:sz w:val="32"/>
          <w:szCs w:val="24"/>
        </w:rPr>
      </w:pPr>
      <w:r>
        <w:rPr>
          <w:rFonts w:hint="default" w:ascii="宋体" w:hAnsi="宋体" w:eastAsia="宋体" w:cs="Times New Roman"/>
          <w:kern w:val="2"/>
          <w:sz w:val="32"/>
          <w:szCs w:val="24"/>
        </w:rPr>
        <w:t>2、财务管理按制度运行。按照国家法律法规，制定财务制度、资产配置使用制度、公务接待、会议制度、培训制度等单位内部控制制度，并按照制度管理和执行，防范风险，保证财政资金的安全和高效运行。</w:t>
      </w:r>
    </w:p>
    <w:p>
      <w:pPr>
        <w:pStyle w:val="2"/>
        <w:shd w:val="clear" w:color="auto" w:fill="FFFFFF"/>
        <w:spacing w:before="0" w:beforeLines="0" w:beforeAutospacing="0" w:after="0" w:afterLines="0" w:afterAutospacing="0" w:line="33" w:lineRule="atLeast"/>
        <w:ind w:firstLine="420"/>
        <w:jc w:val="both"/>
        <w:rPr>
          <w:rFonts w:hint="default" w:ascii="宋体" w:hAnsi="宋体" w:eastAsia="宋体" w:cs="Times New Roman"/>
          <w:kern w:val="2"/>
          <w:sz w:val="32"/>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04BF51"/>
    <w:multiLevelType w:val="multilevel"/>
    <w:tmpl w:val="5704BF51"/>
    <w:lvl w:ilvl="0" w:tentative="0">
      <w:start w:val="3"/>
      <w:numFmt w:val="decimal"/>
      <w:suff w:val="nothing"/>
      <w:lvlText w:val="%1、"/>
      <w:lvlJc w:val="left"/>
      <w:rPr>
        <w:rFonts w:hint="default"/>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AC62A6B"/>
    <w:rsid w:val="677047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uiPriority w:val="0"/>
    <w:pPr>
      <w:spacing w:beforeLines="0" w:afterLines="0"/>
      <w:jc w:val="both"/>
    </w:pPr>
    <w:rPr>
      <w:rFonts w:hint="eastAsia" w:ascii="Times New Roman" w:hAnsi="Times New Roman" w:eastAsia="Times New Roman" w:cs="Times New Roman"/>
      <w:kern w:val="2"/>
      <w:sz w:val="21"/>
      <w:szCs w:val="24"/>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99"/>
    <w:pPr>
      <w:spacing w:before="100" w:beforeLines="0" w:beforeAutospacing="1" w:after="100" w:afterLines="0" w:afterAutospacing="1"/>
      <w:jc w:val="left"/>
    </w:pPr>
    <w:rPr>
      <w:rFonts w:hint="eastAsia"/>
      <w:kern w:val="0"/>
      <w:sz w:val="24"/>
      <w:szCs w:val="24"/>
      <w:lang w:val="en-US" w:eastAsia="zh-CN" w:bidi="ar"/>
    </w:rPr>
  </w:style>
  <w:style w:type="paragraph" w:customStyle="1" w:styleId="5">
    <w:name w:val="Defaul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Office_11.8.6.11021_F1E327BC-269C-435d-A152-05C5408002CA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2022-09-23T07:54:17Z</dcterms:created>
  <dc:creator>Administrator</dc:creator>
  <cp:lastModifiedBy>瞭望</cp:lastModifiedBy>
  <dcterms:modified xsi:type="dcterms:W3CDTF">2022-09-23T08:05:48Z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2052-11.8.6.11021</vt:lpwstr>
  </property>
  <property fmtid="{D5CDD505-2E9C-101B-9397-08002B2CF9AE}" pid="3" name="ICV">
    <vt:lpwstr>1898E938682544B6AA1AC3D3F1DA69C1</vt:lpwstr>
  </property>
</Properties>
</file>