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Times New Roman" w:hAnsi="Times New Roman" w:eastAsia="仿宋"/>
          <w:kern w:val="0"/>
          <w:sz w:val="32"/>
          <w:szCs w:val="32"/>
        </w:rPr>
      </w:pPr>
    </w:p>
    <w:p>
      <w:pPr>
        <w:jc w:val="center"/>
        <w:rPr>
          <w:rFonts w:ascii="Times New Roman" w:hAnsi="Times New Roman" w:eastAsia="方正小标宋简体"/>
          <w:sz w:val="32"/>
          <w:szCs w:val="32"/>
        </w:rPr>
      </w:pPr>
      <w:r>
        <w:rPr>
          <w:rFonts w:hint="eastAsia" w:ascii="Times New Roman" w:hAnsi="Times New Roman" w:eastAsia="方正小标宋简体"/>
          <w:sz w:val="32"/>
          <w:szCs w:val="32"/>
        </w:rPr>
        <w:t>202</w:t>
      </w:r>
      <w:r>
        <w:rPr>
          <w:rFonts w:hint="default" w:ascii="Times New Roman" w:hAnsi="Times New Roman" w:eastAsia="方正小标宋简体"/>
          <w:sz w:val="32"/>
          <w:szCs w:val="32"/>
          <w:lang w:val="en-US"/>
        </w:rPr>
        <w:t>1</w:t>
      </w:r>
      <w:r>
        <w:rPr>
          <w:rFonts w:ascii="Times New Roman" w:hAnsi="Times New Roman" w:eastAsia="方正小标宋简体"/>
          <w:sz w:val="32"/>
          <w:szCs w:val="32"/>
        </w:rPr>
        <w:t>年度</w:t>
      </w:r>
      <w:r>
        <w:rPr>
          <w:rFonts w:hint="eastAsia" w:ascii="Times New Roman" w:hAnsi="Times New Roman" w:eastAsia="方正小标宋简体"/>
          <w:sz w:val="32"/>
          <w:szCs w:val="32"/>
        </w:rPr>
        <w:t>岳阳市农业科学研究院</w:t>
      </w:r>
    </w:p>
    <w:p>
      <w:pPr>
        <w:jc w:val="center"/>
        <w:rPr>
          <w:rFonts w:ascii="Times New Roman" w:hAnsi="Times New Roman" w:eastAsia="方正小标宋简体"/>
          <w:sz w:val="44"/>
          <w:szCs w:val="44"/>
        </w:rPr>
      </w:pPr>
      <w:r>
        <w:rPr>
          <w:rFonts w:hint="eastAsia" w:ascii="Times New Roman" w:hAnsi="Times New Roman" w:eastAsia="方正小标宋简体"/>
          <w:sz w:val="44"/>
          <w:szCs w:val="44"/>
          <w:lang w:val="en-US" w:eastAsia="zh-CN"/>
        </w:rPr>
        <w:t>农作物</w:t>
      </w:r>
      <w:r>
        <w:rPr>
          <w:rFonts w:hint="eastAsia" w:ascii="Times New Roman" w:hAnsi="Times New Roman" w:eastAsia="方正小标宋简体"/>
          <w:sz w:val="44"/>
          <w:szCs w:val="44"/>
        </w:rPr>
        <w:t>研究</w:t>
      </w:r>
      <w:r>
        <w:rPr>
          <w:rFonts w:ascii="Times New Roman" w:hAnsi="Times New Roman" w:eastAsia="方正小标宋简体"/>
          <w:sz w:val="44"/>
          <w:szCs w:val="44"/>
        </w:rPr>
        <w:t>绩效自评报告</w:t>
      </w:r>
    </w:p>
    <w:p>
      <w:pPr>
        <w:rPr>
          <w:rFonts w:ascii="Times New Roman" w:hAnsi="Times New Roman" w:eastAsia="黑体"/>
          <w:sz w:val="32"/>
          <w:szCs w:val="32"/>
        </w:rPr>
      </w:pPr>
    </w:p>
    <w:p>
      <w:pPr>
        <w:jc w:val="center"/>
        <w:rPr>
          <w:rFonts w:ascii="Times New Roman" w:hAnsi="Times New Roman" w:eastAsia="黑体"/>
          <w:sz w:val="32"/>
          <w:szCs w:val="32"/>
        </w:rPr>
      </w:pPr>
    </w:p>
    <w:p>
      <w:pPr>
        <w:rPr>
          <w:rFonts w:ascii="Times New Roman" w:hAnsi="Times New Roman" w:eastAsia="黑体"/>
          <w:sz w:val="32"/>
          <w:szCs w:val="32"/>
        </w:rPr>
      </w:pPr>
    </w:p>
    <w:p>
      <w:pPr>
        <w:rPr>
          <w:rFonts w:ascii="Times New Roman" w:hAnsi="Times New Roman" w:eastAsia="黑体"/>
          <w:sz w:val="32"/>
          <w:szCs w:val="32"/>
        </w:rPr>
      </w:pPr>
    </w:p>
    <w:p>
      <w:pPr>
        <w:rPr>
          <w:rFonts w:ascii="Times New Roman" w:hAnsi="Times New Roman" w:eastAsia="黑体"/>
          <w:sz w:val="32"/>
          <w:szCs w:val="32"/>
        </w:rPr>
      </w:pPr>
    </w:p>
    <w:p>
      <w:pPr>
        <w:rPr>
          <w:rFonts w:ascii="Times New Roman" w:hAnsi="Times New Roman" w:eastAsia="黑体"/>
          <w:sz w:val="32"/>
          <w:szCs w:val="32"/>
        </w:rPr>
      </w:pPr>
    </w:p>
    <w:p>
      <w:pPr>
        <w:rPr>
          <w:rFonts w:ascii="Times New Roman" w:hAnsi="Times New Roman" w:eastAsia="黑体"/>
          <w:sz w:val="32"/>
          <w:szCs w:val="32"/>
        </w:rPr>
      </w:pPr>
    </w:p>
    <w:p>
      <w:pPr>
        <w:rPr>
          <w:rFonts w:ascii="Times New Roman" w:hAnsi="Times New Roman" w:eastAsia="黑体"/>
          <w:sz w:val="32"/>
          <w:szCs w:val="32"/>
        </w:rPr>
      </w:pPr>
    </w:p>
    <w:p>
      <w:pPr>
        <w:pStyle w:val="2"/>
        <w:rPr>
          <w:rFonts w:ascii="Times New Roman" w:hAnsi="Times New Roman" w:eastAsia="黑体"/>
          <w:sz w:val="32"/>
          <w:szCs w:val="32"/>
        </w:rPr>
      </w:pPr>
    </w:p>
    <w:p>
      <w:pPr>
        <w:pStyle w:val="2"/>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eastAsia="黑体"/>
          <w:sz w:val="44"/>
          <w:szCs w:val="44"/>
        </w:rPr>
      </w:pPr>
      <w:r>
        <w:rPr>
          <w:rFonts w:hint="eastAsia" w:ascii="Times New Roman" w:eastAsia="黑体"/>
          <w:sz w:val="44"/>
          <w:szCs w:val="44"/>
        </w:rPr>
        <w:t>岳阳市农业科学研究院</w:t>
      </w:r>
    </w:p>
    <w:p>
      <w:pPr>
        <w:jc w:val="center"/>
        <w:rPr>
          <w:rFonts w:ascii="Times New Roman" w:hAnsi="Times New Roman" w:eastAsia="黑体"/>
          <w:sz w:val="44"/>
          <w:szCs w:val="44"/>
        </w:rPr>
      </w:pPr>
      <w:bookmarkStart w:id="0" w:name="_GoBack"/>
      <w:bookmarkEnd w:id="0"/>
    </w:p>
    <w:p>
      <w:pPr>
        <w:jc w:val="center"/>
        <w:rPr>
          <w:rFonts w:ascii="Times New Roman" w:hAnsi="Times New Roman" w:eastAsia="黑体"/>
          <w:sz w:val="32"/>
          <w:szCs w:val="32"/>
        </w:rPr>
      </w:pPr>
    </w:p>
    <w:p>
      <w:pPr>
        <w:pStyle w:val="2"/>
      </w:pPr>
    </w:p>
    <w:p>
      <w:pPr>
        <w:pStyle w:val="2"/>
      </w:pPr>
    </w:p>
    <w:p>
      <w:pPr>
        <w:pStyle w:val="2"/>
      </w:pPr>
    </w:p>
    <w:p>
      <w:pPr>
        <w:pStyle w:val="2"/>
      </w:pPr>
    </w:p>
    <w:p>
      <w:pPr>
        <w:pStyle w:val="7"/>
        <w:widowControl/>
        <w:numPr>
          <w:ilvl w:val="0"/>
          <w:numId w:val="1"/>
        </w:numPr>
        <w:tabs>
          <w:tab w:val="left" w:pos="578"/>
        </w:tabs>
        <w:spacing w:line="600" w:lineRule="exact"/>
        <w:ind w:firstLineChars="0"/>
        <w:rPr>
          <w:rFonts w:ascii="Times New Roman" w:hAnsi="Times New Roman" w:eastAsia="黑体"/>
          <w:sz w:val="32"/>
          <w:szCs w:val="32"/>
        </w:rPr>
      </w:pPr>
      <w:r>
        <w:rPr>
          <w:rFonts w:ascii="Times New Roman" w:hAnsi="Times New Roman" w:eastAsia="黑体"/>
          <w:sz w:val="32"/>
          <w:szCs w:val="32"/>
        </w:rPr>
        <w:t>基本情况</w:t>
      </w:r>
      <w:r>
        <w:rPr>
          <w:rFonts w:hint="eastAsia" w:ascii="Times New Roman" w:hAnsi="Times New Roman" w:eastAsia="黑体"/>
          <w:sz w:val="32"/>
          <w:szCs w:val="32"/>
        </w:rPr>
        <w:t xml:space="preserve">  </w:t>
      </w:r>
    </w:p>
    <w:p>
      <w:pPr>
        <w:widowControl/>
        <w:ind w:firstLine="640" w:firstLineChars="200"/>
        <w:jc w:val="left"/>
        <w:rPr>
          <w:rFonts w:hint="eastAsia" w:ascii="方正楷体_GB2312" w:hAnsi="方正楷体_GB2312" w:eastAsia="方正楷体_GB2312" w:cs="方正楷体_GB2312"/>
          <w:color w:val="000000"/>
          <w:kern w:val="0"/>
          <w:sz w:val="32"/>
          <w:szCs w:val="32"/>
          <w:lang w:val="en-US" w:eastAsia="zh-CN" w:bidi="ar"/>
        </w:rPr>
      </w:pPr>
      <w:r>
        <w:rPr>
          <w:rFonts w:hint="eastAsia" w:ascii="方正楷体_GB2312" w:hAnsi="方正楷体_GB2312" w:eastAsia="方正楷体_GB2312" w:cs="方正楷体_GB2312"/>
          <w:color w:val="000000"/>
          <w:kern w:val="0"/>
          <w:sz w:val="32"/>
          <w:szCs w:val="32"/>
          <w:lang w:val="en-US" w:eastAsia="zh-CN" w:bidi="ar"/>
        </w:rPr>
        <w:t>农作物研究项目是</w:t>
      </w:r>
      <w:r>
        <w:rPr>
          <w:rFonts w:hint="eastAsia" w:ascii="方正楷体_GB2312" w:hAnsi="方正楷体_GB2312" w:eastAsia="方正楷体_GB2312" w:cs="方正楷体_GB2312"/>
          <w:color w:val="000000"/>
          <w:kern w:val="0"/>
          <w:sz w:val="32"/>
          <w:szCs w:val="32"/>
          <w:lang w:bidi="ar"/>
        </w:rPr>
        <w:t>岳阳市农业科学研究院</w:t>
      </w:r>
      <w:r>
        <w:rPr>
          <w:rFonts w:hint="eastAsia" w:ascii="方正楷体_GB2312" w:hAnsi="方正楷体_GB2312" w:eastAsia="方正楷体_GB2312" w:cs="方正楷体_GB2312"/>
          <w:color w:val="000000"/>
          <w:kern w:val="0"/>
          <w:sz w:val="32"/>
          <w:szCs w:val="32"/>
          <w:lang w:val="en-US" w:eastAsia="zh-CN" w:bidi="ar"/>
        </w:rPr>
        <w:t>市本级一般预算的常年延续项目，该项目主要是为市农科院</w:t>
      </w:r>
      <w:r>
        <w:rPr>
          <w:rFonts w:hint="eastAsia" w:ascii="方正楷体_GB2312" w:hAnsi="方正楷体_GB2312" w:eastAsia="方正楷体_GB2312" w:cs="方正楷体_GB2312"/>
          <w:color w:val="000000"/>
          <w:kern w:val="0"/>
          <w:sz w:val="32"/>
          <w:szCs w:val="32"/>
          <w:lang w:bidi="ar"/>
        </w:rPr>
        <w:t>下设水稻研究所和经济作物研究所</w:t>
      </w:r>
      <w:r>
        <w:rPr>
          <w:rFonts w:hint="eastAsia" w:ascii="方正楷体_GB2312" w:hAnsi="方正楷体_GB2312" w:eastAsia="方正楷体_GB2312" w:cs="方正楷体_GB2312"/>
          <w:color w:val="000000"/>
          <w:kern w:val="0"/>
          <w:sz w:val="32"/>
          <w:szCs w:val="32"/>
          <w:lang w:val="en-US" w:eastAsia="zh-CN" w:bidi="ar"/>
        </w:rPr>
        <w:t>完成每年常规的农作物研究科研任务，</w:t>
      </w:r>
      <w:r>
        <w:rPr>
          <w:rFonts w:hint="eastAsia" w:ascii="方正楷体_GB2312" w:hAnsi="方正楷体_GB2312" w:eastAsia="方正楷体_GB2312" w:cs="方正楷体_GB2312"/>
          <w:color w:val="000000"/>
          <w:kern w:val="0"/>
          <w:sz w:val="32"/>
          <w:szCs w:val="32"/>
          <w:lang w:bidi="ar"/>
        </w:rPr>
        <w:t>承担</w:t>
      </w:r>
      <w:r>
        <w:rPr>
          <w:rFonts w:hint="eastAsia" w:ascii="方正楷体_GB2312" w:hAnsi="方正楷体_GB2312" w:eastAsia="方正楷体_GB2312" w:cs="方正楷体_GB2312"/>
          <w:color w:val="000000"/>
          <w:kern w:val="0"/>
          <w:sz w:val="32"/>
          <w:szCs w:val="32"/>
          <w:lang w:val="en-US" w:eastAsia="zh-CN" w:bidi="ar"/>
        </w:rPr>
        <w:t>着</w:t>
      </w:r>
      <w:r>
        <w:rPr>
          <w:rFonts w:hint="eastAsia" w:ascii="方正楷体_GB2312" w:hAnsi="方正楷体_GB2312" w:eastAsia="方正楷体_GB2312" w:cs="方正楷体_GB2312"/>
          <w:color w:val="000000"/>
          <w:kern w:val="0"/>
          <w:sz w:val="32"/>
          <w:szCs w:val="32"/>
          <w:lang w:bidi="ar"/>
        </w:rPr>
        <w:t>水稻和经济作物的</w:t>
      </w:r>
      <w:r>
        <w:rPr>
          <w:rFonts w:hint="eastAsia" w:ascii="方正楷体_GB2312" w:hAnsi="方正楷体_GB2312" w:eastAsia="方正楷体_GB2312" w:cs="方正楷体_GB2312"/>
          <w:color w:val="000000"/>
          <w:kern w:val="0"/>
          <w:sz w:val="32"/>
          <w:szCs w:val="32"/>
          <w:lang w:val="en-US" w:eastAsia="zh-CN" w:bidi="ar"/>
        </w:rPr>
        <w:t>基础</w:t>
      </w:r>
      <w:r>
        <w:rPr>
          <w:rFonts w:hint="eastAsia" w:ascii="方正楷体_GB2312" w:hAnsi="方正楷体_GB2312" w:eastAsia="方正楷体_GB2312" w:cs="方正楷体_GB2312"/>
          <w:color w:val="000000"/>
          <w:kern w:val="0"/>
          <w:sz w:val="32"/>
          <w:szCs w:val="32"/>
          <w:lang w:bidi="ar"/>
        </w:rPr>
        <w:t>科研</w:t>
      </w:r>
      <w:r>
        <w:rPr>
          <w:rFonts w:hint="eastAsia" w:ascii="方正楷体_GB2312" w:hAnsi="方正楷体_GB2312" w:eastAsia="方正楷体_GB2312" w:cs="方正楷体_GB2312"/>
          <w:color w:val="000000"/>
          <w:kern w:val="0"/>
          <w:sz w:val="32"/>
          <w:szCs w:val="32"/>
          <w:lang w:val="en-US" w:eastAsia="zh-CN" w:bidi="ar"/>
        </w:rPr>
        <w:t>工作</w:t>
      </w:r>
      <w:r>
        <w:rPr>
          <w:rFonts w:hint="eastAsia" w:ascii="方正楷体_GB2312" w:hAnsi="方正楷体_GB2312" w:eastAsia="方正楷体_GB2312" w:cs="方正楷体_GB2312"/>
          <w:color w:val="000000"/>
          <w:kern w:val="0"/>
          <w:sz w:val="32"/>
          <w:szCs w:val="32"/>
          <w:lang w:bidi="ar"/>
        </w:rPr>
        <w:t>、</w:t>
      </w:r>
      <w:r>
        <w:rPr>
          <w:rFonts w:hint="eastAsia" w:ascii="方正楷体_GB2312" w:hAnsi="方正楷体_GB2312" w:eastAsia="方正楷体_GB2312" w:cs="方正楷体_GB2312"/>
          <w:color w:val="000000"/>
          <w:kern w:val="0"/>
          <w:sz w:val="32"/>
          <w:szCs w:val="32"/>
          <w:lang w:val="en-US" w:eastAsia="zh-CN" w:bidi="ar"/>
        </w:rPr>
        <w:t>科研</w:t>
      </w:r>
      <w:r>
        <w:rPr>
          <w:rFonts w:hint="eastAsia" w:ascii="方正楷体_GB2312" w:hAnsi="方正楷体_GB2312" w:eastAsia="方正楷体_GB2312" w:cs="方正楷体_GB2312"/>
          <w:color w:val="000000"/>
          <w:kern w:val="0"/>
          <w:sz w:val="32"/>
          <w:szCs w:val="32"/>
          <w:lang w:bidi="ar"/>
        </w:rPr>
        <w:t>示范及</w:t>
      </w:r>
      <w:r>
        <w:rPr>
          <w:rFonts w:hint="eastAsia" w:ascii="方正楷体_GB2312" w:hAnsi="方正楷体_GB2312" w:eastAsia="方正楷体_GB2312" w:cs="方正楷体_GB2312"/>
          <w:color w:val="000000"/>
          <w:kern w:val="0"/>
          <w:sz w:val="32"/>
          <w:szCs w:val="32"/>
          <w:lang w:val="en-US" w:eastAsia="zh-CN" w:bidi="ar"/>
        </w:rPr>
        <w:t>科研</w:t>
      </w:r>
      <w:r>
        <w:rPr>
          <w:rFonts w:hint="eastAsia" w:ascii="方正楷体_GB2312" w:hAnsi="方正楷体_GB2312" w:eastAsia="方正楷体_GB2312" w:cs="方正楷体_GB2312"/>
          <w:color w:val="000000"/>
          <w:kern w:val="0"/>
          <w:sz w:val="32"/>
          <w:szCs w:val="32"/>
          <w:lang w:bidi="ar"/>
        </w:rPr>
        <w:t>推广任务。</w:t>
      </w:r>
    </w:p>
    <w:p>
      <w:pPr>
        <w:widowControl/>
        <w:ind w:firstLine="640" w:firstLineChars="200"/>
        <w:jc w:val="left"/>
        <w:rPr>
          <w:rFonts w:hint="eastAsia" w:ascii="方正楷体_GB2312" w:hAnsi="方正楷体_GB2312" w:eastAsia="方正楷体_GB2312" w:cs="方正楷体_GB2312"/>
          <w:color w:val="000000"/>
          <w:kern w:val="0"/>
          <w:sz w:val="32"/>
          <w:szCs w:val="32"/>
          <w:lang w:bidi="ar"/>
        </w:rPr>
      </w:pPr>
      <w:r>
        <w:rPr>
          <w:rFonts w:hint="eastAsia" w:ascii="方正楷体_GB2312" w:hAnsi="方正楷体_GB2312" w:eastAsia="方正楷体_GB2312" w:cs="方正楷体_GB2312"/>
          <w:color w:val="000000"/>
          <w:kern w:val="0"/>
          <w:sz w:val="32"/>
          <w:szCs w:val="32"/>
          <w:lang w:bidi="ar"/>
        </w:rPr>
        <w:t>经济作物研究所（以下简称“经作所”）是2018年农科院成立后新组建的下属研究所之一，原身是原市农科所经作研究室，现有在职在编干部职工</w:t>
      </w:r>
      <w:r>
        <w:rPr>
          <w:rFonts w:hint="eastAsia" w:ascii="方正楷体_GB2312" w:hAnsi="方正楷体_GB2312" w:eastAsia="方正楷体_GB2312" w:cs="方正楷体_GB2312"/>
          <w:color w:val="000000"/>
          <w:kern w:val="0"/>
          <w:sz w:val="32"/>
          <w:szCs w:val="32"/>
          <w:lang w:val="en-US" w:eastAsia="zh-CN" w:bidi="ar"/>
        </w:rPr>
        <w:t>5</w:t>
      </w:r>
      <w:r>
        <w:rPr>
          <w:rFonts w:hint="eastAsia" w:ascii="方正楷体_GB2312" w:hAnsi="方正楷体_GB2312" w:eastAsia="方正楷体_GB2312" w:cs="方正楷体_GB2312"/>
          <w:color w:val="000000"/>
          <w:kern w:val="0"/>
          <w:sz w:val="32"/>
          <w:szCs w:val="32"/>
          <w:lang w:bidi="ar"/>
        </w:rPr>
        <w:t>人，临聘人员</w:t>
      </w:r>
      <w:r>
        <w:rPr>
          <w:rFonts w:hint="eastAsia" w:ascii="方正楷体_GB2312" w:hAnsi="方正楷体_GB2312" w:eastAsia="方正楷体_GB2312" w:cs="方正楷体_GB2312"/>
          <w:color w:val="000000"/>
          <w:kern w:val="0"/>
          <w:sz w:val="32"/>
          <w:szCs w:val="32"/>
          <w:lang w:val="en-US" w:eastAsia="zh-CN" w:bidi="ar"/>
        </w:rPr>
        <w:t>3</w:t>
      </w:r>
      <w:r>
        <w:rPr>
          <w:rFonts w:hint="eastAsia" w:ascii="方正楷体_GB2312" w:hAnsi="方正楷体_GB2312" w:eastAsia="方正楷体_GB2312" w:cs="方正楷体_GB2312"/>
          <w:color w:val="000000"/>
          <w:kern w:val="0"/>
          <w:sz w:val="32"/>
          <w:szCs w:val="32"/>
          <w:lang w:bidi="ar"/>
        </w:rPr>
        <w:t>人，其中正高级职称</w:t>
      </w:r>
      <w:r>
        <w:rPr>
          <w:rFonts w:hint="eastAsia" w:ascii="方正楷体_GB2312" w:hAnsi="方正楷体_GB2312" w:eastAsia="方正楷体_GB2312" w:cs="方正楷体_GB2312"/>
          <w:color w:val="000000"/>
          <w:kern w:val="0"/>
          <w:sz w:val="32"/>
          <w:szCs w:val="32"/>
          <w:lang w:val="en-US" w:eastAsia="zh-CN" w:bidi="ar"/>
        </w:rPr>
        <w:t>1</w:t>
      </w:r>
      <w:r>
        <w:rPr>
          <w:rFonts w:hint="eastAsia" w:ascii="方正楷体_GB2312" w:hAnsi="方正楷体_GB2312" w:eastAsia="方正楷体_GB2312" w:cs="方正楷体_GB2312"/>
          <w:color w:val="000000"/>
          <w:kern w:val="0"/>
          <w:sz w:val="32"/>
          <w:szCs w:val="32"/>
          <w:lang w:bidi="ar"/>
        </w:rPr>
        <w:t>人，副高级职称1人，</w:t>
      </w:r>
      <w:r>
        <w:rPr>
          <w:rFonts w:hint="eastAsia" w:ascii="方正楷体_GB2312" w:hAnsi="方正楷体_GB2312" w:eastAsia="方正楷体_GB2312" w:cs="方正楷体_GB2312"/>
          <w:color w:val="000000"/>
          <w:kern w:val="0"/>
          <w:sz w:val="32"/>
          <w:szCs w:val="32"/>
          <w:lang w:val="en-US" w:eastAsia="zh-CN" w:bidi="ar"/>
        </w:rPr>
        <w:t>中级职称3人，</w:t>
      </w:r>
      <w:r>
        <w:rPr>
          <w:rFonts w:hint="eastAsia" w:ascii="方正楷体_GB2312" w:hAnsi="方正楷体_GB2312" w:eastAsia="方正楷体_GB2312" w:cs="方正楷体_GB2312"/>
          <w:color w:val="000000"/>
          <w:kern w:val="0"/>
          <w:sz w:val="32"/>
          <w:szCs w:val="32"/>
          <w:lang w:bidi="ar"/>
        </w:rPr>
        <w:t>硕士</w:t>
      </w:r>
      <w:r>
        <w:rPr>
          <w:rFonts w:hint="eastAsia" w:ascii="方正楷体_GB2312" w:hAnsi="方正楷体_GB2312" w:eastAsia="方正楷体_GB2312" w:cs="方正楷体_GB2312"/>
          <w:color w:val="000000"/>
          <w:kern w:val="0"/>
          <w:sz w:val="32"/>
          <w:szCs w:val="32"/>
          <w:lang w:val="en-US" w:eastAsia="zh-CN" w:bidi="ar"/>
        </w:rPr>
        <w:t>4</w:t>
      </w:r>
      <w:r>
        <w:rPr>
          <w:rFonts w:hint="eastAsia" w:ascii="方正楷体_GB2312" w:hAnsi="方正楷体_GB2312" w:eastAsia="方正楷体_GB2312" w:cs="方正楷体_GB2312"/>
          <w:color w:val="000000"/>
          <w:kern w:val="0"/>
          <w:sz w:val="32"/>
          <w:szCs w:val="32"/>
          <w:lang w:bidi="ar"/>
        </w:rPr>
        <w:t>人。</w:t>
      </w:r>
      <w:r>
        <w:rPr>
          <w:rFonts w:hint="eastAsia" w:ascii="方正楷体_GB2312" w:hAnsi="方正楷体_GB2312" w:eastAsia="方正楷体_GB2312" w:cs="方正楷体_GB2312"/>
          <w:color w:val="000000"/>
          <w:kern w:val="0"/>
          <w:sz w:val="32"/>
          <w:szCs w:val="32"/>
          <w:lang w:val="en-US" w:eastAsia="zh-CN" w:bidi="ar"/>
        </w:rPr>
        <w:t>经作所的主要职能是：</w:t>
      </w:r>
      <w:r>
        <w:rPr>
          <w:rFonts w:hint="eastAsia" w:ascii="方正楷体_GB2312" w:hAnsi="方正楷体_GB2312" w:eastAsia="方正楷体_GB2312" w:cs="方正楷体_GB2312"/>
          <w:color w:val="000000"/>
          <w:kern w:val="0"/>
          <w:sz w:val="32"/>
          <w:szCs w:val="32"/>
          <w:lang w:bidi="ar"/>
        </w:rPr>
        <w:t xml:space="preserve">以经济作物为研究对象，以推动本地区经济作物产业健康可持续发展为目标，围绕产业技术问题和重大科技需求，着力开展产业技术研发攻关、技术集成示范推广、科研成果转化应用和科技服务“三农”等工作。 </w:t>
      </w:r>
    </w:p>
    <w:p>
      <w:pPr>
        <w:pStyle w:val="2"/>
        <w:rPr>
          <w:rFonts w:hint="default" w:eastAsia="方正楷体_GB2312"/>
          <w:lang w:val="en-US" w:eastAsia="zh-CN"/>
        </w:rPr>
      </w:pPr>
      <w:r>
        <w:rPr>
          <w:rFonts w:hint="eastAsia" w:ascii="方正楷体_GB2312" w:hAnsi="方正楷体_GB2312" w:eastAsia="方正楷体_GB2312" w:cs="方正楷体_GB2312"/>
          <w:color w:val="000000"/>
          <w:kern w:val="0"/>
          <w:sz w:val="32"/>
          <w:szCs w:val="32"/>
          <w:lang w:val="en-US" w:eastAsia="zh-CN" w:bidi="ar"/>
        </w:rPr>
        <w:t xml:space="preserve">    水稻研究所也是市农科院下属研究所之一，目前的常规技术工作是实施水稻病虫草害预测预警及防控关键技术示范、水稻生产全程机械化技术示范、长江中下游稻区单改双技术示范、水稻南方黑条矮缩病防控技术示范、水稻侧条施肥技术示范推广、水稻病虫草害绿色防控技术集成与示范、水稻抗病、抗虫品种资源鉴定及其利用、水稻生产应对气候变化的关键技术研究、稻米综合加工利用与质量安全检测关键技术研究、镉低积累水稻品种的筛选和种质资源创制等技术。</w:t>
      </w:r>
    </w:p>
    <w:p>
      <w:pPr>
        <w:pStyle w:val="7"/>
        <w:widowControl/>
        <w:numPr>
          <w:ilvl w:val="0"/>
          <w:numId w:val="1"/>
        </w:numPr>
        <w:spacing w:line="600" w:lineRule="exact"/>
        <w:ind w:firstLineChars="0"/>
        <w:rPr>
          <w:rFonts w:ascii="Times New Roman" w:hAnsi="Times New Roman" w:eastAsia="黑体"/>
          <w:sz w:val="32"/>
          <w:szCs w:val="32"/>
        </w:rPr>
      </w:pPr>
      <w:r>
        <w:rPr>
          <w:rFonts w:ascii="Times New Roman" w:hAnsi="Times New Roman" w:eastAsia="黑体"/>
          <w:sz w:val="32"/>
          <w:szCs w:val="32"/>
        </w:rPr>
        <w:t>一般公共预算支出情况</w:t>
      </w:r>
    </w:p>
    <w:p>
      <w:pPr>
        <w:pStyle w:val="7"/>
        <w:widowControl/>
        <w:numPr>
          <w:ilvl w:val="0"/>
          <w:numId w:val="2"/>
        </w:numPr>
        <w:spacing w:line="600" w:lineRule="exact"/>
        <w:ind w:firstLineChars="0"/>
        <w:rPr>
          <w:rFonts w:ascii="Times New Roman" w:hAnsi="Times New Roman" w:eastAsia="黑体"/>
          <w:sz w:val="32"/>
          <w:szCs w:val="32"/>
        </w:rPr>
      </w:pPr>
      <w:r>
        <w:rPr>
          <w:rFonts w:ascii="Times New Roman" w:hAnsi="Times New Roman" w:eastAsia="黑体"/>
          <w:sz w:val="32"/>
          <w:szCs w:val="32"/>
        </w:rPr>
        <w:t>项目支出情况</w:t>
      </w:r>
    </w:p>
    <w:p>
      <w:pPr>
        <w:pStyle w:val="7"/>
        <w:widowControl/>
        <w:numPr>
          <w:ilvl w:val="0"/>
          <w:numId w:val="0"/>
        </w:numPr>
        <w:spacing w:line="600" w:lineRule="exact"/>
        <w:jc w:val="center"/>
        <w:rPr>
          <w:rFonts w:hint="default" w:ascii="仿宋_GB2312" w:hAnsi="宋体" w:eastAsia="仿宋_GB2312" w:cs="仿宋_GB2312"/>
          <w:color w:val="000000"/>
          <w:kern w:val="0"/>
          <w:sz w:val="22"/>
          <w:szCs w:val="22"/>
          <w:lang w:val="en-US" w:eastAsia="zh-CN" w:bidi="ar"/>
        </w:rPr>
      </w:pPr>
      <w:r>
        <w:rPr>
          <w:rFonts w:hint="eastAsia" w:ascii="仿宋_GB2312" w:hAnsi="宋体" w:eastAsia="仿宋_GB2312" w:cs="仿宋_GB2312"/>
          <w:color w:val="000000"/>
          <w:kern w:val="0"/>
          <w:sz w:val="22"/>
          <w:szCs w:val="22"/>
          <w:lang w:val="en-US" w:eastAsia="zh-CN" w:bidi="ar"/>
        </w:rPr>
        <w:t xml:space="preserve">                                                                单位：万元</w:t>
      </w:r>
    </w:p>
    <w:tbl>
      <w:tblPr>
        <w:tblStyle w:val="5"/>
        <w:tblW w:w="8293" w:type="dxa"/>
        <w:tblInd w:w="93" w:type="dxa"/>
        <w:tblLayout w:type="autofit"/>
        <w:tblCellMar>
          <w:top w:w="0" w:type="dxa"/>
          <w:left w:w="108" w:type="dxa"/>
          <w:bottom w:w="0" w:type="dxa"/>
          <w:right w:w="108" w:type="dxa"/>
        </w:tblCellMar>
      </w:tblPr>
      <w:tblGrid>
        <w:gridCol w:w="2728"/>
        <w:gridCol w:w="2775"/>
        <w:gridCol w:w="2790"/>
      </w:tblGrid>
      <w:tr>
        <w:tblPrEx>
          <w:tblCellMar>
            <w:top w:w="0" w:type="dxa"/>
            <w:left w:w="108" w:type="dxa"/>
            <w:bottom w:w="0" w:type="dxa"/>
            <w:right w:w="108" w:type="dxa"/>
          </w:tblCellMar>
        </w:tblPrEx>
        <w:trPr>
          <w:trHeight w:val="420" w:hRule="atLeast"/>
        </w:trPr>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ascii="仿宋_GB2312" w:hAnsi="宋体" w:eastAsia="仿宋_GB2312" w:cs="仿宋_GB2312"/>
                <w:color w:val="000000"/>
                <w:kern w:val="0"/>
                <w:sz w:val="24"/>
                <w:szCs w:val="24"/>
                <w:lang w:bidi="ar"/>
              </w:rPr>
              <w:t>项 目</w:t>
            </w:r>
            <w:r>
              <w:rPr>
                <w:rFonts w:hint="eastAsia" w:ascii="仿宋_GB2312" w:hAnsi="宋体" w:eastAsia="仿宋_GB2312" w:cs="仿宋_GB2312"/>
                <w:color w:val="000000"/>
                <w:kern w:val="0"/>
                <w:sz w:val="24"/>
                <w:szCs w:val="24"/>
                <w:lang w:bidi="ar"/>
              </w:rPr>
              <w:t xml:space="preserve">  明  细</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2"/>
              </w:rPr>
            </w:pPr>
            <w:r>
              <w:rPr>
                <w:rFonts w:hint="eastAsia" w:ascii="仿宋_GB2312" w:hAnsi="宋体" w:eastAsia="仿宋_GB2312" w:cs="仿宋_GB2312"/>
                <w:color w:val="000000"/>
                <w:kern w:val="0"/>
                <w:sz w:val="22"/>
                <w:lang w:bidi="ar"/>
              </w:rPr>
              <w:t>202</w:t>
            </w:r>
            <w:r>
              <w:rPr>
                <w:rFonts w:hint="eastAsia" w:ascii="仿宋_GB2312" w:hAnsi="宋体" w:eastAsia="仿宋_GB2312" w:cs="仿宋_GB2312"/>
                <w:color w:val="000000"/>
                <w:kern w:val="0"/>
                <w:sz w:val="22"/>
                <w:lang w:val="en-US" w:eastAsia="zh-CN" w:bidi="ar"/>
              </w:rPr>
              <w:t>1</w:t>
            </w:r>
            <w:r>
              <w:rPr>
                <w:rFonts w:ascii="仿宋_GB2312" w:hAnsi="宋体" w:eastAsia="仿宋_GB2312" w:cs="仿宋_GB2312"/>
                <w:color w:val="000000"/>
                <w:kern w:val="0"/>
                <w:sz w:val="22"/>
                <w:lang w:bidi="ar"/>
              </w:rPr>
              <w:t>年度</w:t>
            </w:r>
            <w:r>
              <w:rPr>
                <w:rFonts w:hint="eastAsia" w:ascii="仿宋_GB2312" w:hAnsi="宋体" w:eastAsia="仿宋_GB2312" w:cs="仿宋_GB2312"/>
                <w:color w:val="000000"/>
                <w:kern w:val="0"/>
                <w:sz w:val="22"/>
                <w:lang w:bidi="ar"/>
              </w:rPr>
              <w:t>项目申请</w:t>
            </w:r>
            <w:r>
              <w:rPr>
                <w:rFonts w:ascii="仿宋_GB2312" w:hAnsi="宋体" w:eastAsia="仿宋_GB2312" w:cs="仿宋_GB2312"/>
                <w:color w:val="000000"/>
                <w:kern w:val="0"/>
                <w:sz w:val="22"/>
                <w:lang w:bidi="ar"/>
              </w:rPr>
              <w:t>资金</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2"/>
              </w:rPr>
            </w:pPr>
            <w:r>
              <w:rPr>
                <w:rFonts w:ascii="仿宋_GB2312" w:hAnsi="宋体" w:eastAsia="仿宋_GB2312" w:cs="仿宋_GB2312"/>
                <w:color w:val="000000"/>
                <w:kern w:val="0"/>
                <w:sz w:val="22"/>
                <w:lang w:bidi="ar"/>
              </w:rPr>
              <w:t xml:space="preserve"> </w:t>
            </w:r>
            <w:r>
              <w:rPr>
                <w:rFonts w:hint="eastAsia" w:ascii="仿宋_GB2312" w:hAnsi="宋体" w:eastAsia="仿宋_GB2312" w:cs="仿宋_GB2312"/>
                <w:color w:val="000000"/>
                <w:kern w:val="0"/>
                <w:sz w:val="22"/>
                <w:lang w:bidi="ar"/>
              </w:rPr>
              <w:t>202</w:t>
            </w:r>
            <w:r>
              <w:rPr>
                <w:rFonts w:hint="eastAsia" w:ascii="仿宋_GB2312" w:hAnsi="宋体" w:eastAsia="仿宋_GB2312" w:cs="仿宋_GB2312"/>
                <w:color w:val="000000"/>
                <w:kern w:val="0"/>
                <w:sz w:val="22"/>
                <w:lang w:val="en-US" w:eastAsia="zh-CN" w:bidi="ar"/>
              </w:rPr>
              <w:t>1</w:t>
            </w:r>
            <w:r>
              <w:rPr>
                <w:rFonts w:ascii="仿宋_GB2312" w:hAnsi="宋体" w:eastAsia="仿宋_GB2312" w:cs="仿宋_GB2312"/>
                <w:color w:val="000000"/>
                <w:kern w:val="0"/>
                <w:sz w:val="22"/>
                <w:lang w:bidi="ar"/>
              </w:rPr>
              <w:t>年</w:t>
            </w:r>
            <w:r>
              <w:rPr>
                <w:rFonts w:hint="eastAsia" w:ascii="仿宋_GB2312" w:hAnsi="宋体" w:eastAsia="仿宋_GB2312" w:cs="仿宋_GB2312"/>
                <w:color w:val="000000"/>
                <w:kern w:val="0"/>
                <w:sz w:val="22"/>
                <w:lang w:bidi="ar"/>
              </w:rPr>
              <w:t>度项目使用</w:t>
            </w:r>
            <w:r>
              <w:rPr>
                <w:rFonts w:ascii="仿宋_GB2312" w:hAnsi="宋体" w:eastAsia="仿宋_GB2312" w:cs="仿宋_GB2312"/>
                <w:color w:val="000000"/>
                <w:kern w:val="0"/>
                <w:sz w:val="22"/>
                <w:lang w:bidi="ar"/>
              </w:rPr>
              <w:t>资金</w:t>
            </w:r>
          </w:p>
        </w:tc>
      </w:tr>
      <w:tr>
        <w:tblPrEx>
          <w:tblCellMar>
            <w:top w:w="0" w:type="dxa"/>
            <w:left w:w="108" w:type="dxa"/>
            <w:bottom w:w="0" w:type="dxa"/>
            <w:right w:w="108" w:type="dxa"/>
          </w:tblCellMar>
        </w:tblPrEx>
        <w:trPr>
          <w:trHeight w:val="420" w:hRule="atLeast"/>
        </w:trPr>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_GB2312" w:hAnsi="宋体" w:eastAsia="仿宋_GB2312" w:cs="仿宋_GB2312"/>
                <w:color w:val="000000"/>
                <w:kern w:val="2"/>
                <w:sz w:val="24"/>
                <w:szCs w:val="24"/>
                <w:lang w:val="en-US" w:eastAsia="zh-CN" w:bidi="ar-SA"/>
              </w:rPr>
            </w:pPr>
            <w:r>
              <w:rPr>
                <w:rFonts w:hint="eastAsia" w:ascii="仿宋_GB2312" w:hAnsi="宋体" w:eastAsia="仿宋_GB2312" w:cs="仿宋_GB2312"/>
                <w:color w:val="000000"/>
                <w:sz w:val="24"/>
                <w:szCs w:val="24"/>
                <w:lang w:val="en-US" w:eastAsia="zh-CN"/>
              </w:rPr>
              <w:t>专用材料费</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color w:val="000000"/>
                <w:kern w:val="2"/>
                <w:sz w:val="24"/>
                <w:szCs w:val="24"/>
                <w:lang w:val="en-US" w:eastAsia="zh-CN" w:bidi="ar-SA"/>
              </w:rPr>
            </w:pPr>
            <w:r>
              <w:rPr>
                <w:rFonts w:hint="eastAsia" w:ascii="仿宋_GB2312" w:hAnsi="宋体" w:eastAsia="仿宋_GB2312" w:cs="仿宋_GB2312"/>
                <w:color w:val="000000"/>
                <w:sz w:val="24"/>
                <w:szCs w:val="24"/>
                <w:lang w:val="en-US" w:eastAsia="zh-CN"/>
              </w:rPr>
              <w:t>9</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color w:val="000000"/>
                <w:kern w:val="2"/>
                <w:sz w:val="24"/>
                <w:szCs w:val="24"/>
                <w:lang w:val="en-US" w:eastAsia="zh-CN" w:bidi="ar-SA"/>
              </w:rPr>
            </w:pPr>
            <w:r>
              <w:rPr>
                <w:rFonts w:hint="eastAsia" w:ascii="仿宋_GB2312" w:hAnsi="宋体" w:eastAsia="仿宋_GB2312" w:cs="仿宋_GB2312"/>
                <w:color w:val="000000"/>
                <w:kern w:val="2"/>
                <w:sz w:val="24"/>
                <w:szCs w:val="24"/>
                <w:lang w:val="en-US" w:eastAsia="zh-CN" w:bidi="ar-SA"/>
              </w:rPr>
              <w:t>9.49</w:t>
            </w:r>
          </w:p>
        </w:tc>
      </w:tr>
      <w:tr>
        <w:tblPrEx>
          <w:tblCellMar>
            <w:top w:w="0" w:type="dxa"/>
            <w:left w:w="108" w:type="dxa"/>
            <w:bottom w:w="0" w:type="dxa"/>
            <w:right w:w="108" w:type="dxa"/>
          </w:tblCellMar>
        </w:tblPrEx>
        <w:trPr>
          <w:trHeight w:val="420" w:hRule="atLeast"/>
        </w:trPr>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color w:val="000000"/>
                <w:kern w:val="2"/>
                <w:sz w:val="24"/>
                <w:szCs w:val="24"/>
                <w:lang w:val="en-US" w:eastAsia="zh-CN" w:bidi="ar-SA"/>
              </w:rPr>
            </w:pPr>
            <w:r>
              <w:rPr>
                <w:rFonts w:hint="eastAsia" w:ascii="仿宋_GB2312" w:hAnsi="宋体" w:eastAsia="仿宋_GB2312" w:cs="仿宋_GB2312"/>
                <w:color w:val="000000"/>
                <w:sz w:val="24"/>
                <w:szCs w:val="24"/>
                <w:lang w:val="en-US" w:eastAsia="zh-CN"/>
              </w:rPr>
              <w:t>劳务费</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color w:val="000000"/>
                <w:kern w:val="2"/>
                <w:sz w:val="24"/>
                <w:szCs w:val="24"/>
                <w:lang w:val="en-US" w:eastAsia="zh-CN" w:bidi="ar-SA"/>
              </w:rPr>
            </w:pPr>
            <w:r>
              <w:rPr>
                <w:rFonts w:hint="eastAsia" w:ascii="仿宋_GB2312" w:hAnsi="宋体" w:eastAsia="仿宋_GB2312" w:cs="仿宋_GB2312"/>
                <w:color w:val="000000"/>
                <w:sz w:val="24"/>
                <w:szCs w:val="24"/>
                <w:lang w:val="en-US" w:eastAsia="zh-CN"/>
              </w:rPr>
              <w:t>8</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color w:val="000000"/>
                <w:kern w:val="2"/>
                <w:sz w:val="24"/>
                <w:szCs w:val="24"/>
                <w:lang w:val="en-US" w:eastAsia="zh-CN" w:bidi="ar-SA"/>
              </w:rPr>
            </w:pPr>
            <w:r>
              <w:rPr>
                <w:rFonts w:hint="eastAsia" w:ascii="仿宋_GB2312" w:hAnsi="宋体" w:eastAsia="仿宋_GB2312" w:cs="仿宋_GB2312"/>
                <w:color w:val="000000"/>
                <w:kern w:val="2"/>
                <w:sz w:val="24"/>
                <w:szCs w:val="24"/>
                <w:lang w:val="en-US" w:eastAsia="zh-CN" w:bidi="ar-SA"/>
              </w:rPr>
              <w:t>8.8</w:t>
            </w:r>
          </w:p>
        </w:tc>
      </w:tr>
      <w:tr>
        <w:tblPrEx>
          <w:tblCellMar>
            <w:top w:w="0" w:type="dxa"/>
            <w:left w:w="108" w:type="dxa"/>
            <w:bottom w:w="0" w:type="dxa"/>
            <w:right w:w="108" w:type="dxa"/>
          </w:tblCellMar>
        </w:tblPrEx>
        <w:trPr>
          <w:trHeight w:val="420" w:hRule="atLeast"/>
        </w:trPr>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_GB2312" w:hAnsi="宋体" w:eastAsia="仿宋_GB2312" w:cs="仿宋_GB2312"/>
                <w:color w:val="000000"/>
                <w:kern w:val="0"/>
                <w:sz w:val="24"/>
                <w:szCs w:val="24"/>
                <w:lang w:val="en-US" w:eastAsia="zh-CN" w:bidi="ar"/>
              </w:rPr>
            </w:pPr>
            <w:r>
              <w:rPr>
                <w:rFonts w:hint="eastAsia" w:ascii="仿宋_GB2312" w:hAnsi="宋体" w:eastAsia="仿宋_GB2312" w:cs="仿宋_GB2312"/>
                <w:color w:val="000000"/>
                <w:kern w:val="0"/>
                <w:sz w:val="24"/>
                <w:szCs w:val="24"/>
                <w:lang w:val="en-US" w:eastAsia="zh-CN" w:bidi="ar"/>
              </w:rPr>
              <w:t>委托试验费</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color w:val="000000"/>
                <w:kern w:val="2"/>
                <w:sz w:val="24"/>
                <w:szCs w:val="24"/>
                <w:lang w:val="en-US" w:eastAsia="zh-CN" w:bidi="ar-SA"/>
              </w:rPr>
            </w:pPr>
            <w:r>
              <w:rPr>
                <w:rFonts w:hint="eastAsia" w:ascii="仿宋_GB2312" w:hAnsi="宋体" w:eastAsia="仿宋_GB2312" w:cs="仿宋_GB2312"/>
                <w:color w:val="000000"/>
                <w:kern w:val="2"/>
                <w:sz w:val="24"/>
                <w:szCs w:val="24"/>
                <w:lang w:val="en-US" w:eastAsia="zh-CN" w:bidi="ar-SA"/>
              </w:rPr>
              <w:t>5</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color w:val="000000"/>
                <w:kern w:val="2"/>
                <w:sz w:val="24"/>
                <w:szCs w:val="24"/>
                <w:lang w:val="en-US" w:eastAsia="zh-CN" w:bidi="ar-SA"/>
              </w:rPr>
            </w:pPr>
            <w:r>
              <w:rPr>
                <w:rFonts w:hint="eastAsia" w:ascii="仿宋_GB2312" w:hAnsi="宋体" w:eastAsia="仿宋_GB2312" w:cs="仿宋_GB2312"/>
                <w:color w:val="000000"/>
                <w:sz w:val="24"/>
                <w:szCs w:val="24"/>
                <w:lang w:val="en-US" w:eastAsia="zh-CN"/>
              </w:rPr>
              <w:t>4.76</w:t>
            </w:r>
          </w:p>
        </w:tc>
      </w:tr>
      <w:tr>
        <w:tblPrEx>
          <w:tblCellMar>
            <w:top w:w="0" w:type="dxa"/>
            <w:left w:w="108" w:type="dxa"/>
            <w:bottom w:w="0" w:type="dxa"/>
            <w:right w:w="108" w:type="dxa"/>
          </w:tblCellMar>
        </w:tblPrEx>
        <w:trPr>
          <w:trHeight w:val="420" w:hRule="atLeast"/>
        </w:trPr>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_GB2312" w:hAnsi="宋体" w:eastAsia="仿宋_GB2312" w:cs="仿宋_GB2312"/>
                <w:color w:val="000000"/>
                <w:kern w:val="0"/>
                <w:sz w:val="24"/>
                <w:szCs w:val="24"/>
                <w:lang w:val="en-US" w:eastAsia="zh-CN" w:bidi="ar"/>
              </w:rPr>
            </w:pPr>
            <w:r>
              <w:rPr>
                <w:rFonts w:hint="eastAsia" w:ascii="仿宋_GB2312" w:hAnsi="宋体" w:eastAsia="仿宋_GB2312" w:cs="仿宋_GB2312"/>
                <w:color w:val="000000"/>
                <w:kern w:val="0"/>
                <w:sz w:val="24"/>
                <w:szCs w:val="24"/>
                <w:lang w:val="en-US" w:eastAsia="zh-CN" w:bidi="ar"/>
              </w:rPr>
              <w:t>差旅费</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color w:val="000000"/>
                <w:sz w:val="24"/>
                <w:szCs w:val="24"/>
                <w:lang w:val="en-US" w:eastAsia="zh-CN"/>
              </w:rPr>
            </w:pPr>
            <w:r>
              <w:rPr>
                <w:rFonts w:hint="eastAsia" w:ascii="仿宋_GB2312" w:hAnsi="宋体" w:eastAsia="仿宋_GB2312" w:cs="仿宋_GB2312"/>
                <w:color w:val="000000"/>
                <w:sz w:val="24"/>
                <w:szCs w:val="24"/>
                <w:lang w:val="en-US" w:eastAsia="zh-CN"/>
              </w:rPr>
              <w:t>1</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color w:val="000000"/>
                <w:sz w:val="24"/>
                <w:szCs w:val="24"/>
                <w:lang w:val="en-US" w:eastAsia="zh-CN"/>
              </w:rPr>
            </w:pPr>
            <w:r>
              <w:rPr>
                <w:rFonts w:hint="eastAsia" w:ascii="仿宋_GB2312" w:hAnsi="宋体" w:eastAsia="仿宋_GB2312" w:cs="仿宋_GB2312"/>
                <w:color w:val="000000"/>
                <w:sz w:val="24"/>
                <w:szCs w:val="24"/>
                <w:lang w:val="en-US" w:eastAsia="zh-CN"/>
              </w:rPr>
              <w:t>0.6</w:t>
            </w:r>
          </w:p>
        </w:tc>
      </w:tr>
      <w:tr>
        <w:tblPrEx>
          <w:tblCellMar>
            <w:top w:w="0" w:type="dxa"/>
            <w:left w:w="108" w:type="dxa"/>
            <w:bottom w:w="0" w:type="dxa"/>
            <w:right w:w="108" w:type="dxa"/>
          </w:tblCellMar>
        </w:tblPrEx>
        <w:trPr>
          <w:trHeight w:val="420" w:hRule="atLeast"/>
        </w:trPr>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color w:val="000000"/>
                <w:kern w:val="0"/>
                <w:sz w:val="24"/>
                <w:szCs w:val="24"/>
                <w:lang w:val="en-US" w:eastAsia="zh-CN" w:bidi="ar"/>
              </w:rPr>
            </w:pPr>
            <w:r>
              <w:rPr>
                <w:rFonts w:hint="eastAsia" w:ascii="仿宋_GB2312" w:hAnsi="宋体" w:eastAsia="仿宋_GB2312" w:cs="仿宋_GB2312"/>
                <w:color w:val="000000"/>
                <w:kern w:val="0"/>
                <w:sz w:val="24"/>
                <w:szCs w:val="24"/>
                <w:lang w:val="en-US" w:eastAsia="zh-CN" w:bidi="ar"/>
              </w:rPr>
              <w:t>其他商品和服务支出</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color w:val="000000"/>
                <w:kern w:val="2"/>
                <w:sz w:val="24"/>
                <w:szCs w:val="24"/>
                <w:lang w:val="en-US" w:eastAsia="zh-CN" w:bidi="ar-SA"/>
              </w:rPr>
            </w:pPr>
            <w:r>
              <w:rPr>
                <w:rFonts w:hint="eastAsia" w:ascii="仿宋_GB2312" w:hAnsi="宋体" w:eastAsia="仿宋_GB2312" w:cs="仿宋_GB2312"/>
                <w:color w:val="000000"/>
                <w:kern w:val="2"/>
                <w:sz w:val="24"/>
                <w:szCs w:val="24"/>
                <w:lang w:val="en-US" w:eastAsia="zh-CN" w:bidi="ar-SA"/>
              </w:rPr>
              <w:t>0.3</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color w:val="000000"/>
                <w:kern w:val="2"/>
                <w:sz w:val="24"/>
                <w:szCs w:val="24"/>
                <w:lang w:val="en-US" w:eastAsia="zh-CN" w:bidi="ar-SA"/>
              </w:rPr>
            </w:pPr>
            <w:r>
              <w:rPr>
                <w:rFonts w:hint="eastAsia" w:ascii="仿宋_GB2312" w:hAnsi="宋体" w:eastAsia="仿宋_GB2312" w:cs="仿宋_GB2312"/>
                <w:color w:val="000000"/>
                <w:sz w:val="24"/>
                <w:szCs w:val="24"/>
                <w:lang w:val="en-US" w:eastAsia="zh-CN"/>
              </w:rPr>
              <w:t>0.65</w:t>
            </w:r>
          </w:p>
        </w:tc>
      </w:tr>
      <w:tr>
        <w:tblPrEx>
          <w:tblCellMar>
            <w:top w:w="0" w:type="dxa"/>
            <w:left w:w="108" w:type="dxa"/>
            <w:bottom w:w="0" w:type="dxa"/>
            <w:right w:w="108" w:type="dxa"/>
          </w:tblCellMar>
        </w:tblPrEx>
        <w:trPr>
          <w:trHeight w:val="420" w:hRule="atLeast"/>
        </w:trPr>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color w:val="000000"/>
                <w:kern w:val="0"/>
                <w:sz w:val="24"/>
                <w:szCs w:val="24"/>
                <w:lang w:val="en-US" w:eastAsia="zh-CN" w:bidi="ar"/>
              </w:rPr>
            </w:pPr>
            <w:r>
              <w:rPr>
                <w:rFonts w:hint="eastAsia" w:ascii="仿宋_GB2312" w:hAnsi="宋体" w:eastAsia="仿宋_GB2312" w:cs="仿宋_GB2312"/>
                <w:color w:val="000000"/>
                <w:sz w:val="24"/>
                <w:szCs w:val="24"/>
                <w:lang w:val="en-US" w:eastAsia="zh-CN"/>
              </w:rPr>
              <w:t>合计</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color w:val="000000"/>
                <w:kern w:val="2"/>
                <w:sz w:val="24"/>
                <w:szCs w:val="24"/>
                <w:lang w:val="en-US" w:eastAsia="zh-CN" w:bidi="ar-SA"/>
              </w:rPr>
            </w:pPr>
            <w:r>
              <w:rPr>
                <w:rFonts w:hint="eastAsia" w:ascii="仿宋_GB2312" w:hAnsi="宋体" w:eastAsia="仿宋_GB2312" w:cs="仿宋_GB2312"/>
                <w:color w:val="000000"/>
                <w:sz w:val="24"/>
                <w:szCs w:val="24"/>
                <w:lang w:val="en-US" w:eastAsia="zh-CN"/>
              </w:rPr>
              <w:t>24.3</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color w:val="000000"/>
                <w:kern w:val="2"/>
                <w:sz w:val="24"/>
                <w:szCs w:val="24"/>
                <w:lang w:val="en-US" w:eastAsia="zh-CN" w:bidi="ar-SA"/>
              </w:rPr>
            </w:pPr>
            <w:r>
              <w:rPr>
                <w:rFonts w:hint="eastAsia" w:ascii="仿宋_GB2312" w:hAnsi="宋体" w:eastAsia="仿宋_GB2312" w:cs="仿宋_GB2312"/>
                <w:color w:val="000000"/>
                <w:sz w:val="24"/>
                <w:szCs w:val="24"/>
                <w:lang w:val="en-US" w:eastAsia="zh-CN"/>
              </w:rPr>
              <w:t>24.3</w:t>
            </w:r>
          </w:p>
        </w:tc>
      </w:tr>
    </w:tbl>
    <w:p>
      <w:pPr>
        <w:widowControl/>
        <w:spacing w:line="600" w:lineRule="exact"/>
        <w:ind w:left="640"/>
        <w:rPr>
          <w:rFonts w:hint="eastAsia" w:ascii="Times New Roman" w:hAnsi="Times New Roman" w:eastAsia="黑体"/>
          <w:sz w:val="32"/>
          <w:szCs w:val="32"/>
        </w:rPr>
      </w:pPr>
    </w:p>
    <w:p>
      <w:pPr>
        <w:widowControl/>
        <w:spacing w:line="600" w:lineRule="exact"/>
        <w:ind w:firstLine="640" w:firstLineChars="200"/>
        <w:jc w:val="left"/>
        <w:rPr>
          <w:rFonts w:ascii="Times New Roman" w:hAnsi="Times New Roman" w:eastAsia="黑体"/>
          <w:sz w:val="32"/>
          <w:szCs w:val="32"/>
        </w:rPr>
      </w:pPr>
      <w:r>
        <w:rPr>
          <w:rFonts w:ascii="Times New Roman" w:hAnsi="Times New Roman" w:eastAsia="黑体"/>
          <w:sz w:val="32"/>
          <w:szCs w:val="32"/>
        </w:rPr>
        <w:t>三、</w:t>
      </w:r>
      <w:r>
        <w:rPr>
          <w:rFonts w:hint="eastAsia" w:ascii="Times New Roman" w:hAnsi="Times New Roman" w:eastAsia="黑体"/>
          <w:sz w:val="32"/>
          <w:szCs w:val="32"/>
        </w:rPr>
        <w:t>项目</w:t>
      </w:r>
      <w:r>
        <w:rPr>
          <w:rFonts w:ascii="Times New Roman" w:hAnsi="Times New Roman" w:eastAsia="黑体"/>
          <w:sz w:val="32"/>
          <w:szCs w:val="32"/>
        </w:rPr>
        <w:t>绩效情况</w:t>
      </w:r>
    </w:p>
    <w:p>
      <w:pPr>
        <w:spacing w:line="276" w:lineRule="auto"/>
        <w:ind w:firstLine="640" w:firstLineChars="200"/>
        <w:rPr>
          <w:rFonts w:hint="eastAsia" w:ascii="方正楷体_GB2312" w:hAnsi="方正楷体_GB2312" w:eastAsia="方正楷体_GB2312" w:cs="方正楷体_GB2312"/>
          <w:color w:val="000000"/>
          <w:sz w:val="32"/>
          <w:szCs w:val="32"/>
          <w:lang w:val="en-US" w:eastAsia="zh-CN"/>
        </w:rPr>
      </w:pPr>
      <w:r>
        <w:rPr>
          <w:rFonts w:hint="eastAsia" w:ascii="方正楷体_GB2312" w:hAnsi="方正楷体_GB2312" w:eastAsia="方正楷体_GB2312" w:cs="方正楷体_GB2312"/>
          <w:color w:val="000000"/>
          <w:sz w:val="32"/>
          <w:szCs w:val="32"/>
          <w:lang w:val="en-US" w:eastAsia="zh-CN"/>
        </w:rPr>
        <w:t>本项目属延续项目，2021年该项目主要开展了2021年度芦笋种质资源收集、筛选、创新利用与试验示范，芦笋高效栽培试验等科研创新工作。并按照试验方案完成了预期工作。资源创新与育种：新收集芦笋各类资源14个，现有芦笋资源97份，其中入圃77份。开展了不同芦笋品种的活性成分检测分析。采集了资源圃内各品种混交产生的种子共43个组合（其中包括一个两性株自交结实种子），并完成育苗移栽。选取综合性状优良的芦笋资源开展杂交选育工作，目前，已完成71个组合，1700余份材料的授粉工作，为芦笋育种创新提供了重要的中间材料。</w:t>
      </w:r>
    </w:p>
    <w:p>
      <w:pPr>
        <w:spacing w:line="276" w:lineRule="auto"/>
        <w:ind w:firstLine="640" w:firstLineChars="200"/>
        <w:rPr>
          <w:rFonts w:hint="eastAsia" w:ascii="方正楷体_GB2312" w:hAnsi="方正楷体_GB2312" w:eastAsia="方正楷体_GB2312" w:cs="方正楷体_GB2312"/>
          <w:color w:val="000000"/>
          <w:sz w:val="32"/>
          <w:szCs w:val="32"/>
          <w:lang w:val="en-US" w:eastAsia="zh-CN"/>
        </w:rPr>
      </w:pPr>
      <w:r>
        <w:rPr>
          <w:rFonts w:hint="eastAsia" w:ascii="方正楷体_GB2312" w:hAnsi="方正楷体_GB2312" w:eastAsia="方正楷体_GB2312" w:cs="方正楷体_GB2312"/>
          <w:color w:val="000000"/>
          <w:sz w:val="32"/>
          <w:szCs w:val="32"/>
          <w:lang w:val="en-US" w:eastAsia="zh-CN"/>
        </w:rPr>
        <w:t>高效栽培技术研发与应用：开展了纯有机肥和纯化肥肥效影响盆栽长期定位分析试验。今年由于气候较为异常，雨水多、病虫害发生重，我们重点开展了设施大棚挂黄篮板、水肥一体化、加盖遮阳网、及时通风、增施有机肥等技术措施集成研究与应用。</w:t>
      </w:r>
    </w:p>
    <w:p>
      <w:pPr>
        <w:pStyle w:val="2"/>
        <w:rPr>
          <w:rFonts w:hint="default"/>
          <w:lang w:val="en-US" w:eastAsia="zh-CN"/>
        </w:rPr>
      </w:pPr>
      <w:r>
        <w:rPr>
          <w:rFonts w:hint="eastAsia" w:ascii="方正楷体_GB2312" w:hAnsi="方正楷体_GB2312" w:eastAsia="方正楷体_GB2312" w:cs="方正楷体_GB2312"/>
          <w:color w:val="000000"/>
          <w:sz w:val="32"/>
          <w:szCs w:val="32"/>
          <w:lang w:val="en-US" w:eastAsia="zh-CN"/>
        </w:rPr>
        <w:t xml:space="preserve">    2021年该项目为经作所提供了19.54万元的经费支持，具体用于以上工作。2021年该项目还为水稻研究所的</w:t>
      </w:r>
      <w:r>
        <w:rPr>
          <w:rFonts w:hint="eastAsia" w:ascii="方正楷体_GB2312" w:hAnsi="方正楷体_GB2312" w:eastAsia="方正楷体_GB2312" w:cs="方正楷体_GB2312"/>
          <w:color w:val="000000"/>
          <w:kern w:val="0"/>
          <w:sz w:val="32"/>
          <w:szCs w:val="32"/>
          <w:lang w:val="en-US" w:eastAsia="zh-CN" w:bidi="ar"/>
        </w:rPr>
        <w:t>镉污染治理主导因子分析试验</w:t>
      </w:r>
      <w:r>
        <w:rPr>
          <w:rFonts w:hint="eastAsia" w:ascii="方正楷体_GB2312" w:hAnsi="方正楷体_GB2312" w:eastAsia="方正楷体_GB2312" w:cs="方正楷体_GB2312"/>
          <w:color w:val="000000"/>
          <w:sz w:val="32"/>
          <w:szCs w:val="32"/>
          <w:lang w:val="en-US" w:eastAsia="zh-CN"/>
        </w:rPr>
        <w:t>提供了一定的支持，产生了田间试验委托费4.76万元。水稻所委托湘阴县农科所和湘阴县湖垣康农业开发有限责任公司在重金属镉中轻度污染区选取试验田块开展了区试试验，选取了品种组合2个，处理8项（3组重复），试验结果有效。</w:t>
      </w:r>
    </w:p>
    <w:p>
      <w:pPr>
        <w:pStyle w:val="7"/>
        <w:widowControl/>
        <w:spacing w:line="600" w:lineRule="exact"/>
        <w:ind w:firstLine="640"/>
        <w:jc w:val="left"/>
        <w:rPr>
          <w:rFonts w:ascii="Times New Roman" w:hAnsi="Times New Roman" w:eastAsia="黑体"/>
          <w:sz w:val="32"/>
          <w:szCs w:val="32"/>
        </w:rPr>
      </w:pPr>
      <w:r>
        <w:rPr>
          <w:rFonts w:ascii="Times New Roman" w:hAnsi="Times New Roman" w:eastAsia="黑体"/>
          <w:sz w:val="32"/>
          <w:szCs w:val="32"/>
        </w:rPr>
        <w:t>四、存在的问题及原因分析</w:t>
      </w:r>
    </w:p>
    <w:p>
      <w:pPr>
        <w:pStyle w:val="2"/>
        <w:ind w:firstLine="640"/>
        <w:rPr>
          <w:rFonts w:hint="eastAsia" w:ascii="方正楷体_GB2312" w:hAnsi="方正楷体_GB2312" w:eastAsia="方正楷体_GB2312" w:cs="方正楷体_GB2312"/>
          <w:color w:val="000000"/>
          <w:kern w:val="2"/>
          <w:sz w:val="32"/>
          <w:szCs w:val="32"/>
          <w:lang w:val="en-US" w:eastAsia="zh-CN" w:bidi="ar-SA"/>
        </w:rPr>
      </w:pPr>
      <w:r>
        <w:rPr>
          <w:rFonts w:hint="eastAsia" w:ascii="方正楷体_GB2312" w:hAnsi="方正楷体_GB2312" w:eastAsia="方正楷体_GB2312" w:cs="方正楷体_GB2312"/>
          <w:color w:val="000000"/>
          <w:kern w:val="2"/>
          <w:sz w:val="32"/>
          <w:szCs w:val="32"/>
          <w:lang w:val="en-US" w:eastAsia="zh-CN" w:bidi="ar-SA"/>
        </w:rPr>
        <w:t>首先，是芦笋研究存在的问题和原因分析。一方面芦笋为多年生作物，需要持续多年关注其农艺性状，以便充分了解其资源特性，下一段将继续开展农艺性状调查分析，为资源创新利用提供基础。另一方面，芦笋为雌雄异株、基因型高度杂合作物，其遗传育种和新品种选育工作往往需要多年持续稳定的研究，尤其是一个高产、优质、多抗的新品种更是需要多年系统研发。</w:t>
      </w:r>
    </w:p>
    <w:p>
      <w:pPr>
        <w:pStyle w:val="2"/>
        <w:ind w:firstLine="640"/>
        <w:rPr>
          <w:rFonts w:hint="default" w:ascii="方正楷体_GB2312" w:hAnsi="方正楷体_GB2312" w:eastAsia="方正楷体_GB2312" w:cs="方正楷体_GB2312"/>
          <w:color w:val="000000"/>
          <w:kern w:val="2"/>
          <w:sz w:val="32"/>
          <w:szCs w:val="32"/>
          <w:lang w:val="en-US" w:eastAsia="zh-CN" w:bidi="ar-SA"/>
        </w:rPr>
      </w:pPr>
      <w:r>
        <w:rPr>
          <w:rFonts w:hint="eastAsia" w:ascii="方正楷体_GB2312" w:hAnsi="方正楷体_GB2312" w:eastAsia="方正楷体_GB2312" w:cs="方正楷体_GB2312"/>
          <w:color w:val="000000"/>
          <w:kern w:val="2"/>
          <w:sz w:val="32"/>
          <w:szCs w:val="32"/>
          <w:lang w:val="en-US" w:eastAsia="zh-CN" w:bidi="ar-SA"/>
        </w:rPr>
        <w:t>其次，科研预算经费不足是我院工作科研工作开展的一大阻力。目前水稻所除了一个国家水稻产业体系项目，没有省级和市级项目支撑，市农科院成立以后，原农作物研究项目没能拆分成两个项目，现在仍为两个研究所的基础科研项目共同支撑，限制了基础科研的发展。</w:t>
      </w:r>
    </w:p>
    <w:p>
      <w:pPr>
        <w:pStyle w:val="2"/>
        <w:ind w:firstLine="640"/>
        <w:rPr>
          <w:rFonts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五、</w:t>
      </w:r>
      <w:r>
        <w:rPr>
          <w:rFonts w:ascii="Times New Roman" w:hAnsi="Times New Roman" w:eastAsia="黑体" w:cs="Times New Roman"/>
          <w:kern w:val="2"/>
          <w:sz w:val="32"/>
          <w:szCs w:val="32"/>
          <w:lang w:val="en-US" w:eastAsia="zh-CN" w:bidi="ar-SA"/>
        </w:rPr>
        <w:t>下一步改进措施</w:t>
      </w:r>
    </w:p>
    <w:p>
      <w:pPr>
        <w:spacing w:line="276" w:lineRule="auto"/>
        <w:ind w:firstLine="627" w:firstLineChars="196"/>
        <w:outlineLvl w:val="0"/>
        <w:rPr>
          <w:rFonts w:hint="eastAsia" w:ascii="方正楷体_GB2312" w:hAnsi="方正楷体_GB2312" w:eastAsia="方正楷体_GB2312" w:cs="方正楷体_GB2312"/>
          <w:color w:val="000000"/>
          <w:kern w:val="2"/>
          <w:sz w:val="32"/>
          <w:szCs w:val="32"/>
          <w:lang w:val="en-US" w:eastAsia="zh-CN" w:bidi="ar-SA"/>
        </w:rPr>
      </w:pPr>
      <w:r>
        <w:rPr>
          <w:rFonts w:hint="eastAsia" w:ascii="方正楷体_GB2312" w:hAnsi="方正楷体_GB2312" w:eastAsia="方正楷体_GB2312" w:cs="方正楷体_GB2312"/>
          <w:color w:val="000000"/>
          <w:kern w:val="2"/>
          <w:sz w:val="32"/>
          <w:szCs w:val="32"/>
          <w:lang w:val="en-US" w:eastAsia="zh-CN" w:bidi="ar-SA"/>
        </w:rPr>
        <w:t>1、加强科研创新研发</w:t>
      </w:r>
    </w:p>
    <w:p>
      <w:pPr>
        <w:spacing w:line="276" w:lineRule="auto"/>
        <w:ind w:firstLine="627" w:firstLineChars="196"/>
        <w:outlineLvl w:val="0"/>
        <w:rPr>
          <w:rFonts w:hint="eastAsia" w:ascii="方正楷体_GB2312" w:hAnsi="方正楷体_GB2312" w:eastAsia="方正楷体_GB2312" w:cs="方正楷体_GB2312"/>
          <w:color w:val="000000"/>
          <w:kern w:val="2"/>
          <w:sz w:val="32"/>
          <w:szCs w:val="32"/>
          <w:lang w:val="en-US" w:eastAsia="zh-CN" w:bidi="ar-SA"/>
        </w:rPr>
      </w:pPr>
      <w:r>
        <w:rPr>
          <w:rFonts w:hint="eastAsia" w:ascii="方正楷体_GB2312" w:hAnsi="方正楷体_GB2312" w:eastAsia="方正楷体_GB2312" w:cs="方正楷体_GB2312"/>
          <w:color w:val="000000"/>
          <w:kern w:val="2"/>
          <w:sz w:val="32"/>
          <w:szCs w:val="32"/>
          <w:lang w:val="en-US" w:eastAsia="zh-CN" w:bidi="ar-SA"/>
        </w:rPr>
        <w:t>2021年是我所各项科研项目关键性的一年，我们将突出重点，进一步加强科研创新研发。加快新品种选育、加强绿色高效生产技术研究与示范。</w:t>
      </w:r>
    </w:p>
    <w:p>
      <w:pPr>
        <w:spacing w:line="276" w:lineRule="auto"/>
        <w:ind w:firstLine="627" w:firstLineChars="196"/>
        <w:outlineLvl w:val="0"/>
        <w:rPr>
          <w:rFonts w:hint="eastAsia" w:ascii="方正楷体_GB2312" w:hAnsi="方正楷体_GB2312" w:eastAsia="方正楷体_GB2312" w:cs="方正楷体_GB2312"/>
          <w:color w:val="000000"/>
          <w:kern w:val="2"/>
          <w:sz w:val="32"/>
          <w:szCs w:val="32"/>
          <w:lang w:val="en-US" w:eastAsia="zh-CN" w:bidi="ar-SA"/>
        </w:rPr>
      </w:pPr>
      <w:r>
        <w:rPr>
          <w:rFonts w:hint="eastAsia" w:ascii="方正楷体_GB2312" w:hAnsi="方正楷体_GB2312" w:eastAsia="方正楷体_GB2312" w:cs="方正楷体_GB2312"/>
          <w:color w:val="000000"/>
          <w:kern w:val="2"/>
          <w:sz w:val="32"/>
          <w:szCs w:val="32"/>
          <w:lang w:val="en-US" w:eastAsia="zh-CN" w:bidi="ar-SA"/>
        </w:rPr>
        <w:t>2、加大科研争资争项</w:t>
      </w:r>
    </w:p>
    <w:p>
      <w:pPr>
        <w:spacing w:line="276" w:lineRule="auto"/>
        <w:ind w:firstLine="627" w:firstLineChars="196"/>
        <w:outlineLvl w:val="0"/>
        <w:rPr>
          <w:rFonts w:hint="eastAsia" w:ascii="方正楷体_GB2312" w:hAnsi="方正楷体_GB2312" w:eastAsia="方正楷体_GB2312" w:cs="方正楷体_GB2312"/>
          <w:color w:val="000000"/>
          <w:kern w:val="2"/>
          <w:sz w:val="32"/>
          <w:szCs w:val="32"/>
          <w:lang w:val="en-US" w:eastAsia="zh-CN" w:bidi="ar-SA"/>
        </w:rPr>
      </w:pPr>
      <w:r>
        <w:rPr>
          <w:rFonts w:hint="eastAsia" w:ascii="方正楷体_GB2312" w:hAnsi="方正楷体_GB2312" w:eastAsia="方正楷体_GB2312" w:cs="方正楷体_GB2312"/>
          <w:color w:val="000000"/>
          <w:kern w:val="2"/>
          <w:sz w:val="32"/>
          <w:szCs w:val="32"/>
          <w:lang w:val="en-US" w:eastAsia="zh-CN" w:bidi="ar-SA"/>
        </w:rPr>
        <w:t>进一步加大争资争项，形成项目、人才、成果、效益良性闭环。同时，进一步强化院院、院企、院地技术合作，积极参加学术交流和项目汇报。</w:t>
      </w:r>
    </w:p>
    <w:p>
      <w:pPr>
        <w:spacing w:line="276" w:lineRule="auto"/>
        <w:ind w:firstLine="627" w:firstLineChars="196"/>
        <w:outlineLvl w:val="0"/>
        <w:rPr>
          <w:rFonts w:hint="eastAsia" w:ascii="方正楷体_GB2312" w:hAnsi="方正楷体_GB2312" w:eastAsia="方正楷体_GB2312" w:cs="方正楷体_GB2312"/>
          <w:color w:val="000000"/>
          <w:kern w:val="2"/>
          <w:sz w:val="32"/>
          <w:szCs w:val="32"/>
          <w:lang w:val="en-US" w:eastAsia="zh-CN" w:bidi="ar-SA"/>
        </w:rPr>
      </w:pPr>
      <w:r>
        <w:rPr>
          <w:rFonts w:hint="eastAsia" w:ascii="方正楷体_GB2312" w:hAnsi="方正楷体_GB2312" w:eastAsia="方正楷体_GB2312" w:cs="方正楷体_GB2312"/>
          <w:color w:val="000000"/>
          <w:kern w:val="2"/>
          <w:sz w:val="32"/>
          <w:szCs w:val="32"/>
          <w:lang w:val="en-US" w:eastAsia="zh-CN" w:bidi="ar-SA"/>
        </w:rPr>
        <w:t>3、加快成果产出应用</w:t>
      </w:r>
    </w:p>
    <w:p>
      <w:pPr>
        <w:widowControl/>
        <w:spacing w:line="600" w:lineRule="exact"/>
        <w:ind w:firstLine="645"/>
        <w:jc w:val="left"/>
        <w:rPr>
          <w:rFonts w:hint="eastAsia" w:ascii="方正楷体_GB2312" w:hAnsi="方正楷体_GB2312" w:eastAsia="方正楷体_GB2312" w:cs="方正楷体_GB2312"/>
          <w:color w:val="000000"/>
          <w:kern w:val="2"/>
          <w:sz w:val="32"/>
          <w:szCs w:val="32"/>
          <w:lang w:val="en-US" w:eastAsia="zh-CN" w:bidi="ar-SA"/>
        </w:rPr>
      </w:pPr>
      <w:r>
        <w:rPr>
          <w:rFonts w:hint="eastAsia" w:ascii="方正楷体_GB2312" w:hAnsi="方正楷体_GB2312" w:eastAsia="方正楷体_GB2312" w:cs="方正楷体_GB2312"/>
          <w:color w:val="000000"/>
          <w:kern w:val="2"/>
          <w:sz w:val="32"/>
          <w:szCs w:val="32"/>
          <w:lang w:val="en-US" w:eastAsia="zh-CN" w:bidi="ar-SA"/>
        </w:rPr>
        <w:t>首先是进一步加快各类科研成果产出，争取在论文、专利和技术规程等各类成果方面都能有所收获。</w:t>
      </w:r>
    </w:p>
    <w:p>
      <w:pPr>
        <w:widowControl/>
        <w:spacing w:line="600" w:lineRule="exact"/>
        <w:ind w:firstLine="645"/>
        <w:jc w:val="left"/>
        <w:rPr>
          <w:rFonts w:ascii="Times New Roman" w:hAnsi="Times New Roman" w:eastAsia="黑体"/>
          <w:sz w:val="32"/>
          <w:szCs w:val="32"/>
        </w:rPr>
      </w:pPr>
      <w:r>
        <w:rPr>
          <w:rFonts w:ascii="Times New Roman" w:hAnsi="Times New Roman" w:eastAsia="黑体"/>
          <w:sz w:val="32"/>
          <w:szCs w:val="32"/>
        </w:rPr>
        <w:t>六、绩效自评结果拟应用和公开情况</w:t>
      </w:r>
    </w:p>
    <w:p>
      <w:pPr>
        <w:pStyle w:val="2"/>
        <w:ind w:firstLine="640" w:firstLineChars="200"/>
        <w:rPr>
          <w:rFonts w:hint="eastAsia" w:ascii="方正楷体_GB2312" w:hAnsi="方正楷体_GB2312" w:eastAsia="方正楷体_GB2312" w:cs="方正楷体_GB2312"/>
          <w:color w:val="000000"/>
          <w:kern w:val="2"/>
          <w:sz w:val="32"/>
          <w:szCs w:val="32"/>
          <w:lang w:val="en-US" w:eastAsia="zh-CN" w:bidi="ar-SA"/>
        </w:rPr>
      </w:pPr>
      <w:r>
        <w:rPr>
          <w:rFonts w:hint="eastAsia" w:ascii="方正楷体_GB2312" w:hAnsi="方正楷体_GB2312" w:eastAsia="方正楷体_GB2312" w:cs="方正楷体_GB2312"/>
          <w:color w:val="000000"/>
          <w:kern w:val="2"/>
          <w:sz w:val="32"/>
          <w:szCs w:val="32"/>
          <w:lang w:val="en-US" w:eastAsia="zh-CN" w:bidi="ar-SA"/>
        </w:rPr>
        <w:t>我们认为，2021年度农作物研究项目实现了预期绩效目标，预算执行率达到100%。通过项目实施，我所在芦笋科研创新研究上取得了一定的成果，并且产生了良好的社会、生态和经济效益。</w:t>
      </w:r>
    </w:p>
    <w:p>
      <w:pPr>
        <w:widowControl/>
        <w:spacing w:line="600" w:lineRule="exact"/>
        <w:ind w:firstLine="645"/>
        <w:jc w:val="left"/>
        <w:rPr>
          <w:rFonts w:ascii="Times New Roman" w:hAnsi="Times New Roman" w:eastAsia="黑体"/>
          <w:sz w:val="32"/>
          <w:szCs w:val="32"/>
        </w:rPr>
      </w:pPr>
      <w:r>
        <w:rPr>
          <w:rFonts w:ascii="Times New Roman" w:hAnsi="Times New Roman" w:eastAsia="黑体"/>
          <w:sz w:val="32"/>
          <w:szCs w:val="32"/>
        </w:rPr>
        <w:t>其他需要说明的情况</w:t>
      </w:r>
    </w:p>
    <w:p>
      <w:pPr>
        <w:rPr>
          <w:sz w:val="32"/>
          <w:szCs w:val="32"/>
        </w:rPr>
      </w:pPr>
      <w:r>
        <w:rPr>
          <w:rFonts w:hint="eastAsia"/>
        </w:rPr>
        <w:t xml:space="preserve">      </w:t>
      </w:r>
      <w:r>
        <w:rPr>
          <w:rFonts w:hint="eastAsia"/>
          <w:sz w:val="32"/>
          <w:szCs w:val="32"/>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楷体_GB2312">
    <w:altName w:val="宋体"/>
    <w:panose1 w:val="00000000000000000000"/>
    <w:charset w:val="86"/>
    <w:family w:val="auto"/>
    <w:pitch w:val="default"/>
    <w:sig w:usb0="00000000" w:usb1="00000000" w:usb2="00000012"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8206AD"/>
    <w:multiLevelType w:val="multilevel"/>
    <w:tmpl w:val="318206AD"/>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79AC1E24"/>
    <w:multiLevelType w:val="multilevel"/>
    <w:tmpl w:val="79AC1E24"/>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09F"/>
    <w:rsid w:val="0017609F"/>
    <w:rsid w:val="0043678E"/>
    <w:rsid w:val="005146EB"/>
    <w:rsid w:val="00697A27"/>
    <w:rsid w:val="0082551D"/>
    <w:rsid w:val="00AD24AF"/>
    <w:rsid w:val="00CA4184"/>
    <w:rsid w:val="00EB32B6"/>
    <w:rsid w:val="0CA12F3C"/>
    <w:rsid w:val="21FC014B"/>
    <w:rsid w:val="24C51134"/>
    <w:rsid w:val="369972DC"/>
    <w:rsid w:val="3F4E7142"/>
    <w:rsid w:val="49B450AA"/>
    <w:rsid w:val="54565C4C"/>
    <w:rsid w:val="5B2A191D"/>
    <w:rsid w:val="61536841"/>
    <w:rsid w:val="6CD85D11"/>
    <w:rsid w:val="789F264C"/>
    <w:rsid w:val="79E86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99"/>
    <w:pPr>
      <w:ind w:firstLine="420" w:firstLineChars="200"/>
    </w:pPr>
  </w:style>
  <w:style w:type="character" w:customStyle="1" w:styleId="8">
    <w:name w:val="页眉 Char"/>
    <w:basedOn w:val="6"/>
    <w:link w:val="4"/>
    <w:qFormat/>
    <w:uiPriority w:val="0"/>
    <w:rPr>
      <w:rFonts w:ascii="Calibri" w:hAnsi="Calibri"/>
      <w:kern w:val="2"/>
      <w:sz w:val="18"/>
      <w:szCs w:val="18"/>
    </w:rPr>
  </w:style>
  <w:style w:type="character" w:customStyle="1" w:styleId="9">
    <w:name w:val="页脚 Char"/>
    <w:basedOn w:val="6"/>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244</Words>
  <Characters>1391</Characters>
  <Lines>11</Lines>
  <Paragraphs>3</Paragraphs>
  <TotalTime>4</TotalTime>
  <ScaleCrop>false</ScaleCrop>
  <LinksUpToDate>false</LinksUpToDate>
  <CharactersWithSpaces>1632</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2021-03-23T03:06:00Z</dcterms:created>
  <dc:creator>jiang</dc:creator>
  <cp:lastModifiedBy>蔡丽蓉</cp:lastModifiedBy>
  <dcterms:modified xsi:type="dcterms:W3CDTF">2022-09-26T01:23:21Z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3C88FB80331E4C23BCDD35D66C557431</vt:lpwstr>
  </property>
</Properties>
</file>