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ascii="宋体" w:hAnsi="宋体" w:eastAsia="宋体" w:cs="宋体"/>
          <w:kern w:val="0"/>
          <w:sz w:val="32"/>
          <w:szCs w:val="32"/>
        </w:rPr>
      </w:pPr>
    </w:p>
    <w:p>
      <w:pPr>
        <w:jc w:val="center"/>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202</w:t>
      </w:r>
      <w:r>
        <w:rPr>
          <w:rFonts w:hint="eastAsia" w:ascii="宋体" w:hAnsi="宋体" w:cs="宋体"/>
          <w:b/>
          <w:bCs/>
          <w:sz w:val="32"/>
          <w:szCs w:val="32"/>
          <w:lang w:val="en-US" w:eastAsia="zh-CN"/>
        </w:rPr>
        <w:t>1</w:t>
      </w:r>
      <w:r>
        <w:rPr>
          <w:rFonts w:hint="eastAsia" w:ascii="宋体" w:hAnsi="宋体" w:eastAsia="宋体" w:cs="宋体"/>
          <w:b/>
          <w:bCs/>
          <w:sz w:val="32"/>
          <w:szCs w:val="32"/>
        </w:rPr>
        <w:t>年度</w:t>
      </w:r>
      <w:r>
        <w:rPr>
          <w:rFonts w:hint="eastAsia" w:ascii="宋体" w:hAnsi="宋体" w:eastAsia="宋体" w:cs="宋体"/>
          <w:b/>
          <w:bCs/>
          <w:sz w:val="32"/>
          <w:szCs w:val="32"/>
          <w:lang w:val="en-US" w:eastAsia="zh-CN"/>
        </w:rPr>
        <w:t>岳阳市农业科学研究院</w:t>
      </w:r>
    </w:p>
    <w:p>
      <w:pPr>
        <w:jc w:val="center"/>
        <w:rPr>
          <w:rFonts w:hint="eastAsia" w:ascii="宋体" w:hAnsi="宋体" w:eastAsia="宋体" w:cs="宋体"/>
          <w:b/>
          <w:bCs/>
          <w:sz w:val="44"/>
          <w:szCs w:val="44"/>
        </w:rPr>
      </w:pPr>
      <w:r>
        <w:rPr>
          <w:rFonts w:hint="eastAsia" w:ascii="宋体" w:hAnsi="宋体" w:eastAsia="宋体" w:cs="宋体"/>
          <w:b/>
          <w:bCs/>
          <w:sz w:val="44"/>
          <w:szCs w:val="44"/>
          <w:lang w:eastAsia="zh-CN"/>
        </w:rPr>
        <w:t>深化国有农场税费改革</w:t>
      </w:r>
      <w:r>
        <w:rPr>
          <w:rFonts w:hint="eastAsia" w:ascii="宋体" w:hAnsi="宋体" w:cs="宋体"/>
          <w:b/>
          <w:bCs/>
          <w:sz w:val="44"/>
          <w:szCs w:val="44"/>
          <w:lang w:eastAsia="zh-CN"/>
        </w:rPr>
        <w:t>项目</w:t>
      </w:r>
      <w:r>
        <w:rPr>
          <w:rFonts w:hint="eastAsia" w:ascii="宋体" w:hAnsi="宋体" w:eastAsia="宋体" w:cs="宋体"/>
          <w:b/>
          <w:bCs/>
          <w:sz w:val="44"/>
          <w:szCs w:val="44"/>
        </w:rPr>
        <w:t>绩效自评报告</w:t>
      </w:r>
    </w:p>
    <w:p>
      <w:pPr>
        <w:rPr>
          <w:rFonts w:hint="eastAsia" w:ascii="宋体" w:hAnsi="宋体" w:eastAsia="宋体" w:cs="宋体"/>
          <w:b/>
          <w:bCs/>
          <w:sz w:val="32"/>
          <w:szCs w:val="32"/>
        </w:rPr>
      </w:pPr>
    </w:p>
    <w:p>
      <w:pPr>
        <w:jc w:val="center"/>
        <w:rPr>
          <w:rFonts w:hint="eastAsia" w:ascii="宋体" w:hAnsi="宋体" w:eastAsia="宋体" w:cs="宋体"/>
          <w:sz w:val="32"/>
          <w:szCs w:val="32"/>
        </w:rPr>
      </w:pPr>
    </w:p>
    <w:p>
      <w:pPr>
        <w:rPr>
          <w:rFonts w:hint="eastAsia" w:ascii="宋体" w:hAnsi="宋体" w:eastAsia="宋体" w:cs="宋体"/>
          <w:sz w:val="32"/>
          <w:szCs w:val="32"/>
        </w:rPr>
      </w:pPr>
    </w:p>
    <w:p>
      <w:pPr>
        <w:rPr>
          <w:rFonts w:hint="eastAsia" w:ascii="宋体" w:hAnsi="宋体" w:eastAsia="宋体" w:cs="宋体"/>
          <w:sz w:val="32"/>
          <w:szCs w:val="32"/>
        </w:rPr>
      </w:pPr>
    </w:p>
    <w:p>
      <w:pPr>
        <w:rPr>
          <w:rFonts w:hint="eastAsia" w:ascii="宋体" w:hAnsi="宋体" w:eastAsia="宋体" w:cs="宋体"/>
          <w:sz w:val="32"/>
          <w:szCs w:val="32"/>
        </w:rPr>
      </w:pPr>
    </w:p>
    <w:p>
      <w:pPr>
        <w:rPr>
          <w:rFonts w:hint="eastAsia" w:ascii="宋体" w:hAnsi="宋体" w:eastAsia="宋体" w:cs="宋体"/>
          <w:sz w:val="32"/>
          <w:szCs w:val="32"/>
        </w:rPr>
      </w:pPr>
    </w:p>
    <w:p>
      <w:pPr>
        <w:rPr>
          <w:rFonts w:hint="eastAsia" w:ascii="宋体" w:hAnsi="宋体" w:eastAsia="宋体" w:cs="宋体"/>
          <w:sz w:val="32"/>
          <w:szCs w:val="32"/>
        </w:rPr>
      </w:pPr>
    </w:p>
    <w:p>
      <w:pPr>
        <w:rPr>
          <w:rFonts w:hint="eastAsia" w:ascii="宋体" w:hAnsi="宋体" w:eastAsia="宋体" w:cs="宋体"/>
          <w:sz w:val="32"/>
          <w:szCs w:val="32"/>
        </w:rPr>
      </w:pPr>
    </w:p>
    <w:p>
      <w:pPr>
        <w:pStyle w:val="2"/>
        <w:rPr>
          <w:rFonts w:hint="eastAsia" w:ascii="宋体" w:hAnsi="宋体" w:eastAsia="宋体" w:cs="宋体"/>
          <w:sz w:val="32"/>
          <w:szCs w:val="32"/>
        </w:rPr>
      </w:pPr>
    </w:p>
    <w:p>
      <w:pPr>
        <w:pStyle w:val="2"/>
        <w:rPr>
          <w:rFonts w:hint="eastAsia" w:ascii="宋体" w:hAnsi="宋体" w:eastAsia="宋体" w:cs="宋体"/>
          <w:sz w:val="32"/>
          <w:szCs w:val="32"/>
        </w:rPr>
      </w:pPr>
    </w:p>
    <w:p>
      <w:pPr>
        <w:jc w:val="center"/>
        <w:rPr>
          <w:rFonts w:hint="eastAsia" w:ascii="宋体" w:hAnsi="宋体" w:eastAsia="宋体" w:cs="宋体"/>
          <w:sz w:val="32"/>
          <w:szCs w:val="32"/>
        </w:rPr>
      </w:pPr>
    </w:p>
    <w:p>
      <w:pPr>
        <w:pStyle w:val="2"/>
        <w:rPr>
          <w:rFonts w:hint="eastAsia"/>
        </w:rPr>
      </w:pPr>
    </w:p>
    <w:p>
      <w:pPr>
        <w:jc w:val="center"/>
        <w:rPr>
          <w:rFonts w:hint="eastAsia" w:ascii="宋体" w:hAnsi="宋体" w:eastAsia="宋体" w:cs="宋体"/>
          <w:sz w:val="32"/>
          <w:szCs w:val="32"/>
        </w:rPr>
      </w:pPr>
    </w:p>
    <w:p>
      <w:pPr>
        <w:jc w:val="center"/>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岳阳市农业科学研究院</w:t>
      </w:r>
    </w:p>
    <w:p>
      <w:pPr>
        <w:jc w:val="center"/>
        <w:rPr>
          <w:rFonts w:hint="eastAsia" w:ascii="宋体" w:hAnsi="宋体" w:eastAsia="宋体" w:cs="宋体"/>
          <w:b/>
          <w:bCs/>
          <w:sz w:val="44"/>
          <w:szCs w:val="44"/>
        </w:rPr>
      </w:pPr>
      <w:bookmarkStart w:id="0" w:name="_GoBack"/>
      <w:bookmarkEnd w:id="0"/>
    </w:p>
    <w:p>
      <w:pPr>
        <w:jc w:val="center"/>
        <w:rPr>
          <w:rFonts w:hint="eastAsia" w:ascii="宋体" w:hAnsi="宋体" w:eastAsia="宋体" w:cs="宋体"/>
          <w:sz w:val="32"/>
          <w:szCs w:val="32"/>
        </w:rPr>
      </w:pPr>
    </w:p>
    <w:p>
      <w:pPr>
        <w:pStyle w:val="2"/>
        <w:rPr>
          <w:rFonts w:hint="eastAsia" w:ascii="宋体" w:hAnsi="宋体" w:eastAsia="宋体" w:cs="宋体"/>
        </w:rPr>
      </w:pPr>
    </w:p>
    <w:p>
      <w:pPr>
        <w:pStyle w:val="2"/>
        <w:rPr>
          <w:rFonts w:hint="eastAsia" w:ascii="宋体" w:hAnsi="宋体" w:eastAsia="宋体" w:cs="宋体"/>
        </w:rPr>
      </w:pPr>
    </w:p>
    <w:p>
      <w:pPr>
        <w:pStyle w:val="2"/>
        <w:rPr>
          <w:rFonts w:hint="eastAsia" w:ascii="宋体" w:hAnsi="宋体" w:eastAsia="宋体" w:cs="宋体"/>
        </w:rPr>
      </w:pPr>
    </w:p>
    <w:p>
      <w:pPr>
        <w:pStyle w:val="2"/>
        <w:rPr>
          <w:rFonts w:hint="eastAsia" w:ascii="宋体" w:hAnsi="宋体" w:eastAsia="宋体" w:cs="宋体"/>
        </w:rPr>
      </w:pPr>
    </w:p>
    <w:p>
      <w:pPr>
        <w:pStyle w:val="5"/>
        <w:widowControl/>
        <w:numPr>
          <w:ilvl w:val="0"/>
          <w:numId w:val="1"/>
        </w:numPr>
        <w:tabs>
          <w:tab w:val="left" w:pos="578"/>
        </w:tabs>
        <w:spacing w:line="600" w:lineRule="exact"/>
        <w:ind w:firstLineChars="0"/>
        <w:rPr>
          <w:rFonts w:hint="eastAsia" w:ascii="宋体" w:hAnsi="宋体" w:eastAsia="宋体" w:cs="宋体"/>
          <w:sz w:val="32"/>
          <w:szCs w:val="32"/>
        </w:rPr>
      </w:pPr>
      <w:r>
        <w:rPr>
          <w:rFonts w:hint="eastAsia" w:ascii="宋体" w:hAnsi="宋体" w:eastAsia="宋体" w:cs="宋体"/>
          <w:b/>
          <w:bCs/>
          <w:sz w:val="32"/>
          <w:szCs w:val="32"/>
        </w:rPr>
        <w:t>基本情况</w:t>
      </w:r>
      <w:r>
        <w:rPr>
          <w:rFonts w:hint="eastAsia" w:ascii="宋体" w:hAnsi="宋体" w:eastAsia="宋体" w:cs="宋体"/>
          <w:b/>
          <w:bCs/>
          <w:sz w:val="32"/>
          <w:szCs w:val="32"/>
          <w:lang w:val="en-US" w:eastAsia="zh-CN"/>
        </w:rPr>
        <w:t xml:space="preserve"> </w:t>
      </w:r>
      <w:r>
        <w:rPr>
          <w:rFonts w:hint="eastAsia" w:ascii="宋体" w:hAnsi="宋体" w:eastAsia="宋体" w:cs="宋体"/>
          <w:sz w:val="32"/>
          <w:szCs w:val="32"/>
          <w:lang w:val="en-US" w:eastAsia="zh-CN"/>
        </w:rPr>
        <w:t xml:space="preserve"> </w:t>
      </w:r>
    </w:p>
    <w:p>
      <w:pPr>
        <w:pStyle w:val="2"/>
        <w:ind w:firstLine="640"/>
        <w:rPr>
          <w:rFonts w:hint="eastAsia" w:ascii="宋体" w:hAnsi="宋体" w:cs="宋体"/>
          <w:color w:val="000000"/>
          <w:kern w:val="0"/>
          <w:sz w:val="32"/>
          <w:szCs w:val="32"/>
          <w:lang w:val="en-US" w:eastAsia="zh-CN" w:bidi="ar"/>
        </w:rPr>
      </w:pPr>
      <w:r>
        <w:rPr>
          <w:rFonts w:hint="eastAsia" w:ascii="宋体" w:hAnsi="宋体" w:cs="宋体"/>
          <w:color w:val="000000"/>
          <w:kern w:val="0"/>
          <w:sz w:val="32"/>
          <w:szCs w:val="32"/>
          <w:lang w:val="en-US" w:eastAsia="zh-CN" w:bidi="ar"/>
        </w:rPr>
        <w:t>原岳阳市农业科学研究所和岳阳市蔬菜科学研究所从2019年1月1日起合并至岳阳市农业科学研究院，原岳阳市农业科学研究所和岳阳市蔬菜科学研究所（以下简称市菜科所）的深化国有农场税费改革项目工作也因此并入市农科院，合并为同一个项目。合并以后，市农科院共有代管农牧职工163名，其中在职农牧职工32名，退休农牧职工131名。市财政一般预算内每年安排深化国有农场税费改革项目的目的是帮助市农科院逐步清偿原农科所、原菜科所农场农牧工参保形成的债务，解决农牧工参保后续资金，逐步改善居民生活环境条件。</w:t>
      </w:r>
    </w:p>
    <w:p>
      <w:pPr>
        <w:keepNext w:val="0"/>
        <w:keepLines w:val="0"/>
        <w:widowControl/>
        <w:suppressLineNumbers w:val="0"/>
        <w:ind w:firstLine="640" w:firstLineChars="200"/>
        <w:jc w:val="left"/>
        <w:rPr>
          <w:rFonts w:hint="eastAsia" w:ascii="宋体" w:hAnsi="宋体" w:eastAsia="宋体" w:cs="宋体"/>
          <w:color w:val="000000"/>
          <w:kern w:val="0"/>
          <w:sz w:val="32"/>
          <w:szCs w:val="32"/>
          <w:lang w:val="en-US" w:eastAsia="zh-CN" w:bidi="ar"/>
        </w:rPr>
      </w:pPr>
      <w:r>
        <w:rPr>
          <w:rFonts w:hint="eastAsia" w:ascii="宋体" w:hAnsi="宋体" w:cs="宋体"/>
          <w:color w:val="000000"/>
          <w:kern w:val="0"/>
          <w:sz w:val="32"/>
          <w:szCs w:val="32"/>
          <w:lang w:val="en-US" w:eastAsia="zh-CN" w:bidi="ar"/>
        </w:rPr>
        <w:t>市菜科所</w:t>
      </w:r>
      <w:r>
        <w:rPr>
          <w:rFonts w:hint="eastAsia" w:ascii="宋体" w:hAnsi="宋体" w:eastAsia="宋体" w:cs="宋体"/>
          <w:color w:val="000000"/>
          <w:kern w:val="0"/>
          <w:sz w:val="32"/>
          <w:szCs w:val="32"/>
          <w:lang w:val="en-US" w:eastAsia="zh-CN" w:bidi="ar"/>
        </w:rPr>
        <w:t>专业从事蔬菜新技术、新品种的引进、研发、区域性试验、推广示范和技术培训。蔬菜良种繁育场成立于1987年，是蔬菜所下属的集体单位，财务独立核算，自负盈亏。现有土地160亩，人口1100人，其中农牧工46人，未退休农牧工4人，全职管理人员3人，误工记工管理人员1人。该场八、九十年代是我市蔬菜良种繁育的专业基地，曾为我市蔬菜产业发展作出过重要贡献，随着城市化进程，蔬菜所征收良种场菜地132亩，市保障性住房项目（春和家园）征收良种场菜地87亩，楼区安置房项目征收良种场土地5亩，菜地被征收殆尽，良繁功能彻底萎缩，财务完全失去来源，2007年启动国有农场税费改革。</w:t>
      </w:r>
    </w:p>
    <w:p>
      <w:pPr>
        <w:pStyle w:val="5"/>
        <w:widowControl/>
        <w:numPr>
          <w:ilvl w:val="0"/>
          <w:numId w:val="1"/>
        </w:numPr>
        <w:spacing w:line="600" w:lineRule="exact"/>
        <w:ind w:firstLineChars="0"/>
        <w:rPr>
          <w:rFonts w:hint="eastAsia" w:ascii="宋体" w:hAnsi="宋体" w:eastAsia="宋体" w:cs="宋体"/>
          <w:b/>
          <w:bCs/>
          <w:sz w:val="32"/>
          <w:szCs w:val="32"/>
        </w:rPr>
      </w:pPr>
      <w:r>
        <w:rPr>
          <w:rFonts w:hint="eastAsia" w:ascii="宋体" w:hAnsi="宋体" w:eastAsia="宋体" w:cs="宋体"/>
          <w:b/>
          <w:bCs/>
          <w:sz w:val="32"/>
          <w:szCs w:val="32"/>
        </w:rPr>
        <w:t>一般公共预算支出情况</w:t>
      </w:r>
    </w:p>
    <w:p>
      <w:pPr>
        <w:pStyle w:val="5"/>
        <w:widowControl/>
        <w:numPr>
          <w:ilvl w:val="0"/>
          <w:numId w:val="2"/>
        </w:numPr>
        <w:spacing w:line="600" w:lineRule="exact"/>
        <w:ind w:firstLineChars="0"/>
        <w:rPr>
          <w:rFonts w:hint="eastAsia" w:ascii="宋体" w:hAnsi="宋体" w:eastAsia="宋体" w:cs="宋体"/>
          <w:sz w:val="32"/>
          <w:szCs w:val="32"/>
        </w:rPr>
      </w:pPr>
      <w:r>
        <w:rPr>
          <w:rFonts w:hint="eastAsia" w:ascii="宋体" w:hAnsi="宋体" w:eastAsia="宋体" w:cs="宋体"/>
          <w:sz w:val="32"/>
          <w:szCs w:val="32"/>
        </w:rPr>
        <w:t>基本支出情况</w:t>
      </w:r>
    </w:p>
    <w:tbl>
      <w:tblPr>
        <w:tblStyle w:val="3"/>
        <w:tblW w:w="8293" w:type="dxa"/>
        <w:tblInd w:w="93" w:type="dxa"/>
        <w:shd w:val="clear" w:color="auto" w:fill="auto"/>
        <w:tblLayout w:type="autofit"/>
        <w:tblCellMar>
          <w:top w:w="0" w:type="dxa"/>
          <w:left w:w="108" w:type="dxa"/>
          <w:bottom w:w="0" w:type="dxa"/>
          <w:right w:w="108" w:type="dxa"/>
        </w:tblCellMar>
      </w:tblPr>
      <w:tblGrid>
        <w:gridCol w:w="2728"/>
        <w:gridCol w:w="2775"/>
        <w:gridCol w:w="2790"/>
      </w:tblGrid>
      <w:tr>
        <w:tblPrEx>
          <w:shd w:val="clear" w:color="auto" w:fill="auto"/>
          <w:tblCellMar>
            <w:top w:w="0" w:type="dxa"/>
            <w:left w:w="108" w:type="dxa"/>
            <w:bottom w:w="0" w:type="dxa"/>
            <w:right w:w="108" w:type="dxa"/>
          </w:tblCellMar>
        </w:tblPrEx>
        <w:trPr>
          <w:trHeight w:val="420" w:hRule="atLeast"/>
        </w:trPr>
        <w:tc>
          <w:tcPr>
            <w:tcW w:w="2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项 目  明  细</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w:t>
            </w:r>
            <w:r>
              <w:rPr>
                <w:rFonts w:hint="eastAsia" w:ascii="宋体" w:hAnsi="宋体" w:cs="宋体"/>
                <w:i w:val="0"/>
                <w:iCs w:val="0"/>
                <w:color w:val="000000"/>
                <w:kern w:val="0"/>
                <w:sz w:val="22"/>
                <w:szCs w:val="22"/>
                <w:u w:val="none"/>
                <w:lang w:val="en-US" w:eastAsia="zh-CN" w:bidi="ar"/>
              </w:rPr>
              <w:t>1</w:t>
            </w:r>
            <w:r>
              <w:rPr>
                <w:rFonts w:hint="eastAsia" w:ascii="宋体" w:hAnsi="宋体" w:eastAsia="宋体" w:cs="宋体"/>
                <w:i w:val="0"/>
                <w:iCs w:val="0"/>
                <w:color w:val="000000"/>
                <w:kern w:val="0"/>
                <w:sz w:val="22"/>
                <w:szCs w:val="22"/>
                <w:u w:val="none"/>
                <w:lang w:val="en-US" w:eastAsia="zh-CN" w:bidi="ar"/>
              </w:rPr>
              <w:t>年度项目申请资金</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202</w:t>
            </w:r>
            <w:r>
              <w:rPr>
                <w:rFonts w:hint="eastAsia" w:ascii="宋体" w:hAnsi="宋体" w:cs="宋体"/>
                <w:i w:val="0"/>
                <w:iCs w:val="0"/>
                <w:color w:val="000000"/>
                <w:kern w:val="0"/>
                <w:sz w:val="22"/>
                <w:szCs w:val="22"/>
                <w:u w:val="none"/>
                <w:lang w:val="en-US" w:eastAsia="zh-CN" w:bidi="ar"/>
              </w:rPr>
              <w:t>1</w:t>
            </w:r>
            <w:r>
              <w:rPr>
                <w:rFonts w:hint="eastAsia" w:ascii="宋体" w:hAnsi="宋体" w:eastAsia="宋体" w:cs="宋体"/>
                <w:i w:val="0"/>
                <w:iCs w:val="0"/>
                <w:color w:val="000000"/>
                <w:kern w:val="0"/>
                <w:sz w:val="22"/>
                <w:szCs w:val="22"/>
                <w:u w:val="none"/>
                <w:lang w:val="en-US" w:eastAsia="zh-CN" w:bidi="ar"/>
              </w:rPr>
              <w:t>年度项目使用资金</w:t>
            </w:r>
          </w:p>
        </w:tc>
      </w:tr>
      <w:tr>
        <w:tblPrEx>
          <w:tblCellMar>
            <w:top w:w="0" w:type="dxa"/>
            <w:left w:w="108" w:type="dxa"/>
            <w:bottom w:w="0" w:type="dxa"/>
            <w:right w:w="108" w:type="dxa"/>
          </w:tblCellMar>
        </w:tblPrEx>
        <w:trPr>
          <w:trHeight w:val="420" w:hRule="atLeast"/>
        </w:trPr>
        <w:tc>
          <w:tcPr>
            <w:tcW w:w="2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合 计</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24.3</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24.3</w:t>
            </w:r>
          </w:p>
        </w:tc>
      </w:tr>
      <w:tr>
        <w:tblPrEx>
          <w:tblCellMar>
            <w:top w:w="0" w:type="dxa"/>
            <w:left w:w="108" w:type="dxa"/>
            <w:bottom w:w="0" w:type="dxa"/>
            <w:right w:w="108" w:type="dxa"/>
          </w:tblCellMar>
        </w:tblPrEx>
        <w:trPr>
          <w:trHeight w:val="420" w:hRule="atLeast"/>
        </w:trPr>
        <w:tc>
          <w:tcPr>
            <w:tcW w:w="2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 xml:space="preserve">1 </w:t>
            </w:r>
            <w:r>
              <w:rPr>
                <w:rFonts w:hint="eastAsia" w:ascii="宋体" w:hAnsi="宋体" w:cs="宋体"/>
                <w:i w:val="0"/>
                <w:iCs w:val="0"/>
                <w:color w:val="000000"/>
                <w:kern w:val="0"/>
                <w:sz w:val="24"/>
                <w:szCs w:val="24"/>
                <w:u w:val="none"/>
                <w:lang w:val="en-US" w:eastAsia="zh-CN" w:bidi="ar"/>
              </w:rPr>
              <w:t xml:space="preserve"> 养老保险</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12</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12.54</w:t>
            </w:r>
          </w:p>
        </w:tc>
      </w:tr>
      <w:tr>
        <w:tblPrEx>
          <w:tblCellMar>
            <w:top w:w="0" w:type="dxa"/>
            <w:left w:w="108" w:type="dxa"/>
            <w:bottom w:w="0" w:type="dxa"/>
            <w:right w:w="108" w:type="dxa"/>
          </w:tblCellMar>
        </w:tblPrEx>
        <w:trPr>
          <w:trHeight w:val="420" w:hRule="atLeast"/>
        </w:trPr>
        <w:tc>
          <w:tcPr>
            <w:tcW w:w="2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 xml:space="preserve">2  </w:t>
            </w:r>
            <w:r>
              <w:rPr>
                <w:rFonts w:hint="eastAsia" w:ascii="宋体" w:hAnsi="宋体" w:cs="宋体"/>
                <w:i w:val="0"/>
                <w:iCs w:val="0"/>
                <w:color w:val="000000"/>
                <w:kern w:val="0"/>
                <w:sz w:val="24"/>
                <w:szCs w:val="24"/>
                <w:u w:val="none"/>
                <w:lang w:val="en-US" w:eastAsia="zh-CN" w:bidi="ar"/>
              </w:rPr>
              <w:t>其他对个人和家庭的补助</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8</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4"/>
                <w:szCs w:val="24"/>
                <w:u w:val="none"/>
                <w:lang w:val="en-US"/>
              </w:rPr>
            </w:pPr>
            <w:r>
              <w:rPr>
                <w:rFonts w:hint="eastAsia" w:ascii="宋体" w:hAnsi="宋体" w:cs="宋体"/>
                <w:i w:val="0"/>
                <w:iCs w:val="0"/>
                <w:color w:val="000000"/>
                <w:sz w:val="24"/>
                <w:szCs w:val="24"/>
                <w:u w:val="none"/>
                <w:lang w:val="en-US" w:eastAsia="zh-CN"/>
              </w:rPr>
              <w:t>7.76</w:t>
            </w:r>
          </w:p>
        </w:tc>
      </w:tr>
      <w:tr>
        <w:tblPrEx>
          <w:tblCellMar>
            <w:top w:w="0" w:type="dxa"/>
            <w:left w:w="108" w:type="dxa"/>
            <w:bottom w:w="0" w:type="dxa"/>
            <w:right w:w="108" w:type="dxa"/>
          </w:tblCellMar>
        </w:tblPrEx>
        <w:trPr>
          <w:trHeight w:val="420" w:hRule="atLeast"/>
        </w:trPr>
        <w:tc>
          <w:tcPr>
            <w:tcW w:w="2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 xml:space="preserve">3  </w:t>
            </w:r>
            <w:r>
              <w:rPr>
                <w:rFonts w:hint="eastAsia" w:ascii="宋体" w:hAnsi="宋体" w:cs="宋体"/>
                <w:i w:val="0"/>
                <w:iCs w:val="0"/>
                <w:color w:val="000000"/>
                <w:kern w:val="0"/>
                <w:sz w:val="24"/>
                <w:szCs w:val="24"/>
                <w:u w:val="none"/>
                <w:lang w:val="en-US" w:eastAsia="zh-CN" w:bidi="ar"/>
              </w:rPr>
              <w:t>其他商品服务支出</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4.3</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4</w:t>
            </w:r>
          </w:p>
        </w:tc>
      </w:tr>
    </w:tbl>
    <w:p>
      <w:pPr>
        <w:pStyle w:val="5"/>
        <w:widowControl/>
        <w:numPr>
          <w:ilvl w:val="0"/>
          <w:numId w:val="0"/>
        </w:numPr>
        <w:spacing w:line="600" w:lineRule="exact"/>
        <w:jc w:val="center"/>
        <w:rPr>
          <w:rFonts w:hint="eastAsia" w:ascii="宋体" w:hAnsi="宋体" w:eastAsia="宋体" w:cs="宋体"/>
          <w:sz w:val="32"/>
          <w:szCs w:val="32"/>
        </w:rPr>
      </w:pPr>
    </w:p>
    <w:p>
      <w:pPr>
        <w:widowControl/>
        <w:spacing w:line="600" w:lineRule="exact"/>
        <w:ind w:firstLine="643" w:firstLineChars="200"/>
        <w:jc w:val="left"/>
        <w:rPr>
          <w:rFonts w:hint="eastAsia" w:ascii="宋体" w:hAnsi="宋体" w:eastAsia="宋体" w:cs="宋体"/>
          <w:sz w:val="32"/>
          <w:szCs w:val="32"/>
        </w:rPr>
      </w:pPr>
      <w:r>
        <w:rPr>
          <w:rFonts w:hint="eastAsia" w:ascii="宋体" w:hAnsi="宋体" w:eastAsia="宋体" w:cs="宋体"/>
          <w:b/>
          <w:bCs/>
          <w:sz w:val="32"/>
          <w:szCs w:val="32"/>
        </w:rPr>
        <w:t>三、</w:t>
      </w:r>
      <w:r>
        <w:rPr>
          <w:rFonts w:hint="eastAsia" w:ascii="宋体" w:hAnsi="宋体" w:eastAsia="宋体" w:cs="宋体"/>
          <w:b/>
          <w:bCs/>
          <w:sz w:val="32"/>
          <w:szCs w:val="32"/>
          <w:lang w:val="en-US" w:eastAsia="zh-CN"/>
        </w:rPr>
        <w:t>项目</w:t>
      </w:r>
      <w:r>
        <w:rPr>
          <w:rFonts w:hint="eastAsia" w:ascii="宋体" w:hAnsi="宋体" w:eastAsia="宋体" w:cs="宋体"/>
          <w:b/>
          <w:bCs/>
          <w:sz w:val="32"/>
          <w:szCs w:val="32"/>
        </w:rPr>
        <w:t>绩效情况</w:t>
      </w:r>
    </w:p>
    <w:p>
      <w:pPr>
        <w:pStyle w:val="5"/>
        <w:widowControl/>
        <w:spacing w:line="600" w:lineRule="exact"/>
        <w:jc w:val="left"/>
        <w:rPr>
          <w:rFonts w:hint="eastAsia" w:ascii="宋体" w:hAnsi="宋体" w:eastAsia="宋体" w:cs="宋体"/>
          <w:color w:val="000000"/>
          <w:sz w:val="32"/>
          <w:szCs w:val="32"/>
          <w:lang w:val="en-US" w:eastAsia="zh-CN"/>
        </w:rPr>
      </w:pPr>
      <w:r>
        <w:rPr>
          <w:rFonts w:hint="eastAsia" w:ascii="宋体" w:hAnsi="宋体" w:eastAsia="宋体" w:cs="宋体"/>
          <w:color w:val="000000"/>
          <w:sz w:val="32"/>
          <w:szCs w:val="32"/>
          <w:lang w:val="en-US" w:eastAsia="zh-CN"/>
        </w:rPr>
        <w:t>本项目属延续项目，202</w:t>
      </w:r>
      <w:r>
        <w:rPr>
          <w:rFonts w:hint="eastAsia" w:ascii="宋体" w:hAnsi="宋体" w:cs="宋体"/>
          <w:color w:val="000000"/>
          <w:sz w:val="32"/>
          <w:szCs w:val="32"/>
          <w:lang w:val="en-US" w:eastAsia="zh-CN"/>
        </w:rPr>
        <w:t>1</w:t>
      </w:r>
      <w:r>
        <w:rPr>
          <w:rFonts w:hint="eastAsia" w:ascii="宋体" w:hAnsi="宋体" w:eastAsia="宋体" w:cs="宋体"/>
          <w:color w:val="000000"/>
          <w:sz w:val="32"/>
          <w:szCs w:val="32"/>
          <w:lang w:val="en-US" w:eastAsia="zh-CN"/>
        </w:rPr>
        <w:t>年度为</w:t>
      </w:r>
      <w:r>
        <w:rPr>
          <w:rFonts w:hint="eastAsia" w:ascii="宋体" w:hAnsi="宋体" w:cs="宋体"/>
          <w:color w:val="000000"/>
          <w:sz w:val="32"/>
          <w:szCs w:val="32"/>
          <w:lang w:val="en-US" w:eastAsia="zh-CN"/>
        </w:rPr>
        <w:t>市农科院在职</w:t>
      </w:r>
      <w:r>
        <w:rPr>
          <w:rFonts w:hint="eastAsia" w:ascii="宋体" w:hAnsi="宋体" w:eastAsia="宋体" w:cs="宋体"/>
          <w:color w:val="000000"/>
          <w:sz w:val="32"/>
          <w:szCs w:val="32"/>
          <w:lang w:val="en-US" w:eastAsia="zh-CN"/>
        </w:rPr>
        <w:t>农牧</w:t>
      </w:r>
      <w:r>
        <w:rPr>
          <w:rFonts w:hint="eastAsia" w:ascii="宋体" w:hAnsi="宋体" w:cs="宋体"/>
          <w:color w:val="000000"/>
          <w:sz w:val="32"/>
          <w:szCs w:val="32"/>
          <w:lang w:val="en-US" w:eastAsia="zh-CN"/>
        </w:rPr>
        <w:t>职工</w:t>
      </w:r>
      <w:r>
        <w:rPr>
          <w:rFonts w:hint="eastAsia" w:ascii="宋体" w:hAnsi="宋体" w:eastAsia="宋体" w:cs="宋体"/>
          <w:color w:val="000000"/>
          <w:sz w:val="32"/>
          <w:szCs w:val="32"/>
          <w:lang w:val="en-US" w:eastAsia="zh-CN"/>
        </w:rPr>
        <w:t>支付了</w:t>
      </w:r>
      <w:r>
        <w:rPr>
          <w:rFonts w:hint="eastAsia" w:ascii="宋体" w:hAnsi="宋体" w:cs="宋体"/>
          <w:color w:val="000000"/>
          <w:sz w:val="32"/>
          <w:szCs w:val="32"/>
          <w:lang w:val="en-US" w:eastAsia="zh-CN"/>
        </w:rPr>
        <w:t>部分的</w:t>
      </w:r>
      <w:r>
        <w:rPr>
          <w:rFonts w:hint="eastAsia" w:ascii="宋体" w:hAnsi="宋体" w:eastAsia="宋体" w:cs="宋体"/>
          <w:color w:val="000000"/>
          <w:sz w:val="32"/>
          <w:szCs w:val="32"/>
          <w:lang w:val="en-US" w:eastAsia="zh-CN"/>
        </w:rPr>
        <w:t>社保金，</w:t>
      </w:r>
      <w:r>
        <w:rPr>
          <w:rFonts w:hint="eastAsia" w:ascii="宋体" w:hAnsi="宋体" w:cs="宋体"/>
          <w:color w:val="000000"/>
          <w:sz w:val="32"/>
          <w:szCs w:val="32"/>
          <w:lang w:val="en-US" w:eastAsia="zh-CN"/>
        </w:rPr>
        <w:t>解决了一定的生活补助问题，也</w:t>
      </w:r>
      <w:r>
        <w:rPr>
          <w:rFonts w:hint="eastAsia" w:ascii="宋体" w:hAnsi="宋体" w:eastAsia="宋体" w:cs="宋体"/>
          <w:color w:val="000000"/>
          <w:sz w:val="32"/>
          <w:szCs w:val="32"/>
          <w:lang w:val="en-US" w:eastAsia="zh-CN"/>
        </w:rPr>
        <w:t>为良种场公共道路的维护和环境整治、禁违执法托管和良种场补充了</w:t>
      </w:r>
      <w:r>
        <w:rPr>
          <w:rFonts w:hint="eastAsia" w:ascii="宋体" w:hAnsi="宋体" w:cs="宋体"/>
          <w:color w:val="000000"/>
          <w:sz w:val="32"/>
          <w:szCs w:val="32"/>
          <w:lang w:val="en-US" w:eastAsia="zh-CN"/>
        </w:rPr>
        <w:t>一些</w:t>
      </w:r>
      <w:r>
        <w:rPr>
          <w:rFonts w:hint="eastAsia" w:ascii="宋体" w:hAnsi="宋体" w:eastAsia="宋体" w:cs="宋体"/>
          <w:color w:val="000000"/>
          <w:sz w:val="32"/>
          <w:szCs w:val="32"/>
          <w:lang w:val="en-US" w:eastAsia="zh-CN"/>
        </w:rPr>
        <w:t>事务管理经费的不足，切实减轻了农牧工负担，良种场的民生、禁违控违等各项工作有序正常开展，社会和谐稳定。</w:t>
      </w:r>
    </w:p>
    <w:p>
      <w:pPr>
        <w:pStyle w:val="5"/>
        <w:widowControl/>
        <w:spacing w:line="600" w:lineRule="exact"/>
        <w:jc w:val="left"/>
        <w:rPr>
          <w:rFonts w:hint="eastAsia" w:ascii="宋体" w:hAnsi="宋体" w:eastAsia="宋体" w:cs="宋体"/>
          <w:b/>
          <w:bCs/>
          <w:sz w:val="32"/>
          <w:szCs w:val="32"/>
        </w:rPr>
      </w:pPr>
      <w:r>
        <w:rPr>
          <w:rFonts w:hint="eastAsia" w:ascii="宋体" w:hAnsi="宋体" w:eastAsia="宋体" w:cs="宋体"/>
          <w:b/>
          <w:bCs/>
          <w:sz w:val="32"/>
          <w:szCs w:val="32"/>
        </w:rPr>
        <w:t>四、存在的问题及原因分析</w:t>
      </w:r>
    </w:p>
    <w:p>
      <w:pPr>
        <w:pStyle w:val="2"/>
        <w:ind w:firstLine="640"/>
        <w:rPr>
          <w:rFonts w:hint="eastAsia" w:ascii="宋体" w:hAnsi="宋体" w:eastAsia="宋体" w:cs="宋体"/>
          <w:sz w:val="32"/>
          <w:szCs w:val="32"/>
          <w:lang w:val="en-US" w:eastAsia="zh-CN"/>
        </w:rPr>
      </w:pPr>
      <w:r>
        <w:rPr>
          <w:rFonts w:hint="eastAsia" w:ascii="宋体" w:hAnsi="宋体" w:cs="宋体"/>
          <w:sz w:val="32"/>
          <w:szCs w:val="32"/>
          <w:lang w:val="en-US" w:eastAsia="zh-CN"/>
        </w:rPr>
        <w:t>项目经费预算偏低，原菜科所深化国有农场税费改革项目经费是18万元，原农科所深化国有农场税费改革项目经费是10万元，合并以后减少了3.7万元。市农科院农牧职工遗留问题存在多年，市财政虽为菜科所和农科所的农牧职工问题做出了不少努力，但经费预算仍存在不足</w:t>
      </w:r>
      <w:r>
        <w:rPr>
          <w:rFonts w:hint="eastAsia" w:ascii="宋体" w:hAnsi="宋体" w:eastAsia="宋体" w:cs="宋体"/>
          <w:sz w:val="32"/>
          <w:szCs w:val="32"/>
          <w:lang w:val="en-US" w:eastAsia="zh-CN"/>
        </w:rPr>
        <w:t>，</w:t>
      </w:r>
      <w:r>
        <w:rPr>
          <w:rFonts w:hint="eastAsia" w:ascii="宋体" w:hAnsi="宋体" w:cs="宋体"/>
          <w:sz w:val="32"/>
          <w:szCs w:val="32"/>
          <w:lang w:val="en-US" w:eastAsia="zh-CN"/>
        </w:rPr>
        <w:t>原因一是在职农牧职工的养老保险虽然每年是按照最低标准缴纳，但市社保的基数每年仍然逐步在递增；原因二</w:t>
      </w:r>
      <w:r>
        <w:rPr>
          <w:rFonts w:hint="eastAsia" w:ascii="宋体" w:hAnsi="宋体" w:eastAsia="宋体" w:cs="宋体"/>
          <w:sz w:val="32"/>
          <w:szCs w:val="32"/>
          <w:lang w:val="en-US" w:eastAsia="zh-CN"/>
        </w:rPr>
        <w:t>是农牧工提出要求参加职工医保的要求，因政策原因和需补缴巨额医保参保金未能实施</w:t>
      </w:r>
      <w:r>
        <w:rPr>
          <w:rFonts w:hint="eastAsia" w:ascii="宋体" w:hAnsi="宋体" w:cs="宋体"/>
          <w:sz w:val="32"/>
          <w:szCs w:val="32"/>
          <w:lang w:val="en-US" w:eastAsia="zh-CN"/>
        </w:rPr>
        <w:t>；</w:t>
      </w:r>
      <w:r>
        <w:rPr>
          <w:rFonts w:hint="eastAsia" w:ascii="宋体" w:hAnsi="宋体" w:eastAsia="宋体" w:cs="宋体"/>
          <w:sz w:val="32"/>
          <w:szCs w:val="32"/>
          <w:lang w:val="en-US" w:eastAsia="zh-CN"/>
        </w:rPr>
        <w:t>原因</w:t>
      </w:r>
      <w:r>
        <w:rPr>
          <w:rFonts w:hint="eastAsia" w:ascii="宋体" w:hAnsi="宋体" w:cs="宋体"/>
          <w:sz w:val="32"/>
          <w:szCs w:val="32"/>
          <w:lang w:val="en-US" w:eastAsia="zh-CN"/>
        </w:rPr>
        <w:t>三</w:t>
      </w:r>
      <w:r>
        <w:rPr>
          <w:rFonts w:hint="eastAsia" w:ascii="宋体" w:hAnsi="宋体" w:eastAsia="宋体" w:cs="宋体"/>
          <w:sz w:val="32"/>
          <w:szCs w:val="32"/>
          <w:lang w:val="en-US" w:eastAsia="zh-CN"/>
        </w:rPr>
        <w:t>是良种繁育场现在完全承担了一个社区的管理和服务功能，又没有享有社区应该享有的财政预算</w:t>
      </w:r>
      <w:r>
        <w:rPr>
          <w:rFonts w:hint="eastAsia" w:ascii="宋体" w:hAnsi="宋体" w:cs="宋体"/>
          <w:sz w:val="32"/>
          <w:szCs w:val="32"/>
          <w:lang w:val="en-US" w:eastAsia="zh-CN"/>
        </w:rPr>
        <w:t>。</w:t>
      </w:r>
    </w:p>
    <w:p>
      <w:pPr>
        <w:widowControl/>
        <w:numPr>
          <w:ilvl w:val="0"/>
          <w:numId w:val="3"/>
        </w:numPr>
        <w:spacing w:line="600" w:lineRule="exact"/>
        <w:ind w:firstLine="643" w:firstLineChars="200"/>
        <w:jc w:val="left"/>
        <w:rPr>
          <w:rFonts w:hint="default" w:ascii="宋体" w:hAnsi="宋体" w:eastAsia="宋体" w:cs="宋体"/>
          <w:b/>
          <w:bCs/>
          <w:kern w:val="2"/>
          <w:sz w:val="32"/>
          <w:szCs w:val="32"/>
          <w:lang w:val="en-US" w:eastAsia="zh-CN" w:bidi="ar-SA"/>
        </w:rPr>
      </w:pPr>
      <w:r>
        <w:rPr>
          <w:rFonts w:hint="eastAsia" w:ascii="宋体" w:hAnsi="宋体" w:eastAsia="宋体" w:cs="宋体"/>
          <w:b/>
          <w:bCs/>
          <w:kern w:val="2"/>
          <w:sz w:val="32"/>
          <w:szCs w:val="32"/>
          <w:lang w:val="en-US" w:eastAsia="zh-CN" w:bidi="ar-SA"/>
        </w:rPr>
        <w:t>下一步改进措施</w:t>
      </w:r>
    </w:p>
    <w:p>
      <w:pPr>
        <w:widowControl/>
        <w:numPr>
          <w:ilvl w:val="0"/>
          <w:numId w:val="4"/>
        </w:numPr>
        <w:spacing w:line="600" w:lineRule="exact"/>
        <w:ind w:firstLine="645"/>
        <w:jc w:val="left"/>
        <w:rPr>
          <w:rFonts w:hint="eastAsia" w:ascii="宋体" w:hAnsi="宋体" w:eastAsia="宋体" w:cs="宋体"/>
          <w:b w:val="0"/>
          <w:bCs w:val="0"/>
          <w:sz w:val="32"/>
          <w:szCs w:val="32"/>
          <w:lang w:eastAsia="zh-CN"/>
        </w:rPr>
      </w:pPr>
      <w:r>
        <w:rPr>
          <w:rFonts w:hint="eastAsia" w:ascii="宋体" w:hAnsi="宋体" w:eastAsia="宋体" w:cs="宋体"/>
          <w:b w:val="0"/>
          <w:bCs w:val="0"/>
          <w:sz w:val="32"/>
          <w:szCs w:val="32"/>
          <w:lang w:val="en-US" w:eastAsia="zh-CN"/>
        </w:rPr>
        <w:t>力争早日</w:t>
      </w:r>
      <w:r>
        <w:rPr>
          <w:rFonts w:hint="eastAsia" w:ascii="宋体" w:hAnsi="宋体" w:cs="宋体"/>
          <w:b w:val="0"/>
          <w:bCs w:val="0"/>
          <w:sz w:val="32"/>
          <w:szCs w:val="32"/>
          <w:lang w:val="en-US" w:eastAsia="zh-CN"/>
        </w:rPr>
        <w:t>将良种场</w:t>
      </w:r>
      <w:r>
        <w:rPr>
          <w:rFonts w:hint="eastAsia" w:ascii="宋体" w:hAnsi="宋体" w:eastAsia="宋体" w:cs="宋体"/>
          <w:b w:val="0"/>
          <w:bCs w:val="0"/>
          <w:sz w:val="32"/>
          <w:szCs w:val="32"/>
          <w:lang w:eastAsia="zh-CN"/>
        </w:rPr>
        <w:t>移交楼区管理，从根本上解决问题。未移交之前争取政府重视，纳入社区财政正常预算。</w:t>
      </w:r>
    </w:p>
    <w:p>
      <w:pPr>
        <w:pStyle w:val="2"/>
        <w:rPr>
          <w:rFonts w:hint="default"/>
          <w:lang w:val="en-US" w:eastAsia="zh-CN"/>
        </w:rPr>
      </w:pPr>
      <w:r>
        <w:rPr>
          <w:rFonts w:hint="eastAsia" w:ascii="宋体" w:hAnsi="宋体" w:cs="宋体"/>
          <w:b w:val="0"/>
          <w:bCs w:val="0"/>
          <w:sz w:val="32"/>
          <w:szCs w:val="32"/>
          <w:lang w:val="en-US" w:eastAsia="zh-CN"/>
        </w:rPr>
        <w:t xml:space="preserve">    2、严格控制农牧职工的数量，在职农牧职工转为退休农牧职工后，养老保险的压力减轻。</w:t>
      </w:r>
    </w:p>
    <w:p>
      <w:pPr>
        <w:widowControl/>
        <w:numPr>
          <w:ilvl w:val="0"/>
          <w:numId w:val="0"/>
        </w:numPr>
        <w:spacing w:line="600" w:lineRule="exact"/>
        <w:ind w:firstLine="643" w:firstLineChars="200"/>
        <w:jc w:val="left"/>
        <w:rPr>
          <w:rFonts w:hint="eastAsia" w:ascii="宋体" w:hAnsi="宋体" w:eastAsia="宋体" w:cs="宋体"/>
          <w:b/>
          <w:bCs/>
          <w:kern w:val="2"/>
          <w:sz w:val="32"/>
          <w:szCs w:val="32"/>
          <w:lang w:val="en-US" w:eastAsia="zh-CN" w:bidi="ar-SA"/>
        </w:rPr>
      </w:pPr>
      <w:r>
        <w:rPr>
          <w:rFonts w:hint="eastAsia" w:ascii="宋体" w:hAnsi="宋体" w:eastAsia="宋体" w:cs="宋体"/>
          <w:b/>
          <w:bCs/>
          <w:kern w:val="2"/>
          <w:sz w:val="32"/>
          <w:szCs w:val="32"/>
          <w:lang w:val="en-US" w:eastAsia="zh-CN" w:bidi="ar-SA"/>
        </w:rPr>
        <w:t>六、绩效自评结果拟应用和公开情况</w:t>
      </w:r>
    </w:p>
    <w:p>
      <w:pPr>
        <w:widowControl/>
        <w:spacing w:line="600" w:lineRule="exact"/>
        <w:ind w:firstLine="645"/>
        <w:jc w:val="left"/>
        <w:rPr>
          <w:rFonts w:hint="eastAsia" w:ascii="宋体" w:hAnsi="宋体" w:eastAsia="宋体" w:cs="宋体"/>
        </w:rPr>
      </w:pPr>
      <w:r>
        <w:rPr>
          <w:rFonts w:hint="eastAsia" w:ascii="宋体" w:hAnsi="宋体" w:eastAsia="宋体" w:cs="宋体"/>
          <w:sz w:val="32"/>
          <w:szCs w:val="32"/>
          <w:lang w:val="en-US" w:eastAsia="zh-CN"/>
        </w:rPr>
        <w:t>我们认为本项目符合并基本达到申报预期，我院拟进一步加强</w:t>
      </w:r>
      <w:r>
        <w:rPr>
          <w:rFonts w:hint="eastAsia" w:ascii="宋体" w:hAnsi="宋体" w:cs="宋体"/>
          <w:sz w:val="32"/>
          <w:szCs w:val="32"/>
          <w:lang w:val="en-US" w:eastAsia="zh-CN"/>
        </w:rPr>
        <w:t>对我院农牧职工的管理和加强</w:t>
      </w:r>
      <w:r>
        <w:rPr>
          <w:rFonts w:hint="eastAsia" w:ascii="宋体" w:hAnsi="宋体" w:eastAsia="宋体" w:cs="宋体"/>
          <w:sz w:val="32"/>
          <w:szCs w:val="32"/>
          <w:lang w:val="en-US" w:eastAsia="zh-CN"/>
        </w:rPr>
        <w:t>良种场的管理，让各项工作更好地开展，构建一个更加和谐的社区环境。</w:t>
      </w:r>
    </w:p>
    <w:p>
      <w:pPr>
        <w:widowControl/>
        <w:numPr>
          <w:ilvl w:val="0"/>
          <w:numId w:val="0"/>
        </w:numPr>
        <w:spacing w:line="600" w:lineRule="exact"/>
        <w:ind w:firstLine="643" w:firstLineChars="200"/>
        <w:jc w:val="left"/>
        <w:rPr>
          <w:rFonts w:hint="eastAsia" w:ascii="宋体" w:hAnsi="宋体" w:eastAsia="宋体" w:cs="宋体"/>
          <w:b/>
          <w:bCs/>
          <w:kern w:val="2"/>
          <w:sz w:val="32"/>
          <w:szCs w:val="32"/>
          <w:lang w:val="en-US" w:eastAsia="zh-CN" w:bidi="ar-SA"/>
        </w:rPr>
      </w:pPr>
      <w:r>
        <w:rPr>
          <w:rFonts w:hint="eastAsia" w:ascii="宋体" w:hAnsi="宋体" w:eastAsia="宋体" w:cs="宋体"/>
          <w:b/>
          <w:bCs/>
          <w:kern w:val="2"/>
          <w:sz w:val="32"/>
          <w:szCs w:val="32"/>
          <w:lang w:val="en-US" w:eastAsia="zh-CN" w:bidi="ar-SA"/>
        </w:rPr>
        <w:t>七、其他需要说明的情况</w:t>
      </w:r>
    </w:p>
    <w:p>
      <w:pPr>
        <w:widowControl/>
        <w:numPr>
          <w:ilvl w:val="0"/>
          <w:numId w:val="0"/>
        </w:numPr>
        <w:spacing w:line="600" w:lineRule="exact"/>
        <w:ind w:firstLine="640" w:firstLineChars="200"/>
        <w:jc w:val="left"/>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0AFF" w:usb1="40007843" w:usb2="00000001" w:usb3="00000000" w:csb0="400001BF" w:csb1="DFF7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437B45"/>
    <w:multiLevelType w:val="singleLevel"/>
    <w:tmpl w:val="C8437B45"/>
    <w:lvl w:ilvl="0" w:tentative="0">
      <w:start w:val="5"/>
      <w:numFmt w:val="chineseCounting"/>
      <w:suff w:val="nothing"/>
      <w:lvlText w:val="%1、"/>
      <w:lvlJc w:val="left"/>
      <w:rPr>
        <w:rFonts w:hint="eastAsia"/>
      </w:rPr>
    </w:lvl>
  </w:abstractNum>
  <w:abstractNum w:abstractNumId="1">
    <w:nsid w:val="318206AD"/>
    <w:multiLevelType w:val="multilevel"/>
    <w:tmpl w:val="318206AD"/>
    <w:lvl w:ilvl="0" w:tentative="0">
      <w:start w:val="1"/>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436268CB"/>
    <w:multiLevelType w:val="singleLevel"/>
    <w:tmpl w:val="436268CB"/>
    <w:lvl w:ilvl="0" w:tentative="0">
      <w:start w:val="1"/>
      <w:numFmt w:val="decimal"/>
      <w:suff w:val="nothing"/>
      <w:lvlText w:val="%1、"/>
      <w:lvlJc w:val="left"/>
    </w:lvl>
  </w:abstractNum>
  <w:abstractNum w:abstractNumId="3">
    <w:nsid w:val="79AC1E24"/>
    <w:multiLevelType w:val="multilevel"/>
    <w:tmpl w:val="79AC1E24"/>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B210EC"/>
    <w:rsid w:val="0B447B25"/>
    <w:rsid w:val="0F1E4799"/>
    <w:rsid w:val="213145C3"/>
    <w:rsid w:val="26B462AA"/>
    <w:rsid w:val="2B3F4B28"/>
    <w:rsid w:val="49B450AA"/>
    <w:rsid w:val="4C9F389A"/>
    <w:rsid w:val="54565C4C"/>
    <w:rsid w:val="55036578"/>
    <w:rsid w:val="60DE7C65"/>
    <w:rsid w:val="651D06B1"/>
    <w:rsid w:val="71B447B1"/>
    <w:rsid w:val="78CD7BE9"/>
    <w:rsid w:val="79E86CBA"/>
    <w:rsid w:val="7C7A67D5"/>
    <w:rsid w:val="7D3215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5">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Office_11.8.6.11021_F1E327BC-269C-435d-A152-05C5408002CA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2021-03-22T01:50:00Z</dcterms:created>
  <dc:creator>jiang</dc:creator>
  <cp:lastModifiedBy>蔡丽蓉</cp:lastModifiedBy>
  <dcterms:modified xsi:type="dcterms:W3CDTF">2022-09-26T01:23:33Z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2052-11.8.6.11021</vt:lpwstr>
  </property>
  <property fmtid="{D5CDD505-2E9C-101B-9397-08002B2CF9AE}" pid="3" name="ICV">
    <vt:lpwstr>9A1E4A9DE934462EBF2BDF8F9EF58F67</vt:lpwstr>
  </property>
</Properties>
</file>