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sz w:val="32"/>
          <w:szCs w:val="32"/>
        </w:rPr>
      </w:pPr>
      <w:r>
        <w:rPr>
          <w:rFonts w:hint="eastAsia" w:ascii="黑体" w:hAnsi="黑体" w:eastAsia="黑体"/>
          <w:sz w:val="32"/>
          <w:szCs w:val="32"/>
        </w:rPr>
        <w:t>附件1</w:t>
      </w:r>
      <w:r>
        <w:rPr>
          <w:rFonts w:hint="eastAsia" w:ascii="黑体" w:hAnsi="黑体" w:eastAsia="黑体" w:cs="黑体"/>
          <w:bCs/>
          <w:sz w:val="32"/>
          <w:szCs w:val="32"/>
        </w:rPr>
        <w:t>-1</w:t>
      </w:r>
    </w:p>
    <w:p>
      <w:pPr>
        <w:snapToGrid w:val="0"/>
        <w:spacing w:line="640" w:lineRule="exact"/>
        <w:jc w:val="center"/>
        <w:rPr>
          <w:rFonts w:eastAsia="方正小标宋简体" w:cs="方正小标宋简体"/>
          <w:bCs/>
          <w:sz w:val="44"/>
          <w:szCs w:val="44"/>
        </w:rPr>
      </w:pPr>
    </w:p>
    <w:p>
      <w:pPr>
        <w:snapToGrid w:val="0"/>
        <w:spacing w:line="620" w:lineRule="exact"/>
        <w:jc w:val="center"/>
        <w:rPr>
          <w:rFonts w:eastAsia="方正小标宋简体" w:cs="方正小标宋简体"/>
          <w:bCs/>
          <w:sz w:val="44"/>
          <w:szCs w:val="44"/>
        </w:rPr>
      </w:pPr>
      <w:r>
        <w:rPr>
          <w:rFonts w:hint="eastAsia" w:eastAsia="方正小标宋简体" w:cs="方正小标宋简体"/>
          <w:bCs/>
          <w:sz w:val="44"/>
          <w:szCs w:val="44"/>
        </w:rPr>
        <w:t>岳阳市部门整体支出绩效评价自评报告</w:t>
      </w:r>
    </w:p>
    <w:p>
      <w:pPr>
        <w:snapToGrid w:val="0"/>
        <w:spacing w:line="620" w:lineRule="exact"/>
        <w:jc w:val="center"/>
        <w:rPr>
          <w:rFonts w:eastAsia="方正小标宋简体" w:cs="方正小标宋简体"/>
          <w:bCs/>
          <w:sz w:val="44"/>
          <w:szCs w:val="44"/>
        </w:rPr>
      </w:pPr>
      <w:r>
        <w:rPr>
          <w:rFonts w:hint="eastAsia" w:eastAsia="方正小标宋简体" w:cs="方正小标宋简体"/>
          <w:bCs/>
          <w:sz w:val="44"/>
          <w:szCs w:val="44"/>
        </w:rPr>
        <w:t>填 报 说 明</w:t>
      </w:r>
    </w:p>
    <w:p>
      <w:pPr>
        <w:spacing w:line="620" w:lineRule="exact"/>
        <w:rPr>
          <w:rFonts w:ascii="仿宋_GB2312" w:eastAsia="仿宋_GB2312"/>
          <w:sz w:val="32"/>
          <w:szCs w:val="32"/>
        </w:rPr>
      </w:pPr>
    </w:p>
    <w:p>
      <w:pPr>
        <w:spacing w:line="620" w:lineRule="exact"/>
        <w:ind w:firstLine="634" w:firstLineChars="200"/>
        <w:rPr>
          <w:rFonts w:ascii="黑体" w:hAnsi="黑体" w:eastAsia="黑体"/>
          <w:sz w:val="32"/>
          <w:szCs w:val="32"/>
        </w:rPr>
      </w:pPr>
      <w:r>
        <w:rPr>
          <w:rFonts w:hint="eastAsia" w:ascii="黑体" w:hAnsi="黑体" w:eastAsia="黑体"/>
          <w:sz w:val="32"/>
          <w:szCs w:val="32"/>
        </w:rPr>
        <w:t>一、</w:t>
      </w:r>
      <w:r>
        <w:rPr>
          <w:rFonts w:hint="eastAsia" w:ascii="仿宋_GB2312" w:hAnsi="黑体" w:eastAsia="仿宋_GB2312"/>
          <w:sz w:val="32"/>
          <w:szCs w:val="32"/>
        </w:rPr>
        <w:t>绩效评价自评报告由部门（单位）评价组填写，所有内容必须客观、真实、准确。</w:t>
      </w:r>
    </w:p>
    <w:p>
      <w:pPr>
        <w:spacing w:line="620" w:lineRule="exact"/>
        <w:ind w:firstLine="634" w:firstLineChars="200"/>
        <w:rPr>
          <w:rFonts w:ascii="黑体" w:hAnsi="黑体" w:eastAsia="黑体"/>
          <w:sz w:val="32"/>
          <w:szCs w:val="32"/>
        </w:rPr>
      </w:pPr>
      <w:r>
        <w:rPr>
          <w:rFonts w:hint="eastAsia" w:ascii="黑体" w:hAnsi="黑体" w:eastAsia="黑体"/>
          <w:sz w:val="32"/>
          <w:szCs w:val="32"/>
        </w:rPr>
        <w:t>二、封面填写</w:t>
      </w:r>
    </w:p>
    <w:p>
      <w:pPr>
        <w:pStyle w:val="2"/>
        <w:snapToGrid w:val="0"/>
        <w:spacing w:line="620" w:lineRule="exact"/>
        <w:ind w:firstLine="635"/>
        <w:rPr>
          <w:color w:val="000000"/>
          <w:szCs w:val="32"/>
        </w:rPr>
      </w:pPr>
      <w:r>
        <w:rPr>
          <w:rFonts w:hint="eastAsia" w:cs="楷体_GB2312"/>
          <w:b/>
          <w:szCs w:val="32"/>
        </w:rPr>
        <w:t>1、</w:t>
      </w:r>
      <w:r>
        <w:rPr>
          <w:rFonts w:hint="eastAsia" w:cs="楷体_GB2312"/>
          <w:b/>
          <w:color w:val="000000"/>
          <w:szCs w:val="32"/>
        </w:rPr>
        <w:t>年度：</w:t>
      </w:r>
      <w:r>
        <w:rPr>
          <w:rFonts w:hint="eastAsia"/>
          <w:kern w:val="0"/>
          <w:szCs w:val="32"/>
        </w:rPr>
        <w:t>填写被评价的部门整体支出所属的年份。</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cs="楷体_GB2312"/>
          <w:b/>
          <w:sz w:val="32"/>
          <w:szCs w:val="32"/>
        </w:rPr>
        <w:t>2、部门名称：</w:t>
      </w:r>
      <w:r>
        <w:rPr>
          <w:rFonts w:hint="eastAsia" w:ascii="仿宋_GB2312" w:eastAsia="仿宋_GB2312"/>
          <w:kern w:val="0"/>
          <w:sz w:val="32"/>
          <w:szCs w:val="32"/>
        </w:rPr>
        <w:t>按照规范</w:t>
      </w:r>
      <w:r>
        <w:rPr>
          <w:rFonts w:hint="eastAsia" w:ascii="仿宋_GB2312" w:eastAsia="仿宋_GB2312"/>
          <w:sz w:val="32"/>
          <w:szCs w:val="32"/>
        </w:rPr>
        <w:t>填写预算部门（单位）全称。</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cs="楷体_GB2312"/>
          <w:b/>
          <w:sz w:val="32"/>
          <w:szCs w:val="32"/>
        </w:rPr>
        <w:t>3、预算编码：</w:t>
      </w:r>
      <w:r>
        <w:rPr>
          <w:rFonts w:hint="eastAsia" w:ascii="仿宋_GB2312" w:eastAsia="仿宋_GB2312"/>
          <w:bCs/>
          <w:sz w:val="32"/>
          <w:szCs w:val="32"/>
        </w:rPr>
        <w:t>按照规范填写单位财政预算编码。</w:t>
      </w:r>
    </w:p>
    <w:p>
      <w:pPr>
        <w:adjustRightInd w:val="0"/>
        <w:snapToGrid w:val="0"/>
        <w:spacing w:line="620" w:lineRule="exact"/>
        <w:ind w:firstLine="634" w:firstLineChars="200"/>
        <w:rPr>
          <w:rFonts w:eastAsia="黑体" w:cs="黑体"/>
          <w:bCs/>
          <w:sz w:val="32"/>
          <w:szCs w:val="32"/>
        </w:rPr>
      </w:pPr>
      <w:r>
        <w:rPr>
          <w:rFonts w:hint="eastAsia" w:eastAsia="黑体" w:cs="黑体"/>
          <w:bCs/>
          <w:sz w:val="32"/>
          <w:szCs w:val="32"/>
        </w:rPr>
        <w:t>三、绩效评价自评报告表格内容填写</w:t>
      </w:r>
    </w:p>
    <w:p>
      <w:pPr>
        <w:adjustRightInd w:val="0"/>
        <w:snapToGrid w:val="0"/>
        <w:spacing w:line="620" w:lineRule="exact"/>
        <w:ind w:firstLine="634" w:firstLineChars="200"/>
        <w:rPr>
          <w:rFonts w:ascii="仿宋_GB2312" w:eastAsia="仿宋_GB2312"/>
          <w:bCs/>
          <w:sz w:val="32"/>
          <w:szCs w:val="32"/>
        </w:rPr>
      </w:pPr>
      <w:r>
        <w:rPr>
          <w:rStyle w:val="11"/>
          <w:rFonts w:hint="eastAsia" w:ascii="仿宋_GB2312" w:eastAsia="仿宋_GB2312"/>
          <w:szCs w:val="32"/>
        </w:rPr>
        <w:t>1、人员编制：</w:t>
      </w:r>
      <w:r>
        <w:rPr>
          <w:rFonts w:hint="eastAsia" w:ascii="仿宋_GB2312" w:eastAsia="仿宋_GB2312"/>
          <w:bCs/>
          <w:sz w:val="32"/>
          <w:szCs w:val="32"/>
        </w:rPr>
        <w:t>填列截至被评价年度12月底三定方案规定的人员编制数。</w:t>
      </w:r>
    </w:p>
    <w:p>
      <w:pPr>
        <w:adjustRightInd w:val="0"/>
        <w:snapToGrid w:val="0"/>
        <w:spacing w:line="620" w:lineRule="exact"/>
        <w:ind w:firstLine="634" w:firstLineChars="200"/>
        <w:rPr>
          <w:rFonts w:ascii="仿宋_GB2312" w:eastAsia="仿宋_GB2312"/>
          <w:bCs/>
          <w:sz w:val="32"/>
          <w:szCs w:val="32"/>
        </w:rPr>
      </w:pPr>
      <w:r>
        <w:rPr>
          <w:rStyle w:val="11"/>
          <w:rFonts w:hint="eastAsia" w:ascii="仿宋_GB2312" w:eastAsia="仿宋_GB2312"/>
          <w:szCs w:val="32"/>
        </w:rPr>
        <w:t>2、实有人数：</w:t>
      </w:r>
      <w:r>
        <w:rPr>
          <w:rStyle w:val="11"/>
          <w:rFonts w:hint="eastAsia" w:ascii="仿宋_GB2312" w:hAnsi="仿宋_GB2312" w:eastAsia="仿宋_GB2312" w:cs="仿宋_GB2312"/>
          <w:b w:val="0"/>
          <w:bCs/>
          <w:szCs w:val="32"/>
        </w:rPr>
        <w:t>填列</w:t>
      </w:r>
      <w:r>
        <w:rPr>
          <w:rFonts w:hint="eastAsia" w:ascii="仿宋_GB2312" w:eastAsia="仿宋_GB2312"/>
          <w:bCs/>
          <w:sz w:val="32"/>
          <w:szCs w:val="32"/>
        </w:rPr>
        <w:t>截至被评价年度12月底的实有人数</w:t>
      </w:r>
      <w:r>
        <w:rPr>
          <w:rFonts w:hint="eastAsia" w:ascii="仿宋_GB2312" w:hAnsi="仿宋_GB2312" w:eastAsia="仿宋_GB2312" w:cs="仿宋_GB2312"/>
          <w:bCs/>
          <w:sz w:val="32"/>
          <w:szCs w:val="32"/>
        </w:rPr>
        <w:t>。</w:t>
      </w:r>
    </w:p>
    <w:p>
      <w:pPr>
        <w:snapToGrid w:val="0"/>
        <w:spacing w:line="620" w:lineRule="exact"/>
        <w:ind w:firstLine="634" w:firstLineChars="200"/>
        <w:rPr>
          <w:rFonts w:ascii="仿宋_GB2312" w:eastAsia="仿宋_GB2312"/>
          <w:sz w:val="32"/>
          <w:szCs w:val="32"/>
        </w:rPr>
      </w:pPr>
      <w:r>
        <w:rPr>
          <w:rStyle w:val="11"/>
          <w:rFonts w:hint="eastAsia" w:ascii="仿宋_GB2312" w:eastAsia="仿宋_GB2312"/>
          <w:szCs w:val="32"/>
        </w:rPr>
        <w:t>3、部门职能职责概述：</w:t>
      </w:r>
      <w:r>
        <w:rPr>
          <w:rFonts w:hint="eastAsia" w:ascii="仿宋_GB2312" w:hAnsi="仿宋_GB2312" w:eastAsia="仿宋_GB2312" w:cs="仿宋_GB2312"/>
          <w:color w:val="000000"/>
          <w:sz w:val="32"/>
          <w:szCs w:val="32"/>
          <w:shd w:val="clear" w:color="auto" w:fill="FFFFFF"/>
        </w:rPr>
        <w:t>根据人事部门（单位）核定的部门（单位）职责和本部门（单位）工作计划，对部门（单位）业务工作的基本情况进行简要描述，可以包括部门（单位）主要业务介绍、工作目标等内容。</w:t>
      </w:r>
    </w:p>
    <w:p>
      <w:pPr>
        <w:snapToGrid w:val="0"/>
        <w:spacing w:line="620" w:lineRule="exact"/>
        <w:ind w:firstLine="634" w:firstLineChars="200"/>
        <w:rPr>
          <w:rFonts w:ascii="仿宋_GB2312" w:eastAsia="仿宋_GB2312"/>
          <w:sz w:val="32"/>
          <w:szCs w:val="32"/>
        </w:rPr>
      </w:pPr>
      <w:r>
        <w:rPr>
          <w:rStyle w:val="11"/>
          <w:rFonts w:hint="eastAsia" w:ascii="仿宋_GB2312" w:eastAsia="仿宋_GB2312"/>
          <w:szCs w:val="32"/>
        </w:rPr>
        <w:t>4、年度主要工作内容：</w:t>
      </w:r>
      <w:r>
        <w:rPr>
          <w:rFonts w:hint="eastAsia" w:ascii="仿宋_GB2312" w:eastAsia="仿宋_GB2312"/>
          <w:sz w:val="32"/>
          <w:szCs w:val="32"/>
        </w:rPr>
        <w:t>分任务明细填报年度主要工作内容，如各子任务名称、内容及用途、金额及计划实施时间等。</w:t>
      </w:r>
    </w:p>
    <w:p>
      <w:pPr>
        <w:adjustRightInd w:val="0"/>
        <w:snapToGrid w:val="0"/>
        <w:spacing w:line="620" w:lineRule="exact"/>
        <w:ind w:firstLine="634" w:firstLineChars="200"/>
        <w:rPr>
          <w:rStyle w:val="11"/>
          <w:rFonts w:ascii="仿宋_GB2312" w:hAnsi="仿宋_GB2312" w:eastAsia="仿宋_GB2312" w:cs="仿宋_GB2312"/>
          <w:b w:val="0"/>
          <w:bCs/>
          <w:szCs w:val="32"/>
        </w:rPr>
      </w:pPr>
      <w:r>
        <w:rPr>
          <w:rStyle w:val="11"/>
          <w:rFonts w:hint="eastAsia" w:ascii="仿宋_GB2312" w:eastAsia="仿宋_GB2312"/>
          <w:szCs w:val="32"/>
        </w:rPr>
        <w:t>5、年度部门（单位）总体运行情况及取得的成绩：</w:t>
      </w:r>
      <w:r>
        <w:rPr>
          <w:rStyle w:val="11"/>
          <w:rFonts w:hint="eastAsia" w:ascii="仿宋_GB2312" w:hAnsi="仿宋_GB2312" w:eastAsia="仿宋_GB2312" w:cs="仿宋_GB2312"/>
          <w:b w:val="0"/>
          <w:bCs/>
          <w:szCs w:val="32"/>
        </w:rPr>
        <w:t>简述被评价年度本部门（单位）的总体运行情况，罗列取得的成绩。</w:t>
      </w:r>
    </w:p>
    <w:p>
      <w:pPr>
        <w:adjustRightInd w:val="0"/>
        <w:snapToGrid w:val="0"/>
        <w:spacing w:line="620" w:lineRule="exact"/>
        <w:ind w:firstLine="634" w:firstLineChars="200"/>
        <w:rPr>
          <w:rStyle w:val="11"/>
          <w:rFonts w:ascii="仿宋_GB2312" w:eastAsia="仿宋_GB2312"/>
          <w:szCs w:val="32"/>
        </w:rPr>
      </w:pPr>
      <w:r>
        <w:rPr>
          <w:rStyle w:val="11"/>
          <w:rFonts w:hint="eastAsia" w:ascii="仿宋_GB2312" w:eastAsia="仿宋_GB2312"/>
          <w:szCs w:val="32"/>
        </w:rPr>
        <w:t>6、部门（单位）收支情况：</w:t>
      </w:r>
      <w:r>
        <w:rPr>
          <w:rStyle w:val="11"/>
          <w:rFonts w:hint="eastAsia" w:ascii="仿宋_GB2312" w:hAnsi="仿宋_GB2312" w:eastAsia="仿宋_GB2312" w:cs="仿宋_GB2312"/>
          <w:b w:val="0"/>
          <w:bCs/>
          <w:szCs w:val="32"/>
        </w:rPr>
        <w:t>详细列出被评价年度本部门（单位）的收支明细，需包含二级机构的收支内容。</w:t>
      </w:r>
    </w:p>
    <w:p>
      <w:pPr>
        <w:adjustRightInd w:val="0"/>
        <w:snapToGrid w:val="0"/>
        <w:spacing w:line="620" w:lineRule="exact"/>
        <w:ind w:firstLine="634" w:firstLineChars="200"/>
        <w:rPr>
          <w:rStyle w:val="11"/>
          <w:rFonts w:ascii="仿宋_GB2312" w:eastAsia="仿宋_GB2312"/>
          <w:szCs w:val="32"/>
        </w:rPr>
      </w:pPr>
      <w:r>
        <w:rPr>
          <w:rStyle w:val="11"/>
          <w:rFonts w:hint="eastAsia" w:ascii="仿宋_GB2312" w:eastAsia="仿宋_GB2312"/>
          <w:szCs w:val="32"/>
        </w:rPr>
        <w:t>7、部门（单位）整体支出绩效定性目标及实施计划完成情况：</w:t>
      </w:r>
      <w:r>
        <w:rPr>
          <w:rStyle w:val="11"/>
          <w:rFonts w:hint="eastAsia" w:ascii="仿宋_GB2312" w:hAnsi="仿宋_GB2312" w:eastAsia="仿宋_GB2312" w:cs="仿宋_GB2312"/>
          <w:b w:val="0"/>
          <w:bCs/>
          <w:szCs w:val="32"/>
        </w:rPr>
        <w:t>“</w:t>
      </w:r>
      <w:r>
        <w:rPr>
          <w:rFonts w:hint="eastAsia" w:ascii="仿宋_GB2312" w:hAnsi="仿宋_GB2312" w:eastAsia="仿宋_GB2312" w:cs="仿宋_GB2312"/>
          <w:bCs/>
          <w:sz w:val="32"/>
          <w:szCs w:val="32"/>
        </w:rPr>
        <w:t>预期</w:t>
      </w:r>
      <w:r>
        <w:rPr>
          <w:rFonts w:hint="eastAsia" w:ascii="仿宋_GB2312" w:eastAsia="仿宋_GB2312"/>
          <w:sz w:val="32"/>
          <w:szCs w:val="32"/>
        </w:rPr>
        <w:t>目标”栏按被评价年度申报的部门整体支出预算绩效目标申报表的有关内容直接填写，如年初没有申报绩效目标，可参考本部门（单位）年度工作计划。“实际完成”栏，则按照主要填写绩效目标及实施计划的实际完成情况，应与“预期目标”栏相关内容逐条对应。</w:t>
      </w:r>
    </w:p>
    <w:p>
      <w:pPr>
        <w:adjustRightInd w:val="0"/>
        <w:snapToGrid w:val="0"/>
        <w:spacing w:line="620" w:lineRule="exact"/>
        <w:ind w:firstLine="634" w:firstLineChars="200"/>
        <w:rPr>
          <w:rStyle w:val="11"/>
          <w:rFonts w:ascii="仿宋_GB2312" w:eastAsia="仿宋_GB2312"/>
          <w:szCs w:val="32"/>
        </w:rPr>
      </w:pPr>
      <w:r>
        <w:rPr>
          <w:rStyle w:val="11"/>
          <w:rFonts w:hint="eastAsia" w:ascii="仿宋_GB2312" w:eastAsia="仿宋_GB2312"/>
          <w:szCs w:val="32"/>
        </w:rPr>
        <w:t>8、部门整体支出绩效定量目标及实施计划完成情况：</w:t>
      </w:r>
      <w:r>
        <w:rPr>
          <w:rStyle w:val="11"/>
          <w:rFonts w:hint="eastAsia" w:ascii="仿宋_GB2312" w:eastAsia="仿宋_GB2312" w:cs="仿宋_GB2312"/>
          <w:b w:val="0"/>
          <w:bCs/>
          <w:szCs w:val="32"/>
        </w:rPr>
        <w:t>对部门整体支出绩效目标进行细化和量化。本部分内容与附件3《部门整体支出绩效评价指标体系（参考样表）》中的“产出”指标和“效果”指标相对应，如修改调整了该指标体系，应相应修改本部分指标内容。“实际完成值”栏主要填写项目指标的实际完成情况，应与“指标内容”、“指标（目标）值”栏相关内容逐条对应。</w:t>
      </w:r>
    </w:p>
    <w:p>
      <w:pPr>
        <w:adjustRightInd w:val="0"/>
        <w:snapToGrid w:val="0"/>
        <w:spacing w:line="620" w:lineRule="exact"/>
        <w:ind w:firstLine="634" w:firstLineChars="200"/>
        <w:rPr>
          <w:rFonts w:ascii="仿宋_GB2312" w:eastAsia="仿宋_GB2312" w:cs="仿宋_GB2312"/>
          <w:bCs/>
          <w:sz w:val="32"/>
          <w:szCs w:val="32"/>
        </w:rPr>
      </w:pPr>
      <w:r>
        <w:rPr>
          <w:rStyle w:val="11"/>
          <w:rFonts w:hint="eastAsia" w:ascii="仿宋_GB2312" w:eastAsia="仿宋_GB2312"/>
          <w:szCs w:val="32"/>
        </w:rPr>
        <w:t>9、绩效自评综合得分：</w:t>
      </w:r>
      <w:r>
        <w:rPr>
          <w:rStyle w:val="11"/>
          <w:rFonts w:hint="eastAsia" w:ascii="仿宋_GB2312" w:eastAsia="仿宋_GB2312" w:cs="仿宋_GB2312"/>
          <w:b w:val="0"/>
          <w:bCs/>
          <w:szCs w:val="32"/>
        </w:rPr>
        <w:t>对照</w:t>
      </w:r>
      <w:r>
        <w:rPr>
          <w:rFonts w:hint="eastAsia" w:ascii="仿宋_GB2312" w:eastAsia="仿宋_GB2312" w:cs="仿宋_GB2312"/>
          <w:bCs/>
          <w:sz w:val="32"/>
          <w:szCs w:val="32"/>
        </w:rPr>
        <w:t>附件3《部门整体支出绩效评价指标体系（参考样表）》打分后填写《部门整体支出绩效评价评分表》，按照最后综合得分填写“绩效自评综合得分”栏。</w:t>
      </w:r>
    </w:p>
    <w:p>
      <w:pPr>
        <w:adjustRightInd w:val="0"/>
        <w:snapToGrid w:val="0"/>
        <w:spacing w:line="620" w:lineRule="exact"/>
        <w:ind w:firstLine="634" w:firstLineChars="200"/>
        <w:rPr>
          <w:rFonts w:ascii="仿宋_GB2312" w:eastAsia="仿宋_GB2312"/>
          <w:bCs/>
          <w:sz w:val="32"/>
          <w:szCs w:val="32"/>
        </w:rPr>
      </w:pPr>
      <w:r>
        <w:rPr>
          <w:rStyle w:val="11"/>
          <w:rFonts w:hint="eastAsia" w:ascii="仿宋_GB2312" w:eastAsia="仿宋_GB2312"/>
          <w:szCs w:val="32"/>
        </w:rPr>
        <w:t>10、评价等次：</w:t>
      </w:r>
      <w:r>
        <w:rPr>
          <w:rFonts w:hint="eastAsia" w:ascii="仿宋_GB2312" w:eastAsia="仿宋_GB2312"/>
          <w:bCs/>
          <w:sz w:val="32"/>
          <w:szCs w:val="32"/>
        </w:rPr>
        <w:t>按照综合得分（S）的分值填写相应的评价等次。评价等次分为优秀（S≥90）、良好（90＞S≥80）、合格（80＞S≥70）、不合格（S＜70）4个评价等次。</w:t>
      </w:r>
    </w:p>
    <w:p>
      <w:pPr>
        <w:adjustRightInd w:val="0"/>
        <w:snapToGrid w:val="0"/>
        <w:spacing w:line="620" w:lineRule="exact"/>
        <w:ind w:firstLine="634" w:firstLineChars="200"/>
        <w:rPr>
          <w:rFonts w:ascii="仿宋_GB2312" w:eastAsia="仿宋_GB2312"/>
          <w:bCs/>
          <w:sz w:val="32"/>
          <w:szCs w:val="32"/>
        </w:rPr>
      </w:pPr>
      <w:r>
        <w:rPr>
          <w:rStyle w:val="11"/>
          <w:rFonts w:hint="eastAsia" w:ascii="仿宋_GB2312" w:eastAsia="仿宋_GB2312"/>
          <w:szCs w:val="32"/>
        </w:rPr>
        <w:t>11、评价人员：</w:t>
      </w:r>
      <w:r>
        <w:rPr>
          <w:rFonts w:hint="eastAsia" w:ascii="仿宋_GB2312" w:eastAsia="仿宋_GB2312"/>
          <w:bCs/>
          <w:sz w:val="32"/>
          <w:szCs w:val="32"/>
        </w:rPr>
        <w:t>填写参与部门（单位）整体支出绩效评价的绩效评价工作小组成员名单，并由本人签字。</w:t>
      </w:r>
    </w:p>
    <w:p>
      <w:pPr>
        <w:adjustRightInd w:val="0"/>
        <w:snapToGrid w:val="0"/>
        <w:spacing w:line="620" w:lineRule="exact"/>
        <w:ind w:firstLine="634" w:firstLineChars="200"/>
        <w:rPr>
          <w:rFonts w:ascii="仿宋_GB2312" w:eastAsia="仿宋_GB2312"/>
          <w:bCs/>
          <w:sz w:val="32"/>
          <w:szCs w:val="32"/>
        </w:rPr>
      </w:pPr>
      <w:r>
        <w:rPr>
          <w:rStyle w:val="11"/>
          <w:rFonts w:hint="eastAsia" w:ascii="仿宋_GB2312" w:eastAsia="仿宋_GB2312"/>
          <w:szCs w:val="32"/>
        </w:rPr>
        <w:t>12、部门（单位）意见：</w:t>
      </w:r>
      <w:r>
        <w:rPr>
          <w:rFonts w:hint="eastAsia" w:ascii="仿宋_GB2312" w:eastAsia="仿宋_GB2312"/>
          <w:bCs/>
          <w:sz w:val="32"/>
          <w:szCs w:val="32"/>
        </w:rPr>
        <w:t>被评价部门（单位）签署意见，由部门（单位）负责人签字后加盖行政公章。</w:t>
      </w:r>
    </w:p>
    <w:p>
      <w:pPr>
        <w:spacing w:line="620" w:lineRule="exact"/>
        <w:ind w:firstLine="634" w:firstLineChars="200"/>
        <w:rPr>
          <w:rFonts w:ascii="黑体" w:hAnsi="黑体" w:eastAsia="黑体"/>
          <w:sz w:val="32"/>
          <w:szCs w:val="32"/>
        </w:rPr>
      </w:pPr>
      <w:r>
        <w:rPr>
          <w:rFonts w:hint="eastAsia" w:ascii="黑体" w:hAnsi="黑体" w:eastAsia="黑体"/>
          <w:sz w:val="32"/>
          <w:szCs w:val="32"/>
        </w:rPr>
        <w:t>四、自评报告综述（文字部分）</w:t>
      </w:r>
    </w:p>
    <w:p>
      <w:pPr>
        <w:adjustRightInd w:val="0"/>
        <w:snapToGrid w:val="0"/>
        <w:spacing w:line="620" w:lineRule="exact"/>
        <w:ind w:firstLine="634" w:firstLineChars="200"/>
        <w:rPr>
          <w:rFonts w:eastAsia="仿宋_GB2312"/>
          <w:bCs/>
          <w:sz w:val="32"/>
          <w:szCs w:val="32"/>
        </w:rPr>
      </w:pPr>
      <w:r>
        <w:rPr>
          <w:rFonts w:hint="eastAsia" w:eastAsia="仿宋_GB2312"/>
          <w:bCs/>
          <w:sz w:val="32"/>
          <w:szCs w:val="32"/>
        </w:rPr>
        <w:t>评价组应根据下列提纲对各项内容进行详细说明：</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（一）部门（单位）概况</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1、部门（单位）基本情况（包括部门（单位）的在职人员情况、机构设置、主要职能及重点工作计划等）。</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2、部门（单位）整体支出规模、使用方向和主要内容、涉及范围等。</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（二）部门（单位）整体支出管理及使用情况</w:t>
      </w:r>
    </w:p>
    <w:p>
      <w:pPr>
        <w:adjustRightInd w:val="0"/>
        <w:snapToGrid w:val="0"/>
        <w:spacing w:line="620" w:lineRule="exact"/>
        <w:ind w:firstLine="634" w:firstLineChars="200"/>
        <w:rPr>
          <w:rFonts w:ascii="仿宋_GB2312" w:eastAsia="仿宋_GB2312"/>
          <w:b/>
          <w:bCs/>
          <w:sz w:val="32"/>
          <w:szCs w:val="32"/>
        </w:rPr>
      </w:pPr>
      <w:r>
        <w:rPr>
          <w:rFonts w:hint="eastAsia" w:ascii="仿宋_GB2312" w:eastAsia="仿宋_GB2312"/>
          <w:b/>
          <w:bCs/>
          <w:sz w:val="32"/>
          <w:szCs w:val="32"/>
        </w:rPr>
        <w:t>1、基本支出</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介绍基本支出的主要用途、范围以及资金的管理情况，尤其是“三公”经费的使用和管理情况。</w:t>
      </w:r>
    </w:p>
    <w:p>
      <w:pPr>
        <w:adjustRightInd w:val="0"/>
        <w:snapToGrid w:val="0"/>
        <w:spacing w:line="620" w:lineRule="exact"/>
        <w:ind w:firstLine="634" w:firstLineChars="200"/>
        <w:rPr>
          <w:rFonts w:ascii="仿宋_GB2312" w:eastAsia="仿宋_GB2312"/>
          <w:b/>
          <w:bCs/>
          <w:sz w:val="32"/>
          <w:szCs w:val="32"/>
        </w:rPr>
      </w:pPr>
      <w:r>
        <w:rPr>
          <w:rFonts w:hint="eastAsia" w:ascii="仿宋_GB2312" w:eastAsia="仿宋_GB2312"/>
          <w:b/>
          <w:bCs/>
          <w:sz w:val="32"/>
          <w:szCs w:val="32"/>
        </w:rPr>
        <w:t>2、专项支出</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（1）专项资金（包括财政资金、自筹资金等）安排落实、总投入等情况分析。</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（2）专项资金（主要指财政资金）实际使用情况分析。</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（3）专项资金管理情况分析，主要包括管理制度、办法的制订及执行情况。</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（三）部门（单位）专项组织实施情况</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1、专项组织情况分析，主要包括项目招投标、调整、竣工验收等情况。</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2、专项管理情况分析，主要包括项目管理制度建设、日常检查监督管理等情况。</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（四）部门（单位）整体支出绩效情况</w:t>
      </w:r>
    </w:p>
    <w:p>
      <w:pPr>
        <w:adjustRightInd w:val="0"/>
        <w:snapToGrid w:val="0"/>
        <w:spacing w:line="620" w:lineRule="exact"/>
        <w:ind w:firstLine="634" w:firstLineChars="200"/>
        <w:rPr>
          <w:rFonts w:eastAsia="仿宋_GB2312"/>
          <w:bCs/>
          <w:sz w:val="32"/>
          <w:szCs w:val="32"/>
        </w:rPr>
      </w:pPr>
      <w:r>
        <w:rPr>
          <w:rFonts w:hint="eastAsia" w:eastAsia="仿宋_GB2312"/>
          <w:bCs/>
          <w:sz w:val="32"/>
          <w:szCs w:val="32"/>
        </w:rPr>
        <w:t>反映部门（单位）履职及履职效益情况。主要从部门（单位）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单位）整体支出使用效果的个性指标进行分析；可持续性分析主要是对支出完成后，后续政策、资金、人员机构安排和管理措施等影响项目持续发展的因素进行分析。</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（五）存在的主要问题</w:t>
      </w:r>
    </w:p>
    <w:p>
      <w:pPr>
        <w:adjustRightInd w:val="0"/>
        <w:snapToGrid w:val="0"/>
        <w:spacing w:line="620" w:lineRule="exact"/>
        <w:ind w:firstLine="634" w:firstLineChars="200"/>
        <w:rPr>
          <w:rFonts w:eastAsia="仿宋_GB2312"/>
          <w:bCs/>
          <w:sz w:val="32"/>
          <w:szCs w:val="32"/>
        </w:rPr>
      </w:pPr>
      <w:r>
        <w:rPr>
          <w:rFonts w:hint="eastAsia" w:eastAsia="仿宋_GB2312"/>
          <w:bCs/>
          <w:sz w:val="32"/>
          <w:szCs w:val="32"/>
        </w:rPr>
        <w:t>主要阐述资金安排、使用过程中存在的问题</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（六）改进措施和有关建议</w:t>
      </w:r>
    </w:p>
    <w:p>
      <w:pPr>
        <w:spacing w:line="620" w:lineRule="exact"/>
        <w:ind w:firstLine="634" w:firstLineChars="200"/>
        <w:rPr>
          <w:rFonts w:eastAsia="仿宋_GB2312"/>
          <w:bCs/>
          <w:sz w:val="32"/>
          <w:szCs w:val="32"/>
        </w:rPr>
      </w:pPr>
      <w:r>
        <w:rPr>
          <w:rFonts w:hint="eastAsia" w:eastAsia="仿宋_GB2312"/>
          <w:bCs/>
          <w:sz w:val="32"/>
          <w:szCs w:val="32"/>
        </w:rPr>
        <w:t>对存在的问题提出切实可行的改进措施和有关建议等。</w:t>
      </w:r>
    </w:p>
    <w:p>
      <w:pPr>
        <w:spacing w:line="620" w:lineRule="exact"/>
        <w:rPr>
          <w:rFonts w:eastAsia="仿宋_GB2312"/>
          <w:bCs/>
          <w:sz w:val="32"/>
          <w:szCs w:val="32"/>
        </w:rPr>
      </w:pPr>
    </w:p>
    <w:p>
      <w:pPr>
        <w:spacing w:line="620" w:lineRule="exact"/>
        <w:rPr>
          <w:rFonts w:ascii="黑体" w:hAnsi="黑体" w:eastAsia="黑体" w:cs="黑体"/>
          <w:bCs/>
          <w:sz w:val="32"/>
          <w:szCs w:val="32"/>
        </w:rPr>
      </w:pPr>
    </w:p>
    <w:p>
      <w:pPr>
        <w:spacing w:line="620" w:lineRule="exact"/>
        <w:rPr>
          <w:rFonts w:ascii="黑体" w:hAnsi="黑体" w:eastAsia="黑体"/>
          <w:bCs/>
          <w:sz w:val="32"/>
          <w:szCs w:val="32"/>
        </w:rPr>
      </w:pPr>
      <w:r>
        <w:rPr>
          <w:rFonts w:ascii="黑体" w:hAnsi="黑体" w:eastAsia="黑体" w:cs="黑体"/>
          <w:bCs/>
          <w:sz w:val="32"/>
          <w:szCs w:val="32"/>
        </w:rPr>
        <w:br w:type="page"/>
      </w:r>
      <w:r>
        <w:rPr>
          <w:rFonts w:hint="eastAsia" w:ascii="黑体" w:hAnsi="黑体" w:eastAsia="黑体" w:cs="黑体"/>
          <w:bCs/>
          <w:sz w:val="32"/>
          <w:szCs w:val="32"/>
        </w:rPr>
        <w:t>附件1-2</w:t>
      </w:r>
    </w:p>
    <w:p>
      <w:pPr>
        <w:snapToGrid w:val="0"/>
        <w:spacing w:line="620" w:lineRule="exact"/>
        <w:jc w:val="center"/>
        <w:rPr>
          <w:rFonts w:eastAsia="方正小标宋简体" w:cs="方正小标宋简体"/>
          <w:bCs/>
          <w:sz w:val="44"/>
          <w:szCs w:val="44"/>
        </w:rPr>
      </w:pPr>
    </w:p>
    <w:p>
      <w:pPr>
        <w:snapToGrid w:val="0"/>
        <w:spacing w:line="620" w:lineRule="exact"/>
        <w:jc w:val="center"/>
        <w:rPr>
          <w:rFonts w:eastAsia="方正小标宋简体" w:cs="方正小标宋简体"/>
          <w:bCs/>
          <w:sz w:val="44"/>
          <w:szCs w:val="44"/>
        </w:rPr>
      </w:pPr>
      <w:r>
        <w:rPr>
          <w:rFonts w:hint="eastAsia" w:eastAsia="方正小标宋简体" w:cs="方正小标宋简体"/>
          <w:bCs/>
          <w:sz w:val="44"/>
          <w:szCs w:val="44"/>
        </w:rPr>
        <w:t>岳阳市财政支出绩效评价自评报告</w:t>
      </w:r>
    </w:p>
    <w:p>
      <w:pPr>
        <w:snapToGrid w:val="0"/>
        <w:spacing w:line="620" w:lineRule="exact"/>
        <w:jc w:val="center"/>
        <w:rPr>
          <w:rFonts w:eastAsia="方正小标宋简体" w:cs="方正小标宋简体"/>
          <w:bCs/>
          <w:sz w:val="44"/>
          <w:szCs w:val="44"/>
        </w:rPr>
      </w:pPr>
      <w:r>
        <w:rPr>
          <w:rFonts w:hint="eastAsia" w:eastAsia="方正小标宋简体" w:cs="方正小标宋简体"/>
          <w:bCs/>
          <w:sz w:val="44"/>
          <w:szCs w:val="44"/>
        </w:rPr>
        <w:t>填 报 说 明</w:t>
      </w:r>
    </w:p>
    <w:p>
      <w:pPr>
        <w:spacing w:line="620" w:lineRule="exact"/>
        <w:rPr>
          <w:rFonts w:ascii="仿宋_GB2312" w:eastAsia="仿宋_GB2312"/>
          <w:sz w:val="32"/>
          <w:szCs w:val="32"/>
        </w:rPr>
      </w:pPr>
    </w:p>
    <w:p>
      <w:pPr>
        <w:spacing w:line="620" w:lineRule="exact"/>
        <w:ind w:firstLine="634" w:firstLineChars="200"/>
        <w:rPr>
          <w:rFonts w:ascii="仿宋_GB2312" w:hAnsi="黑体" w:eastAsia="仿宋_GB2312"/>
          <w:sz w:val="32"/>
          <w:szCs w:val="32"/>
        </w:rPr>
      </w:pPr>
      <w:r>
        <w:rPr>
          <w:rFonts w:hint="eastAsia" w:ascii="黑体" w:hAnsi="黑体" w:eastAsia="黑体"/>
          <w:sz w:val="32"/>
          <w:szCs w:val="32"/>
        </w:rPr>
        <w:t>一、</w:t>
      </w:r>
      <w:r>
        <w:rPr>
          <w:rFonts w:hint="eastAsia" w:ascii="仿宋_GB2312" w:hAnsi="黑体" w:eastAsia="仿宋_GB2312"/>
          <w:sz w:val="32"/>
          <w:szCs w:val="32"/>
        </w:rPr>
        <w:t>项目绩效评价自评报告由部门（单位）评价组填写，所有内容必须客观、真实、准确。</w:t>
      </w:r>
    </w:p>
    <w:p>
      <w:pPr>
        <w:spacing w:line="620" w:lineRule="exact"/>
        <w:ind w:firstLine="634" w:firstLineChars="200"/>
        <w:rPr>
          <w:rFonts w:ascii="黑体" w:hAnsi="黑体" w:eastAsia="黑体"/>
          <w:sz w:val="32"/>
          <w:szCs w:val="32"/>
        </w:rPr>
      </w:pPr>
      <w:r>
        <w:rPr>
          <w:rFonts w:hint="eastAsia" w:ascii="黑体" w:hAnsi="黑体" w:eastAsia="黑体"/>
          <w:sz w:val="32"/>
          <w:szCs w:val="32"/>
        </w:rPr>
        <w:t>二、封面填写</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1、评价类型：</w:t>
      </w:r>
      <w:r>
        <w:rPr>
          <w:rFonts w:hint="eastAsia" w:ascii="仿宋_GB2312" w:eastAsia="仿宋_GB2312"/>
          <w:sz w:val="32"/>
          <w:szCs w:val="32"/>
        </w:rPr>
        <w:t>分为“项目实施过程评价”和“ 项目完成结果评价”两类，在项目所属类型的方框内打“√”。属于项目实施过程评价的勾选“项目实施过程评价”；属于项目完成评价的勾选“项目完成结果评价”。</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2、项目名称：</w:t>
      </w:r>
      <w:r>
        <w:rPr>
          <w:rFonts w:hint="eastAsia" w:ascii="仿宋_GB2312" w:eastAsia="仿宋_GB2312"/>
          <w:sz w:val="32"/>
          <w:szCs w:val="32"/>
        </w:rPr>
        <w:t>须与项目预算批复文件一致。</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3、项目单位：</w:t>
      </w:r>
      <w:r>
        <w:rPr>
          <w:rFonts w:hint="eastAsia" w:ascii="仿宋_GB2312" w:eastAsia="仿宋_GB2312"/>
          <w:sz w:val="32"/>
          <w:szCs w:val="32"/>
        </w:rPr>
        <w:t>填写全称，不得省略。</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4、主管部门：</w:t>
      </w:r>
      <w:r>
        <w:rPr>
          <w:rFonts w:hint="eastAsia" w:ascii="仿宋_GB2312" w:eastAsia="仿宋_GB2312"/>
          <w:sz w:val="32"/>
          <w:szCs w:val="32"/>
        </w:rPr>
        <w:t>填写全称，不得省略。</w:t>
      </w:r>
    </w:p>
    <w:p>
      <w:pPr>
        <w:spacing w:line="620" w:lineRule="exact"/>
        <w:ind w:firstLine="634" w:firstLineChars="200"/>
        <w:rPr>
          <w:rFonts w:ascii="黑体" w:hAnsi="黑体" w:eastAsia="黑体"/>
          <w:sz w:val="32"/>
          <w:szCs w:val="32"/>
        </w:rPr>
      </w:pPr>
      <w:r>
        <w:rPr>
          <w:rFonts w:hint="eastAsia" w:ascii="黑体" w:hAnsi="黑体" w:eastAsia="黑体"/>
          <w:sz w:val="32"/>
          <w:szCs w:val="32"/>
        </w:rPr>
        <w:t>三、绩效评价自评报告表格内容填写</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1、项目负责人：</w:t>
      </w:r>
      <w:r>
        <w:rPr>
          <w:rFonts w:hint="eastAsia" w:ascii="仿宋_GB2312" w:eastAsia="仿宋_GB2312"/>
          <w:sz w:val="32"/>
          <w:szCs w:val="32"/>
        </w:rPr>
        <w:t>当项目负责人有多个时，项目负责人、联系电话、地址和邮编等栏目，可调整格式，逐个填写。</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2、项目起止时间：</w:t>
      </w:r>
      <w:r>
        <w:rPr>
          <w:rFonts w:hint="eastAsia" w:ascii="仿宋_GB2312" w:eastAsia="仿宋_GB2312"/>
          <w:sz w:val="32"/>
          <w:szCs w:val="32"/>
        </w:rPr>
        <w:t>按照项目预算批复至项目完工（预算执行结束）的实际时间填写。</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3、项目明细支出内容：</w:t>
      </w:r>
      <w:r>
        <w:rPr>
          <w:rFonts w:hint="eastAsia" w:ascii="仿宋_GB2312" w:eastAsia="仿宋_GB2312"/>
          <w:sz w:val="32"/>
          <w:szCs w:val="32"/>
        </w:rPr>
        <w:t>在项目支出总额内详细列出项目的具体支出内容和金额，并注明会计凭证号。有不同资金来源的支出请在“备注”栏注明；“支出内容”要按项目明细支出的具体事项填列，不按经济分类填列。</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4、项目绩效定性目标及实施计划完成情况：</w:t>
      </w:r>
      <w:r>
        <w:rPr>
          <w:rFonts w:hint="eastAsia" w:ascii="仿宋_GB2312" w:eastAsia="仿宋_GB2312"/>
          <w:sz w:val="32"/>
          <w:szCs w:val="32"/>
        </w:rPr>
        <w:t>“预期目标”栏按部门预算项目申报目标的有关内容直接填写，“实际完成”栏主要填写项目绩效目标及实施计划的实际完成情况，应与“预期目标”栏相关内容逐条对应。</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5、项目绩效定量目标（指标）及完成情况：</w:t>
      </w:r>
      <w:r>
        <w:rPr>
          <w:rFonts w:hint="eastAsia" w:ascii="仿宋_GB2312" w:eastAsia="仿宋_GB2312"/>
          <w:sz w:val="32"/>
          <w:szCs w:val="32"/>
        </w:rPr>
        <w:t>对项目绩效目标进行细化和量化，根据项目实际从表中所给参考的方面或其他方面，设定绩效指标，填写“指标内容”，要尽可能量化测算，设置</w:t>
      </w:r>
      <w:r>
        <w:rPr>
          <w:rFonts w:hint="eastAsia" w:ascii="仿宋_GB2312" w:eastAsia="仿宋_GB2312"/>
          <w:spacing w:val="-6"/>
          <w:sz w:val="32"/>
          <w:szCs w:val="32"/>
        </w:rPr>
        <w:t>“指标（目标）值”。“实际完成值”栏主要填写项目指标的实际完成情况，应与“指标内容”、“指标（目标）值”栏相关内容逐条对应。</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6、绩效自评综合得分：</w:t>
      </w:r>
      <w:r>
        <w:rPr>
          <w:rFonts w:hint="eastAsia" w:ascii="仿宋_GB2312" w:eastAsia="仿宋_GB2312"/>
          <w:sz w:val="32"/>
          <w:szCs w:val="32"/>
        </w:rPr>
        <w:t>对照附件3《项目支出绩效评价指标体系（参考样表）》打分，按照最后综合得分填写“绩效自评综合得分”栏。</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7、评价等次：</w:t>
      </w:r>
      <w:r>
        <w:rPr>
          <w:rFonts w:hint="eastAsia" w:ascii="仿宋_GB2312" w:eastAsia="仿宋_GB2312"/>
          <w:sz w:val="32"/>
          <w:szCs w:val="32"/>
        </w:rPr>
        <w:t>按照综合得分（S）的分值填写相应的评价等次。评价等次分为优秀（S≥90）、良好（90＞S≥80）、合格（80＞S≥70）、不合格（S＜70）4个评价等次。</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8、评价人员：</w:t>
      </w:r>
      <w:r>
        <w:rPr>
          <w:rFonts w:hint="eastAsia" w:ascii="仿宋_GB2312" w:eastAsia="仿宋_GB2312"/>
          <w:sz w:val="32"/>
          <w:szCs w:val="32"/>
        </w:rPr>
        <w:t>填写参与项目评价的绩效评价工作小组成员名单，并由评价组组长签字。</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9、项目单位意见：</w:t>
      </w:r>
      <w:r>
        <w:rPr>
          <w:rFonts w:hint="eastAsia" w:ascii="仿宋_GB2312" w:eastAsia="仿宋_GB2312"/>
          <w:sz w:val="32"/>
          <w:szCs w:val="32"/>
        </w:rPr>
        <w:t>项目实施单位签署意见，由单位负责人签字后加盖行政公章。</w:t>
      </w:r>
    </w:p>
    <w:p>
      <w:pPr>
        <w:spacing w:line="620" w:lineRule="exact"/>
        <w:ind w:firstLine="634" w:firstLineChars="200"/>
        <w:rPr>
          <w:rFonts w:ascii="仿宋_GB2312" w:eastAsia="仿宋_GB2312"/>
          <w:sz w:val="32"/>
          <w:szCs w:val="32"/>
        </w:rPr>
      </w:pPr>
      <w:r>
        <w:rPr>
          <w:rFonts w:hint="eastAsia" w:ascii="仿宋_GB2312" w:eastAsia="仿宋_GB2312"/>
          <w:b/>
          <w:sz w:val="32"/>
          <w:szCs w:val="32"/>
        </w:rPr>
        <w:t>10、主管部门意见：</w:t>
      </w:r>
      <w:r>
        <w:rPr>
          <w:rFonts w:hint="eastAsia" w:ascii="仿宋_GB2312" w:eastAsia="仿宋_GB2312"/>
          <w:sz w:val="32"/>
          <w:szCs w:val="32"/>
        </w:rPr>
        <w:t>主管部门签署意见，由主管部门负责人签字后加盖行政公章。</w:t>
      </w:r>
    </w:p>
    <w:p>
      <w:pPr>
        <w:spacing w:line="620" w:lineRule="exact"/>
        <w:ind w:firstLine="634" w:firstLineChars="200"/>
        <w:rPr>
          <w:rFonts w:ascii="黑体" w:hAnsi="黑体" w:eastAsia="黑体"/>
          <w:sz w:val="32"/>
          <w:szCs w:val="32"/>
        </w:rPr>
      </w:pPr>
      <w:r>
        <w:rPr>
          <w:rFonts w:hint="eastAsia" w:ascii="黑体" w:hAnsi="黑体" w:eastAsia="黑体"/>
          <w:sz w:val="32"/>
          <w:szCs w:val="32"/>
        </w:rPr>
        <w:t>四、自评报告综述（文字部分）</w:t>
      </w:r>
    </w:p>
    <w:p>
      <w:pPr>
        <w:spacing w:line="620" w:lineRule="exact"/>
        <w:ind w:firstLine="634" w:firstLineChars="200"/>
        <w:rPr>
          <w:rFonts w:ascii="仿宋_GB2312" w:eastAsia="仿宋_GB2312"/>
          <w:sz w:val="32"/>
          <w:szCs w:val="32"/>
        </w:rPr>
      </w:pPr>
      <w:r>
        <w:rPr>
          <w:rFonts w:hint="eastAsia" w:ascii="仿宋_GB2312" w:eastAsia="仿宋_GB2312"/>
          <w:sz w:val="32"/>
          <w:szCs w:val="32"/>
        </w:rPr>
        <w:t>评价组应根据下列提纲对各项内容进行详细说明：</w:t>
      </w:r>
    </w:p>
    <w:p>
      <w:pPr>
        <w:spacing w:line="620" w:lineRule="exact"/>
        <w:ind w:firstLine="634" w:firstLineChars="200"/>
        <w:rPr>
          <w:rFonts w:ascii="楷体_GB2312" w:hAnsi="楷体" w:eastAsia="楷体_GB2312"/>
          <w:b/>
          <w:sz w:val="32"/>
          <w:szCs w:val="32"/>
        </w:rPr>
      </w:pPr>
      <w:r>
        <w:rPr>
          <w:rFonts w:hint="eastAsia" w:ascii="楷体_GB2312" w:hAnsi="楷体" w:eastAsia="楷体_GB2312"/>
          <w:b/>
          <w:sz w:val="32"/>
          <w:szCs w:val="32"/>
        </w:rPr>
        <w:t>（一）项目概况</w:t>
      </w:r>
    </w:p>
    <w:p>
      <w:pPr>
        <w:spacing w:line="620" w:lineRule="exact"/>
        <w:ind w:firstLine="634" w:firstLineChars="200"/>
        <w:rPr>
          <w:rFonts w:ascii="仿宋_GB2312" w:eastAsia="仿宋_GB2312"/>
          <w:sz w:val="32"/>
          <w:szCs w:val="32"/>
        </w:rPr>
      </w:pPr>
      <w:r>
        <w:rPr>
          <w:rFonts w:hint="eastAsia" w:ascii="仿宋_GB2312" w:eastAsia="仿宋_GB2312"/>
          <w:sz w:val="32"/>
          <w:szCs w:val="32"/>
        </w:rPr>
        <w:t>1、项目单位基本情况。</w:t>
      </w:r>
    </w:p>
    <w:p>
      <w:pPr>
        <w:spacing w:line="620" w:lineRule="exact"/>
        <w:ind w:firstLine="634" w:firstLineChars="200"/>
        <w:rPr>
          <w:rFonts w:ascii="仿宋_GB2312" w:eastAsia="仿宋_GB2312"/>
          <w:sz w:val="32"/>
          <w:szCs w:val="32"/>
        </w:rPr>
      </w:pPr>
      <w:r>
        <w:rPr>
          <w:rFonts w:hint="eastAsia" w:ascii="仿宋_GB2312" w:eastAsia="仿宋_GB2312"/>
          <w:sz w:val="32"/>
          <w:szCs w:val="32"/>
        </w:rPr>
        <w:t>2、项目年度预算绩效目标、绩效指标设定情况，包括预期总目标及阶段性目标、项目基本性质、用途和主要内容、涉及范围。</w:t>
      </w:r>
    </w:p>
    <w:p>
      <w:pPr>
        <w:spacing w:line="620" w:lineRule="exact"/>
        <w:ind w:firstLine="634" w:firstLineChars="200"/>
        <w:rPr>
          <w:rFonts w:ascii="楷体_GB2312" w:hAnsi="楷体" w:eastAsia="楷体_GB2312"/>
          <w:b/>
          <w:sz w:val="32"/>
          <w:szCs w:val="32"/>
        </w:rPr>
      </w:pPr>
      <w:r>
        <w:rPr>
          <w:rFonts w:hint="eastAsia" w:ascii="楷体_GB2312" w:hAnsi="楷体" w:eastAsia="楷体_GB2312"/>
          <w:b/>
          <w:sz w:val="32"/>
          <w:szCs w:val="32"/>
        </w:rPr>
        <w:t>（二）项目资金使用及管理情况</w:t>
      </w:r>
    </w:p>
    <w:p>
      <w:pPr>
        <w:spacing w:line="620" w:lineRule="exact"/>
        <w:ind w:firstLine="634" w:firstLineChars="200"/>
        <w:rPr>
          <w:rFonts w:ascii="仿宋_GB2312" w:eastAsia="仿宋_GB2312"/>
          <w:sz w:val="32"/>
          <w:szCs w:val="32"/>
        </w:rPr>
      </w:pPr>
      <w:r>
        <w:rPr>
          <w:rFonts w:hint="eastAsia" w:ascii="仿宋_GB2312" w:eastAsia="仿宋_GB2312"/>
          <w:sz w:val="32"/>
          <w:szCs w:val="32"/>
        </w:rPr>
        <w:t>1、项目资金（包括财政资金、自筹资金等）安排落实、总投入等情况分析。</w:t>
      </w:r>
    </w:p>
    <w:p>
      <w:pPr>
        <w:spacing w:line="620" w:lineRule="exact"/>
        <w:ind w:firstLine="634" w:firstLineChars="200"/>
        <w:rPr>
          <w:rFonts w:ascii="仿宋_GB2312" w:eastAsia="仿宋_GB2312"/>
          <w:sz w:val="32"/>
          <w:szCs w:val="32"/>
        </w:rPr>
      </w:pPr>
      <w:r>
        <w:rPr>
          <w:rFonts w:hint="eastAsia" w:ascii="仿宋_GB2312" w:eastAsia="仿宋_GB2312"/>
          <w:sz w:val="32"/>
          <w:szCs w:val="32"/>
        </w:rPr>
        <w:t>2、项目资金（主要是指财政资金）实际使用情况分析。</w:t>
      </w:r>
    </w:p>
    <w:p>
      <w:pPr>
        <w:spacing w:line="620" w:lineRule="exact"/>
        <w:ind w:firstLine="634" w:firstLineChars="200"/>
        <w:rPr>
          <w:rFonts w:ascii="仿宋_GB2312" w:eastAsia="仿宋_GB2312"/>
          <w:sz w:val="32"/>
          <w:szCs w:val="32"/>
        </w:rPr>
      </w:pPr>
      <w:r>
        <w:rPr>
          <w:rFonts w:hint="eastAsia" w:ascii="仿宋_GB2312" w:eastAsia="仿宋_GB2312"/>
          <w:sz w:val="32"/>
          <w:szCs w:val="32"/>
        </w:rPr>
        <w:t>3、项目资金管理情况（包括管理制度、办法的制订及执</w:t>
      </w:r>
    </w:p>
    <w:p>
      <w:pPr>
        <w:spacing w:line="620" w:lineRule="exact"/>
        <w:ind w:firstLine="634" w:firstLineChars="200"/>
        <w:rPr>
          <w:rFonts w:ascii="仿宋_GB2312" w:eastAsia="仿宋_GB2312"/>
          <w:sz w:val="32"/>
          <w:szCs w:val="32"/>
        </w:rPr>
      </w:pPr>
      <w:r>
        <w:rPr>
          <w:rFonts w:hint="eastAsia" w:ascii="仿宋_GB2312" w:eastAsia="仿宋_GB2312"/>
          <w:sz w:val="32"/>
          <w:szCs w:val="32"/>
        </w:rPr>
        <w:t>行情况）分析。</w:t>
      </w:r>
    </w:p>
    <w:p>
      <w:pPr>
        <w:spacing w:line="620" w:lineRule="exact"/>
        <w:ind w:firstLine="634" w:firstLineChars="200"/>
        <w:rPr>
          <w:rFonts w:ascii="楷体_GB2312" w:hAnsi="楷体" w:eastAsia="楷体_GB2312"/>
          <w:b/>
          <w:sz w:val="32"/>
          <w:szCs w:val="32"/>
        </w:rPr>
      </w:pPr>
      <w:r>
        <w:rPr>
          <w:rFonts w:hint="eastAsia" w:ascii="楷体_GB2312" w:hAnsi="楷体" w:eastAsia="楷体_GB2312"/>
          <w:b/>
          <w:sz w:val="32"/>
          <w:szCs w:val="32"/>
        </w:rPr>
        <w:t>（三）项目组织实施情况</w:t>
      </w:r>
    </w:p>
    <w:p>
      <w:pPr>
        <w:spacing w:line="620" w:lineRule="exact"/>
        <w:ind w:firstLine="634" w:firstLineChars="200"/>
        <w:rPr>
          <w:rFonts w:ascii="仿宋_GB2312" w:eastAsia="仿宋_GB2312"/>
          <w:sz w:val="32"/>
          <w:szCs w:val="32"/>
        </w:rPr>
      </w:pPr>
      <w:r>
        <w:rPr>
          <w:rFonts w:hint="eastAsia" w:ascii="仿宋_GB2312" w:eastAsia="仿宋_GB2312"/>
          <w:sz w:val="32"/>
          <w:szCs w:val="32"/>
        </w:rPr>
        <w:t>1、项目组织情况（包括项目招投标情况、调整情况、完成验收等）分析。</w:t>
      </w:r>
    </w:p>
    <w:p>
      <w:pPr>
        <w:spacing w:line="620" w:lineRule="exact"/>
        <w:ind w:firstLine="634" w:firstLineChars="200"/>
        <w:rPr>
          <w:rFonts w:ascii="仿宋_GB2312" w:eastAsia="仿宋_GB2312"/>
          <w:sz w:val="32"/>
          <w:szCs w:val="32"/>
        </w:rPr>
      </w:pPr>
      <w:r>
        <w:rPr>
          <w:rFonts w:hint="eastAsia" w:ascii="仿宋_GB2312" w:eastAsia="仿宋_GB2312"/>
          <w:sz w:val="32"/>
          <w:szCs w:val="32"/>
        </w:rPr>
        <w:t>2、项目管理情况（包括项目管理制度建设、日常检查监督管理等情况）分析。</w:t>
      </w:r>
    </w:p>
    <w:p>
      <w:pPr>
        <w:spacing w:line="620" w:lineRule="exact"/>
        <w:ind w:firstLine="634" w:firstLineChars="200"/>
        <w:rPr>
          <w:rFonts w:ascii="楷体_GB2312" w:hAnsi="楷体" w:eastAsia="楷体_GB2312"/>
          <w:b/>
          <w:sz w:val="32"/>
          <w:szCs w:val="32"/>
        </w:rPr>
      </w:pPr>
      <w:r>
        <w:rPr>
          <w:rFonts w:hint="eastAsia" w:ascii="楷体_GB2312" w:hAnsi="楷体" w:eastAsia="楷体_GB2312"/>
          <w:b/>
          <w:sz w:val="32"/>
          <w:szCs w:val="32"/>
        </w:rPr>
        <w:t>（四）项目主要绩效情况分析</w:t>
      </w:r>
    </w:p>
    <w:p>
      <w:pPr>
        <w:spacing w:line="620" w:lineRule="exact"/>
        <w:ind w:firstLine="634" w:firstLineChars="200"/>
        <w:rPr>
          <w:rFonts w:ascii="仿宋_GB2312" w:eastAsia="仿宋_GB2312"/>
          <w:sz w:val="32"/>
          <w:szCs w:val="32"/>
        </w:rPr>
      </w:pPr>
      <w:r>
        <w:rPr>
          <w:rFonts w:hint="eastAsia" w:ascii="仿宋_GB2312" w:eastAsia="仿宋_GB2312"/>
          <w:sz w:val="32"/>
          <w:szCs w:val="32"/>
        </w:rPr>
        <w:t>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spacing w:line="620" w:lineRule="exact"/>
        <w:ind w:firstLine="634" w:firstLineChars="200"/>
        <w:rPr>
          <w:rFonts w:ascii="楷体_GB2312" w:hAnsi="楷体" w:eastAsia="楷体_GB2312"/>
          <w:b/>
          <w:sz w:val="32"/>
          <w:szCs w:val="32"/>
        </w:rPr>
      </w:pPr>
      <w:r>
        <w:rPr>
          <w:rFonts w:hint="eastAsia" w:ascii="楷体_GB2312" w:hAnsi="楷体" w:eastAsia="楷体_GB2312"/>
          <w:b/>
          <w:sz w:val="32"/>
          <w:szCs w:val="32"/>
        </w:rPr>
        <w:t>（五）主要经验及做法、存在问题和建议</w:t>
      </w:r>
    </w:p>
    <w:p>
      <w:pPr>
        <w:spacing w:line="620" w:lineRule="exact"/>
        <w:ind w:firstLine="634" w:firstLineChars="200"/>
        <w:rPr>
          <w:rFonts w:ascii="仿宋_GB2312" w:eastAsia="仿宋_GB2312"/>
          <w:sz w:val="32"/>
          <w:szCs w:val="32"/>
        </w:rPr>
      </w:pPr>
      <w:r>
        <w:rPr>
          <w:rFonts w:hint="eastAsia" w:ascii="仿宋_GB2312" w:eastAsia="仿宋_GB2312"/>
          <w:sz w:val="32"/>
          <w:szCs w:val="32"/>
        </w:rPr>
        <w:t>包括资金安排、使用过程中的经验、做法、存在问题、改进措施和有关建议等。</w:t>
      </w:r>
    </w:p>
    <w:p>
      <w:pPr>
        <w:spacing w:line="620" w:lineRule="exact"/>
        <w:ind w:firstLine="634" w:firstLineChars="200"/>
        <w:rPr>
          <w:rFonts w:ascii="楷体_GB2312" w:hAnsi="楷体" w:eastAsia="楷体_GB2312"/>
          <w:b/>
          <w:sz w:val="32"/>
          <w:szCs w:val="32"/>
        </w:rPr>
      </w:pPr>
      <w:r>
        <w:rPr>
          <w:rFonts w:hint="eastAsia" w:ascii="楷体_GB2312" w:hAnsi="楷体" w:eastAsia="楷体_GB2312"/>
          <w:b/>
          <w:sz w:val="32"/>
          <w:szCs w:val="32"/>
        </w:rPr>
        <w:t>（六）附件</w:t>
      </w:r>
    </w:p>
    <w:p>
      <w:pPr>
        <w:spacing w:line="620" w:lineRule="exact"/>
        <w:ind w:firstLine="634" w:firstLineChars="200"/>
        <w:rPr>
          <w:rFonts w:ascii="仿宋_GB2312" w:eastAsia="仿宋_GB2312"/>
          <w:sz w:val="32"/>
          <w:szCs w:val="32"/>
        </w:rPr>
      </w:pPr>
      <w:r>
        <w:rPr>
          <w:rFonts w:hint="eastAsia" w:ascii="仿宋_GB2312" w:eastAsia="仿宋_GB2312"/>
          <w:sz w:val="32"/>
          <w:szCs w:val="32"/>
        </w:rPr>
        <w:t>评价组认为需要作为评价报告附件的有关文件、资料等，以进一步解释和证明报告所反映的相关内容。</w:t>
      </w:r>
    </w:p>
    <w:p>
      <w:pPr>
        <w:rPr>
          <w:rFonts w:eastAsia="仿宋_GB2312"/>
          <w:bCs/>
          <w:sz w:val="32"/>
          <w:szCs w:val="32"/>
        </w:rPr>
      </w:pPr>
    </w:p>
    <w:p/>
    <w:p/>
    <w:p/>
    <w:p>
      <w:pPr>
        <w:spacing w:line="348" w:lineRule="auto"/>
        <w:rPr>
          <w:rFonts w:ascii="黑体" w:hAnsi="黑体" w:eastAsia="黑体" w:cs="黑体"/>
          <w:bCs/>
          <w:sz w:val="32"/>
          <w:szCs w:val="32"/>
        </w:rPr>
      </w:pPr>
      <w:r>
        <w:br w:type="page"/>
      </w: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岳阳市军用供应站</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405002</w:t>
      </w:r>
      <w:bookmarkStart w:id="0" w:name="_GoBack"/>
      <w:bookmarkEnd w:id="0"/>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18</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杨莉</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13807303636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1、负责成批过往部队、入伍新兵和退伍老兵、支前民兵、民工运输途中的饮食供应保障工作。</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2、组织开展军用饮食供应业务训练。</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3、负责提出军供站设施改（扩）建、维修计划和设备添置计划，并组织实施。</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4、统计分析军用饮食供应任务完成情况，总结改进军用饮食供应工作。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负责为过往部队提供军供保障和中转休息服务，承担军供物资、器材采购任务，并在战时协助部队完成集结与疏散任务。</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负责加强与铁路、交通、物资、卫生、公安、财政、通信、电力、供水等相关单位的联络，建立军地联合保障机制。</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负责做好过往部队官兵、武器装备在军供期间的安全保卫工作。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完成</w:t>
            </w:r>
            <w:r>
              <w:rPr>
                <w:rFonts w:hint="eastAsia" w:ascii="仿宋_GB2312" w:hAnsi="仿宋_GB2312" w:eastAsia="仿宋_GB2312" w:cs="仿宋_GB2312"/>
                <w:color w:val="000000"/>
                <w:sz w:val="24"/>
                <w:lang w:eastAsia="zh-CN"/>
              </w:rPr>
              <w:t>上级赋予的其他任务</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1、负责成批过往部队、入伍新兵和退伍老兵、支前民兵、民工运输途中的饮食供应保障工作。</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2、组织开展军用饮食供应业务训练。</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3、负责提出军供站设施改（扩）建、维修计划和设备添置计划，并组织实施。</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4、统计分析军用饮食供应任务完成情况，总结改进军用饮食供应工作。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负责为过往部队提供军供保障和中转休息服务，承担军供物资、器材采购任务，并在战时协助部队完成集结与疏散任务。</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负责加强与铁路、交通、物资、卫生、公安、财政、通信、电力、供水等相关单位的联络，建立军地联合保障机制。</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负责做好过往部队官兵、武器装备在军供期间的安全保卫工作。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完成</w:t>
            </w:r>
            <w:r>
              <w:rPr>
                <w:rFonts w:hint="eastAsia" w:ascii="仿宋_GB2312" w:hAnsi="仿宋_GB2312" w:eastAsia="仿宋_GB2312" w:cs="仿宋_GB2312"/>
                <w:color w:val="000000"/>
                <w:sz w:val="24"/>
                <w:lang w:eastAsia="zh-CN"/>
              </w:rPr>
              <w:t>上级赋予的其他任务</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1、负责成批过往部队、入伍新兵和退伍老兵、支前民兵、民工运输途中的饮食供应保障工作。</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2、组织开展军用饮食供应业务训练。</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3、负责提出军供站设施改（扩）建、维修计划和设备添置计划，并组织实施。</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4、统计分析军用饮食供应任务完成情况，总结改进军用饮食供应工作。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负责为过往部队提供军供保障和中转休息服务，承担军供物资、器材采购任务，并在战时协助部队完成集结与疏散任务。</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负责加强与铁路、交通、物资、卫生、公安、财政、通信、电力、供水等相关单位的联络，建立军地联合保障机制。</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负责做好过往部队官兵、武器装备在军供期间的安全保卫工作。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完成</w:t>
            </w:r>
            <w:r>
              <w:rPr>
                <w:rFonts w:hint="eastAsia" w:ascii="仿宋_GB2312" w:hAnsi="仿宋_GB2312" w:eastAsia="仿宋_GB2312" w:cs="仿宋_GB2312"/>
                <w:color w:val="000000"/>
                <w:sz w:val="24"/>
                <w:lang w:eastAsia="zh-CN"/>
              </w:rPr>
              <w:t>上级赋予的其他任务</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岳阳市军供站</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433.41</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145.93</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278.80</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岳阳市军供站</w:t>
            </w:r>
          </w:p>
        </w:tc>
        <w:tc>
          <w:tcPr>
            <w:tcW w:w="1080" w:type="dxa"/>
            <w:tcBorders>
              <w:right w:val="single" w:color="auto" w:sz="4" w:space="0"/>
            </w:tcBorders>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348.89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248.99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162.11</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86.88</w:t>
            </w:r>
          </w:p>
        </w:tc>
        <w:tc>
          <w:tcPr>
            <w:tcW w:w="1080" w:type="dxa"/>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99.9</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84.52</w:t>
            </w:r>
          </w:p>
        </w:tc>
        <w:tc>
          <w:tcPr>
            <w:tcW w:w="62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岳阳市军供站</w:t>
            </w:r>
          </w:p>
        </w:tc>
        <w:tc>
          <w:tcPr>
            <w:tcW w:w="1080" w:type="dxa"/>
            <w:tcBorders>
              <w:right w:val="single" w:color="auto" w:sz="4" w:space="0"/>
            </w:tcBorders>
            <w:vAlign w:val="center"/>
          </w:tcPr>
          <w:p>
            <w:pPr>
              <w:tabs>
                <w:tab w:val="left" w:pos="470"/>
              </w:tabs>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ab/>
            </w:r>
            <w:r>
              <w:rPr>
                <w:rFonts w:hint="eastAsia" w:ascii="仿宋_GB2312" w:hAnsi="仿宋_GB2312" w:eastAsia="仿宋_GB2312" w:cs="仿宋_GB2312"/>
                <w:color w:val="000000"/>
                <w:sz w:val="24"/>
                <w:lang w:val="en-US" w:eastAsia="zh-CN"/>
              </w:rPr>
              <w:t>1.88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岳阳市军供站</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332.97</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332.97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1、高质量保障过往部队饮食、饮水供应，确保部队满意。</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2、及时更新设施设备，优质快速供应水平不断提升。</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3、厉行节约，合理使用财政资金。</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4、受到过往部队官兵、上级部门及军代处领导一致好评。</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保质保量全部完成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过往部队饮食饮水供应及中转住宿保障任务</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基础设施改造及设备添置</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落实军供站现代化建设各项标准及要求</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过往部队饮食饮水供应及中转住宿保障任务</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基础设施改造及设备添置</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资金指标</w:t>
            </w:r>
            <w:r>
              <w:rPr>
                <w:rFonts w:hint="eastAsia" w:ascii="仿宋_GB2312" w:hAnsi="仿宋_GB2312" w:eastAsia="仿宋_GB2312" w:cs="仿宋_GB2312"/>
                <w:color w:val="000000"/>
                <w:sz w:val="24"/>
                <w:lang w:val="en-US" w:eastAsia="zh-CN"/>
              </w:rPr>
              <w:t>2020年底按计划使用</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工作进度</w:t>
            </w:r>
            <w:r>
              <w:rPr>
                <w:rFonts w:hint="eastAsia" w:ascii="仿宋_GB2312" w:hAnsi="仿宋_GB2312" w:eastAsia="仿宋_GB2312" w:cs="仿宋_GB2312"/>
                <w:color w:val="000000"/>
                <w:sz w:val="24"/>
                <w:lang w:val="en-US" w:eastAsia="zh-CN"/>
              </w:rPr>
              <w:t>2020年度完结</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合理使用财政下拨资金</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厉行节约</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p>
            <w:pPr>
              <w:numPr>
                <w:ilvl w:val="0"/>
                <w:numId w:val="2"/>
              </w:numPr>
              <w:autoSpaceDN w:val="0"/>
              <w:spacing w:line="320" w:lineRule="exact"/>
              <w:ind w:left="210" w:leftChars="0" w:firstLineChars="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过往部队官兵好评率。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上级部门及军代处领导好评率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经济使用效率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食品安全、节能减排</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让途经岳阳部队官兵</w:t>
            </w:r>
            <w:r>
              <w:rPr>
                <w:rFonts w:hint="eastAsia" w:ascii="仿宋_GB2312" w:hAnsi="仿宋_GB2312" w:eastAsia="仿宋_GB2312" w:cs="仿宋_GB2312"/>
                <w:color w:val="000000"/>
                <w:sz w:val="24"/>
              </w:rPr>
              <w:t>对我站提供的服务给予充分肯定和高度评价</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tabs>
                <w:tab w:val="left" w:pos="400"/>
              </w:tabs>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陈学军</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站长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军供站</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tabs>
                <w:tab w:val="left" w:pos="430"/>
              </w:tabs>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ab/>
            </w:r>
            <w:r>
              <w:rPr>
                <w:rFonts w:hint="eastAsia" w:ascii="仿宋_GB2312" w:hAnsi="仿宋_GB2312" w:eastAsia="仿宋_GB2312" w:cs="仿宋_GB2312"/>
                <w:color w:val="000000"/>
                <w:sz w:val="24"/>
                <w:lang w:eastAsia="zh-CN"/>
              </w:rPr>
              <w:t>许岳城</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副站长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军供站</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tabs>
                <w:tab w:val="left" w:pos="595"/>
              </w:tabs>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莉</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军供站</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ind w:firstLine="480" w:firstLineChars="200"/>
              <w:rPr>
                <w:rFonts w:hint="eastAsia" w:ascii="仿宋" w:hAnsi="仿宋" w:eastAsia="仿宋" w:cs="仿宋"/>
                <w:color w:val="000000"/>
                <w:sz w:val="24"/>
                <w:szCs w:val="24"/>
                <w:lang w:eastAsia="zh-CN"/>
              </w:rPr>
            </w:pPr>
          </w:p>
          <w:p>
            <w:pPr>
              <w:ind w:firstLine="480" w:firstLineChars="200"/>
              <w:rPr>
                <w:rFonts w:hint="eastAsia" w:ascii="仿宋" w:hAnsi="仿宋" w:eastAsia="仿宋" w:cs="仿宋"/>
                <w:bCs/>
                <w:sz w:val="24"/>
                <w:szCs w:val="24"/>
              </w:rPr>
            </w:pPr>
            <w:r>
              <w:rPr>
                <w:rFonts w:hint="eastAsia" w:ascii="仿宋" w:hAnsi="仿宋" w:eastAsia="仿宋" w:cs="仿宋"/>
                <w:color w:val="000000"/>
                <w:sz w:val="24"/>
                <w:szCs w:val="24"/>
                <w:lang w:eastAsia="zh-CN"/>
              </w:rPr>
              <w:t>（一）、岳阳市军用</w:t>
            </w:r>
            <w:r>
              <w:rPr>
                <w:rFonts w:hint="eastAsia" w:ascii="仿宋" w:hAnsi="仿宋" w:eastAsia="仿宋" w:cs="仿宋"/>
                <w:color w:val="000000"/>
                <w:sz w:val="24"/>
                <w:szCs w:val="24"/>
              </w:rPr>
              <w:t>供</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站编制隶属于</w:t>
            </w:r>
            <w:r>
              <w:rPr>
                <w:rFonts w:hint="eastAsia" w:ascii="仿宋" w:hAnsi="仿宋" w:eastAsia="仿宋" w:cs="仿宋"/>
                <w:color w:val="000000"/>
                <w:sz w:val="24"/>
                <w:szCs w:val="24"/>
                <w:lang w:eastAsia="zh-CN"/>
              </w:rPr>
              <w:t>岳阳市退役军人事务局</w:t>
            </w:r>
            <w:r>
              <w:rPr>
                <w:rFonts w:hint="eastAsia" w:ascii="仿宋" w:hAnsi="仿宋" w:eastAsia="仿宋" w:cs="仿宋"/>
                <w:color w:val="000000"/>
                <w:sz w:val="24"/>
                <w:szCs w:val="24"/>
              </w:rPr>
              <w:t>，为正科级全额拨款事业单位，业务上受广州战区军交运输部及驻省军代部门指导。</w:t>
            </w:r>
            <w:r>
              <w:rPr>
                <w:rFonts w:hint="eastAsia" w:ascii="仿宋" w:hAnsi="仿宋" w:eastAsia="仿宋" w:cs="仿宋"/>
                <w:color w:val="000000"/>
                <w:sz w:val="24"/>
                <w:szCs w:val="24"/>
                <w:lang w:eastAsia="zh-CN"/>
              </w:rPr>
              <w:t>下设办公室、财务股、军供股</w:t>
            </w:r>
            <w:r>
              <w:rPr>
                <w:rFonts w:hint="eastAsia" w:ascii="仿宋" w:hAnsi="仿宋" w:eastAsia="仿宋" w:cs="仿宋"/>
                <w:color w:val="000000"/>
                <w:sz w:val="24"/>
                <w:szCs w:val="24"/>
                <w:lang w:val="en-US" w:eastAsia="zh-CN"/>
              </w:rPr>
              <w:t>3个职能股室，</w:t>
            </w:r>
            <w:r>
              <w:rPr>
                <w:rFonts w:hint="eastAsia" w:ascii="仿宋" w:hAnsi="仿宋" w:eastAsia="仿宋" w:cs="仿宋"/>
                <w:color w:val="000000"/>
                <w:sz w:val="24"/>
                <w:szCs w:val="24"/>
              </w:rPr>
              <w:t>现有在编干部职工1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人，占地面积为18164.5平方米，建筑面积4850.66平方米</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是</w:t>
            </w:r>
            <w:r>
              <w:rPr>
                <w:rFonts w:hint="eastAsia" w:ascii="仿宋" w:hAnsi="仿宋" w:eastAsia="仿宋" w:cs="仿宋"/>
                <w:color w:val="000000"/>
                <w:sz w:val="24"/>
                <w:szCs w:val="24"/>
                <w:lang w:eastAsia="zh-CN"/>
              </w:rPr>
              <w:t>市政府支前组织机构和战备设施</w:t>
            </w:r>
            <w:r>
              <w:rPr>
                <w:rFonts w:hint="eastAsia" w:ascii="仿宋" w:hAnsi="仿宋" w:eastAsia="仿宋" w:cs="仿宋"/>
                <w:color w:val="000000"/>
                <w:sz w:val="24"/>
                <w:szCs w:val="24"/>
              </w:rPr>
              <w:t>，主要担负着京广铁路沿线过往部队的</w:t>
            </w:r>
            <w:r>
              <w:rPr>
                <w:rFonts w:hint="eastAsia" w:ascii="仿宋" w:hAnsi="仿宋" w:eastAsia="仿宋" w:cs="仿宋"/>
                <w:color w:val="000000"/>
                <w:sz w:val="24"/>
                <w:szCs w:val="24"/>
                <w:lang w:eastAsia="zh-CN"/>
              </w:rPr>
              <w:t>后勤保障</w:t>
            </w:r>
            <w:r>
              <w:rPr>
                <w:rFonts w:hint="eastAsia" w:ascii="仿宋" w:hAnsi="仿宋" w:eastAsia="仿宋" w:cs="仿宋"/>
                <w:color w:val="000000"/>
                <w:sz w:val="24"/>
                <w:szCs w:val="24"/>
              </w:rPr>
              <w:t>任务。</w:t>
            </w:r>
          </w:p>
          <w:p>
            <w:pPr>
              <w:numPr>
                <w:ilvl w:val="0"/>
                <w:numId w:val="0"/>
              </w:numPr>
              <w:autoSpaceDN w:val="0"/>
              <w:spacing w:line="320" w:lineRule="exact"/>
              <w:ind w:firstLine="280" w:firstLineChars="100"/>
              <w:jc w:val="left"/>
              <w:textAlignment w:val="center"/>
              <w:rPr>
                <w:rFonts w:hint="eastAsia" w:ascii="仿宋" w:hAnsi="仿宋" w:eastAsia="仿宋" w:cs="仿宋"/>
                <w:bCs/>
                <w:sz w:val="28"/>
                <w:szCs w:val="28"/>
                <w:lang w:eastAsia="zh-CN"/>
              </w:rPr>
            </w:pPr>
          </w:p>
          <w:p>
            <w:pPr>
              <w:numPr>
                <w:ilvl w:val="0"/>
                <w:numId w:val="0"/>
              </w:numPr>
              <w:autoSpaceDN w:val="0"/>
              <w:spacing w:line="320" w:lineRule="exact"/>
              <w:ind w:firstLine="280" w:firstLineChars="100"/>
              <w:jc w:val="left"/>
              <w:textAlignment w:val="center"/>
              <w:rPr>
                <w:rFonts w:hint="eastAsia" w:ascii="仿宋_GB2312" w:hAnsi="仿宋_GB2312" w:eastAsia="仿宋_GB2312" w:cs="仿宋_GB2312"/>
                <w:color w:val="000000"/>
                <w:sz w:val="24"/>
                <w:lang w:val="en-US" w:eastAsia="zh-CN"/>
              </w:rPr>
            </w:pPr>
            <w:r>
              <w:rPr>
                <w:rFonts w:hint="eastAsia" w:ascii="仿宋" w:hAnsi="仿宋" w:eastAsia="仿宋" w:cs="仿宋"/>
                <w:bCs/>
                <w:sz w:val="28"/>
                <w:szCs w:val="28"/>
                <w:lang w:eastAsia="zh-CN"/>
              </w:rPr>
              <w:t>（二）、</w:t>
            </w:r>
            <w:r>
              <w:rPr>
                <w:rFonts w:hint="eastAsia" w:ascii="仿宋" w:hAnsi="仿宋" w:eastAsia="仿宋" w:cs="仿宋"/>
                <w:bCs/>
                <w:sz w:val="28"/>
                <w:szCs w:val="28"/>
              </w:rPr>
              <w:t>机构职能：</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1、负责成批过往部队、入伍新兵和退伍老兵、支前民兵、民工运输途中的饮食供应保障工作。</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2、组织开展军用饮食供应业务训练。</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3、负责提出军供站设施改（扩）建、维修计划和设备添置计划，并组织实施。</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4、统计分析军用饮食供应任务完成情况，总结改进军用饮食供应工作。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负责为过往部队提供军供保障和中转休息服务，承担军供物资、器材采购任务，并在战时协助部队完成集结与疏散任务。</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负责加强与铁路、交通、物资、卫生、公安、财政、通信、电力、供水等相关单位的联络，建立军地联合保障机制。</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负责做好过往部队官兵、武器装备在军供期间的安全保卫工作。</w:t>
            </w:r>
          </w:p>
          <w:p>
            <w:pPr>
              <w:autoSpaceDN w:val="0"/>
              <w:spacing w:line="320" w:lineRule="exact"/>
              <w:ind w:firstLine="480" w:firstLineChars="200"/>
              <w:jc w:val="left"/>
              <w:textAlignment w:val="center"/>
              <w:rPr>
                <w:rFonts w:hint="eastAsia" w:ascii="仿宋" w:hAnsi="仿宋" w:eastAsia="仿宋" w:cs="仿宋"/>
                <w:bCs/>
                <w:sz w:val="24"/>
                <w:szCs w:val="24"/>
              </w:rPr>
            </w:pP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完成</w:t>
            </w:r>
            <w:r>
              <w:rPr>
                <w:rFonts w:hint="eastAsia" w:ascii="仿宋_GB2312" w:hAnsi="仿宋_GB2312" w:eastAsia="仿宋_GB2312" w:cs="仿宋_GB2312"/>
                <w:color w:val="000000"/>
                <w:sz w:val="24"/>
                <w:lang w:eastAsia="zh-CN"/>
              </w:rPr>
              <w:t>上级赋予的其他任务。</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960" w:firstLineChars="400"/>
              <w:rPr>
                <w:rFonts w:hint="eastAsia" w:ascii="仿宋_GB2312" w:hAnsi="仿宋_GB2312" w:eastAsia="仿宋" w:cs="仿宋_GB2312"/>
                <w:bCs/>
                <w:sz w:val="28"/>
                <w:szCs w:val="28"/>
                <w:lang w:eastAsia="zh-CN"/>
              </w:rPr>
            </w:pPr>
            <w:r>
              <w:rPr>
                <w:rFonts w:hint="eastAsia" w:ascii="仿宋" w:hAnsi="仿宋" w:eastAsia="仿宋" w:cs="仿宋"/>
                <w:bCs/>
                <w:sz w:val="24"/>
                <w:szCs w:val="24"/>
              </w:rPr>
              <w:t>本年度支出总额</w:t>
            </w:r>
            <w:r>
              <w:rPr>
                <w:rFonts w:hint="eastAsia" w:ascii="仿宋" w:hAnsi="仿宋" w:eastAsia="仿宋" w:cs="仿宋"/>
                <w:bCs/>
                <w:sz w:val="24"/>
                <w:szCs w:val="24"/>
                <w:lang w:val="en-US" w:eastAsia="zh-CN"/>
              </w:rPr>
              <w:t>348.89</w:t>
            </w:r>
            <w:r>
              <w:rPr>
                <w:rFonts w:hint="eastAsia" w:ascii="仿宋" w:hAnsi="仿宋" w:eastAsia="仿宋" w:cs="仿宋"/>
                <w:bCs/>
                <w:sz w:val="24"/>
                <w:szCs w:val="24"/>
              </w:rPr>
              <w:t>万元，基本支出为</w:t>
            </w:r>
            <w:r>
              <w:rPr>
                <w:rFonts w:hint="eastAsia" w:ascii="仿宋" w:hAnsi="仿宋" w:eastAsia="仿宋" w:cs="仿宋"/>
                <w:bCs/>
                <w:sz w:val="24"/>
                <w:szCs w:val="24"/>
                <w:lang w:val="en-US" w:eastAsia="zh-CN"/>
              </w:rPr>
              <w:t>248.99</w:t>
            </w:r>
            <w:r>
              <w:rPr>
                <w:rFonts w:hint="eastAsia" w:ascii="仿宋" w:hAnsi="仿宋" w:eastAsia="仿宋" w:cs="仿宋"/>
                <w:bCs/>
                <w:sz w:val="24"/>
                <w:szCs w:val="24"/>
              </w:rPr>
              <w:t>万元，占本年支出的</w:t>
            </w:r>
            <w:r>
              <w:rPr>
                <w:rFonts w:hint="eastAsia" w:ascii="仿宋" w:hAnsi="仿宋" w:eastAsia="仿宋" w:cs="仿宋"/>
                <w:bCs/>
                <w:sz w:val="24"/>
                <w:szCs w:val="24"/>
                <w:lang w:val="en-US" w:eastAsia="zh-CN"/>
              </w:rPr>
              <w:t>72%</w:t>
            </w:r>
            <w:r>
              <w:rPr>
                <w:rFonts w:hint="eastAsia" w:ascii="仿宋" w:hAnsi="仿宋" w:eastAsia="仿宋" w:cs="仿宋"/>
                <w:bCs/>
                <w:sz w:val="24"/>
                <w:szCs w:val="24"/>
              </w:rPr>
              <w:t>；主要用于：工资福利支出</w:t>
            </w:r>
            <w:r>
              <w:rPr>
                <w:rFonts w:hint="eastAsia" w:ascii="仿宋" w:hAnsi="仿宋" w:eastAsia="仿宋" w:cs="仿宋"/>
                <w:bCs/>
                <w:sz w:val="24"/>
                <w:szCs w:val="24"/>
                <w:lang w:val="en-US" w:eastAsia="zh-CN"/>
              </w:rPr>
              <w:t>162.11</w:t>
            </w:r>
            <w:r>
              <w:rPr>
                <w:rFonts w:hint="eastAsia" w:ascii="仿宋" w:hAnsi="仿宋" w:eastAsia="仿宋" w:cs="仿宋"/>
                <w:bCs/>
                <w:sz w:val="24"/>
                <w:szCs w:val="24"/>
              </w:rPr>
              <w:t>万元，</w:t>
            </w:r>
            <w:r>
              <w:rPr>
                <w:rFonts w:hint="eastAsia" w:ascii="仿宋" w:hAnsi="仿宋" w:eastAsia="仿宋" w:cs="仿宋"/>
                <w:bCs/>
                <w:sz w:val="24"/>
                <w:szCs w:val="24"/>
                <w:lang w:eastAsia="zh-CN"/>
              </w:rPr>
              <w:t>占本年基本</w:t>
            </w:r>
            <w:r>
              <w:rPr>
                <w:rFonts w:hint="eastAsia" w:ascii="仿宋" w:hAnsi="仿宋" w:eastAsia="仿宋" w:cs="仿宋"/>
                <w:bCs/>
                <w:sz w:val="24"/>
                <w:szCs w:val="24"/>
              </w:rPr>
              <w:t>支出</w:t>
            </w:r>
            <w:r>
              <w:rPr>
                <w:rFonts w:hint="eastAsia" w:ascii="仿宋" w:hAnsi="仿宋" w:eastAsia="仿宋" w:cs="仿宋"/>
                <w:bCs/>
                <w:sz w:val="24"/>
                <w:szCs w:val="24"/>
                <w:lang w:val="en-US" w:eastAsia="zh-CN"/>
              </w:rPr>
              <w:t>65</w:t>
            </w:r>
            <w:r>
              <w:rPr>
                <w:rFonts w:hint="eastAsia" w:ascii="仿宋" w:hAnsi="仿宋" w:eastAsia="仿宋" w:cs="仿宋"/>
                <w:bCs/>
                <w:sz w:val="24"/>
                <w:szCs w:val="24"/>
              </w:rPr>
              <w:t>%，商品的服务支出为</w:t>
            </w:r>
            <w:r>
              <w:rPr>
                <w:rFonts w:hint="eastAsia" w:ascii="仿宋" w:hAnsi="仿宋" w:eastAsia="仿宋" w:cs="仿宋"/>
                <w:bCs/>
                <w:sz w:val="24"/>
                <w:szCs w:val="24"/>
                <w:lang w:val="en-US" w:eastAsia="zh-CN"/>
              </w:rPr>
              <w:t>86.88</w:t>
            </w:r>
            <w:r>
              <w:rPr>
                <w:rFonts w:hint="eastAsia" w:ascii="仿宋" w:hAnsi="仿宋" w:eastAsia="仿宋" w:cs="仿宋"/>
                <w:bCs/>
                <w:sz w:val="24"/>
                <w:szCs w:val="24"/>
              </w:rPr>
              <w:t>万元，占</w:t>
            </w:r>
            <w:r>
              <w:rPr>
                <w:rFonts w:hint="eastAsia" w:ascii="仿宋" w:hAnsi="仿宋" w:eastAsia="仿宋" w:cs="仿宋"/>
                <w:bCs/>
                <w:sz w:val="24"/>
                <w:szCs w:val="24"/>
                <w:lang w:eastAsia="zh-CN"/>
              </w:rPr>
              <w:t>本年基本</w:t>
            </w:r>
            <w:r>
              <w:rPr>
                <w:rFonts w:hint="eastAsia" w:ascii="仿宋" w:hAnsi="仿宋" w:eastAsia="仿宋" w:cs="仿宋"/>
                <w:bCs/>
                <w:sz w:val="24"/>
                <w:szCs w:val="24"/>
              </w:rPr>
              <w:t>支出</w:t>
            </w:r>
            <w:r>
              <w:rPr>
                <w:rFonts w:hint="eastAsia" w:ascii="仿宋" w:hAnsi="仿宋" w:eastAsia="仿宋" w:cs="仿宋"/>
                <w:bCs/>
                <w:sz w:val="24"/>
                <w:szCs w:val="24"/>
                <w:lang w:eastAsia="zh-CN"/>
              </w:rPr>
              <w:t>的</w:t>
            </w:r>
            <w:r>
              <w:rPr>
                <w:rFonts w:hint="eastAsia" w:ascii="仿宋" w:hAnsi="仿宋" w:eastAsia="仿宋" w:cs="仿宋"/>
                <w:bCs/>
                <w:sz w:val="24"/>
                <w:szCs w:val="24"/>
                <w:lang w:val="en-US" w:eastAsia="zh-CN"/>
              </w:rPr>
              <w:t>35</w:t>
            </w:r>
            <w:r>
              <w:rPr>
                <w:rFonts w:hint="eastAsia" w:ascii="仿宋" w:hAnsi="仿宋" w:eastAsia="仿宋" w:cs="仿宋"/>
                <w:bCs/>
                <w:sz w:val="24"/>
                <w:szCs w:val="24"/>
              </w:rPr>
              <w:t>%，项目支出</w:t>
            </w:r>
            <w:r>
              <w:rPr>
                <w:rFonts w:hint="eastAsia" w:ascii="仿宋" w:hAnsi="仿宋" w:eastAsia="仿宋" w:cs="仿宋"/>
                <w:bCs/>
                <w:sz w:val="24"/>
                <w:szCs w:val="24"/>
                <w:lang w:val="en-US" w:eastAsia="zh-CN"/>
              </w:rPr>
              <w:t>99.9</w:t>
            </w:r>
            <w:r>
              <w:rPr>
                <w:rFonts w:hint="eastAsia" w:ascii="仿宋" w:hAnsi="仿宋" w:eastAsia="仿宋" w:cs="仿宋"/>
                <w:bCs/>
                <w:sz w:val="24"/>
                <w:szCs w:val="24"/>
              </w:rPr>
              <w:t>万元，占本年支出的</w:t>
            </w:r>
            <w:r>
              <w:rPr>
                <w:rFonts w:hint="eastAsia" w:ascii="仿宋" w:hAnsi="仿宋" w:eastAsia="仿宋" w:cs="仿宋"/>
                <w:bCs/>
                <w:sz w:val="24"/>
                <w:szCs w:val="24"/>
                <w:lang w:val="en-US" w:eastAsia="zh-CN"/>
              </w:rPr>
              <w:t>28</w:t>
            </w:r>
            <w:r>
              <w:rPr>
                <w:rFonts w:hint="eastAsia" w:ascii="仿宋" w:hAnsi="仿宋" w:eastAsia="仿宋" w:cs="仿宋"/>
                <w:bCs/>
                <w:sz w:val="24"/>
                <w:szCs w:val="24"/>
              </w:rPr>
              <w:t>%</w:t>
            </w:r>
            <w:r>
              <w:rPr>
                <w:rFonts w:hint="eastAsia" w:ascii="仿宋" w:hAnsi="仿宋" w:eastAsia="仿宋" w:cs="仿宋"/>
                <w:bCs/>
                <w:sz w:val="24"/>
                <w:szCs w:val="24"/>
                <w:lang w:eastAsia="zh-CN"/>
              </w:rPr>
              <w:t>。</w:t>
            </w:r>
          </w:p>
          <w:p>
            <w:pPr>
              <w:spacing w:line="560" w:lineRule="exact"/>
              <w:ind w:firstLine="560" w:firstLineChars="200"/>
              <w:rPr>
                <w:rFonts w:ascii="仿宋_GB2312" w:hAnsi="仿宋_GB2312" w:eastAsia="仿宋_GB2312" w:cs="仿宋_GB2312"/>
                <w:bCs/>
                <w:sz w:val="28"/>
                <w:szCs w:val="28"/>
              </w:rPr>
            </w:pPr>
          </w:p>
          <w:p>
            <w:pPr>
              <w:numPr>
                <w:ilvl w:val="0"/>
                <w:numId w:val="0"/>
              </w:numPr>
              <w:spacing w:line="560" w:lineRule="exact"/>
              <w:ind w:firstLine="560" w:firstLineChars="200"/>
              <w:rPr>
                <w:rFonts w:hint="eastAsia" w:ascii="仿宋" w:hAnsi="仿宋" w:eastAsia="仿宋" w:cs="仿宋"/>
                <w:bCs/>
                <w:sz w:val="24"/>
                <w:szCs w:val="24"/>
                <w:lang w:val="en-US" w:eastAsia="zh-CN"/>
              </w:rPr>
            </w:pPr>
            <w:r>
              <w:rPr>
                <w:rFonts w:hint="eastAsia" w:ascii="黑体" w:hAnsi="黑体" w:eastAsia="黑体" w:cs="黑体"/>
                <w:bCs/>
                <w:sz w:val="28"/>
                <w:szCs w:val="28"/>
                <w:lang w:eastAsia="zh-CN"/>
              </w:rPr>
              <w:t>三</w:t>
            </w:r>
            <w:r>
              <w:rPr>
                <w:rFonts w:hint="eastAsia" w:ascii="黑体" w:hAnsi="黑体" w:eastAsia="黑体" w:cs="黑体"/>
                <w:bCs/>
                <w:sz w:val="28"/>
                <w:szCs w:val="28"/>
              </w:rPr>
              <w:t>、部门（单位）整体支出绩效情况</w:t>
            </w:r>
          </w:p>
          <w:p>
            <w:pPr>
              <w:numPr>
                <w:ilvl w:val="0"/>
                <w:numId w:val="3"/>
              </w:numPr>
              <w:spacing w:line="560" w:lineRule="exact"/>
              <w:ind w:left="560" w:leftChars="0" w:firstLine="0" w:firstLine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过往部队后勤保障任务圆满完成，无漏供、拒供及食物中毒现象。</w:t>
            </w:r>
          </w:p>
          <w:p>
            <w:pPr>
              <w:numPr>
                <w:ilvl w:val="0"/>
                <w:numId w:val="3"/>
              </w:numPr>
              <w:spacing w:line="560" w:lineRule="exact"/>
              <w:ind w:left="560" w:leftChars="0" w:firstLine="0" w:firstLine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军供设备设施进一步完善，部队官兵就餐环境明显优化。</w:t>
            </w:r>
          </w:p>
          <w:p>
            <w:pPr>
              <w:numPr>
                <w:ilvl w:val="0"/>
                <w:numId w:val="3"/>
              </w:numPr>
              <w:spacing w:line="560" w:lineRule="exact"/>
              <w:ind w:left="560" w:leftChars="0" w:firstLine="0" w:firstLineChars="0"/>
              <w:rPr>
                <w:rFonts w:hint="eastAsia" w:ascii="仿宋" w:hAnsi="仿宋" w:eastAsia="仿宋" w:cs="仿宋"/>
                <w:bCs/>
                <w:sz w:val="28"/>
                <w:szCs w:val="28"/>
                <w:lang w:val="en-US" w:eastAsia="zh-CN"/>
              </w:rPr>
            </w:pPr>
            <w:r>
              <w:rPr>
                <w:rFonts w:hint="eastAsia" w:ascii="仿宋" w:hAnsi="仿宋" w:eastAsia="仿宋" w:cs="仿宋"/>
                <w:bCs/>
                <w:sz w:val="24"/>
                <w:szCs w:val="24"/>
                <w:lang w:val="en-US" w:eastAsia="zh-CN"/>
              </w:rPr>
              <w:t>军供保障方式不断创新，快速应急保障能力得到加强</w:t>
            </w:r>
            <w:r>
              <w:rPr>
                <w:rFonts w:hint="eastAsia" w:ascii="仿宋" w:hAnsi="仿宋" w:eastAsia="仿宋" w:cs="仿宋"/>
                <w:bCs/>
                <w:sz w:val="28"/>
                <w:szCs w:val="28"/>
                <w:lang w:val="en-US" w:eastAsia="zh-CN"/>
              </w:rPr>
              <w:t>。</w:t>
            </w:r>
          </w:p>
          <w:p>
            <w:pPr>
              <w:spacing w:line="560" w:lineRule="exact"/>
              <w:ind w:firstLine="560" w:firstLineChars="200"/>
              <w:rPr>
                <w:rFonts w:ascii="黑体" w:hAnsi="黑体" w:eastAsia="黑体" w:cs="黑体"/>
                <w:bCs/>
                <w:sz w:val="28"/>
                <w:szCs w:val="28"/>
              </w:rPr>
            </w:pPr>
          </w:p>
          <w:p>
            <w:pPr>
              <w:numPr>
                <w:ilvl w:val="0"/>
                <w:numId w:val="0"/>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四、</w:t>
            </w:r>
            <w:r>
              <w:rPr>
                <w:rFonts w:hint="eastAsia" w:ascii="黑体" w:hAnsi="黑体" w:eastAsia="黑体" w:cs="黑体"/>
                <w:bCs/>
                <w:sz w:val="28"/>
                <w:szCs w:val="28"/>
              </w:rPr>
              <w:t>存在的主要问题</w:t>
            </w:r>
          </w:p>
          <w:p>
            <w:pPr>
              <w:numPr>
                <w:ilvl w:val="0"/>
                <w:numId w:val="0"/>
              </w:numPr>
              <w:spacing w:line="560" w:lineRule="exact"/>
              <w:ind w:firstLine="960" w:firstLineChars="400"/>
              <w:rPr>
                <w:rFonts w:hint="eastAsia" w:ascii="仿宋" w:hAnsi="仿宋" w:eastAsia="仿宋" w:cs="仿宋"/>
                <w:bCs/>
                <w:sz w:val="24"/>
                <w:szCs w:val="24"/>
              </w:rPr>
            </w:pPr>
            <w:r>
              <w:rPr>
                <w:rFonts w:hint="eastAsia" w:ascii="仿宋" w:hAnsi="仿宋" w:eastAsia="仿宋" w:cs="仿宋"/>
                <w:bCs/>
                <w:sz w:val="24"/>
                <w:szCs w:val="24"/>
              </w:rPr>
              <w:t>因部门整体支出的预算资金安排和使用上仍有不可预见性，还需加强预算管理，科学编制预算。</w:t>
            </w:r>
            <w:r>
              <w:rPr>
                <w:rFonts w:hint="eastAsia" w:ascii="仿宋" w:hAnsi="仿宋" w:eastAsia="仿宋" w:cs="仿宋"/>
                <w:bCs/>
                <w:sz w:val="24"/>
                <w:szCs w:val="24"/>
                <w:lang w:eastAsia="zh-CN"/>
              </w:rPr>
              <w:t>目前军供站基础设施改造任务与所需经费之间的矛盾越来越突出，在资金投入方面应给予重点倾斜</w:t>
            </w:r>
            <w:r>
              <w:rPr>
                <w:rFonts w:hint="eastAsia" w:ascii="仿宋" w:hAnsi="仿宋" w:eastAsia="仿宋" w:cs="仿宋"/>
                <w:bCs/>
                <w:sz w:val="24"/>
                <w:szCs w:val="24"/>
              </w:rPr>
              <w:t>。</w:t>
            </w:r>
          </w:p>
          <w:p>
            <w:pPr>
              <w:spacing w:line="560" w:lineRule="exact"/>
              <w:ind w:firstLine="560" w:firstLineChars="200"/>
              <w:rPr>
                <w:rFonts w:ascii="黑体" w:hAnsi="黑体" w:eastAsia="黑体" w:cs="黑体"/>
                <w:bCs/>
                <w:sz w:val="28"/>
                <w:szCs w:val="28"/>
              </w:rPr>
            </w:pPr>
          </w:p>
          <w:p>
            <w:pPr>
              <w:numPr>
                <w:ilvl w:val="0"/>
                <w:numId w:val="0"/>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五、</w:t>
            </w:r>
            <w:r>
              <w:rPr>
                <w:rFonts w:hint="eastAsia" w:ascii="黑体" w:hAnsi="黑体" w:eastAsia="黑体" w:cs="黑体"/>
                <w:bCs/>
                <w:sz w:val="28"/>
                <w:szCs w:val="28"/>
              </w:rPr>
              <w:t>改进措施和有关建议</w:t>
            </w:r>
          </w:p>
          <w:p>
            <w:pPr>
              <w:numPr>
                <w:ilvl w:val="0"/>
                <w:numId w:val="0"/>
              </w:numPr>
              <w:spacing w:line="560" w:lineRule="exact"/>
              <w:ind w:firstLine="960" w:firstLineChars="400"/>
              <w:rPr>
                <w:rFonts w:hint="eastAsia" w:ascii="仿宋" w:hAnsi="仿宋" w:eastAsia="仿宋" w:cs="仿宋"/>
                <w:bCs/>
                <w:sz w:val="24"/>
                <w:szCs w:val="24"/>
              </w:rPr>
            </w:pPr>
            <w:r>
              <w:rPr>
                <w:rFonts w:hint="eastAsia" w:ascii="仿宋" w:hAnsi="仿宋" w:eastAsia="仿宋" w:cs="仿宋"/>
                <w:bCs/>
                <w:sz w:val="24"/>
                <w:szCs w:val="24"/>
              </w:rPr>
              <w:t>加强各部门协作、社会参与机制，整合社会资源，优化社会资源配置，建立监督机制，加大奖惩力度；加强各部门的队伍建设和业务指导，培养部门的绩效管理队伍，建立绩效评价的长期机制。</w:t>
            </w:r>
          </w:p>
          <w:p>
            <w:pPr>
              <w:spacing w:line="560" w:lineRule="exact"/>
              <w:ind w:firstLine="560" w:firstLineChars="200"/>
              <w:rPr>
                <w:rFonts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年   月   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spacing w:line="40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eastAsia="仿宋_GB2312"/>
                <w:sz w:val="30"/>
                <w:szCs w:val="30"/>
              </w:rPr>
            </w:pPr>
            <w:r>
              <w:rPr>
                <w:rFonts w:hint="eastAsia" w:eastAsia="仿宋_GB2312"/>
                <w:sz w:val="30"/>
                <w:szCs w:val="30"/>
              </w:rPr>
              <w:t>（一）项目基本概况</w:t>
            </w:r>
          </w:p>
          <w:p>
            <w:pPr>
              <w:spacing w:line="560" w:lineRule="exact"/>
              <w:ind w:firstLine="600" w:firstLineChars="200"/>
              <w:rPr>
                <w:rFonts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eastAsia="仿宋_GB2312"/>
                <w:sz w:val="30"/>
                <w:szCs w:val="30"/>
              </w:rPr>
            </w:pPr>
            <w:r>
              <w:rPr>
                <w:rFonts w:hint="eastAsia" w:eastAsia="仿宋_GB2312"/>
                <w:sz w:val="30"/>
                <w:szCs w:val="30"/>
              </w:rPr>
              <w:t>（三）项目组织实施情况</w:t>
            </w:r>
          </w:p>
          <w:p>
            <w:pPr>
              <w:spacing w:line="560" w:lineRule="exact"/>
              <w:ind w:firstLine="600" w:firstLineChars="200"/>
              <w:rPr>
                <w:rFonts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eastAsia="仿宋_GB2312"/>
                <w:sz w:val="30"/>
                <w:szCs w:val="30"/>
              </w:rPr>
            </w:pPr>
            <w:r>
              <w:rPr>
                <w:rFonts w:hint="eastAsia" w:eastAsia="仿宋_GB2312"/>
                <w:sz w:val="30"/>
                <w:szCs w:val="30"/>
              </w:rPr>
              <w:t>（五）项目主要绩效情况分析</w:t>
            </w:r>
          </w:p>
          <w:p>
            <w:pPr>
              <w:spacing w:line="560" w:lineRule="exact"/>
              <w:ind w:firstLine="600" w:firstLineChars="200"/>
              <w:rPr>
                <w:rFonts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9</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95CE6"/>
    <w:multiLevelType w:val="singleLevel"/>
    <w:tmpl w:val="DFF95CE6"/>
    <w:lvl w:ilvl="0" w:tentative="0">
      <w:start w:val="1"/>
      <w:numFmt w:val="decimal"/>
      <w:suff w:val="nothing"/>
      <w:lvlText w:val="%1、"/>
      <w:lvlJc w:val="left"/>
      <w:pPr>
        <w:ind w:left="560" w:firstLine="0"/>
      </w:pPr>
    </w:lvl>
  </w:abstractNum>
  <w:abstractNum w:abstractNumId="1">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2">
    <w:nsid w:val="007E4905"/>
    <w:multiLevelType w:val="singleLevel"/>
    <w:tmpl w:val="007E4905"/>
    <w:lvl w:ilvl="0" w:tentative="0">
      <w:start w:val="1"/>
      <w:numFmt w:val="decimal"/>
      <w:suff w:val="nothing"/>
      <w:lvlText w:val="%1、"/>
      <w:lvlJc w:val="left"/>
      <w:pPr>
        <w:ind w:left="21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Dc5YjMxMWU0ZTk5NDM5YjMxZTY4N2E3MDU0MjE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D564D22"/>
    <w:rsid w:val="138E735C"/>
    <w:rsid w:val="1B1537D2"/>
    <w:rsid w:val="2A815054"/>
    <w:rsid w:val="320F47CB"/>
    <w:rsid w:val="34CA1BB0"/>
    <w:rsid w:val="354B0B42"/>
    <w:rsid w:val="37C8688E"/>
    <w:rsid w:val="3D5B3034"/>
    <w:rsid w:val="4CA82A7F"/>
    <w:rsid w:val="5CBB16AB"/>
    <w:rsid w:val="675A3AF9"/>
    <w:rsid w:val="6CCB6CA9"/>
    <w:rsid w:val="7A1B5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99"/>
    <w:pPr>
      <w:ind w:firstLine="588" w:firstLineChars="200"/>
    </w:pPr>
    <w:rPr>
      <w:rFonts w:ascii="仿宋_GB2312" w:hAnsi="Calibri" w:eastAsia="仿宋_GB2312"/>
      <w:sz w:val="32"/>
    </w:rPr>
  </w:style>
  <w:style w:type="paragraph" w:styleId="3">
    <w:name w:val="Balloon Text"/>
    <w:basedOn w:val="1"/>
    <w:link w:val="16"/>
    <w:semiHidden/>
    <w:qFormat/>
    <w:uiPriority w:val="0"/>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0"/>
    <w:rPr>
      <w:sz w:val="18"/>
      <w:szCs w:val="18"/>
    </w:rPr>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Char"/>
    <w:basedOn w:val="7"/>
    <w:link w:val="2"/>
    <w:qFormat/>
    <w:uiPriority w:val="99"/>
    <w:rPr>
      <w:rFonts w:ascii="仿宋_GB2312" w:hAnsi="Calibri" w:eastAsia="仿宋_GB2312" w:cs="Times New Roman"/>
      <w:sz w:val="32"/>
      <w:szCs w:val="24"/>
    </w:rPr>
  </w:style>
  <w:style w:type="paragraph" w:customStyle="1" w:styleId="14">
    <w:name w:val="Char1"/>
    <w:basedOn w:val="1"/>
    <w:qFormat/>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Char"/>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25</Pages>
  <Words>9799</Words>
  <Characters>10197</Characters>
  <Lines>78</Lines>
  <Paragraphs>21</Paragraphs>
  <TotalTime>29</TotalTime>
  <ScaleCrop>false</ScaleCrop>
  <LinksUpToDate>false</LinksUpToDate>
  <CharactersWithSpaces>11359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Ⅴ＋勇</cp:lastModifiedBy>
  <dcterms:modified xsi:type="dcterms:W3CDTF">2022-08-18T08:08:38Z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7C46109B47994B23A9549275245AD60D</vt:lpwstr>
  </property>
</Properties>
</file>