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2022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岳阳市军用供应站</w:t>
      </w:r>
      <w:r>
        <w:rPr>
          <w:rFonts w:hint="eastAsia" w:ascii="方正小标宋简体" w:eastAsia="方正小标宋简体"/>
          <w:sz w:val="44"/>
          <w:szCs w:val="44"/>
        </w:rPr>
        <w:t>整体支出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绩效自评报告</w:t>
      </w:r>
    </w:p>
    <w:p>
      <w:pPr>
        <w:spacing w:before="156" w:beforeLines="50"/>
        <w:jc w:val="center"/>
        <w:rPr>
          <w:rFonts w:eastAsia="楷体_GB2312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720" w:firstLineChars="200"/>
        <w:jc w:val="center"/>
        <w:rPr>
          <w:rFonts w:hint="eastAsia" w:eastAsia="黑体"/>
          <w:sz w:val="36"/>
          <w:szCs w:val="36"/>
        </w:rPr>
      </w:pPr>
    </w:p>
    <w:p>
      <w:pPr>
        <w:ind w:firstLine="720" w:firstLineChars="200"/>
        <w:jc w:val="center"/>
        <w:rPr>
          <w:rFonts w:hint="eastAsia" w:eastAsia="黑体"/>
          <w:sz w:val="36"/>
          <w:szCs w:val="36"/>
        </w:rPr>
      </w:pPr>
    </w:p>
    <w:p>
      <w:pPr>
        <w:ind w:firstLine="720" w:firstLineChars="200"/>
        <w:jc w:val="center"/>
        <w:rPr>
          <w:rFonts w:hint="eastAsia" w:eastAsia="黑体"/>
          <w:sz w:val="36"/>
          <w:szCs w:val="36"/>
        </w:rPr>
      </w:pPr>
    </w:p>
    <w:p>
      <w:pPr>
        <w:ind w:firstLine="720" w:firstLineChars="200"/>
        <w:jc w:val="center"/>
        <w:rPr>
          <w:rFonts w:hint="eastAsia" w:eastAsia="黑体"/>
          <w:sz w:val="36"/>
          <w:szCs w:val="36"/>
        </w:rPr>
      </w:pPr>
    </w:p>
    <w:p>
      <w:pPr>
        <w:jc w:val="both"/>
        <w:rPr>
          <w:rFonts w:hint="eastAsia" w:eastAsia="黑体"/>
          <w:sz w:val="36"/>
          <w:szCs w:val="36"/>
        </w:rPr>
      </w:pPr>
    </w:p>
    <w:p>
      <w:pPr>
        <w:jc w:val="both"/>
        <w:rPr>
          <w:rFonts w:hint="eastAsia" w:eastAsia="黑体"/>
          <w:sz w:val="36"/>
          <w:szCs w:val="36"/>
        </w:rPr>
      </w:pPr>
    </w:p>
    <w:p>
      <w:pPr>
        <w:jc w:val="center"/>
        <w:rPr>
          <w:rFonts w:hint="eastAsia" w:eastAsia="黑体"/>
          <w:sz w:val="36"/>
          <w:szCs w:val="36"/>
          <w:lang w:eastAsia="zh-CN"/>
        </w:rPr>
      </w:pPr>
      <w:r>
        <w:rPr>
          <w:rFonts w:hint="eastAsia" w:eastAsia="黑体"/>
          <w:sz w:val="36"/>
          <w:szCs w:val="36"/>
        </w:rPr>
        <w:t>单位名称（盖章）：</w:t>
      </w:r>
      <w:r>
        <w:rPr>
          <w:rFonts w:hint="eastAsia" w:eastAsia="黑体"/>
          <w:sz w:val="36"/>
          <w:szCs w:val="36"/>
          <w:lang w:eastAsia="zh-CN"/>
        </w:rPr>
        <w:t>岳阳市军用供应站</w:t>
      </w:r>
    </w:p>
    <w:p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36"/>
          <w:szCs w:val="36"/>
          <w:lang w:val="en-US" w:eastAsia="zh-CN"/>
        </w:rPr>
        <w:t>2023年7月12日</w:t>
      </w:r>
    </w:p>
    <w:p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2022年度岳阳市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军用供应站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整体支出绩效自评报告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部门（单位）基本情况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（一）职能职责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负责成批过往部队、入伍新兵和退伍老兵、支前民兵、民工运输途中的饮食供应保障工作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组织开展军用饮食供应业务训练。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负责提出军供站设施改（扩）建、维修计划和设备添置计划，并组织实施。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统计分析军用饮食供应任务完成情况，总结改进军用饮食供应工作。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负责为过往部队提供军供保障和中转休息服务，承担军供物资、器材采购任务，并在战时协助部队完成集结与疏散任务。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负责加强与铁路、交通、物资、卫生、公安、财政、通信、电力、供水等相关单位的联络，建立军地联合保障机制。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负责做好过往部队官兵、武器装备在军供期间的安全保卫工作。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完成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上级赋予的其他任务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机构设置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军供站编制隶属于市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退役军人事务</w:t>
      </w:r>
      <w:r>
        <w:rPr>
          <w:rFonts w:hint="eastAsia" w:ascii="仿宋" w:hAnsi="仿宋" w:eastAsia="仿宋" w:cs="仿宋"/>
          <w:sz w:val="32"/>
          <w:szCs w:val="32"/>
        </w:rPr>
        <w:t>局，为正科级全额拨款事业单位，业务上受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南部</w:t>
      </w:r>
      <w:r>
        <w:rPr>
          <w:rFonts w:hint="eastAsia" w:ascii="仿宋" w:hAnsi="仿宋" w:eastAsia="仿宋" w:cs="仿宋"/>
          <w:sz w:val="32"/>
          <w:szCs w:val="32"/>
        </w:rPr>
        <w:t>战区军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事运输投送中心</w:t>
      </w:r>
      <w:r>
        <w:rPr>
          <w:rFonts w:hint="eastAsia" w:ascii="仿宋" w:hAnsi="仿宋" w:eastAsia="仿宋" w:cs="仿宋"/>
          <w:sz w:val="32"/>
          <w:szCs w:val="32"/>
        </w:rPr>
        <w:t>及驻省军代部门指导。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下设办公室、财务部、军供保障部、装备维护部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4个职能部室，</w:t>
      </w:r>
      <w:r>
        <w:rPr>
          <w:rFonts w:hint="eastAsia" w:ascii="仿宋" w:hAnsi="仿宋" w:eastAsia="仿宋" w:cs="仿宋"/>
          <w:sz w:val="32"/>
          <w:szCs w:val="32"/>
        </w:rPr>
        <w:t>现有在编干部职工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人，占地面积为18164.5平方米，建筑面积4850.66平方米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市政府支前组织机构和战备设施</w:t>
      </w:r>
      <w:r>
        <w:rPr>
          <w:rFonts w:hint="eastAsia" w:ascii="仿宋" w:hAnsi="仿宋" w:eastAsia="仿宋" w:cs="仿宋"/>
          <w:sz w:val="32"/>
          <w:szCs w:val="32"/>
        </w:rPr>
        <w:t>，主要担负着京广铁路沿线过往部队的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后勤保障</w:t>
      </w:r>
      <w:r>
        <w:rPr>
          <w:rFonts w:hint="eastAsia" w:ascii="仿宋" w:hAnsi="仿宋" w:eastAsia="仿宋" w:cs="仿宋"/>
          <w:sz w:val="32"/>
          <w:szCs w:val="32"/>
        </w:rPr>
        <w:t>任务。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一般公共预算支出情况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基本支出情况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我单位本年度总支出为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244.37</w:t>
      </w:r>
      <w:r>
        <w:rPr>
          <w:rFonts w:hint="eastAsia" w:ascii="仿宋" w:hAnsi="仿宋" w:eastAsia="仿宋" w:cs="仿宋"/>
          <w:sz w:val="32"/>
          <w:szCs w:val="32"/>
        </w:rPr>
        <w:t>万元，其中基本支出为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234.37</w:t>
      </w:r>
      <w:r>
        <w:rPr>
          <w:rFonts w:hint="eastAsia" w:ascii="仿宋" w:hAnsi="仿宋" w:eastAsia="仿宋" w:cs="仿宋"/>
          <w:sz w:val="32"/>
          <w:szCs w:val="32"/>
        </w:rPr>
        <w:t>万元，占支出总额的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95.9</w:t>
      </w:r>
      <w:r>
        <w:rPr>
          <w:rFonts w:hint="eastAsia" w:ascii="仿宋" w:hAnsi="仿宋" w:eastAsia="仿宋" w:cs="仿宋"/>
          <w:sz w:val="32"/>
          <w:szCs w:val="32"/>
        </w:rPr>
        <w:t>%。我单位本年度基本支出中人员经费支出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134.4</w:t>
      </w:r>
      <w:r>
        <w:rPr>
          <w:rFonts w:hint="eastAsia" w:ascii="仿宋" w:hAnsi="仿宋" w:eastAsia="仿宋" w:cs="仿宋"/>
          <w:sz w:val="32"/>
          <w:szCs w:val="32"/>
        </w:rPr>
        <w:t>万元，占比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57.34</w:t>
      </w:r>
      <w:r>
        <w:rPr>
          <w:rFonts w:hint="eastAsia" w:ascii="仿宋" w:hAnsi="仿宋" w:eastAsia="仿宋" w:cs="仿宋"/>
          <w:sz w:val="32"/>
          <w:szCs w:val="32"/>
        </w:rPr>
        <w:t>%；公用经费支出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23.47</w:t>
      </w:r>
      <w:r>
        <w:rPr>
          <w:rFonts w:hint="eastAsia" w:ascii="仿宋" w:hAnsi="仿宋" w:eastAsia="仿宋" w:cs="仿宋"/>
          <w:sz w:val="32"/>
          <w:szCs w:val="32"/>
        </w:rPr>
        <w:t>万元，占比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%。主要是用于开支我单位职工基本工资福利、对个人和家庭的补助、商品和服务支出等费用。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项目支出情况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我单位本年度总支出为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244.37</w:t>
      </w:r>
      <w:r>
        <w:rPr>
          <w:rFonts w:hint="eastAsia" w:ascii="仿宋" w:hAnsi="仿宋" w:eastAsia="仿宋" w:cs="仿宋"/>
          <w:sz w:val="32"/>
          <w:szCs w:val="32"/>
        </w:rPr>
        <w:t>万元，其中项目支出为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万元，占支出总额的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4.09</w:t>
      </w:r>
      <w:r>
        <w:rPr>
          <w:rFonts w:hint="eastAsia" w:ascii="仿宋" w:hAnsi="仿宋" w:eastAsia="仿宋" w:cs="仿宋"/>
          <w:sz w:val="32"/>
          <w:szCs w:val="32"/>
        </w:rPr>
        <w:t>%。主要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用于过往部队饮食饮水供应及中转住宿保障任务、基础设施改造及设备添置</w:t>
      </w:r>
      <w:r>
        <w:rPr>
          <w:rFonts w:hint="eastAsia" w:ascii="仿宋" w:hAnsi="仿宋" w:eastAsia="仿宋" w:cs="仿宋"/>
          <w:sz w:val="32"/>
          <w:szCs w:val="32"/>
        </w:rPr>
        <w:t>等项目开支。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政府性基金预算支出情况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我单位本年度无政府性基金安排的预算收入与支出，所以无政府性基金预算支出情况表。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国有资本经营预算支出情况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我单位本年度无国有资本经营安排的预算收入与支出，所以无国有资本经营预算支出情况表。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社会保险基金预算支出情况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我单位本年度无社会保险基金预算安排的收入与支出，所以无社会保险基金预算支出情况表。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部门整体支出绩效情况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我单位本年度在市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重视</w:t>
      </w:r>
      <w:r>
        <w:rPr>
          <w:rFonts w:hint="eastAsia" w:ascii="仿宋" w:hAnsi="仿宋" w:eastAsia="仿宋" w:cs="仿宋"/>
          <w:sz w:val="32"/>
          <w:szCs w:val="32"/>
        </w:rPr>
        <w:t>下，我单位成立了预算绩效领导工作小组，分管财务领导任组长。按照要求，认真组织开展我单位的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部门整体</w:t>
      </w:r>
      <w:r>
        <w:rPr>
          <w:rFonts w:hint="eastAsia" w:ascii="仿宋" w:hAnsi="仿宋" w:eastAsia="仿宋" w:cs="仿宋"/>
          <w:sz w:val="32"/>
          <w:szCs w:val="32"/>
        </w:rPr>
        <w:t>预算绩效工作。</w:t>
      </w:r>
    </w:p>
    <w:p>
      <w:pPr>
        <w:numPr>
          <w:ilvl w:val="0"/>
          <w:numId w:val="0"/>
        </w:numPr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收入支出预算安排情况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本年度我单位年初预算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收入安排为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244.37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万元，与上年相比增加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24.86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%，主要是本年度财政足额安排职工伙食补助费等人员经费开支。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本年度我单位年初预算支出安排为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244.37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万元，与上年相比增加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24.86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%，主要是本年度</w:t>
      </w:r>
      <w:r>
        <w:rPr>
          <w:rFonts w:hint="eastAsia" w:ascii="仿宋" w:hAnsi="仿宋" w:eastAsia="仿宋" w:cs="仿宋"/>
          <w:sz w:val="32"/>
          <w:szCs w:val="32"/>
        </w:rPr>
        <w:t>财政足额安排职工伙食补助费等人员经费开支。</w:t>
      </w:r>
    </w:p>
    <w:p>
      <w:pPr>
        <w:numPr>
          <w:ilvl w:val="0"/>
          <w:numId w:val="0"/>
        </w:numPr>
        <w:ind w:leftChars="0" w:firstLine="320" w:firstLineChars="1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收入支出预算执行情况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本年度我单位收入与支出预算执行均为100%，与去年相比保持一致。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收入支出与预算对比分析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我单位一般公共服务支出预算安排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244.37</w:t>
      </w:r>
      <w:r>
        <w:rPr>
          <w:rFonts w:hint="eastAsia" w:ascii="仿宋" w:hAnsi="仿宋" w:eastAsia="仿宋" w:cs="仿宋"/>
          <w:sz w:val="32"/>
          <w:szCs w:val="32"/>
        </w:rPr>
        <w:t>万元，决算支出数为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347.71</w:t>
      </w:r>
      <w:r>
        <w:rPr>
          <w:rFonts w:hint="eastAsia" w:ascii="仿宋" w:hAnsi="仿宋" w:eastAsia="仿宋" w:cs="仿宋"/>
          <w:sz w:val="32"/>
          <w:szCs w:val="32"/>
        </w:rPr>
        <w:t>万元，主要是财政追加拨付人员经费差额部分以及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基础设施改造及设备添置</w:t>
      </w:r>
      <w:r>
        <w:rPr>
          <w:rFonts w:hint="eastAsia" w:ascii="仿宋" w:hAnsi="仿宋" w:eastAsia="仿宋" w:cs="仿宋"/>
          <w:sz w:val="32"/>
          <w:szCs w:val="32"/>
        </w:rPr>
        <w:t>等；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我单位社会保障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缴费</w:t>
      </w:r>
      <w:r>
        <w:rPr>
          <w:rFonts w:hint="eastAsia" w:ascii="仿宋" w:hAnsi="仿宋" w:eastAsia="仿宋" w:cs="仿宋"/>
          <w:sz w:val="32"/>
          <w:szCs w:val="32"/>
        </w:rPr>
        <w:t>支出预算安排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23.9</w:t>
      </w:r>
      <w:r>
        <w:rPr>
          <w:rFonts w:hint="eastAsia" w:ascii="仿宋" w:hAnsi="仿宋" w:eastAsia="仿宋" w:cs="仿宋"/>
          <w:sz w:val="32"/>
          <w:szCs w:val="32"/>
        </w:rPr>
        <w:t>万元，决算支出数为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23.9</w:t>
      </w:r>
      <w:r>
        <w:rPr>
          <w:rFonts w:hint="eastAsia" w:ascii="仿宋" w:hAnsi="仿宋" w:eastAsia="仿宋" w:cs="仿宋"/>
          <w:sz w:val="32"/>
          <w:szCs w:val="32"/>
        </w:rPr>
        <w:t>万元，无较大差额；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国家规定津补贴</w:t>
      </w:r>
      <w:r>
        <w:rPr>
          <w:rFonts w:hint="eastAsia" w:ascii="仿宋" w:hAnsi="仿宋" w:eastAsia="仿宋" w:cs="仿宋"/>
          <w:sz w:val="32"/>
          <w:szCs w:val="32"/>
        </w:rPr>
        <w:t>支出预算安排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0.25</w:t>
      </w:r>
      <w:r>
        <w:rPr>
          <w:rFonts w:hint="eastAsia" w:ascii="仿宋" w:hAnsi="仿宋" w:eastAsia="仿宋" w:cs="仿宋"/>
          <w:sz w:val="32"/>
          <w:szCs w:val="32"/>
        </w:rPr>
        <w:t>万元，决算支出数为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0.25</w:t>
      </w:r>
      <w:r>
        <w:rPr>
          <w:rFonts w:hint="eastAsia" w:ascii="仿宋" w:hAnsi="仿宋" w:eastAsia="仿宋" w:cs="仿宋"/>
          <w:sz w:val="32"/>
          <w:szCs w:val="32"/>
        </w:rPr>
        <w:t>万元，主要是财政拨付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卫生费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我单位住房保障支出预算安排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11.84</w:t>
      </w:r>
      <w:r>
        <w:rPr>
          <w:rFonts w:hint="eastAsia" w:ascii="仿宋" w:hAnsi="仿宋" w:eastAsia="仿宋" w:cs="仿宋"/>
          <w:sz w:val="32"/>
          <w:szCs w:val="32"/>
        </w:rPr>
        <w:t>万元，决算支出数为0万元，主要是财政代付住房公积金单位部分；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收入支出结构分析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本年度我单位收入总额为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347.71</w:t>
      </w:r>
      <w:r>
        <w:rPr>
          <w:rFonts w:hint="eastAsia" w:ascii="仿宋" w:hAnsi="仿宋" w:eastAsia="仿宋" w:cs="仿宋"/>
          <w:sz w:val="32"/>
          <w:szCs w:val="32"/>
        </w:rPr>
        <w:t>万元，与上年相比增加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6.76</w:t>
      </w:r>
      <w:r>
        <w:rPr>
          <w:rFonts w:hint="eastAsia" w:ascii="仿宋" w:hAnsi="仿宋" w:eastAsia="仿宋" w:cs="仿宋"/>
          <w:sz w:val="32"/>
          <w:szCs w:val="32"/>
        </w:rPr>
        <w:t>%，主要是本年度收到财政拨付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人员增加经费以及基础设施改造及设备添置</w:t>
      </w:r>
      <w:r>
        <w:rPr>
          <w:rFonts w:hint="eastAsia" w:ascii="仿宋" w:hAnsi="仿宋" w:eastAsia="仿宋" w:cs="仿宋"/>
          <w:sz w:val="32"/>
          <w:szCs w:val="32"/>
        </w:rPr>
        <w:t>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23.52</w:t>
      </w:r>
      <w:r>
        <w:rPr>
          <w:rFonts w:hint="eastAsia" w:ascii="仿宋" w:hAnsi="仿宋" w:eastAsia="仿宋" w:cs="仿宋"/>
          <w:sz w:val="32"/>
          <w:szCs w:val="32"/>
        </w:rPr>
        <w:t>万元等。其中财政拨款收入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325.39</w:t>
      </w:r>
      <w:r>
        <w:rPr>
          <w:rFonts w:hint="eastAsia" w:ascii="仿宋" w:hAnsi="仿宋" w:eastAsia="仿宋" w:cs="仿宋"/>
          <w:sz w:val="32"/>
          <w:szCs w:val="32"/>
        </w:rPr>
        <w:t>万元，占比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93.58</w:t>
      </w:r>
      <w:r>
        <w:rPr>
          <w:rFonts w:hint="eastAsia" w:ascii="仿宋" w:hAnsi="仿宋" w:eastAsia="仿宋" w:cs="仿宋"/>
          <w:sz w:val="32"/>
          <w:szCs w:val="32"/>
        </w:rPr>
        <w:t>%,其他收入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22.32</w:t>
      </w:r>
      <w:r>
        <w:rPr>
          <w:rFonts w:hint="eastAsia" w:ascii="仿宋" w:hAnsi="仿宋" w:eastAsia="仿宋" w:cs="仿宋"/>
          <w:sz w:val="32"/>
          <w:szCs w:val="32"/>
        </w:rPr>
        <w:t>万元，占比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6.42</w:t>
      </w:r>
      <w:r>
        <w:rPr>
          <w:rFonts w:hint="eastAsia" w:ascii="仿宋" w:hAnsi="仿宋" w:eastAsia="仿宋" w:cs="仿宋"/>
          <w:sz w:val="32"/>
          <w:szCs w:val="32"/>
        </w:rPr>
        <w:t>%.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本年度我单位支出总额为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347.71</w:t>
      </w:r>
      <w:r>
        <w:rPr>
          <w:rFonts w:hint="eastAsia" w:ascii="仿宋" w:hAnsi="仿宋" w:eastAsia="仿宋" w:cs="仿宋"/>
          <w:sz w:val="32"/>
          <w:szCs w:val="32"/>
        </w:rPr>
        <w:t>万元，与上年相比增加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6.76</w:t>
      </w:r>
      <w:r>
        <w:rPr>
          <w:rFonts w:hint="eastAsia" w:ascii="仿宋" w:hAnsi="仿宋" w:eastAsia="仿宋" w:cs="仿宋"/>
          <w:sz w:val="32"/>
          <w:szCs w:val="32"/>
        </w:rPr>
        <w:t>%，主要是本年度收到财政拨付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人员增加经费以及基础设施改造及设备添置</w:t>
      </w:r>
      <w:r>
        <w:rPr>
          <w:rFonts w:hint="eastAsia" w:ascii="仿宋" w:hAnsi="仿宋" w:eastAsia="仿宋" w:cs="仿宋"/>
          <w:sz w:val="32"/>
          <w:szCs w:val="32"/>
        </w:rPr>
        <w:t>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23.52</w:t>
      </w:r>
      <w:r>
        <w:rPr>
          <w:rFonts w:hint="eastAsia" w:ascii="仿宋" w:hAnsi="仿宋" w:eastAsia="仿宋" w:cs="仿宋"/>
          <w:sz w:val="32"/>
          <w:szCs w:val="32"/>
        </w:rPr>
        <w:t>万元等。其中财政拨款收入支出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325.39</w:t>
      </w:r>
      <w:r>
        <w:rPr>
          <w:rFonts w:hint="eastAsia" w:ascii="仿宋" w:hAnsi="仿宋" w:eastAsia="仿宋" w:cs="仿宋"/>
          <w:sz w:val="32"/>
          <w:szCs w:val="32"/>
        </w:rPr>
        <w:t>万元，占比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93.58</w:t>
      </w:r>
      <w:r>
        <w:rPr>
          <w:rFonts w:hint="eastAsia" w:ascii="仿宋" w:hAnsi="仿宋" w:eastAsia="仿宋" w:cs="仿宋"/>
          <w:sz w:val="32"/>
          <w:szCs w:val="32"/>
        </w:rPr>
        <w:t>%，其他收入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22.32</w:t>
      </w:r>
      <w:r>
        <w:rPr>
          <w:rFonts w:hint="eastAsia" w:ascii="仿宋" w:hAnsi="仿宋" w:eastAsia="仿宋" w:cs="仿宋"/>
          <w:sz w:val="32"/>
          <w:szCs w:val="32"/>
        </w:rPr>
        <w:t>万元，占比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6.42</w:t>
      </w:r>
      <w:r>
        <w:rPr>
          <w:rFonts w:hint="eastAsia" w:ascii="仿宋" w:hAnsi="仿宋" w:eastAsia="仿宋" w:cs="仿宋"/>
          <w:sz w:val="32"/>
          <w:szCs w:val="32"/>
        </w:rPr>
        <w:t>%.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支出按经济分类科目分析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）“三公”</w:t>
      </w:r>
      <w:r>
        <w:rPr>
          <w:rFonts w:hint="eastAsia" w:ascii="仿宋" w:hAnsi="仿宋" w:eastAsia="仿宋" w:cs="仿宋"/>
          <w:sz w:val="32"/>
          <w:szCs w:val="32"/>
        </w:rPr>
        <w:t>经费支出情况：本年度我单位使用财政拨款收入支付的三公经费总额为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2.28</w:t>
      </w:r>
      <w:r>
        <w:rPr>
          <w:rFonts w:hint="eastAsia" w:ascii="仿宋" w:hAnsi="仿宋" w:eastAsia="仿宋" w:cs="仿宋"/>
          <w:sz w:val="32"/>
          <w:szCs w:val="32"/>
        </w:rPr>
        <w:t>万元，与去年相比，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</w:rPr>
        <w:t>56.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%，主要是我单位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公务用车运行维护费增加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会议费支出情况：本年度我单位会议费支出总额为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万元，与去年相比减少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培训费支出情况：本年度我单位培训费支出总额为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0.04</w:t>
      </w:r>
      <w:r>
        <w:rPr>
          <w:rFonts w:hint="eastAsia" w:ascii="仿宋" w:hAnsi="仿宋" w:eastAsia="仿宋" w:cs="仿宋"/>
          <w:sz w:val="32"/>
          <w:szCs w:val="32"/>
        </w:rPr>
        <w:t>万元，与去年相比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%，主要是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用于单位职工业务培训</w:t>
      </w:r>
      <w:r>
        <w:rPr>
          <w:rFonts w:hint="eastAsia" w:ascii="仿宋" w:hAnsi="仿宋" w:eastAsia="仿宋" w:cs="仿宋"/>
          <w:sz w:val="32"/>
          <w:szCs w:val="32"/>
        </w:rPr>
        <w:t>支出。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财政拨款收入、支出分析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本年度我单位财政拨款收入及支出总额均为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325.39</w:t>
      </w:r>
      <w:r>
        <w:rPr>
          <w:rFonts w:hint="eastAsia" w:ascii="仿宋" w:hAnsi="仿宋" w:eastAsia="仿宋" w:cs="仿宋"/>
          <w:sz w:val="32"/>
          <w:szCs w:val="32"/>
        </w:rPr>
        <w:t>万元，无财政拨款结转。其中基本支出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270.35</w:t>
      </w:r>
      <w:r>
        <w:rPr>
          <w:rFonts w:hint="eastAsia" w:ascii="仿宋" w:hAnsi="仿宋" w:eastAsia="仿宋" w:cs="仿宋"/>
          <w:sz w:val="32"/>
          <w:szCs w:val="32"/>
        </w:rPr>
        <w:t>万元，主要是职工工资福利及公用经费开支等；项目支出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55.04</w:t>
      </w:r>
      <w:r>
        <w:rPr>
          <w:rFonts w:hint="eastAsia" w:ascii="仿宋" w:hAnsi="仿宋" w:eastAsia="仿宋" w:cs="仿宋"/>
          <w:sz w:val="32"/>
          <w:szCs w:val="32"/>
        </w:rPr>
        <w:t>万元，主要是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军供站维修维护改造款</w:t>
      </w:r>
      <w:r>
        <w:rPr>
          <w:rFonts w:hint="eastAsia" w:ascii="仿宋" w:hAnsi="仿宋" w:eastAsia="仿宋" w:cs="仿宋"/>
          <w:sz w:val="32"/>
          <w:szCs w:val="32"/>
        </w:rPr>
        <w:t>等。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非财政拨款收入分析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本年度我单位非财政拨款收入为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年末结转和结余情况我单位本年度无年末结转结余。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其他需要说明的情况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我单位年初预算下达时，项目支出包含了伙食补助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经费</w:t>
      </w:r>
      <w:r>
        <w:rPr>
          <w:rFonts w:hint="eastAsia" w:ascii="仿宋" w:hAnsi="仿宋" w:eastAsia="仿宋" w:cs="仿宋"/>
          <w:sz w:val="32"/>
          <w:szCs w:val="32"/>
        </w:rPr>
        <w:t>、工会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经费</w:t>
      </w:r>
      <w:r>
        <w:rPr>
          <w:rFonts w:hint="eastAsia" w:ascii="仿宋" w:hAnsi="仿宋" w:eastAsia="仿宋" w:cs="仿宋"/>
          <w:sz w:val="32"/>
          <w:szCs w:val="32"/>
        </w:rPr>
        <w:t>、物业补贴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经费</w:t>
      </w:r>
      <w:r>
        <w:rPr>
          <w:rFonts w:hint="eastAsia" w:ascii="仿宋" w:hAnsi="仿宋" w:eastAsia="仿宋" w:cs="仿宋"/>
          <w:sz w:val="32"/>
          <w:szCs w:val="32"/>
        </w:rPr>
        <w:t>等，由于结合实际开展发生经济业务进行分析，该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开支的均为我单位职工工资福利类支出以及日常公用经费类支出，因此在本年度归口统计时纳入了基本支出进行统计。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存在的问题及原因分析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系统使用不熟练。</w:t>
      </w:r>
      <w:r>
        <w:rPr>
          <w:rFonts w:hint="eastAsia" w:ascii="仿宋" w:hAnsi="仿宋" w:eastAsia="仿宋" w:cs="仿宋"/>
          <w:sz w:val="32"/>
          <w:szCs w:val="32"/>
        </w:rPr>
        <w:t>近段时间以来，按照财政要求，我单位使用预算一体化系统开始进行预算的编制与执行，由于系统新上线，人员业务熟练度不够，系统稳定性不够，后台公式变化性较大，部分业务开展比较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缓慢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预算编制不精准。</w:t>
      </w:r>
      <w:r>
        <w:rPr>
          <w:rFonts w:hint="eastAsia" w:ascii="仿宋" w:hAnsi="仿宋" w:eastAsia="仿宋" w:cs="仿宋"/>
          <w:sz w:val="32"/>
          <w:szCs w:val="32"/>
        </w:rPr>
        <w:t>由于我单位除了财政拨款资金外，有一部分其他资金的收支。年初进行预算编制以及年中使用预算一体化系统执行相关操作时，由于年初部门经济科目编制不够完善，导致预算执行不够一致。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下一步改进措施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协作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加强各部门协作、社会参与机制，整合社会资源，优化社会资源配置，建立监督机制，加大奖惩力度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加强培训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加强各部门的队伍建设和业务指导，培养部门的绩效管理队伍，建立绩效评价的长期机制。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sz w:val="32"/>
          <w:szCs w:val="32"/>
        </w:rPr>
        <w:t>部门整体支出绩效自评结果拟应用和公开情况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我单位按照要求及时主动将相关资料公开在部门网址及政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府</w:t>
      </w:r>
      <w:r>
        <w:rPr>
          <w:rFonts w:hint="eastAsia" w:ascii="仿宋" w:hAnsi="仿宋" w:eastAsia="仿宋" w:cs="仿宋"/>
          <w:sz w:val="32"/>
          <w:szCs w:val="32"/>
        </w:rPr>
        <w:t>门户网站专栏中。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其他需要说明的情况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</w:p>
    <w:p>
      <w:pPr>
        <w:numPr>
          <w:numId w:val="0"/>
        </w:numPr>
        <w:ind w:firstLine="1280" w:firstLineChars="4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无</w:t>
      </w:r>
    </w:p>
    <w:p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>
      <w:pPr>
        <w:jc w:val="center"/>
        <w:rPr>
          <w:rFonts w:hint="eastAsia" w:eastAsia="黑体"/>
          <w:sz w:val="36"/>
          <w:szCs w:val="36"/>
          <w:lang w:val="en-US" w:eastAsia="zh-CN"/>
        </w:rPr>
      </w:pPr>
    </w:p>
    <w:p>
      <w:pPr>
        <w:spacing w:line="56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部门整体支出绩效评价基础数据表</w:t>
      </w:r>
    </w:p>
    <w:p>
      <w:pPr>
        <w:spacing w:line="560" w:lineRule="exact"/>
        <w:jc w:val="center"/>
        <w:rPr>
          <w:rFonts w:eastAsia="方正小标宋简体"/>
          <w:kern w:val="0"/>
          <w:sz w:val="36"/>
          <w:szCs w:val="36"/>
        </w:rPr>
      </w:pPr>
    </w:p>
    <w:tbl>
      <w:tblPr>
        <w:tblStyle w:val="4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5"/>
        <w:gridCol w:w="1189"/>
        <w:gridCol w:w="849"/>
        <w:gridCol w:w="1129"/>
        <w:gridCol w:w="1111"/>
        <w:gridCol w:w="969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财政供养人员情况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年实际在职人数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16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经费控制情况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年预算数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eastAsia="仿宋_GB2312"/>
                <w:b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年决算数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 w:bidi="ar-SA"/>
              </w:rPr>
              <w:t>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2.2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2.2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0.08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18.9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3、市级专项资金</w:t>
            </w:r>
          </w:p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4、其他事业类发展资金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20" w:leftChars="200" w:firstLine="0" w:firstLineChars="0"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5、特定目标类项目——过往部队接待补助及军供设备维修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18.9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3.8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3.8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其中：办公费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楼堂馆所控制情况</w:t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>（2019年完工项目）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批复规模</w:t>
            </w:r>
            <w:r>
              <w:rPr>
                <w:rFonts w:eastAsia="仿宋_GB2312"/>
                <w:bCs/>
                <w:kern w:val="0"/>
                <w:szCs w:val="21"/>
              </w:rPr>
              <w:br w:type="textWrapping"/>
            </w:r>
            <w:r>
              <w:rPr>
                <w:rFonts w:eastAsia="仿宋_GB2312"/>
                <w:bCs/>
                <w:kern w:val="0"/>
                <w:szCs w:val="21"/>
              </w:rPr>
              <w:t>（</w:t>
            </w:r>
            <w:r>
              <w:rPr>
                <w:rFonts w:eastAsia="Batang"/>
                <w:bCs/>
                <w:kern w:val="0"/>
                <w:szCs w:val="21"/>
              </w:rPr>
              <w:t>㎡</w:t>
            </w:r>
            <w:r>
              <w:rPr>
                <w:rFonts w:eastAsia="仿宋_GB2312"/>
                <w:bCs/>
                <w:kern w:val="0"/>
                <w:szCs w:val="21"/>
              </w:rPr>
              <w:t>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实际规模（</w:t>
            </w:r>
            <w:r>
              <w:rPr>
                <w:rFonts w:eastAsia="Batang"/>
                <w:bCs/>
                <w:kern w:val="0"/>
                <w:szCs w:val="21"/>
              </w:rPr>
              <w:t>㎡</w:t>
            </w:r>
            <w:r>
              <w:rPr>
                <w:rFonts w:eastAsia="仿宋_GB2312"/>
                <w:bCs/>
                <w:kern w:val="0"/>
                <w:szCs w:val="21"/>
              </w:rPr>
              <w:t>）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规模控制率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预算投资（万元）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实际投资（万元）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投资概算控制率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厉行节约保障措施</w:t>
            </w:r>
          </w:p>
        </w:tc>
        <w:tc>
          <w:tcPr>
            <w:tcW w:w="6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加强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科室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协作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建立监督机制，加大奖惩力度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</w:tbl>
    <w:p>
      <w:pPr>
        <w:spacing w:line="360" w:lineRule="exact"/>
        <w:rPr>
          <w:rFonts w:ascii="黑体" w:hAnsi="黑体" w:eastAsia="黑体"/>
          <w:sz w:val="32"/>
          <w:szCs w:val="32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  <w:r>
        <w:rPr>
          <w:rFonts w:eastAsia="仿宋_GB2312"/>
          <w:kern w:val="0"/>
          <w:sz w:val="22"/>
        </w:rPr>
        <w:br w:type="page"/>
      </w:r>
    </w:p>
    <w:p>
      <w:pPr>
        <w:widowControl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部门整体支出绩效自评表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hint="eastAsia"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2022</w:t>
      </w:r>
      <w:r>
        <w:rPr>
          <w:rFonts w:hint="eastAsia" w:eastAsia="仿宋_GB2312"/>
          <w:color w:val="000000"/>
          <w:kern w:val="0"/>
          <w:szCs w:val="21"/>
        </w:rPr>
        <w:t>年度）</w:t>
      </w:r>
    </w:p>
    <w:tbl>
      <w:tblPr>
        <w:tblStyle w:val="4"/>
        <w:tblW w:w="10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116"/>
        <w:gridCol w:w="1246"/>
        <w:gridCol w:w="1408"/>
        <w:gridCol w:w="921"/>
        <w:gridCol w:w="776"/>
        <w:gridCol w:w="893"/>
        <w:gridCol w:w="696"/>
        <w:gridCol w:w="76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预算部门名称</w:t>
            </w:r>
          </w:p>
        </w:tc>
        <w:tc>
          <w:tcPr>
            <w:tcW w:w="96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岳阳市军用供应站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244.37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244.37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244.37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244.37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szCs w:val="21"/>
                <w:lang w:val="en-US" w:eastAsia="zh-CN"/>
              </w:rPr>
              <w:t>244.37</w:t>
            </w: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234.37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1、高质量保障过往部队饮食、饮水供应，确保部队满意。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2、及时更新设施设备，优质快速供应水平不断提升。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3、厉行节约，合理使用财政资金。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4、受到过往部队官兵、上级部门及军代处领导一致好评。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保质保量全部完成。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过往部队饮食饮水供应及中转住宿保障任务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定量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基础设施改造及设备添置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定量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3.6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  <w:t>按计划添置设备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落实军供站现代化建设各项标准及要求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定量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99%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  <w:t>按要求整改落实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保障资金安全及时使用到位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定量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资金指标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2022年底按计划使用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定量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6.65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  <w:t>　按计划合理使用资金指标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工作进度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2022年度完结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定量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合理使用财政下拨资金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定量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厉行节约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定量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经济使用效率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定量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过往部队官兵好评率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定量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上级部门及军代处领导好评率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定量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食品安全，节能减排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定量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优化供应环境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定性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  <w:t>加强供应环境整治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消除安全隐患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定性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  <w:t>定期开展安全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val="en-US" w:eastAsia="zh-CN"/>
              </w:rPr>
              <w:t>隐患检查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让途经岳阳部队官兵对我站提供的服务给予充分肯定和高度评价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定量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74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98.55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spacing w:line="2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widowControl/>
        <w:spacing w:line="600" w:lineRule="exact"/>
        <w:jc w:val="center"/>
        <w:rPr>
          <w:rFonts w:hint="eastAsia" w:ascii="方正小标宋简体" w:eastAsia="方正小标宋简体"/>
          <w:color w:val="000000"/>
          <w:kern w:val="0"/>
          <w:sz w:val="42"/>
          <w:szCs w:val="42"/>
        </w:rPr>
      </w:pPr>
      <w:r>
        <w:rPr>
          <w:rFonts w:hint="eastAsia" w:ascii="方正小标宋简体" w:eastAsia="方正小标宋简体"/>
          <w:color w:val="000000"/>
          <w:kern w:val="0"/>
          <w:sz w:val="42"/>
          <w:szCs w:val="42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hint="eastAsia"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2022</w:t>
      </w:r>
      <w:r>
        <w:rPr>
          <w:rFonts w:hint="eastAsia" w:eastAsia="仿宋_GB2312"/>
          <w:color w:val="000000"/>
          <w:kern w:val="0"/>
          <w:szCs w:val="21"/>
        </w:rPr>
        <w:t>年度）</w:t>
      </w:r>
    </w:p>
    <w:tbl>
      <w:tblPr>
        <w:tblStyle w:val="4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163"/>
        <w:gridCol w:w="1087"/>
        <w:gridCol w:w="2038"/>
        <w:gridCol w:w="987"/>
        <w:gridCol w:w="888"/>
        <w:gridCol w:w="550"/>
        <w:gridCol w:w="711"/>
        <w:gridCol w:w="1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9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岳阳市军用供应站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5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岳阳市退役军人事务局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岳阳市军用供应站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spacing w:line="24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1、高质量保障过往部队饮食、饮水供应，确保部队满意。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2、及时更新设施设备，优质快速供应水平不断提升。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3、厉行节约，合理使用财政资金。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4、受到过往部队官兵、上级部门及军代处领导一致好评。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4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保质保量全部完成。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过往部队饮食饮水供应及中转住宿保障任务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定量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基础设施改造及设备添置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定量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3.6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  <w:t>按计划添置设备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落实军供站现代化建设各项标准及要求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定量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99%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  <w:t>按要求整改落实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保障资金安全及时使用到位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定量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资金指标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2022年底按计划使用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定量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6.65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  <w:t>　按计划合理使用资金指标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工作进度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2022年度完结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定量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合理使用财政下拨资金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定量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厉行节约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定量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经济使用效率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定量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过往部队官兵好评率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定量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上级部门及军代处领导好评率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定量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食品安全，节能减排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定量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优化供应环境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定性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  <w:t>加强供应环境整治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消除安全隐患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定性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4.9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  <w:t>定期开展安全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val="en-US" w:eastAsia="zh-CN"/>
              </w:rPr>
              <w:t>隐患检查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16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让途经岳阳部队官兵对我站提供的服务给予充分肯定和高度评价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定量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98.55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line="600" w:lineRule="exact"/>
      </w:pP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0B9421"/>
    <w:multiLevelType w:val="singleLevel"/>
    <w:tmpl w:val="300B9421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mNjZjljYjVhNzQ4OTNiN2I3OGVhYWQ1YWIxOWQifQ=="/>
  </w:docVars>
  <w:rsids>
    <w:rsidRoot w:val="72B66366"/>
    <w:rsid w:val="128F74F5"/>
    <w:rsid w:val="42EA0926"/>
    <w:rsid w:val="50277825"/>
    <w:rsid w:val="53CA05D7"/>
    <w:rsid w:val="72B6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1754</Words>
  <Characters>2026</Characters>
  <Lines>0</Lines>
  <Paragraphs>0</Paragraphs>
  <TotalTime>7</TotalTime>
  <ScaleCrop>false</ScaleCrop>
  <LinksUpToDate>false</LinksUpToDate>
  <CharactersWithSpaces>2159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2023-07-12T01:31:00Z</dcterms:created>
  <dc:creator>热血⭐️青春</dc:creator>
  <cp:lastModifiedBy>热血⭐️青春</cp:lastModifiedBy>
  <cp:lastPrinted>2023-07-12T09:00:07Z</cp:lastPrinted>
  <dcterms:modified xsi:type="dcterms:W3CDTF">2023-07-12T09:02:10Z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09A12FE6EBCF44BA952A6BE6E0344219_11</vt:lpwstr>
  </property>
</Properties>
</file>