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8DF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4A3E12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647F36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  <w:lang w:val="en-US" w:eastAsia="zh-CN"/>
        </w:rPr>
        <w:t>岳阳市退役军人服务中心</w:t>
      </w:r>
    </w:p>
    <w:p w14:paraId="7E2605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</w:rPr>
        <w:t>整体支出绩效自评报告</w:t>
      </w:r>
      <w:bookmarkEnd w:id="0"/>
    </w:p>
    <w:p w14:paraId="50DF1E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5DFE00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8B01D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5F205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08721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63995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7211B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73361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66DF908">
      <w:pPr>
        <w:pStyle w:val="2"/>
        <w:rPr>
          <w:rFonts w:hint="default"/>
        </w:rPr>
      </w:pPr>
    </w:p>
    <w:p w14:paraId="685C2E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0D9BC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1F136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1399F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岳阳市退役军人服务中心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4B96C3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eastAsia="楷体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eastAsia="楷体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46C9B8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01B6F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sectPr>
          <w:footerReference r:id="rId3" w:type="default"/>
          <w:footerReference r:id="rId4" w:type="even"/>
          <w:pgSz w:w="11906" w:h="16838"/>
          <w:pgMar w:top="1587" w:right="1588" w:bottom="1587" w:left="1588" w:header="851" w:footer="992" w:gutter="0"/>
          <w:paperSrc/>
          <w:cols w:space="720" w:num="1"/>
          <w:rtlGutter w:val="0"/>
          <w:docGrid w:type="lines" w:linePitch="312" w:charSpace="0"/>
        </w:sectPr>
      </w:pPr>
    </w:p>
    <w:p w14:paraId="10598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年度岳阳市退役军人服务中心</w:t>
      </w:r>
    </w:p>
    <w:p w14:paraId="75286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6BB90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一、部门（单位）基本情况</w:t>
      </w:r>
    </w:p>
    <w:p w14:paraId="47949BA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（一）职能职责</w:t>
      </w:r>
    </w:p>
    <w:p w14:paraId="7DA29662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岳阳市退役军人服务中心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是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隶属于岳阳市退役军人事务局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财政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全额拨款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公益一类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事业单位，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主要职责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：</w:t>
      </w:r>
    </w:p>
    <w:p w14:paraId="2A3CF66B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为机关提供支持保障的职能</w:t>
      </w:r>
    </w:p>
    <w:p w14:paraId="6AA71F97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负责做好退役军人各类关系转接的行政辅助工作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；</w:t>
      </w:r>
    </w:p>
    <w:p w14:paraId="12C64832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负责特困退役军人和其他优抚对象帮扶援助工作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；</w:t>
      </w:r>
    </w:p>
    <w:p w14:paraId="2D28EA2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负责退役军人综合服务管理平台运行和线上业务受理办理工作；负责退役军人和其他优抚对象信息采集、管理等技术支撑工作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；</w:t>
      </w:r>
    </w:p>
    <w:p w14:paraId="76E214F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负责全市退役军人事务体系业务培训工作。</w:t>
      </w:r>
    </w:p>
    <w:p w14:paraId="7CE33574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面向社会提供公益服务的职能</w:t>
      </w:r>
    </w:p>
    <w:p w14:paraId="29395F5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负责退役军人信访接待、权益维护和法律咨询等工作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；</w:t>
      </w:r>
    </w:p>
    <w:p w14:paraId="4D82C135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负责协助开展退役军人职业教育、技能培训和就业指导工作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；</w:t>
      </w:r>
    </w:p>
    <w:p w14:paraId="635570A0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负责军休干部政治、生活待遇保障服务工作。</w:t>
      </w:r>
    </w:p>
    <w:p w14:paraId="154F1C4B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完成市退役军人事务局交办的其他任务。</w:t>
      </w:r>
    </w:p>
    <w:p w14:paraId="72FD3097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color w:val="000000"/>
          <w:sz w:val="32"/>
          <w:szCs w:val="32"/>
          <w:highlight w:val="none"/>
        </w:rPr>
      </w:pPr>
      <w:r>
        <w:rPr>
          <w:rFonts w:hint="default" w:ascii="华文仿宋" w:hAnsi="华文仿宋" w:eastAsia="华文仿宋" w:cs="华文仿宋"/>
          <w:color w:val="000000"/>
          <w:sz w:val="32"/>
          <w:szCs w:val="32"/>
          <w:highlight w:val="none"/>
        </w:rPr>
        <w:t>（二）机构设置</w:t>
      </w:r>
    </w:p>
    <w:p w14:paraId="69958BB3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华文仿宋" w:hAnsi="华文仿宋" w:eastAsia="华文仿宋" w:cs="华文仿宋"/>
          <w:color w:val="000000"/>
          <w:sz w:val="32"/>
          <w:szCs w:val="32"/>
          <w:highlight w:val="none"/>
        </w:rPr>
        <w:t>根据市委编委核定，本单位内设机构3个，分支机构1个。截至202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华文仿宋" w:hAnsi="华文仿宋" w:eastAsia="华文仿宋" w:cs="华文仿宋"/>
          <w:color w:val="000000"/>
          <w:sz w:val="32"/>
          <w:szCs w:val="32"/>
          <w:highlight w:val="none"/>
        </w:rPr>
        <w:t>年底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华文仿宋" w:hAnsi="华文仿宋" w:eastAsia="华文仿宋" w:cs="华文仿宋"/>
          <w:color w:val="000000"/>
          <w:sz w:val="32"/>
          <w:szCs w:val="32"/>
          <w:highlight w:val="none"/>
        </w:rPr>
        <w:t>单位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有</w:t>
      </w:r>
      <w:r>
        <w:rPr>
          <w:rFonts w:hint="default" w:ascii="华文仿宋" w:hAnsi="华文仿宋" w:eastAsia="华文仿宋" w:cs="华文仿宋"/>
          <w:color w:val="000000"/>
          <w:sz w:val="32"/>
          <w:szCs w:val="32"/>
          <w:highlight w:val="none"/>
        </w:rPr>
        <w:t>在职人员31人，退休人员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36</w:t>
      </w:r>
      <w:r>
        <w:rPr>
          <w:rFonts w:hint="default" w:ascii="华文仿宋" w:hAnsi="华文仿宋" w:eastAsia="华文仿宋" w:cs="华文仿宋"/>
          <w:color w:val="000000"/>
          <w:sz w:val="32"/>
          <w:szCs w:val="32"/>
          <w:highlight w:val="none"/>
        </w:rPr>
        <w:t>人。</w:t>
      </w:r>
    </w:p>
    <w:p w14:paraId="487046EE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1692C96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28E061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2025年，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单位基本支出决算数为727.89万元。其中，用于在职人员工资、养老保险、医疗保险等工资福利支出497.82万元，占基本支出的68.39%；办公费、水费、电费、邮电费、物业管理费等商品和服务支出49.24万元，占基本支出的6.77%；退休费、医疗费补助等对个人和家庭的补助支出180.83万元，占基本支出的24.84%。</w:t>
      </w:r>
    </w:p>
    <w:p w14:paraId="14F9D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其中，本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“三公”经费支出3.02万元。按具体项目分，因公出国（境）支出0万元，公务用车购置及运行维护费2.96万元（其中，公务用车购置费0万元，公务用车运行维护费2.96万元），公务接待费0.06万元。</w:t>
      </w:r>
    </w:p>
    <w:p w14:paraId="0CBAEDC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 w14:paraId="2AE65FF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纳入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-SA"/>
        </w:rPr>
        <w:t>2025年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年初市财政预算的项目共2项，其中有1个其他运转类项目为“其他人员类支出”，1个特定目标类项目为“日常工作经费”，年初预算数为222.55万元，决算数为205.90万元。</w:t>
      </w:r>
    </w:p>
    <w:p w14:paraId="0BEF4EE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6FB46A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  <w:highlight w:val="none"/>
          <w:lang w:val="en-US" w:eastAsia="zh-CN" w:bidi="ar-SA"/>
        </w:rPr>
        <w:t>2025年本单位无政府性基金预算支出。</w:t>
      </w:r>
    </w:p>
    <w:p w14:paraId="711119E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 w14:paraId="3D1DBE9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年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</w:rPr>
        <w:t>单位无国有资本经营预算支出。</w:t>
      </w:r>
    </w:p>
    <w:p w14:paraId="2D43742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 w14:paraId="03592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2025年本单位无社会保险基金预算支出。</w:t>
      </w:r>
    </w:p>
    <w:p w14:paraId="3CAAC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798870DD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2025年，在习近平新时代中国特色社会主义思想指引下，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始终坚持以退役军人为中心的服务理念，围绕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让军人成为全社会尊崇的职业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目标，在市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退役军人事务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局的坚强领导下，聚焦主责主业，勇于创新突破，在多个领域深耕细作，交出了一份有温度、有力度、有亮点的成绩单，较好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完成了年初预期目标任务。</w:t>
      </w:r>
    </w:p>
    <w:p w14:paraId="1716C17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一、打造特色品牌，志愿服务作用日益彰显。巴陵先锋退役军人志愿服务队品牌影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响力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持续扩大，服务领域不断拓展；</w:t>
      </w:r>
    </w:p>
    <w:p w14:paraId="1BE6FC5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二、筑牢稳定防线，信访工作取得扎实成效。中心信访工作为全市退役军人事务系统和谐稳定提供了有力支撑，做到压实属地责任，健全工作机制，强化解困帮扶；</w:t>
      </w:r>
    </w:p>
    <w:p w14:paraId="5FE2C7B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三、聚焦精准精细，军休服务管理提质升级。全力提升军休干部服务保障水平，认真落实军休干部“两个待遇”，做到政治引领坚定有力，生活保障扎实到位，服务环境稳步改善。</w:t>
      </w:r>
    </w:p>
    <w:p w14:paraId="59CA1FE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四、着力强基固本，服务保障体系持续优化。中心以提升基层服务能力为核心，不断夯实工作基础，做到服务网络织密建强，基础数据动态精准，队伍素养显著提升；</w:t>
      </w:r>
    </w:p>
    <w:p w14:paraId="3F39A0D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五、倾注尊崇关爱，服务保障温度充分传递。中心坚持将尊崇优待落到实处，让关爱服务更有质感，做到荣誉激励氛围浓厚，健康关爱精准有效。</w:t>
      </w:r>
    </w:p>
    <w:p w14:paraId="10B89BE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19C9D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一是绩效管理意识较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薄弱。存在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重预算、轻绩效，重分配、轻管理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的思想，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部分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干部职工对预算绩效管理认知不足，绩效管理全员参与氛围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不够浓厚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；</w:t>
      </w:r>
    </w:p>
    <w:p w14:paraId="2DD01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二是绩效评价结果运用不足。年度绩效自评工作多为被动完成任务，评价报告质量不高，将绩效评价结果运用到下一年度预算编制、资金分配等方面不足。</w:t>
      </w:r>
    </w:p>
    <w:p w14:paraId="0178D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04C25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一是深化全员绩效认知。通过专题培训、政策宣讲、内部学习等方式，普及预算绩效管理政策知识，明确业务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项目绩效主体责任，树立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预算编制有目标、预算执行有监控、预算完成有评价、评价结果有应用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的全流程绩效管理理念，营造全员重视、全员参与的工作氛围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；</w:t>
      </w:r>
    </w:p>
    <w:p w14:paraId="2C83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二是强化绩效结果运用。健全绩效评价结果与预算编制挂钩机制，将年度绩效自评结果作为下一年度预算编制、资金分配的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重要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依据。</w:t>
      </w:r>
    </w:p>
    <w:p w14:paraId="138D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779C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13BB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绩效自评结果将作为下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度本单位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预算安排的重要依据，与预算调整和项目安排挂钩。绩效自评结果拟于7月3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日前在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市退役军人事务局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官网上公开，广泛接受群众监督。</w:t>
      </w:r>
    </w:p>
    <w:p w14:paraId="01755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F28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A9881FB">
      <w:pPr>
        <w:pStyle w:val="2"/>
        <w:rPr>
          <w:rFonts w:hint="default"/>
        </w:rPr>
      </w:pPr>
    </w:p>
    <w:p w14:paraId="50E4C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422FE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498C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58187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28323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5CFCE3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jc w:val="left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5" w:type="default"/>
      <w:pgSz w:w="11906" w:h="16838"/>
      <w:pgMar w:top="1587" w:right="1588" w:bottom="1587" w:left="1588" w:header="851" w:footer="992" w:gutter="0"/>
      <w:paperSrc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9B23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B9471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82695C1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66CE0">
    <w:pPr>
      <w:pStyle w:val="3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 w14:paraId="280397E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NDI4MDkxYjJmYjRiNGUzY2E5MTcxOWYwMDlkMGUifQ=="/>
  </w:docVars>
  <w:rsids>
    <w:rsidRoot w:val="00801DF4"/>
    <w:rsid w:val="00005AE3"/>
    <w:rsid w:val="0007021F"/>
    <w:rsid w:val="000F6053"/>
    <w:rsid w:val="0011184B"/>
    <w:rsid w:val="0011199F"/>
    <w:rsid w:val="001607B1"/>
    <w:rsid w:val="001A1A70"/>
    <w:rsid w:val="001B3758"/>
    <w:rsid w:val="001B649E"/>
    <w:rsid w:val="001D4C24"/>
    <w:rsid w:val="00253052"/>
    <w:rsid w:val="00262A81"/>
    <w:rsid w:val="00277866"/>
    <w:rsid w:val="002A2A49"/>
    <w:rsid w:val="002D281D"/>
    <w:rsid w:val="003266D5"/>
    <w:rsid w:val="003D46B6"/>
    <w:rsid w:val="00533A71"/>
    <w:rsid w:val="00595D99"/>
    <w:rsid w:val="00597010"/>
    <w:rsid w:val="00644BB6"/>
    <w:rsid w:val="006A7256"/>
    <w:rsid w:val="006B3DA4"/>
    <w:rsid w:val="006E1C43"/>
    <w:rsid w:val="00750DE4"/>
    <w:rsid w:val="007C7ECE"/>
    <w:rsid w:val="00801DF4"/>
    <w:rsid w:val="00883EF2"/>
    <w:rsid w:val="00885DE5"/>
    <w:rsid w:val="0089366E"/>
    <w:rsid w:val="008B308A"/>
    <w:rsid w:val="009328CD"/>
    <w:rsid w:val="00940E32"/>
    <w:rsid w:val="009714B6"/>
    <w:rsid w:val="009A4C67"/>
    <w:rsid w:val="009D34C9"/>
    <w:rsid w:val="009F5831"/>
    <w:rsid w:val="00A038D0"/>
    <w:rsid w:val="00A64E08"/>
    <w:rsid w:val="00A85EF9"/>
    <w:rsid w:val="00A9448A"/>
    <w:rsid w:val="00AC0523"/>
    <w:rsid w:val="00B402E5"/>
    <w:rsid w:val="00BC37A3"/>
    <w:rsid w:val="00C0296F"/>
    <w:rsid w:val="00C05A8D"/>
    <w:rsid w:val="00CB15BB"/>
    <w:rsid w:val="00CC70CA"/>
    <w:rsid w:val="00CD2E07"/>
    <w:rsid w:val="00D23242"/>
    <w:rsid w:val="00E150B1"/>
    <w:rsid w:val="00E16BD1"/>
    <w:rsid w:val="00E2774C"/>
    <w:rsid w:val="00E539E1"/>
    <w:rsid w:val="00ED3786"/>
    <w:rsid w:val="00F04309"/>
    <w:rsid w:val="00F2395E"/>
    <w:rsid w:val="00F31236"/>
    <w:rsid w:val="00F83C99"/>
    <w:rsid w:val="00FB463F"/>
    <w:rsid w:val="00FF4B6A"/>
    <w:rsid w:val="030028F2"/>
    <w:rsid w:val="0331342B"/>
    <w:rsid w:val="03B53E0F"/>
    <w:rsid w:val="03CC058D"/>
    <w:rsid w:val="0445382C"/>
    <w:rsid w:val="04763EE5"/>
    <w:rsid w:val="048A0269"/>
    <w:rsid w:val="04F9295B"/>
    <w:rsid w:val="061048A0"/>
    <w:rsid w:val="072408B5"/>
    <w:rsid w:val="0840213B"/>
    <w:rsid w:val="0A206DCD"/>
    <w:rsid w:val="0B604BE2"/>
    <w:rsid w:val="0BDA3FD4"/>
    <w:rsid w:val="0BF1599D"/>
    <w:rsid w:val="0C4C2AE7"/>
    <w:rsid w:val="0D9C7556"/>
    <w:rsid w:val="0E7923CB"/>
    <w:rsid w:val="0FA7589A"/>
    <w:rsid w:val="10BC0807"/>
    <w:rsid w:val="11B311F1"/>
    <w:rsid w:val="12653A0A"/>
    <w:rsid w:val="13835120"/>
    <w:rsid w:val="16070E41"/>
    <w:rsid w:val="17A45698"/>
    <w:rsid w:val="1BDE0DE4"/>
    <w:rsid w:val="1D4577E2"/>
    <w:rsid w:val="204E6A4B"/>
    <w:rsid w:val="20D109C9"/>
    <w:rsid w:val="23C33983"/>
    <w:rsid w:val="23FE51D9"/>
    <w:rsid w:val="257162D7"/>
    <w:rsid w:val="25861D82"/>
    <w:rsid w:val="25950217"/>
    <w:rsid w:val="25A4045A"/>
    <w:rsid w:val="286D0FD7"/>
    <w:rsid w:val="290851A4"/>
    <w:rsid w:val="299C5250"/>
    <w:rsid w:val="29EA6657"/>
    <w:rsid w:val="2C44131D"/>
    <w:rsid w:val="2CBF277E"/>
    <w:rsid w:val="2D2B6FB3"/>
    <w:rsid w:val="2D8200D6"/>
    <w:rsid w:val="2DA316A4"/>
    <w:rsid w:val="2F662C24"/>
    <w:rsid w:val="2FFA3A98"/>
    <w:rsid w:val="30631342"/>
    <w:rsid w:val="30EB33E1"/>
    <w:rsid w:val="317042ED"/>
    <w:rsid w:val="31A71603"/>
    <w:rsid w:val="31F79FAE"/>
    <w:rsid w:val="33093FF2"/>
    <w:rsid w:val="33596818"/>
    <w:rsid w:val="355111E9"/>
    <w:rsid w:val="357C6CFE"/>
    <w:rsid w:val="358D457B"/>
    <w:rsid w:val="3624369D"/>
    <w:rsid w:val="374B578D"/>
    <w:rsid w:val="38207E14"/>
    <w:rsid w:val="382C4A0B"/>
    <w:rsid w:val="3AA52A77"/>
    <w:rsid w:val="3B3B71D4"/>
    <w:rsid w:val="3BFB8867"/>
    <w:rsid w:val="3DC079A3"/>
    <w:rsid w:val="3DF53AF1"/>
    <w:rsid w:val="42E80B4B"/>
    <w:rsid w:val="43AD01D6"/>
    <w:rsid w:val="449576FB"/>
    <w:rsid w:val="45B9003B"/>
    <w:rsid w:val="466D18A0"/>
    <w:rsid w:val="47022DDB"/>
    <w:rsid w:val="471019AD"/>
    <w:rsid w:val="471C5683"/>
    <w:rsid w:val="47613FA5"/>
    <w:rsid w:val="49307BB1"/>
    <w:rsid w:val="4A332911"/>
    <w:rsid w:val="4ACD4A2D"/>
    <w:rsid w:val="4C3922B5"/>
    <w:rsid w:val="4D1473C4"/>
    <w:rsid w:val="4D7A36CB"/>
    <w:rsid w:val="4E0C137B"/>
    <w:rsid w:val="4E6D0076"/>
    <w:rsid w:val="4EF24D42"/>
    <w:rsid w:val="50FF01C2"/>
    <w:rsid w:val="515E5FDD"/>
    <w:rsid w:val="518B1785"/>
    <w:rsid w:val="52E145A6"/>
    <w:rsid w:val="550F1D82"/>
    <w:rsid w:val="55F46D30"/>
    <w:rsid w:val="56D24578"/>
    <w:rsid w:val="57BB1298"/>
    <w:rsid w:val="596811BD"/>
    <w:rsid w:val="5AC6789B"/>
    <w:rsid w:val="5AF729B6"/>
    <w:rsid w:val="5C221AFD"/>
    <w:rsid w:val="5D9A3915"/>
    <w:rsid w:val="5E113452"/>
    <w:rsid w:val="5EF70CA9"/>
    <w:rsid w:val="5FE315A4"/>
    <w:rsid w:val="61450C58"/>
    <w:rsid w:val="615C3ADA"/>
    <w:rsid w:val="626175B7"/>
    <w:rsid w:val="643413E9"/>
    <w:rsid w:val="652B636E"/>
    <w:rsid w:val="67F85E08"/>
    <w:rsid w:val="68294213"/>
    <w:rsid w:val="68BD5772"/>
    <w:rsid w:val="691F4825"/>
    <w:rsid w:val="69B31FE7"/>
    <w:rsid w:val="6A4931A6"/>
    <w:rsid w:val="6A6B28C1"/>
    <w:rsid w:val="6A942326"/>
    <w:rsid w:val="6AD414F7"/>
    <w:rsid w:val="6B502BB4"/>
    <w:rsid w:val="6B581C23"/>
    <w:rsid w:val="6B6865A7"/>
    <w:rsid w:val="6BD02241"/>
    <w:rsid w:val="6C0D76BF"/>
    <w:rsid w:val="6C1B509B"/>
    <w:rsid w:val="6DFB42D1"/>
    <w:rsid w:val="6EDB8C7C"/>
    <w:rsid w:val="6FBECF9D"/>
    <w:rsid w:val="6FF6AC8E"/>
    <w:rsid w:val="701E36DA"/>
    <w:rsid w:val="718402EB"/>
    <w:rsid w:val="720125A6"/>
    <w:rsid w:val="729C7F2F"/>
    <w:rsid w:val="732F23C3"/>
    <w:rsid w:val="73967882"/>
    <w:rsid w:val="73993E08"/>
    <w:rsid w:val="74100036"/>
    <w:rsid w:val="7479617E"/>
    <w:rsid w:val="7546513B"/>
    <w:rsid w:val="75EB56A1"/>
    <w:rsid w:val="772555DF"/>
    <w:rsid w:val="77727497"/>
    <w:rsid w:val="779F0A50"/>
    <w:rsid w:val="7989747E"/>
    <w:rsid w:val="7AEE2E41"/>
    <w:rsid w:val="7B361F39"/>
    <w:rsid w:val="7B3F77E0"/>
    <w:rsid w:val="7C4B60AF"/>
    <w:rsid w:val="7C7A35B7"/>
    <w:rsid w:val="7D891584"/>
    <w:rsid w:val="7F051133"/>
    <w:rsid w:val="D6B7B0D1"/>
    <w:rsid w:val="DFF7CFB8"/>
    <w:rsid w:val="FB5648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page number"/>
    <w:uiPriority w:val="0"/>
  </w:style>
  <w:style w:type="character" w:customStyle="1" w:styleId="9">
    <w:name w:val="页脚 Char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uiPriority w:val="99"/>
    <w:rPr>
      <w:rFonts w:eastAsia="宋体"/>
      <w:kern w:val="2"/>
      <w:sz w:val="18"/>
      <w:szCs w:val="18"/>
      <w:lang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 Char"/>
    <w:basedOn w:val="1"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paragraph" w:customStyle="1" w:styleId="13">
    <w:name w:val=" Char1"/>
    <w:basedOn w:val="1"/>
    <w:uiPriority w:val="0"/>
    <w:rPr>
      <w:rFonts w:ascii="仿宋_GB2312" w:eastAsia="仿宋_GB2312"/>
      <w:sz w:val="32"/>
    </w:rPr>
  </w:style>
  <w:style w:type="paragraph" w:customStyle="1" w:styleId="14">
    <w:name w:val="Char Char Char Char Char Char Char Char Char Char Char Char1 Char Char Char Char"/>
    <w:basedOn w:val="1"/>
    <w:uiPriority w:val="0"/>
    <w:pPr>
      <w:tabs>
        <w:tab w:val="left" w:pos="360"/>
        <w:tab w:val="left" w:pos="720"/>
      </w:tabs>
    </w:pPr>
    <w:rPr>
      <w:szCs w:val="20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1923</Words>
  <Characters>2021</Characters>
  <Lines>4</Lines>
  <Paragraphs>1</Paragraphs>
  <TotalTime>50</TotalTime>
  <ScaleCrop>false</ScaleCrop>
  <LinksUpToDate>false</LinksUpToDate>
  <CharactersWithSpaces>2024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2019-11-23T18:58:00Z</dcterms:created>
  <dc:creator>兰李 172.16.14.222</dc:creator>
  <cp:lastModifiedBy>熊桂英</cp:lastModifiedBy>
  <cp:lastPrinted>2026-06-30T08:53:44Z</cp:lastPrinted>
  <dcterms:modified xsi:type="dcterms:W3CDTF">2026-07-20T16:05:10Z</dcterms:modified>
  <dc:title>岳阳市财政局发文审批单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2856BF98B7016376B6D65D6A310B51EA_43</vt:lpwstr>
  </property>
  <property fmtid="{D5CDD505-2E9C-101B-9397-08002B2CF9AE}" pid="4" name="KSOTemplateDocerSaveRecord">
    <vt:lpwstr>eyJoZGlkIjoiM2FiNDRiODhiNjI2YjkzOWY2MmUwOTE1ZDZiMDE2ZmQiLCJ1c2VySWQiOiIxNDg4NDQ4MjU2In0=</vt:lpwstr>
  </property>
</Properties>
</file>