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3" w:lineRule="atLeast"/>
        <w:ind w:left="0" w:firstLine="0" w:firstLineChars="0"/>
        <w:jc w:val="both"/>
        <w:rPr>
          <w:rFonts w:hint="eastAsia" w:ascii="宋体" w:hAnsi="宋体" w:eastAsia="宋体" w:cs="宋体"/>
          <w:sz w:val="21"/>
          <w:szCs w:val="21"/>
        </w:rPr>
      </w:pPr>
      <w:r>
        <w:rPr>
          <w:rFonts w:hint="eastAsia" w:ascii="宋体" w:hAnsi="宋体" w:eastAsia="宋体" w:cs="宋体"/>
          <w:sz w:val="21"/>
          <w:szCs w:val="21"/>
        </w:rPr>
        <w:t>岳阳市20</w:t>
      </w:r>
      <w:r>
        <w:rPr>
          <w:rFonts w:hint="eastAsia" w:ascii="宋体" w:hAnsi="宋体" w:eastAsia="宋体" w:cs="宋体"/>
          <w:sz w:val="21"/>
          <w:szCs w:val="21"/>
          <w:lang w:val="en-US" w:eastAsia="zh-CN"/>
        </w:rPr>
        <w:t>17</w:t>
      </w:r>
      <w:r>
        <w:rPr>
          <w:rFonts w:hint="eastAsia" w:ascii="宋体" w:hAnsi="宋体" w:eastAsia="宋体" w:cs="宋体"/>
          <w:sz w:val="21"/>
          <w:szCs w:val="21"/>
        </w:rPr>
        <w:t>年度部门（单位）整体支出绩效评价自评报告</w:t>
      </w:r>
    </w:p>
    <w:p>
      <w:pPr>
        <w:pStyle w:val="2"/>
        <w:keepNext w:val="0"/>
        <w:keepLines w:val="0"/>
        <w:widowControl/>
        <w:suppressLineNumbers w:val="0"/>
        <w:spacing w:before="0" w:beforeAutospacing="0" w:after="0" w:afterAutospacing="0" w:line="33" w:lineRule="atLeast"/>
        <w:ind w:left="0" w:firstLine="0" w:firstLineChars="0"/>
        <w:jc w:val="both"/>
        <w:rPr>
          <w:rFonts w:hint="eastAsia" w:ascii="宋体" w:hAnsi="宋体" w:eastAsia="宋体" w:cs="宋体"/>
          <w:sz w:val="21"/>
          <w:szCs w:val="21"/>
        </w:rPr>
      </w:pPr>
    </w:p>
    <w:p>
      <w:pPr>
        <w:pStyle w:val="2"/>
        <w:keepNext w:val="0"/>
        <w:keepLines w:val="0"/>
        <w:widowControl/>
        <w:suppressLineNumbers w:val="0"/>
        <w:spacing w:before="0" w:beforeAutospacing="0" w:after="0" w:afterAutospacing="0" w:line="33" w:lineRule="atLeast"/>
        <w:ind w:left="0" w:firstLine="0" w:firstLineChars="0"/>
        <w:jc w:val="both"/>
        <w:rPr>
          <w:rFonts w:hint="eastAsia" w:ascii="宋体" w:hAnsi="宋体" w:eastAsia="宋体" w:cs="宋体"/>
          <w:sz w:val="21"/>
          <w:szCs w:val="21"/>
          <w:lang w:eastAsia="zh-CN"/>
        </w:rPr>
      </w:pPr>
      <w:r>
        <w:rPr>
          <w:rFonts w:hint="eastAsia" w:ascii="宋体" w:hAnsi="宋体" w:eastAsia="宋体" w:cs="宋体"/>
          <w:sz w:val="21"/>
          <w:szCs w:val="21"/>
        </w:rPr>
        <w:t>部门(单位)名称：</w:t>
      </w:r>
      <w:r>
        <w:rPr>
          <w:rFonts w:hint="eastAsia" w:ascii="宋体" w:hAnsi="宋体" w:eastAsia="宋体" w:cs="宋体"/>
          <w:sz w:val="21"/>
          <w:szCs w:val="21"/>
          <w:lang w:eastAsia="zh-CN"/>
        </w:rPr>
        <w:t>岳阳市安全生产监督管理局</w:t>
      </w:r>
    </w:p>
    <w:p>
      <w:pPr>
        <w:pStyle w:val="2"/>
        <w:keepNext w:val="0"/>
        <w:keepLines w:val="0"/>
        <w:widowControl/>
        <w:suppressLineNumbers w:val="0"/>
        <w:spacing w:before="0" w:beforeAutospacing="0" w:after="0" w:afterAutospacing="0" w:line="33" w:lineRule="atLeast"/>
        <w:ind w:left="0" w:firstLine="0" w:firstLineChars="0"/>
        <w:jc w:val="both"/>
        <w:rPr>
          <w:rFonts w:hint="eastAsia" w:ascii="宋体" w:hAnsi="宋体" w:eastAsia="宋体" w:cs="宋体"/>
          <w:sz w:val="21"/>
          <w:szCs w:val="21"/>
          <w:lang w:eastAsia="zh-CN"/>
        </w:rPr>
      </w:pPr>
    </w:p>
    <w:p>
      <w:pPr>
        <w:pStyle w:val="2"/>
        <w:keepNext w:val="0"/>
        <w:keepLines w:val="0"/>
        <w:widowControl/>
        <w:suppressLineNumbers w:val="0"/>
        <w:spacing w:before="0" w:beforeAutospacing="0" w:after="0" w:afterAutospacing="0" w:line="33" w:lineRule="atLeast"/>
        <w:ind w:left="0" w:firstLine="0" w:firstLineChars="0"/>
        <w:jc w:val="both"/>
        <w:rPr>
          <w:rFonts w:hint="eastAsia" w:ascii="宋体" w:hAnsi="宋体" w:eastAsia="宋体" w:cs="宋体"/>
          <w:sz w:val="21"/>
          <w:szCs w:val="21"/>
        </w:rPr>
      </w:pPr>
      <w:r>
        <w:rPr>
          <w:rFonts w:hint="eastAsia" w:ascii="宋体" w:hAnsi="宋体" w:eastAsia="宋体" w:cs="宋体"/>
          <w:sz w:val="21"/>
          <w:szCs w:val="21"/>
        </w:rPr>
        <w:t>预 算 编 码：</w:t>
      </w:r>
    </w:p>
    <w:p>
      <w:pPr>
        <w:pStyle w:val="2"/>
        <w:keepNext w:val="0"/>
        <w:keepLines w:val="0"/>
        <w:widowControl/>
        <w:suppressLineNumbers w:val="0"/>
        <w:spacing w:before="0" w:beforeAutospacing="0" w:after="0" w:afterAutospacing="0" w:line="33" w:lineRule="atLeast"/>
        <w:ind w:left="0" w:firstLine="0" w:firstLineChars="0"/>
        <w:jc w:val="both"/>
        <w:rPr>
          <w:rFonts w:hint="eastAsia" w:ascii="宋体" w:hAnsi="宋体" w:eastAsia="宋体" w:cs="宋体"/>
          <w:sz w:val="21"/>
          <w:szCs w:val="21"/>
        </w:rPr>
      </w:pPr>
    </w:p>
    <w:p>
      <w:pPr>
        <w:pStyle w:val="2"/>
        <w:keepNext w:val="0"/>
        <w:keepLines w:val="0"/>
        <w:widowControl/>
        <w:suppressLineNumbers w:val="0"/>
        <w:spacing w:before="0" w:beforeAutospacing="0" w:after="0" w:afterAutospacing="0" w:line="33" w:lineRule="atLeast"/>
        <w:ind w:left="0" w:firstLine="0" w:firstLineChars="0"/>
        <w:jc w:val="both"/>
        <w:rPr>
          <w:rFonts w:hint="eastAsia" w:ascii="宋体" w:hAnsi="宋体" w:eastAsia="宋体" w:cs="宋体"/>
          <w:sz w:val="21"/>
          <w:szCs w:val="21"/>
        </w:rPr>
      </w:pPr>
      <w:r>
        <w:rPr>
          <w:rFonts w:hint="eastAsia" w:ascii="宋体" w:hAnsi="宋体" w:eastAsia="宋体" w:cs="宋体"/>
          <w:sz w:val="21"/>
          <w:szCs w:val="21"/>
        </w:rPr>
        <w:t>评价方式：部门（单位）绩效自评</w:t>
      </w:r>
    </w:p>
    <w:p>
      <w:pPr>
        <w:pStyle w:val="2"/>
        <w:keepNext w:val="0"/>
        <w:keepLines w:val="0"/>
        <w:widowControl/>
        <w:suppressLineNumbers w:val="0"/>
        <w:spacing w:before="0" w:beforeAutospacing="0" w:after="0" w:afterAutospacing="0" w:line="33" w:lineRule="atLeast"/>
        <w:ind w:left="0" w:firstLine="0" w:firstLineChars="0"/>
        <w:jc w:val="both"/>
        <w:rPr>
          <w:rFonts w:hint="eastAsia" w:ascii="宋体" w:hAnsi="宋体" w:eastAsia="宋体" w:cs="宋体"/>
          <w:sz w:val="21"/>
          <w:szCs w:val="21"/>
        </w:rPr>
      </w:pPr>
    </w:p>
    <w:p>
      <w:pPr>
        <w:pStyle w:val="2"/>
        <w:keepNext w:val="0"/>
        <w:keepLines w:val="0"/>
        <w:widowControl/>
        <w:suppressLineNumbers w:val="0"/>
        <w:spacing w:before="0" w:beforeAutospacing="0" w:after="0" w:afterAutospacing="0" w:line="33" w:lineRule="atLeast"/>
        <w:ind w:left="0" w:firstLine="0" w:firstLineChars="0"/>
        <w:jc w:val="both"/>
        <w:rPr>
          <w:rFonts w:hint="eastAsia" w:ascii="宋体" w:hAnsi="宋体" w:eastAsia="宋体" w:cs="宋体"/>
          <w:sz w:val="21"/>
          <w:szCs w:val="21"/>
        </w:rPr>
      </w:pPr>
      <w:r>
        <w:rPr>
          <w:rFonts w:hint="eastAsia" w:ascii="宋体" w:hAnsi="宋体" w:eastAsia="宋体" w:cs="宋体"/>
          <w:sz w:val="21"/>
          <w:szCs w:val="21"/>
        </w:rPr>
        <w:t>评价机构：部门（单位）评价组</w:t>
      </w:r>
    </w:p>
    <w:p>
      <w:pPr>
        <w:pStyle w:val="2"/>
        <w:keepNext w:val="0"/>
        <w:keepLines w:val="0"/>
        <w:widowControl/>
        <w:suppressLineNumbers w:val="0"/>
        <w:spacing w:before="0" w:beforeAutospacing="0" w:after="0" w:afterAutospacing="0" w:line="33" w:lineRule="atLeast"/>
        <w:ind w:left="0" w:firstLine="0" w:firstLineChars="0"/>
        <w:jc w:val="both"/>
        <w:rPr>
          <w:rFonts w:hint="eastAsia" w:ascii="宋体" w:hAnsi="宋体" w:eastAsia="宋体" w:cs="宋体"/>
          <w:sz w:val="21"/>
          <w:szCs w:val="21"/>
        </w:rPr>
      </w:pPr>
    </w:p>
    <w:p>
      <w:pPr>
        <w:pStyle w:val="2"/>
        <w:keepNext w:val="0"/>
        <w:keepLines w:val="0"/>
        <w:widowControl/>
        <w:suppressLineNumbers w:val="0"/>
        <w:spacing w:before="0" w:beforeAutospacing="0" w:after="0" w:afterAutospacing="0" w:line="33" w:lineRule="atLeast"/>
        <w:ind w:left="0" w:firstLine="0" w:firstLineChars="0"/>
        <w:jc w:val="both"/>
      </w:pPr>
      <w:r>
        <w:rPr>
          <w:rFonts w:hint="eastAsia" w:ascii="宋体" w:hAnsi="宋体" w:eastAsia="宋体" w:cs="宋体"/>
          <w:sz w:val="21"/>
          <w:szCs w:val="21"/>
        </w:rPr>
        <w:t>报告日期：</w:t>
      </w:r>
      <w:r>
        <w:rPr>
          <w:rFonts w:hint="eastAsia" w:ascii="宋体" w:hAnsi="宋体" w:eastAsia="宋体" w:cs="宋体"/>
          <w:sz w:val="21"/>
          <w:szCs w:val="21"/>
          <w:lang w:val="en-US" w:eastAsia="zh-CN"/>
        </w:rPr>
        <w:t>2018</w:t>
      </w:r>
      <w:r>
        <w:rPr>
          <w:rFonts w:hint="eastAsia" w:ascii="宋体" w:hAnsi="宋体" w:eastAsia="宋体" w:cs="宋体"/>
          <w:sz w:val="21"/>
          <w:szCs w:val="21"/>
        </w:rPr>
        <w:t>年</w:t>
      </w:r>
      <w:r>
        <w:rPr>
          <w:rFonts w:hint="eastAsia" w:ascii="宋体" w:hAnsi="宋体" w:eastAsia="宋体" w:cs="宋体"/>
          <w:sz w:val="21"/>
          <w:szCs w:val="21"/>
          <w:lang w:val="en-US" w:eastAsia="zh-CN"/>
        </w:rPr>
        <w:t>06</w:t>
      </w:r>
      <w:r>
        <w:rPr>
          <w:rFonts w:hint="eastAsia" w:ascii="宋体" w:hAnsi="宋体" w:eastAsia="宋体" w:cs="宋体"/>
          <w:sz w:val="21"/>
          <w:szCs w:val="21"/>
        </w:rPr>
        <w:t>月</w:t>
      </w:r>
      <w:r>
        <w:rPr>
          <w:rFonts w:hint="eastAsia" w:ascii="宋体" w:hAnsi="宋体" w:eastAsia="宋体" w:cs="宋体"/>
          <w:sz w:val="21"/>
          <w:szCs w:val="21"/>
          <w:lang w:val="en-US" w:eastAsia="zh-CN"/>
        </w:rPr>
        <w:t>22</w:t>
      </w:r>
      <w:r>
        <w:rPr>
          <w:rFonts w:hint="eastAsia" w:ascii="宋体" w:hAnsi="宋体" w:eastAsia="宋体" w:cs="宋体"/>
          <w:sz w:val="21"/>
          <w:szCs w:val="21"/>
        </w:rPr>
        <w:t>日</w:t>
      </w:r>
    </w:p>
    <w:p>
      <w:pPr>
        <w:pStyle w:val="2"/>
        <w:keepNext w:val="0"/>
        <w:keepLines w:val="0"/>
        <w:widowControl/>
        <w:suppressLineNumbers w:val="0"/>
        <w:spacing w:before="0" w:beforeAutospacing="0" w:after="0" w:afterAutospacing="0" w:line="33" w:lineRule="atLeast"/>
        <w:ind w:left="0" w:firstLine="0" w:firstLineChars="0"/>
        <w:jc w:val="both"/>
        <w:rPr>
          <w:rFonts w:hint="eastAsia" w:ascii="宋体" w:hAnsi="宋体" w:eastAsia="宋体" w:cs="宋体"/>
          <w:sz w:val="21"/>
          <w:szCs w:val="21"/>
        </w:rPr>
      </w:pPr>
    </w:p>
    <w:p>
      <w:pPr>
        <w:pStyle w:val="2"/>
        <w:keepNext w:val="0"/>
        <w:keepLines w:val="0"/>
        <w:widowControl/>
        <w:suppressLineNumbers w:val="0"/>
        <w:spacing w:before="0" w:beforeAutospacing="0" w:after="0" w:afterAutospacing="0" w:line="33" w:lineRule="atLeast"/>
        <w:ind w:left="0" w:firstLine="0" w:firstLineChars="0"/>
        <w:jc w:val="both"/>
        <w:rPr>
          <w:rFonts w:hint="eastAsia" w:ascii="宋体" w:hAnsi="宋体" w:eastAsia="宋体" w:cs="宋体"/>
          <w:sz w:val="21"/>
          <w:szCs w:val="21"/>
        </w:rPr>
      </w:pPr>
    </w:p>
    <w:p>
      <w:pPr>
        <w:pStyle w:val="2"/>
        <w:keepNext w:val="0"/>
        <w:keepLines w:val="0"/>
        <w:widowControl/>
        <w:suppressLineNumbers w:val="0"/>
        <w:spacing w:before="0" w:beforeAutospacing="0" w:after="0" w:afterAutospacing="0" w:line="33" w:lineRule="atLeast"/>
        <w:jc w:val="left"/>
        <w:rPr>
          <w:rFonts w:hint="eastAsia" w:ascii="宋体" w:hAnsi="宋体" w:eastAsia="宋体" w:cs="宋体"/>
          <w:sz w:val="21"/>
          <w:szCs w:val="21"/>
        </w:rPr>
      </w:pPr>
      <w:r>
        <w:rPr>
          <w:rFonts w:hint="eastAsia" w:ascii="宋体" w:hAnsi="宋体" w:eastAsia="宋体" w:cs="宋体"/>
          <w:sz w:val="21"/>
          <w:szCs w:val="21"/>
        </w:rPr>
        <w:t>岳阳市财政局（制）</w:t>
      </w:r>
    </w:p>
    <w:p>
      <w:pPr>
        <w:pStyle w:val="2"/>
        <w:keepNext w:val="0"/>
        <w:keepLines w:val="0"/>
        <w:widowControl/>
        <w:suppressLineNumbers w:val="0"/>
        <w:spacing w:before="0" w:beforeAutospacing="0" w:after="0" w:afterAutospacing="0" w:line="33" w:lineRule="atLeast"/>
        <w:ind w:left="0" w:firstLine="0" w:firstLineChars="0"/>
        <w:jc w:val="both"/>
        <w:rPr>
          <w:rFonts w:hint="eastAsia" w:ascii="宋体" w:hAnsi="宋体" w:eastAsia="宋体" w:cs="宋体"/>
          <w:sz w:val="21"/>
          <w:szCs w:val="21"/>
        </w:rPr>
      </w:pPr>
    </w:p>
    <w:p>
      <w:pPr>
        <w:keepNext w:val="0"/>
        <w:keepLines w:val="0"/>
        <w:widowControl/>
        <w:suppressLineNumbers w:val="0"/>
        <w:ind w:firstLine="0" w:firstLineChars="0"/>
        <w:jc w:val="left"/>
      </w:pPr>
    </w:p>
    <w:tbl>
      <w:tblPr>
        <w:tblStyle w:val="9"/>
        <w:tblW w:w="8366" w:type="dxa"/>
        <w:tblInd w:w="3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
      <w:tblGrid>
        <w:gridCol w:w="1258"/>
        <w:gridCol w:w="192"/>
        <w:gridCol w:w="66"/>
        <w:gridCol w:w="947"/>
        <w:gridCol w:w="192"/>
        <w:gridCol w:w="639"/>
        <w:gridCol w:w="358"/>
        <w:gridCol w:w="970"/>
        <w:gridCol w:w="1072"/>
        <w:gridCol w:w="225"/>
        <w:gridCol w:w="205"/>
        <w:gridCol w:w="551"/>
        <w:gridCol w:w="860"/>
        <w:gridCol w:w="186"/>
        <w:gridCol w:w="127"/>
        <w:gridCol w:w="518"/>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Ex>
        <w:tc>
          <w:tcPr>
            <w:tcW w:w="8366" w:type="dxa"/>
            <w:gridSpan w:val="16"/>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pPr>
            <w:r>
              <w:rPr>
                <w:rFonts w:hint="eastAsia" w:ascii="仿宋" w:hAnsi="仿宋" w:eastAsia="仿宋" w:cs="仿宋"/>
                <w:b/>
                <w:bCs/>
                <w:sz w:val="21"/>
                <w:szCs w:val="21"/>
                <w:lang w:eastAsia="zh-CN"/>
              </w:rPr>
              <w:t>一、</w:t>
            </w:r>
            <w:r>
              <w:rPr>
                <w:rFonts w:hint="eastAsia" w:ascii="仿宋" w:hAnsi="仿宋" w:eastAsia="仿宋" w:cs="仿宋"/>
                <w:b/>
                <w:bCs/>
                <w:sz w:val="21"/>
                <w:szCs w:val="21"/>
              </w:rPr>
              <w:t>部门（单位）基本概况</w:t>
            </w:r>
            <w:r>
              <w:rPr>
                <w:rFonts w:hint="eastAsia" w:ascii="仿宋" w:hAnsi="仿宋" w:eastAsia="仿宋" w:cs="仿宋"/>
                <w:b/>
                <w:bCs/>
                <w:sz w:val="21"/>
                <w:szCs w:val="21"/>
                <w:lang w:eastAsia="zh-CN"/>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450"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center"/>
              <w:rPr>
                <w:rFonts w:hint="eastAsia" w:ascii="宋体" w:hAnsi="宋体" w:eastAsia="宋体" w:cs="宋体"/>
                <w:sz w:val="18"/>
                <w:szCs w:val="18"/>
              </w:rPr>
            </w:pPr>
            <w:r>
              <w:rPr>
                <w:rFonts w:hint="eastAsia" w:ascii="宋体" w:hAnsi="宋体" w:eastAsia="宋体" w:cs="宋体"/>
                <w:sz w:val="18"/>
                <w:szCs w:val="18"/>
              </w:rPr>
              <w:t>联系人</w:t>
            </w:r>
          </w:p>
        </w:tc>
        <w:tc>
          <w:tcPr>
            <w:tcW w:w="3172" w:type="dxa"/>
            <w:gridSpan w:val="6"/>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lang w:eastAsia="zh-CN"/>
              </w:rPr>
            </w:pPr>
            <w:r>
              <w:rPr>
                <w:rFonts w:hint="eastAsia" w:ascii="宋体" w:hAnsi="宋体" w:eastAsia="宋体" w:cs="宋体"/>
                <w:sz w:val="18"/>
                <w:szCs w:val="18"/>
                <w:lang w:eastAsia="zh-CN"/>
              </w:rPr>
              <w:t>魏嘉宾</w:t>
            </w:r>
          </w:p>
        </w:tc>
        <w:tc>
          <w:tcPr>
            <w:tcW w:w="1297"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center"/>
              <w:rPr>
                <w:rFonts w:hint="eastAsia" w:ascii="宋体" w:hAnsi="宋体" w:eastAsia="宋体" w:cs="宋体"/>
                <w:sz w:val="18"/>
                <w:szCs w:val="18"/>
              </w:rPr>
            </w:pPr>
            <w:r>
              <w:rPr>
                <w:rFonts w:hint="eastAsia" w:ascii="宋体" w:hAnsi="宋体" w:eastAsia="宋体" w:cs="宋体"/>
                <w:sz w:val="18"/>
                <w:szCs w:val="18"/>
              </w:rPr>
              <w:t>联络电话</w:t>
            </w:r>
          </w:p>
        </w:tc>
        <w:tc>
          <w:tcPr>
            <w:tcW w:w="2447" w:type="dxa"/>
            <w:gridSpan w:val="6"/>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07308788526/15200270505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450"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center"/>
              <w:rPr>
                <w:rFonts w:hint="eastAsia" w:ascii="宋体" w:hAnsi="宋体" w:eastAsia="宋体" w:cs="宋体"/>
                <w:sz w:val="18"/>
                <w:szCs w:val="18"/>
              </w:rPr>
            </w:pPr>
            <w:r>
              <w:rPr>
                <w:rFonts w:hint="eastAsia" w:ascii="宋体" w:hAnsi="宋体" w:eastAsia="宋体" w:cs="宋体"/>
                <w:sz w:val="18"/>
                <w:szCs w:val="18"/>
              </w:rPr>
              <w:t>人员编制</w:t>
            </w:r>
          </w:p>
        </w:tc>
        <w:tc>
          <w:tcPr>
            <w:tcW w:w="3172" w:type="dxa"/>
            <w:gridSpan w:val="6"/>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54</w:t>
            </w:r>
          </w:p>
        </w:tc>
        <w:tc>
          <w:tcPr>
            <w:tcW w:w="1297"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center"/>
              <w:rPr>
                <w:rFonts w:hint="eastAsia" w:ascii="宋体" w:hAnsi="宋体" w:eastAsia="宋体" w:cs="宋体"/>
                <w:sz w:val="18"/>
                <w:szCs w:val="18"/>
              </w:rPr>
            </w:pPr>
            <w:r>
              <w:rPr>
                <w:rFonts w:hint="eastAsia" w:ascii="宋体" w:hAnsi="宋体" w:eastAsia="宋体" w:cs="宋体"/>
                <w:sz w:val="18"/>
                <w:szCs w:val="18"/>
              </w:rPr>
              <w:t>实有人数</w:t>
            </w:r>
          </w:p>
        </w:tc>
        <w:tc>
          <w:tcPr>
            <w:tcW w:w="2447" w:type="dxa"/>
            <w:gridSpan w:val="6"/>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60</w:t>
            </w:r>
            <w:bookmarkStart w:id="0" w:name="_GoBack"/>
            <w:bookmarkEnd w:id="0"/>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450"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center"/>
              <w:rPr>
                <w:rFonts w:hint="eastAsia" w:ascii="宋体" w:hAnsi="宋体" w:eastAsia="宋体" w:cs="宋体"/>
                <w:sz w:val="18"/>
                <w:szCs w:val="18"/>
              </w:rPr>
            </w:pPr>
            <w:r>
              <w:rPr>
                <w:rFonts w:hint="eastAsia" w:ascii="宋体" w:hAnsi="宋体" w:eastAsia="宋体" w:cs="宋体"/>
                <w:sz w:val="18"/>
                <w:szCs w:val="18"/>
              </w:rPr>
              <w:t>职能职责概述</w:t>
            </w:r>
          </w:p>
          <w:p>
            <w:pPr>
              <w:pStyle w:val="2"/>
              <w:keepNext w:val="0"/>
              <w:keepLines w:val="0"/>
              <w:widowControl/>
              <w:suppressLineNumbers w:val="0"/>
              <w:spacing w:before="0" w:beforeAutospacing="0" w:after="0" w:afterAutospacing="0" w:line="33" w:lineRule="atLeast"/>
              <w:ind w:firstLine="0" w:firstLineChars="0"/>
              <w:jc w:val="center"/>
              <w:rPr>
                <w:rFonts w:hint="eastAsia" w:ascii="宋体" w:hAnsi="宋体" w:eastAsia="宋体" w:cs="宋体"/>
                <w:sz w:val="18"/>
                <w:szCs w:val="18"/>
              </w:rPr>
            </w:pPr>
          </w:p>
        </w:tc>
        <w:tc>
          <w:tcPr>
            <w:tcW w:w="6916" w:type="dxa"/>
            <w:gridSpan w:val="14"/>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420" w:firstLineChars="200"/>
              <w:rPr>
                <w:rFonts w:hint="eastAsia" w:ascii="仿宋" w:hAnsi="仿宋" w:eastAsia="仿宋" w:cs="仿宋"/>
                <w:sz w:val="21"/>
                <w:szCs w:val="21"/>
              </w:rPr>
            </w:pPr>
            <w:r>
              <w:rPr>
                <w:rFonts w:hint="eastAsia" w:ascii="仿宋" w:hAnsi="仿宋" w:eastAsia="仿宋" w:cs="仿宋"/>
                <w:sz w:val="21"/>
                <w:szCs w:val="21"/>
              </w:rPr>
              <w:t>我局共有干部职工69人（在职60人，离退休9人）。在职人员中，行政编制23名（实有26人），事业编制29名（实有30人，其中参公编19人，事业编11人），临时聘用4人。局内设办公室（信访、财务</w:t>
            </w:r>
            <w:r>
              <w:rPr>
                <w:rFonts w:hint="eastAsia" w:ascii="仿宋" w:hAnsi="仿宋" w:eastAsia="仿宋" w:cs="仿宋"/>
                <w:sz w:val="21"/>
                <w:szCs w:val="21"/>
                <w:lang w:eastAsia="zh-CN"/>
              </w:rPr>
              <w:t>、人事</w:t>
            </w:r>
            <w:r>
              <w:rPr>
                <w:rFonts w:hint="eastAsia" w:ascii="仿宋" w:hAnsi="仿宋" w:eastAsia="仿宋" w:cs="仿宋"/>
                <w:sz w:val="21"/>
                <w:szCs w:val="21"/>
              </w:rPr>
              <w:t>）、安全生产协调科、政策法规科、危险化学品安全监督管理科、烟花爆竹安全监督管理科、矿山安全监督管理科、行业安全监督管理科，7个职能科室和机关党委、</w:t>
            </w:r>
            <w:r>
              <w:rPr>
                <w:rFonts w:hint="eastAsia" w:ascii="仿宋" w:hAnsi="仿宋" w:eastAsia="仿宋" w:cs="仿宋"/>
                <w:sz w:val="21"/>
                <w:szCs w:val="21"/>
                <w:lang w:eastAsia="zh-CN"/>
              </w:rPr>
              <w:t>机关纪委</w:t>
            </w:r>
            <w:r>
              <w:rPr>
                <w:rFonts w:hint="eastAsia" w:ascii="仿宋" w:hAnsi="仿宋" w:eastAsia="仿宋" w:cs="仿宋"/>
                <w:sz w:val="21"/>
                <w:szCs w:val="21"/>
              </w:rPr>
              <w:t>。下设执法支队、应急救援指挥中心2个二级机构。</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1、承担市政府安全生产委员会办公室的日常工作，研究提出安全生产重大方针政策和重要措施的建议；监督检查、指导、协调市政府有关部门和各县、市、区人民政府 的安全生产工作；组织市政府安全生产大检查和专项督查；组织协调重特大事故应急救援工作；指导协调全市安全生产行政执法工作。</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2、综合管理全市安全生产工作。组织起草安全生产工作的方针、政策及规定；监督检查有关部门及工矿商贸行业贯彻落实国家安全规章规程和安全生产标准的情况。</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3、依法行使市政府安全生产综合监督管理职权，指导、协调和监督有关部门安全生产监督管理工作；制定全市安全生产发展规划；定期分析和预测全市安全生产形势，研究、协调和解决安全生产中的重大问题。</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4、负责发布全市安全生产信息，综合管理全市生产安全伤亡事故调度统计工作和安全生产行政执法分析工作，按规定上报伤亡事故情况；依法组织重大事故的调查处理 和办理结案工作，协调特大事故调查处理工作，并监督事故查处的落实情况；组织、指挥和协调安全生产应急救援工作；受国家或者省安全生产监督管理局委托，参与或协助特别重大事故、特大事故的调查处理。</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5、负责综合监督管理危险化学品和烟花爆竹安全生产工作。</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6、指导、协调全市安全生产检测检验工作；组织实施对生产经营单位安全生产条件和有关设备（特种设备除外）、设施进行检测检验、安全评价、安全培训、安全咨询及社会中介组织资质管理工作，并进行监督检查。</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7、组织、指导全市安全生产宣传教育工作，负责安全生产监督管理人员的培训、考核工作；依法组织、指导并监督全市特种作业人员、生产经营单位主要经营管理者、安全管理人员的安全资格、考核工作；监督检查生产经营单位安全培训工作。</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8、负责监督管理市属工矿商贸企业安全生产工作，依法监督检查工矿商贸企业贯彻执行安全生产法律、法规和有关规章、规程及技术标准的情况，监督检查其安全生产 条件及有关设备（特种设备除外）材料、劳动防护用品的安全管理工作情况，依法查处其违法、违规行为和不具备安全生产条件的生产经营单位。</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9、根据《行政许可法》、《安全生产许可证条例》及有关法律、法规和国家标准或行业标准规定的安全生产条件与程序，对涉及安全生产需要审查批准（包括批准、核 准、许可、注册、认证、颁发、证照等）或验收的事项，进行审查或验收；对未依法取得批准或验收合格的单位擅自从事有关活动的，依法予以查处；对已取得批准 又不再具备安全生产条件的，依法撤销原批准。</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10、依法监督检查新建、改建、扩建工程项目可行性研究的安全评估及安全设施与主体工程同时设计、同时施工、同时投产使用（简称“三同时”）情况；依法监督检查生产经营单位作业场所职业卫生情况和重大危险源监控，重大事故隐患的整改情况。</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11、督促、指导县市区乡级安全生产监督管理部门在分管区域和职责范围内做好安全生产的监督管理工作。</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12、拟定全市安全生产发展规划和科技规划，组织、指导安全生产重大科学技术研究、科研成果鉴定和先进技术推广、示范工作。</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13、归口管理国家、省级和市级安全技术改造、安全技术措施、公共安全重大事故隐患治理等安全生产专项资金项目，并监督检查其资金的使用情况；监督检查生产经营单位安全生产所必需资金的投入及安全生产费用的提取和使用情况。</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14、协同有关部门组织实施注册安全工程师执业资格制度，监督指导注册安全工程师执业资格考试和注册工作。</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15、组织开展安全生产方面的国际交流与合作。</w:t>
            </w:r>
          </w:p>
          <w:p>
            <w:pPr>
              <w:ind w:firstLine="420" w:firstLineChars="200"/>
              <w:rPr>
                <w:rFonts w:hint="eastAsia" w:ascii="宋体" w:hAnsi="宋体" w:eastAsia="宋体" w:cs="宋体"/>
                <w:sz w:val="18"/>
                <w:szCs w:val="18"/>
              </w:rPr>
            </w:pPr>
            <w:r>
              <w:rPr>
                <w:rFonts w:hint="eastAsia" w:ascii="仿宋" w:hAnsi="仿宋" w:eastAsia="仿宋" w:cs="仿宋"/>
                <w:sz w:val="21"/>
                <w:szCs w:val="21"/>
              </w:rPr>
              <w:t>16、承办市委、市政府和市政府安全生产委员会及上级主管部门交办的其他事项。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450"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center"/>
              <w:rPr>
                <w:rFonts w:hint="eastAsia" w:ascii="宋体" w:hAnsi="宋体" w:eastAsia="宋体" w:cs="宋体"/>
                <w:sz w:val="18"/>
                <w:szCs w:val="18"/>
              </w:rPr>
            </w:pPr>
            <w:r>
              <w:rPr>
                <w:rFonts w:hint="eastAsia" w:ascii="宋体" w:hAnsi="宋体" w:eastAsia="宋体" w:cs="宋体"/>
                <w:sz w:val="18"/>
                <w:szCs w:val="18"/>
              </w:rPr>
              <w:t>年度主要</w:t>
            </w:r>
          </w:p>
          <w:p>
            <w:pPr>
              <w:pStyle w:val="2"/>
              <w:keepNext w:val="0"/>
              <w:keepLines w:val="0"/>
              <w:widowControl/>
              <w:suppressLineNumbers w:val="0"/>
              <w:spacing w:before="0" w:beforeAutospacing="0" w:after="0" w:afterAutospacing="0" w:line="33" w:lineRule="atLeast"/>
              <w:ind w:firstLine="0" w:firstLineChars="0"/>
              <w:jc w:val="center"/>
              <w:rPr>
                <w:rFonts w:hint="eastAsia" w:ascii="宋体" w:hAnsi="宋体" w:eastAsia="宋体" w:cs="宋体"/>
                <w:sz w:val="18"/>
                <w:szCs w:val="18"/>
              </w:rPr>
            </w:pPr>
          </w:p>
          <w:p>
            <w:pPr>
              <w:pStyle w:val="2"/>
              <w:keepNext w:val="0"/>
              <w:keepLines w:val="0"/>
              <w:widowControl/>
              <w:suppressLineNumbers w:val="0"/>
              <w:spacing w:before="0" w:beforeAutospacing="0" w:after="0" w:afterAutospacing="0" w:line="33" w:lineRule="atLeast"/>
              <w:ind w:firstLine="0" w:firstLineChars="0"/>
              <w:jc w:val="center"/>
              <w:rPr>
                <w:rFonts w:hint="eastAsia" w:ascii="宋体" w:hAnsi="宋体" w:eastAsia="宋体" w:cs="宋体"/>
                <w:sz w:val="18"/>
                <w:szCs w:val="18"/>
              </w:rPr>
            </w:pPr>
            <w:r>
              <w:rPr>
                <w:rFonts w:hint="eastAsia" w:ascii="宋体" w:hAnsi="宋体" w:eastAsia="宋体" w:cs="宋体"/>
                <w:sz w:val="18"/>
                <w:szCs w:val="18"/>
              </w:rPr>
              <w:t>工作内容</w:t>
            </w:r>
          </w:p>
          <w:p>
            <w:pPr>
              <w:pStyle w:val="2"/>
              <w:keepNext w:val="0"/>
              <w:keepLines w:val="0"/>
              <w:widowControl/>
              <w:suppressLineNumbers w:val="0"/>
              <w:spacing w:before="0" w:beforeAutospacing="0" w:after="0" w:afterAutospacing="0" w:line="33" w:lineRule="atLeast"/>
              <w:ind w:firstLine="0" w:firstLineChars="0"/>
              <w:jc w:val="center"/>
              <w:rPr>
                <w:rFonts w:hint="eastAsia" w:ascii="宋体" w:hAnsi="宋体" w:eastAsia="宋体" w:cs="宋体"/>
                <w:sz w:val="18"/>
                <w:szCs w:val="18"/>
              </w:rPr>
            </w:pPr>
          </w:p>
        </w:tc>
        <w:tc>
          <w:tcPr>
            <w:tcW w:w="6916" w:type="dxa"/>
            <w:gridSpan w:val="14"/>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1、落实党政同责，构建齐抓共管格局。</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2、强化监管执法，形成严管高压态势。</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3、坚持问题导向，强力开展专项整治。</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4、着眼源头治理，坚决淘汰不安全落后产能。</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5、注重排查管控，增强事故防控能力。</w:t>
            </w:r>
          </w:p>
          <w:p>
            <w:pPr>
              <w:ind w:firstLine="420" w:firstLineChars="200"/>
              <w:rPr>
                <w:rFonts w:hint="eastAsia" w:ascii="楷体" w:hAnsi="楷体" w:eastAsia="楷体"/>
                <w:sz w:val="32"/>
                <w:szCs w:val="32"/>
                <w:lang w:val="en-US" w:eastAsia="zh-CN"/>
              </w:rPr>
            </w:pPr>
            <w:r>
              <w:rPr>
                <w:rFonts w:hint="eastAsia" w:ascii="仿宋" w:hAnsi="仿宋" w:eastAsia="仿宋" w:cs="仿宋"/>
                <w:sz w:val="21"/>
                <w:szCs w:val="21"/>
                <w:lang w:val="en-US" w:eastAsia="zh-CN"/>
              </w:rPr>
              <w:t>6、夯实基层基础，提高安全监管水平。</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450"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left"/>
              <w:rPr>
                <w:rFonts w:hint="eastAsia" w:ascii="宋体" w:hAnsi="宋体" w:eastAsia="宋体" w:cs="宋体"/>
                <w:sz w:val="18"/>
                <w:szCs w:val="18"/>
              </w:rPr>
            </w:pPr>
            <w:r>
              <w:rPr>
                <w:rFonts w:hint="eastAsia" w:ascii="宋体" w:hAnsi="宋体" w:eastAsia="宋体" w:cs="宋体"/>
                <w:sz w:val="18"/>
                <w:szCs w:val="18"/>
              </w:rPr>
              <w:t>年度部门（单位）总体运行情况及取得的成绩</w:t>
            </w:r>
          </w:p>
          <w:p>
            <w:pPr>
              <w:pStyle w:val="2"/>
              <w:keepNext w:val="0"/>
              <w:keepLines w:val="0"/>
              <w:widowControl/>
              <w:suppressLineNumbers w:val="0"/>
              <w:spacing w:before="0" w:beforeAutospacing="0" w:after="0" w:afterAutospacing="0" w:line="33" w:lineRule="atLeast"/>
              <w:ind w:firstLine="0" w:firstLineChars="0"/>
              <w:jc w:val="left"/>
              <w:rPr>
                <w:rFonts w:hint="eastAsia" w:ascii="宋体" w:hAnsi="宋体" w:eastAsia="宋体" w:cs="宋体"/>
                <w:sz w:val="18"/>
                <w:szCs w:val="18"/>
              </w:rPr>
            </w:pPr>
          </w:p>
        </w:tc>
        <w:tc>
          <w:tcPr>
            <w:tcW w:w="6916" w:type="dxa"/>
            <w:gridSpan w:val="14"/>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（一）</w:t>
            </w:r>
            <w:r>
              <w:rPr>
                <w:rFonts w:hint="eastAsia" w:ascii="仿宋" w:hAnsi="仿宋" w:eastAsia="仿宋" w:cs="仿宋"/>
                <w:b/>
                <w:bCs/>
                <w:sz w:val="21"/>
                <w:szCs w:val="21"/>
                <w:lang w:val="en-US" w:eastAsia="zh-CN"/>
              </w:rPr>
              <w:t>落实党政同责，构建齐抓共管格局。</w:t>
            </w:r>
            <w:r>
              <w:rPr>
                <w:rFonts w:hint="eastAsia" w:ascii="仿宋" w:hAnsi="仿宋" w:eastAsia="仿宋" w:cs="仿宋"/>
                <w:sz w:val="21"/>
                <w:szCs w:val="21"/>
                <w:lang w:val="en-US" w:eastAsia="zh-CN"/>
              </w:rPr>
              <w:t>全体市级领导下到各自分管行业领域和联系的县市区检查安全生产工作。安全生产大检查开展以来，各县市区和市直相关单位党政领导抓安全生产的意识更强、措施更硬、投入更大、成效更好，全市安全生产“党政同责、一岗双责、齐抓共管”的责任体系和“共护平安”的工作局面进一步形成。</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（二）</w:t>
            </w:r>
            <w:r>
              <w:rPr>
                <w:rFonts w:hint="eastAsia" w:ascii="仿宋" w:hAnsi="仿宋" w:eastAsia="仿宋" w:cs="仿宋"/>
                <w:b/>
                <w:bCs/>
                <w:sz w:val="21"/>
                <w:szCs w:val="21"/>
                <w:lang w:val="en-US" w:eastAsia="zh-CN"/>
              </w:rPr>
              <w:t>强化监管执法，形成严管高压态势。</w:t>
            </w:r>
            <w:r>
              <w:rPr>
                <w:rFonts w:hint="eastAsia" w:ascii="仿宋" w:hAnsi="仿宋" w:eastAsia="仿宋" w:cs="仿宋"/>
                <w:sz w:val="21"/>
                <w:szCs w:val="21"/>
                <w:lang w:val="en-US" w:eastAsia="zh-CN"/>
              </w:rPr>
              <w:t>各级各部门贯彻铁腕治安，强化监管执法，倒逼企业落实安全生产主体责任。按照“五个一批”要求，较真碰硬，先后严肃查处了云溪道仁矶溶剂化工厂、岳阳田里人科技公司等52起典型违法案件；彻底治理了36家烟花爆竹退出企业余废药、岳阳恒阳化工违法建设、湖南普丰冷链公司液氨储罐老化等79个重大安全隐患；关闭取缔了岳阳楼区鑫源加油站、经开区康王固体酒精加工销售部、岳阳县胜天采石场、长江沿线39个非法码头等243家非法生产经营单位；先后在岳阳电视台、岳阳日报、岳阳安监公众号曝光违法违规企业和重大安全隐患20批次。1-12月，市、县安监部门立案查处安全生产违法和事故案件149起，处罚金额709.68万元，移送行政拘留和刑事拘留60人，行政处罚、行政强制的次数同比分别上升96.1%、200%，执法力度显著加大。近期，屈原管理区对查获的杨某某非法生产烟花爆竹行为判处有期徒刑3年6个月，国家安监总局、省安监局官方微信作专门报道。</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（三）</w:t>
            </w:r>
            <w:r>
              <w:rPr>
                <w:rFonts w:hint="eastAsia" w:ascii="仿宋" w:hAnsi="仿宋" w:eastAsia="仿宋" w:cs="仿宋"/>
                <w:b/>
                <w:bCs/>
                <w:sz w:val="21"/>
                <w:szCs w:val="21"/>
                <w:lang w:val="en-US" w:eastAsia="zh-CN"/>
              </w:rPr>
              <w:t>坚持问题导向，强力开展专项整治。</w:t>
            </w:r>
            <w:r>
              <w:rPr>
                <w:rFonts w:hint="eastAsia" w:ascii="仿宋" w:hAnsi="仿宋" w:eastAsia="仿宋" w:cs="仿宋"/>
                <w:sz w:val="21"/>
                <w:szCs w:val="21"/>
                <w:lang w:val="en-US" w:eastAsia="zh-CN"/>
              </w:rPr>
              <w:t>烟花爆竹领域，深刻吸取“1.24”、“2.27”两起事故（件）教训，强力推进为期3年的烟花爆竹打非治违专项行动，今年来组织执法行动1705次，关闭非法经营门店4611家，销毁烟花爆竹制品15万件，抓捕犯罪嫌疑人9人，行政拘留21人，取缔了中南大市场、奇家岭学院路、梅溪桥市场等烟花爆竹连片经营门店，得到国家安监总局分管领导和监管三司肯定。市政府以立法方式出台《岳阳市城区禁止燃放烟花爆竹管理办法》，8月1日起在城区全面实施禁炮。平江县、汨罗市结合本地实际，深入开展“全域禁炮”工作。11月1日，召开全市烟花爆竹打非治违工作专题会议，拟写致各县市区长的一封信，进一步压实“打非”责任，警钟长鸣，坚决遏制烟花爆竹事故发生。非煤矿山领域，持续开展攻坚克难工作，突出抓好非煤矿山大整治行动和大检查交叉执法。建立了非煤矿山安全整治联席工作会议制度，定期召开安监、国土、环保月度联席会议，严控非煤矿山企业新批与延期。今年非煤矿山领域立案32起，取缔非法矿点 17处，事故问责企业相关人员16名，国家公职人员12名，2名直接责任人被追刑。危险化学品领域，制定《岳阳市危险化学品综合治理实施方案》，建立危化品企业安全风险台账，积极开展危险化学品罐区、危化企业特殊作业和加油站安全专项整治行动，立案39起，湘阴县关闭取缔杨林寨乡6个非法加油站和新泉红旗桥东加油点、茶湖潭桥东加油站；安监、交通、交警等部门持续推进危险货物道路运输“四必查”联合执法行动；云溪区建立了危化运输车辆监管中心，运用信息化手段对危化运输车辆进行实时在线监控。工贸领域，深入开展涉氨制冷、粉尘涉爆、有限空间等专项整治，立案13起，处罚金额88.7万元，停产整顿企业10家。职业健康领域，开展粉尘治理专项行动，对平江县兴科云母制品有限公司和临湘市金牛陶瓷有限公司违反职业病防治法的行为进行立案处罚，实现职业健康领域处罚案件“零”突破。</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（四）</w:t>
            </w:r>
            <w:r>
              <w:rPr>
                <w:rFonts w:hint="eastAsia" w:ascii="仿宋" w:hAnsi="仿宋" w:eastAsia="仿宋" w:cs="仿宋"/>
                <w:b/>
                <w:bCs/>
                <w:sz w:val="21"/>
                <w:szCs w:val="21"/>
                <w:lang w:val="en-US" w:eastAsia="zh-CN"/>
              </w:rPr>
              <w:t>着眼源头治理，坚决淘汰不安全落后产能。</w:t>
            </w:r>
            <w:r>
              <w:rPr>
                <w:rFonts w:hint="eastAsia" w:ascii="仿宋" w:hAnsi="仿宋" w:eastAsia="仿宋" w:cs="仿宋"/>
                <w:sz w:val="21"/>
                <w:szCs w:val="21"/>
                <w:lang w:val="en-US" w:eastAsia="zh-CN"/>
              </w:rPr>
              <w:t>严格按照省政府下达的2017年关闭退出任务，坚决淘汰不安全落后产能。一是整体关闭退出烟花爆竹生产企业。截止6月10日，临湘市27家、平江县4家、岳阳县5家烟花爆竹生产企业全面完成关停任务，提前实现我市烟花爆竹“零生产”。大检查期间，将36家退出企业余废药作为重大安全隐患纳入“一单四制”治理，所有退出企业余废药全部安全清除。省安委办对此予以充分肯定，省安委办、省政府督查室《关于全省重大事故隐患治理“一单四制”和煤矿、烟花爆竹、危险化学品行业淘汰不安全落后产能工作专项督查情况的通报》中对我市整体退出烟花爆竹给予表扬；《湖南安全生产动态》以“多措并举全面安全有序整体退出烟花爆竹企业”为题，推广临湘市烟花爆竹生产企业整体退出的经验做法；湖南日报、湖南经视以“烟花爆竹再无‘岳阳造’”进行专题报道。二是全面完成省下达的危险化学品企业注销任务。对12家安全生产许可证照过期且长期处于停产状态的企业全部注销到位，彻底退出生产经营。三是自加压力关闭整顿非煤矿山企业。严格非煤矿山采矿许可证和安全生产许可证新批与延期许可，严把安全生产条件审查关，坚决关停落后不安全企业。对全市77家证照到期的非煤矿山企业，向省安监局申请注销。全市原有251家非煤矿山企业（含尾矿库），目前证照在有效期内的为68家，其中44家在生产中，其余全部处于关闭或停产状态。国土部门在关闭矿山企业设立举报奖励公告牌154块，严防非法开采和盗采。</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（五）</w:t>
            </w:r>
            <w:r>
              <w:rPr>
                <w:rFonts w:hint="eastAsia" w:ascii="仿宋" w:hAnsi="仿宋" w:eastAsia="仿宋" w:cs="仿宋"/>
                <w:b/>
                <w:bCs/>
                <w:sz w:val="21"/>
                <w:szCs w:val="21"/>
                <w:lang w:val="en-US" w:eastAsia="zh-CN"/>
              </w:rPr>
              <w:t>注重排查管控，增强事故防控能力。</w:t>
            </w:r>
            <w:r>
              <w:rPr>
                <w:rFonts w:hint="eastAsia" w:ascii="仿宋" w:hAnsi="仿宋" w:eastAsia="仿宋" w:cs="仿宋"/>
                <w:sz w:val="21"/>
                <w:szCs w:val="21"/>
                <w:lang w:val="en-US" w:eastAsia="zh-CN"/>
              </w:rPr>
              <w:t>一是强力推进安全生产大检查。各级各部门把抓好安全生产大检查，平安护航十九大作为重要政治任务来部署落实。市委、市政府先后5次召开会议进行部署安排。全体市级领导深入联点县市区和行业领域督促指导大检查工作；市级和湘阴县、云溪区迎接了国务院安委会大检查综合督查和“回头看”检查，有力促进了全市安全监管水平的提升。市直重点行业领域牵头单位共派出检查组36个，出动检查人员702批次，排查整治重大隐患116处。二是严格实施重大隐患治理“一单四制”。市政府印发《岳阳市重大事故隐患治理“一单四制”制度实施方案》，在全市18个行业领域分级推进“一单四制”工作。市本级共有95处重大事故隐患纳入“一单四制”治理，其中67处重大隐患通过验收并销号。以落实“一单四制”为契机，全力抓好上级督办或反馈问题的整改。市安委办会同市委督查室、市政府督查室、市委问责办就上级反馈问题和隐患进行督查，采取现场交办、挂牌督办、约谈问责等措施抓好整改落实。</w:t>
            </w:r>
          </w:p>
          <w:p>
            <w:pPr>
              <w:ind w:firstLine="420" w:firstLineChars="200"/>
              <w:rPr>
                <w:rFonts w:hint="eastAsia" w:ascii="宋体" w:hAnsi="宋体" w:eastAsia="宋体" w:cs="宋体"/>
                <w:sz w:val="18"/>
                <w:szCs w:val="18"/>
              </w:rPr>
            </w:pPr>
            <w:r>
              <w:rPr>
                <w:rFonts w:hint="eastAsia" w:ascii="仿宋" w:hAnsi="仿宋" w:eastAsia="仿宋" w:cs="仿宋"/>
                <w:sz w:val="21"/>
                <w:szCs w:val="21"/>
                <w:lang w:val="en-US" w:eastAsia="zh-CN"/>
              </w:rPr>
              <w:t>（六）</w:t>
            </w:r>
            <w:r>
              <w:rPr>
                <w:rFonts w:hint="eastAsia" w:ascii="仿宋" w:hAnsi="仿宋" w:eastAsia="仿宋" w:cs="仿宋"/>
                <w:b/>
                <w:bCs/>
                <w:sz w:val="21"/>
                <w:szCs w:val="21"/>
                <w:lang w:val="en-US" w:eastAsia="zh-CN"/>
              </w:rPr>
              <w:t>夯实基层基础，提高安全监管水平。</w:t>
            </w:r>
            <w:r>
              <w:rPr>
                <w:rFonts w:hint="eastAsia" w:ascii="仿宋" w:hAnsi="仿宋" w:eastAsia="仿宋" w:cs="仿宋"/>
                <w:sz w:val="21"/>
                <w:szCs w:val="21"/>
                <w:lang w:val="en-US" w:eastAsia="zh-CN"/>
              </w:rPr>
              <w:t>坚持多措并举、固本强基，切实加强安全生产基层基础工作。一是提升安全监管能力。10月12日，市政府第9次常务会议专题研究安全生产基层基础工作，就压实基层监管责任、健全基层监管机制、落实联合惩戒、开展示范创建和有奖举报等提出明确要求和具体措施。市政府发文明确市、县两级安监部门为政府行政执法机构，要求相关职能部门落实保障措施，支持安监部门有效开展行政执法工作。二是营造全民参与安全生产大氛围。深入开展安全生产月活动，积极推进安全生产基层行、“6·16”安全生产咨询日等10大重点活动；在岳阳日报、岳阳电视台、岳阳安监微信公众号设立安监曝光台，定期曝光非法违法行为和重大安全隐患；出台《岳阳市安全生产举报奖励办法》，设立2千-3万不等的奖励标准；采取公益视频、流动宣传车、宣传册、公告牌、新媒体广告等多种措施将有奖举报政策宣传到村组、到社区、到企业，9月1日兑现了第一批奖励。湖南日报、国家安监总局官微、湖南安监公众号多次报道我市工作做法。三是提高企业本质安全水平。举办全市首届企业主要负责人培训班，167名重点监管企业负责人参加培训；发放《企业主要负责人安全生产承诺书》公示牌并要求悬挂在企业法人代表办公室，增强其履行安全生产法定职责的意识。在重点企业设立安全生产有奖举报公告牌，发挥企业员工“查隐患、保安全”主力作用。四是开展安全生产示范创建活动。推进安全生产示范县、示范乡镇、示范企业创建。完成1个省级示范县、5个省级示范乡镇和4个市级示范乡镇创建工作的考评验收，湘阴县将成为我市首个省级安全生产示范县。五是深入学习贯彻党的十九大精神。在全市安监系统发出《倡议书》，鼓励广大党员干部勇担“护平安、保稳定，迎接党的十九大胜利召开”政治责任；11月8日，举办了全市“学习贯彻党的十九大精神，做新时代最美安全卫士”演讲比赛；11月10日，举办了“学习贯彻党的十九大精神报告会暨党组书记讲党课活动”，并邀请十九大代表邓伟同志作辅导报告，号召全市安监系统在党的十九大精神指引下，不忘初心，牢记使命，继续前进。</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Ex>
        <w:tc>
          <w:tcPr>
            <w:tcW w:w="8366" w:type="dxa"/>
            <w:gridSpan w:val="16"/>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both"/>
            </w:pPr>
            <w:r>
              <w:rPr>
                <w:rFonts w:hint="eastAsia" w:ascii="宋体" w:hAnsi="宋体" w:eastAsia="宋体" w:cs="宋体"/>
                <w:sz w:val="18"/>
                <w:szCs w:val="18"/>
              </w:rPr>
              <w:t>二、部门（单位）收支情况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8366" w:type="dxa"/>
            <w:gridSpan w:val="16"/>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both"/>
            </w:pPr>
            <w:r>
              <w:rPr>
                <w:rFonts w:hint="eastAsia" w:ascii="宋体" w:hAnsi="宋体" w:eastAsia="宋体" w:cs="宋体"/>
                <w:sz w:val="18"/>
                <w:szCs w:val="18"/>
              </w:rPr>
              <w:t>年度收入情况（万元）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516" w:type="dxa"/>
            <w:gridSpan w:val="3"/>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center"/>
              <w:rPr>
                <w:rFonts w:hint="eastAsia" w:ascii="宋体" w:hAnsi="宋体" w:eastAsia="宋体" w:cs="宋体"/>
                <w:sz w:val="18"/>
                <w:szCs w:val="18"/>
              </w:rPr>
            </w:pPr>
            <w:r>
              <w:rPr>
                <w:rFonts w:hint="eastAsia" w:ascii="宋体" w:hAnsi="宋体" w:eastAsia="宋体" w:cs="宋体"/>
                <w:sz w:val="18"/>
                <w:szCs w:val="18"/>
              </w:rPr>
              <w:t>机构名称</w:t>
            </w:r>
          </w:p>
        </w:tc>
        <w:tc>
          <w:tcPr>
            <w:tcW w:w="947"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center"/>
              <w:rPr>
                <w:rFonts w:hint="eastAsia" w:ascii="宋体" w:hAnsi="宋体" w:eastAsia="宋体" w:cs="宋体"/>
                <w:sz w:val="18"/>
                <w:szCs w:val="18"/>
              </w:rPr>
            </w:pPr>
            <w:r>
              <w:rPr>
                <w:rFonts w:hint="eastAsia" w:ascii="宋体" w:hAnsi="宋体" w:eastAsia="宋体" w:cs="宋体"/>
                <w:sz w:val="18"/>
                <w:szCs w:val="18"/>
              </w:rPr>
              <w:t>收入合计</w:t>
            </w:r>
          </w:p>
        </w:tc>
        <w:tc>
          <w:tcPr>
            <w:tcW w:w="5903" w:type="dxa"/>
            <w:gridSpan w:val="1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both"/>
            </w:pPr>
            <w:r>
              <w:rPr>
                <w:rFonts w:hint="eastAsia" w:ascii="宋体" w:hAnsi="宋体" w:eastAsia="宋体" w:cs="宋体"/>
                <w:sz w:val="18"/>
                <w:szCs w:val="18"/>
              </w:rPr>
              <w:t>其中：</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09" w:hRule="atLeast"/>
        </w:trPr>
        <w:tc>
          <w:tcPr>
            <w:tcW w:w="1516" w:type="dxa"/>
            <w:gridSpan w:val="3"/>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rPr>
            </w:pPr>
          </w:p>
        </w:tc>
        <w:tc>
          <w:tcPr>
            <w:tcW w:w="947"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rPr>
            </w:pPr>
          </w:p>
        </w:tc>
        <w:tc>
          <w:tcPr>
            <w:tcW w:w="1189"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center"/>
              <w:rPr>
                <w:rFonts w:hint="eastAsia" w:ascii="宋体" w:hAnsi="宋体" w:eastAsia="宋体" w:cs="宋体"/>
                <w:sz w:val="18"/>
                <w:szCs w:val="18"/>
              </w:rPr>
            </w:pPr>
            <w:r>
              <w:rPr>
                <w:rFonts w:hint="eastAsia" w:ascii="宋体" w:hAnsi="宋体" w:eastAsia="宋体" w:cs="宋体"/>
                <w:sz w:val="18"/>
                <w:szCs w:val="18"/>
              </w:rPr>
              <w:t>上年结转</w:t>
            </w:r>
          </w:p>
        </w:tc>
        <w:tc>
          <w:tcPr>
            <w:tcW w:w="97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center"/>
              <w:rPr>
                <w:rFonts w:hint="eastAsia" w:ascii="宋体" w:hAnsi="宋体" w:eastAsia="宋体" w:cs="宋体"/>
                <w:sz w:val="18"/>
                <w:szCs w:val="18"/>
              </w:rPr>
            </w:pPr>
            <w:r>
              <w:rPr>
                <w:rFonts w:hint="eastAsia" w:ascii="宋体" w:hAnsi="宋体" w:eastAsia="宋体" w:cs="宋体"/>
                <w:sz w:val="18"/>
                <w:szCs w:val="18"/>
              </w:rPr>
              <w:t>公共财</w:t>
            </w:r>
          </w:p>
          <w:p>
            <w:pPr>
              <w:pStyle w:val="2"/>
              <w:keepNext w:val="0"/>
              <w:keepLines w:val="0"/>
              <w:widowControl/>
              <w:suppressLineNumbers w:val="0"/>
              <w:spacing w:before="0" w:beforeAutospacing="0" w:after="0" w:afterAutospacing="0" w:line="33" w:lineRule="atLeast"/>
              <w:ind w:firstLine="0" w:firstLineChars="0"/>
              <w:jc w:val="center"/>
              <w:rPr>
                <w:rFonts w:hint="eastAsia" w:ascii="宋体" w:hAnsi="宋体" w:eastAsia="宋体" w:cs="宋体"/>
                <w:sz w:val="18"/>
                <w:szCs w:val="18"/>
              </w:rPr>
            </w:pPr>
            <w:r>
              <w:rPr>
                <w:rFonts w:hint="eastAsia" w:ascii="宋体" w:hAnsi="宋体" w:eastAsia="宋体" w:cs="宋体"/>
                <w:sz w:val="18"/>
                <w:szCs w:val="18"/>
              </w:rPr>
              <w:t>政拨款</w:t>
            </w:r>
          </w:p>
        </w:tc>
        <w:tc>
          <w:tcPr>
            <w:tcW w:w="1502"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center"/>
              <w:rPr>
                <w:rFonts w:hint="eastAsia" w:ascii="宋体" w:hAnsi="宋体" w:eastAsia="宋体" w:cs="宋体"/>
                <w:sz w:val="18"/>
                <w:szCs w:val="18"/>
              </w:rPr>
            </w:pPr>
            <w:r>
              <w:rPr>
                <w:rFonts w:hint="eastAsia" w:ascii="宋体" w:hAnsi="宋体" w:eastAsia="宋体" w:cs="宋体"/>
                <w:sz w:val="18"/>
                <w:szCs w:val="18"/>
              </w:rPr>
              <w:t>政府基金拨款</w:t>
            </w:r>
          </w:p>
        </w:tc>
        <w:tc>
          <w:tcPr>
            <w:tcW w:w="1597"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center"/>
              <w:rPr>
                <w:rFonts w:hint="eastAsia" w:ascii="宋体" w:hAnsi="宋体" w:eastAsia="宋体" w:cs="宋体"/>
                <w:sz w:val="18"/>
                <w:szCs w:val="18"/>
              </w:rPr>
            </w:pPr>
            <w:r>
              <w:rPr>
                <w:rFonts w:hint="eastAsia" w:ascii="宋体" w:hAnsi="宋体" w:eastAsia="宋体" w:cs="宋体"/>
                <w:sz w:val="18"/>
                <w:szCs w:val="18"/>
              </w:rPr>
              <w:t>纳入专户管理的非税收入拨款</w:t>
            </w:r>
          </w:p>
        </w:tc>
        <w:tc>
          <w:tcPr>
            <w:tcW w:w="645"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center"/>
              <w:rPr>
                <w:rFonts w:hint="eastAsia" w:ascii="宋体" w:hAnsi="宋体" w:eastAsia="宋体" w:cs="宋体"/>
                <w:sz w:val="18"/>
                <w:szCs w:val="18"/>
              </w:rPr>
            </w:pPr>
            <w:r>
              <w:rPr>
                <w:rFonts w:hint="eastAsia" w:ascii="宋体" w:hAnsi="宋体" w:eastAsia="宋体" w:cs="宋体"/>
                <w:sz w:val="18"/>
                <w:szCs w:val="18"/>
              </w:rPr>
              <w:t>其他</w:t>
            </w:r>
          </w:p>
          <w:p>
            <w:pPr>
              <w:pStyle w:val="2"/>
              <w:keepNext w:val="0"/>
              <w:keepLines w:val="0"/>
              <w:widowControl/>
              <w:suppressLineNumbers w:val="0"/>
              <w:spacing w:before="0" w:beforeAutospacing="0" w:after="0" w:afterAutospacing="0" w:line="33" w:lineRule="atLeast"/>
              <w:ind w:firstLine="0" w:firstLineChars="0"/>
              <w:jc w:val="center"/>
            </w:pPr>
            <w:r>
              <w:rPr>
                <w:rFonts w:hint="eastAsia" w:ascii="宋体" w:hAnsi="宋体" w:eastAsia="宋体" w:cs="宋体"/>
                <w:sz w:val="18"/>
                <w:szCs w:val="18"/>
              </w:rPr>
              <w:t>收入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516"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both"/>
              <w:rPr>
                <w:rFonts w:hint="eastAsia" w:ascii="宋体" w:hAnsi="宋体" w:eastAsia="宋体" w:cs="宋体"/>
                <w:sz w:val="18"/>
                <w:szCs w:val="18"/>
              </w:rPr>
            </w:pPr>
            <w:r>
              <w:rPr>
                <w:rFonts w:hint="eastAsia" w:ascii="宋体" w:hAnsi="宋体" w:eastAsia="宋体" w:cs="宋体"/>
                <w:sz w:val="18"/>
                <w:szCs w:val="18"/>
              </w:rPr>
              <w:t>局机关及二级机构汇总</w:t>
            </w:r>
          </w:p>
        </w:tc>
        <w:tc>
          <w:tcPr>
            <w:tcW w:w="947" w:type="dxa"/>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rPr>
            </w:pPr>
            <w:r>
              <w:rPr>
                <w:rFonts w:hint="eastAsia" w:ascii="宋体" w:hAnsi="宋体" w:eastAsia="宋体" w:cs="宋体"/>
                <w:sz w:val="18"/>
                <w:szCs w:val="18"/>
              </w:rPr>
              <w:t>1366.88</w:t>
            </w:r>
          </w:p>
        </w:tc>
        <w:tc>
          <w:tcPr>
            <w:tcW w:w="1189"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rPr>
            </w:pPr>
            <w:r>
              <w:rPr>
                <w:rFonts w:hint="eastAsia" w:ascii="宋体" w:hAnsi="宋体" w:eastAsia="宋体" w:cs="宋体"/>
                <w:sz w:val="18"/>
                <w:szCs w:val="18"/>
              </w:rPr>
              <w:t>167.96</w:t>
            </w:r>
          </w:p>
        </w:tc>
        <w:tc>
          <w:tcPr>
            <w:tcW w:w="970" w:type="dxa"/>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rPr>
            </w:pPr>
            <w:r>
              <w:rPr>
                <w:rFonts w:hint="eastAsia" w:ascii="宋体" w:hAnsi="宋体" w:eastAsia="宋体" w:cs="宋体"/>
                <w:sz w:val="18"/>
                <w:szCs w:val="18"/>
              </w:rPr>
              <w:t>1165.33</w:t>
            </w:r>
          </w:p>
        </w:tc>
        <w:tc>
          <w:tcPr>
            <w:tcW w:w="1502"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rPr>
            </w:pPr>
          </w:p>
        </w:tc>
        <w:tc>
          <w:tcPr>
            <w:tcW w:w="1597"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rPr>
            </w:pPr>
          </w:p>
        </w:tc>
        <w:tc>
          <w:tcPr>
            <w:tcW w:w="645"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rPr>
            </w:pPr>
            <w:r>
              <w:rPr>
                <w:rFonts w:hint="eastAsia" w:ascii="宋体" w:hAnsi="宋体" w:eastAsia="宋体" w:cs="宋体"/>
                <w:sz w:val="18"/>
                <w:szCs w:val="18"/>
              </w:rPr>
              <w:t>33.59</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8366" w:type="dxa"/>
            <w:gridSpan w:val="16"/>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both"/>
            </w:pPr>
            <w:r>
              <w:rPr>
                <w:rFonts w:hint="eastAsia" w:ascii="宋体" w:hAnsi="宋体" w:eastAsia="宋体" w:cs="宋体"/>
                <w:sz w:val="18"/>
                <w:szCs w:val="18"/>
              </w:rPr>
              <w:t>部门（单位）年度支出和结余情况（万元）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516" w:type="dxa"/>
            <w:gridSpan w:val="3"/>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center"/>
              <w:rPr>
                <w:rFonts w:hint="eastAsia" w:ascii="宋体" w:hAnsi="宋体" w:eastAsia="宋体" w:cs="宋体"/>
                <w:sz w:val="18"/>
                <w:szCs w:val="18"/>
              </w:rPr>
            </w:pPr>
            <w:r>
              <w:rPr>
                <w:rFonts w:hint="eastAsia" w:ascii="宋体" w:hAnsi="宋体" w:eastAsia="宋体" w:cs="宋体"/>
                <w:sz w:val="18"/>
                <w:szCs w:val="18"/>
              </w:rPr>
              <w:t>机构名称</w:t>
            </w:r>
          </w:p>
        </w:tc>
        <w:tc>
          <w:tcPr>
            <w:tcW w:w="947"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both"/>
              <w:rPr>
                <w:rFonts w:hint="eastAsia" w:ascii="宋体" w:hAnsi="宋体" w:eastAsia="宋体" w:cs="宋体"/>
                <w:sz w:val="18"/>
                <w:szCs w:val="18"/>
              </w:rPr>
            </w:pPr>
            <w:r>
              <w:rPr>
                <w:rFonts w:hint="eastAsia" w:ascii="宋体" w:hAnsi="宋体" w:eastAsia="宋体" w:cs="宋体"/>
                <w:sz w:val="18"/>
                <w:szCs w:val="18"/>
              </w:rPr>
              <w:t>支出合计</w:t>
            </w:r>
          </w:p>
          <w:p>
            <w:pPr>
              <w:pStyle w:val="2"/>
              <w:keepNext w:val="0"/>
              <w:keepLines w:val="0"/>
              <w:widowControl/>
              <w:suppressLineNumbers w:val="0"/>
              <w:spacing w:before="0" w:beforeAutospacing="0" w:after="0" w:afterAutospacing="0" w:line="33" w:lineRule="atLeast"/>
              <w:ind w:firstLine="0" w:firstLineChars="0"/>
              <w:jc w:val="both"/>
              <w:rPr>
                <w:rFonts w:hint="eastAsia" w:ascii="宋体" w:hAnsi="宋体" w:eastAsia="宋体" w:cs="宋体"/>
                <w:sz w:val="18"/>
                <w:szCs w:val="18"/>
              </w:rPr>
            </w:pPr>
          </w:p>
        </w:tc>
        <w:tc>
          <w:tcPr>
            <w:tcW w:w="4212" w:type="dxa"/>
            <w:gridSpan w:val="8"/>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both"/>
              <w:rPr>
                <w:rFonts w:hint="eastAsia" w:ascii="宋体" w:hAnsi="宋体" w:eastAsia="宋体" w:cs="宋体"/>
                <w:sz w:val="18"/>
                <w:szCs w:val="18"/>
              </w:rPr>
            </w:pPr>
            <w:r>
              <w:rPr>
                <w:rFonts w:hint="eastAsia" w:ascii="宋体" w:hAnsi="宋体" w:eastAsia="宋体" w:cs="宋体"/>
                <w:sz w:val="18"/>
                <w:szCs w:val="18"/>
              </w:rPr>
              <w:t>其中：</w:t>
            </w:r>
          </w:p>
        </w:tc>
        <w:tc>
          <w:tcPr>
            <w:tcW w:w="1691" w:type="dxa"/>
            <w:gridSpan w:val="4"/>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both"/>
            </w:pPr>
            <w:r>
              <w:rPr>
                <w:rFonts w:hint="eastAsia" w:ascii="宋体" w:hAnsi="宋体" w:eastAsia="宋体" w:cs="宋体"/>
                <w:sz w:val="18"/>
                <w:szCs w:val="18"/>
              </w:rPr>
              <w:t>结余</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516" w:type="dxa"/>
            <w:gridSpan w:val="3"/>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rPr>
            </w:pPr>
          </w:p>
        </w:tc>
        <w:tc>
          <w:tcPr>
            <w:tcW w:w="947"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rPr>
            </w:pPr>
          </w:p>
        </w:tc>
        <w:tc>
          <w:tcPr>
            <w:tcW w:w="1189" w:type="dxa"/>
            <w:gridSpan w:val="3"/>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both"/>
              <w:rPr>
                <w:rFonts w:hint="eastAsia" w:ascii="宋体" w:hAnsi="宋体" w:eastAsia="宋体" w:cs="宋体"/>
                <w:sz w:val="18"/>
                <w:szCs w:val="18"/>
              </w:rPr>
            </w:pPr>
            <w:r>
              <w:rPr>
                <w:rFonts w:hint="eastAsia" w:ascii="宋体" w:hAnsi="宋体" w:eastAsia="宋体" w:cs="宋体"/>
                <w:sz w:val="18"/>
                <w:szCs w:val="18"/>
              </w:rPr>
              <w:t>基本支出</w:t>
            </w:r>
          </w:p>
        </w:tc>
        <w:tc>
          <w:tcPr>
            <w:tcW w:w="2042"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both"/>
              <w:rPr>
                <w:rFonts w:hint="eastAsia" w:ascii="宋体" w:hAnsi="宋体" w:eastAsia="宋体" w:cs="宋体"/>
                <w:sz w:val="18"/>
                <w:szCs w:val="18"/>
              </w:rPr>
            </w:pPr>
            <w:r>
              <w:rPr>
                <w:rFonts w:hint="eastAsia" w:ascii="宋体" w:hAnsi="宋体" w:eastAsia="宋体" w:cs="宋体"/>
                <w:sz w:val="18"/>
                <w:szCs w:val="18"/>
              </w:rPr>
              <w:t>其中：</w:t>
            </w:r>
          </w:p>
        </w:tc>
        <w:tc>
          <w:tcPr>
            <w:tcW w:w="981" w:type="dxa"/>
            <w:gridSpan w:val="3"/>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both"/>
              <w:rPr>
                <w:rFonts w:hint="eastAsia" w:ascii="宋体" w:hAnsi="宋体" w:eastAsia="宋体" w:cs="宋体"/>
                <w:sz w:val="18"/>
                <w:szCs w:val="18"/>
              </w:rPr>
            </w:pPr>
            <w:r>
              <w:rPr>
                <w:rFonts w:hint="eastAsia" w:ascii="宋体" w:hAnsi="宋体" w:eastAsia="宋体" w:cs="宋体"/>
                <w:sz w:val="18"/>
                <w:szCs w:val="18"/>
              </w:rPr>
              <w:t>项目支出</w:t>
            </w:r>
          </w:p>
        </w:tc>
        <w:tc>
          <w:tcPr>
            <w:tcW w:w="860"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both"/>
              <w:rPr>
                <w:rFonts w:hint="eastAsia" w:ascii="宋体" w:hAnsi="宋体" w:eastAsia="宋体" w:cs="宋体"/>
                <w:sz w:val="18"/>
                <w:szCs w:val="18"/>
              </w:rPr>
            </w:pPr>
            <w:r>
              <w:rPr>
                <w:rFonts w:hint="eastAsia" w:ascii="宋体" w:hAnsi="宋体" w:eastAsia="宋体" w:cs="宋体"/>
                <w:sz w:val="18"/>
                <w:szCs w:val="18"/>
              </w:rPr>
              <w:t>当年结余</w:t>
            </w:r>
          </w:p>
        </w:tc>
        <w:tc>
          <w:tcPr>
            <w:tcW w:w="831" w:type="dxa"/>
            <w:gridSpan w:val="3"/>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both"/>
            </w:pPr>
            <w:r>
              <w:rPr>
                <w:rFonts w:hint="eastAsia" w:ascii="宋体" w:hAnsi="宋体" w:eastAsia="宋体" w:cs="宋体"/>
                <w:sz w:val="18"/>
                <w:szCs w:val="18"/>
              </w:rPr>
              <w:t>累计结余</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90" w:hRule="atLeast"/>
        </w:trPr>
        <w:tc>
          <w:tcPr>
            <w:tcW w:w="1516" w:type="dxa"/>
            <w:gridSpan w:val="3"/>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rPr>
            </w:pPr>
          </w:p>
        </w:tc>
        <w:tc>
          <w:tcPr>
            <w:tcW w:w="947"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rPr>
            </w:pPr>
          </w:p>
        </w:tc>
        <w:tc>
          <w:tcPr>
            <w:tcW w:w="1189" w:type="dxa"/>
            <w:gridSpan w:val="3"/>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rPr>
            </w:pPr>
          </w:p>
        </w:tc>
        <w:tc>
          <w:tcPr>
            <w:tcW w:w="97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both"/>
              <w:rPr>
                <w:rFonts w:hint="eastAsia" w:ascii="宋体" w:hAnsi="宋体" w:eastAsia="宋体" w:cs="宋体"/>
                <w:sz w:val="18"/>
                <w:szCs w:val="18"/>
              </w:rPr>
            </w:pPr>
            <w:r>
              <w:rPr>
                <w:rFonts w:hint="eastAsia" w:ascii="宋体" w:hAnsi="宋体" w:eastAsia="宋体" w:cs="宋体"/>
                <w:sz w:val="18"/>
                <w:szCs w:val="18"/>
              </w:rPr>
              <w:t>人员支出</w:t>
            </w:r>
          </w:p>
        </w:tc>
        <w:tc>
          <w:tcPr>
            <w:tcW w:w="1072"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both"/>
            </w:pPr>
            <w:r>
              <w:rPr>
                <w:rFonts w:hint="eastAsia" w:ascii="宋体" w:hAnsi="宋体" w:eastAsia="宋体" w:cs="宋体"/>
                <w:sz w:val="18"/>
                <w:szCs w:val="18"/>
              </w:rPr>
              <w:t>公用支出</w:t>
            </w:r>
          </w:p>
        </w:tc>
        <w:tc>
          <w:tcPr>
            <w:tcW w:w="981"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rPr>
            </w:pPr>
          </w:p>
        </w:tc>
        <w:tc>
          <w:tcPr>
            <w:tcW w:w="860" w:type="dxa"/>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rPr>
            </w:pPr>
          </w:p>
        </w:tc>
        <w:tc>
          <w:tcPr>
            <w:tcW w:w="831"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516"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both"/>
              <w:rPr>
                <w:rFonts w:hint="eastAsia" w:ascii="宋体" w:hAnsi="宋体" w:eastAsia="宋体" w:cs="宋体"/>
                <w:sz w:val="18"/>
                <w:szCs w:val="18"/>
              </w:rPr>
            </w:pPr>
            <w:r>
              <w:rPr>
                <w:rFonts w:hint="eastAsia" w:ascii="宋体" w:hAnsi="宋体" w:eastAsia="宋体" w:cs="宋体"/>
                <w:sz w:val="18"/>
                <w:szCs w:val="18"/>
              </w:rPr>
              <w:t>局机关及二级机构汇总</w:t>
            </w:r>
          </w:p>
        </w:tc>
        <w:tc>
          <w:tcPr>
            <w:tcW w:w="947" w:type="dxa"/>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1364.99</w:t>
            </w:r>
          </w:p>
        </w:tc>
        <w:tc>
          <w:tcPr>
            <w:tcW w:w="1189"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815.53</w:t>
            </w:r>
          </w:p>
        </w:tc>
        <w:tc>
          <w:tcPr>
            <w:tcW w:w="970" w:type="dxa"/>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652.15</w:t>
            </w:r>
          </w:p>
        </w:tc>
        <w:tc>
          <w:tcPr>
            <w:tcW w:w="1072" w:type="dxa"/>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163.39</w:t>
            </w:r>
          </w:p>
        </w:tc>
        <w:tc>
          <w:tcPr>
            <w:tcW w:w="981"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549.46</w:t>
            </w:r>
          </w:p>
        </w:tc>
        <w:tc>
          <w:tcPr>
            <w:tcW w:w="860" w:type="dxa"/>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1.88</w:t>
            </w:r>
          </w:p>
        </w:tc>
        <w:tc>
          <w:tcPr>
            <w:tcW w:w="831"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516" w:type="dxa"/>
            <w:gridSpan w:val="3"/>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center"/>
              <w:rPr>
                <w:rFonts w:hint="eastAsia" w:ascii="宋体" w:hAnsi="宋体" w:eastAsia="宋体" w:cs="宋体"/>
                <w:sz w:val="18"/>
                <w:szCs w:val="18"/>
              </w:rPr>
            </w:pPr>
            <w:r>
              <w:rPr>
                <w:rFonts w:hint="eastAsia" w:ascii="宋体" w:hAnsi="宋体" w:eastAsia="宋体" w:cs="宋体"/>
                <w:sz w:val="18"/>
                <w:szCs w:val="18"/>
              </w:rPr>
              <w:t>机构名称</w:t>
            </w:r>
          </w:p>
        </w:tc>
        <w:tc>
          <w:tcPr>
            <w:tcW w:w="947"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both"/>
              <w:rPr>
                <w:rFonts w:hint="eastAsia" w:ascii="宋体" w:hAnsi="宋体" w:eastAsia="宋体" w:cs="宋体"/>
                <w:sz w:val="18"/>
                <w:szCs w:val="18"/>
              </w:rPr>
            </w:pPr>
            <w:r>
              <w:rPr>
                <w:rFonts w:hint="eastAsia" w:ascii="宋体" w:hAnsi="宋体" w:eastAsia="宋体" w:cs="宋体"/>
                <w:sz w:val="18"/>
                <w:szCs w:val="18"/>
              </w:rPr>
              <w:t>三公经费</w:t>
            </w:r>
          </w:p>
          <w:p>
            <w:pPr>
              <w:pStyle w:val="2"/>
              <w:keepNext w:val="0"/>
              <w:keepLines w:val="0"/>
              <w:widowControl/>
              <w:suppressLineNumbers w:val="0"/>
              <w:spacing w:before="0" w:beforeAutospacing="0" w:after="0" w:afterAutospacing="0" w:line="33" w:lineRule="atLeast"/>
              <w:ind w:firstLine="0" w:firstLineChars="0"/>
              <w:jc w:val="both"/>
              <w:rPr>
                <w:rFonts w:hint="eastAsia" w:ascii="宋体" w:hAnsi="宋体" w:eastAsia="宋体" w:cs="宋体"/>
                <w:sz w:val="18"/>
                <w:szCs w:val="18"/>
              </w:rPr>
            </w:pPr>
            <w:r>
              <w:rPr>
                <w:rFonts w:hint="eastAsia" w:ascii="宋体" w:hAnsi="宋体" w:eastAsia="宋体" w:cs="宋体"/>
                <w:sz w:val="18"/>
                <w:szCs w:val="18"/>
              </w:rPr>
              <w:t>合计</w:t>
            </w:r>
          </w:p>
        </w:tc>
        <w:tc>
          <w:tcPr>
            <w:tcW w:w="5903" w:type="dxa"/>
            <w:gridSpan w:val="1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both"/>
            </w:pPr>
            <w:r>
              <w:rPr>
                <w:rFonts w:hint="eastAsia" w:ascii="宋体" w:hAnsi="宋体" w:eastAsia="宋体" w:cs="宋体"/>
                <w:sz w:val="18"/>
                <w:szCs w:val="18"/>
              </w:rPr>
              <w:t>其中：</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516" w:type="dxa"/>
            <w:gridSpan w:val="3"/>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rPr>
            </w:pPr>
          </w:p>
        </w:tc>
        <w:tc>
          <w:tcPr>
            <w:tcW w:w="947"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rPr>
            </w:pPr>
          </w:p>
        </w:tc>
        <w:tc>
          <w:tcPr>
            <w:tcW w:w="1189"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both"/>
              <w:rPr>
                <w:rFonts w:hint="eastAsia" w:ascii="宋体" w:hAnsi="宋体" w:eastAsia="宋体" w:cs="宋体"/>
                <w:sz w:val="18"/>
                <w:szCs w:val="18"/>
              </w:rPr>
            </w:pPr>
            <w:r>
              <w:rPr>
                <w:rFonts w:hint="eastAsia" w:ascii="宋体" w:hAnsi="宋体" w:eastAsia="宋体" w:cs="宋体"/>
                <w:sz w:val="18"/>
                <w:szCs w:val="18"/>
              </w:rPr>
              <w:t>公务接待费</w:t>
            </w:r>
          </w:p>
        </w:tc>
        <w:tc>
          <w:tcPr>
            <w:tcW w:w="97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both"/>
              <w:rPr>
                <w:rFonts w:hint="eastAsia" w:ascii="宋体" w:hAnsi="宋体" w:eastAsia="宋体" w:cs="宋体"/>
                <w:sz w:val="18"/>
                <w:szCs w:val="18"/>
              </w:rPr>
            </w:pPr>
            <w:r>
              <w:rPr>
                <w:rFonts w:hint="eastAsia" w:ascii="宋体" w:hAnsi="宋体" w:eastAsia="宋体" w:cs="宋体"/>
                <w:sz w:val="18"/>
                <w:szCs w:val="18"/>
              </w:rPr>
              <w:t>公务用车运维费</w:t>
            </w:r>
          </w:p>
        </w:tc>
        <w:tc>
          <w:tcPr>
            <w:tcW w:w="1072"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both"/>
              <w:rPr>
                <w:rFonts w:hint="eastAsia" w:ascii="宋体" w:hAnsi="宋体" w:eastAsia="宋体" w:cs="宋体"/>
                <w:sz w:val="18"/>
                <w:szCs w:val="18"/>
              </w:rPr>
            </w:pPr>
            <w:r>
              <w:rPr>
                <w:rFonts w:hint="eastAsia" w:ascii="宋体" w:hAnsi="宋体" w:eastAsia="宋体" w:cs="宋体"/>
                <w:sz w:val="18"/>
                <w:szCs w:val="18"/>
              </w:rPr>
              <w:t>公务用车购置费</w:t>
            </w:r>
          </w:p>
        </w:tc>
        <w:tc>
          <w:tcPr>
            <w:tcW w:w="2672" w:type="dxa"/>
            <w:gridSpan w:val="7"/>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both"/>
            </w:pPr>
            <w:r>
              <w:rPr>
                <w:rFonts w:hint="eastAsia" w:ascii="宋体" w:hAnsi="宋体" w:eastAsia="宋体" w:cs="宋体"/>
                <w:sz w:val="18"/>
                <w:szCs w:val="18"/>
              </w:rPr>
              <w:t>因公出国费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516"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both"/>
            </w:pPr>
            <w:r>
              <w:rPr>
                <w:rFonts w:hint="eastAsia" w:ascii="宋体" w:hAnsi="宋体" w:eastAsia="宋体" w:cs="宋体"/>
                <w:sz w:val="18"/>
                <w:szCs w:val="18"/>
              </w:rPr>
              <w:t>局机关及二级机构汇总</w:t>
            </w:r>
          </w:p>
        </w:tc>
        <w:tc>
          <w:tcPr>
            <w:tcW w:w="947" w:type="dxa"/>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rPr>
            </w:pPr>
            <w:r>
              <w:rPr>
                <w:rFonts w:hint="eastAsia" w:ascii="宋体" w:hAnsi="宋体" w:eastAsia="宋体" w:cs="宋体"/>
                <w:sz w:val="18"/>
                <w:szCs w:val="18"/>
              </w:rPr>
              <w:t>53.75</w:t>
            </w:r>
          </w:p>
        </w:tc>
        <w:tc>
          <w:tcPr>
            <w:tcW w:w="1189"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rPr>
            </w:pPr>
            <w:r>
              <w:rPr>
                <w:rFonts w:hint="eastAsia" w:ascii="宋体" w:hAnsi="宋体" w:eastAsia="宋体" w:cs="宋体"/>
                <w:sz w:val="18"/>
                <w:szCs w:val="18"/>
              </w:rPr>
              <w:t>11.37</w:t>
            </w:r>
          </w:p>
        </w:tc>
        <w:tc>
          <w:tcPr>
            <w:tcW w:w="970" w:type="dxa"/>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rPr>
            </w:pPr>
            <w:r>
              <w:rPr>
                <w:rFonts w:hint="eastAsia" w:ascii="宋体" w:hAnsi="宋体" w:eastAsia="宋体" w:cs="宋体"/>
                <w:sz w:val="18"/>
                <w:szCs w:val="18"/>
              </w:rPr>
              <w:t>24.40</w:t>
            </w:r>
          </w:p>
        </w:tc>
        <w:tc>
          <w:tcPr>
            <w:tcW w:w="1072" w:type="dxa"/>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rPr>
            </w:pPr>
            <w:r>
              <w:rPr>
                <w:rFonts w:hint="eastAsia" w:ascii="宋体" w:hAnsi="宋体" w:eastAsia="宋体" w:cs="宋体"/>
                <w:sz w:val="18"/>
                <w:szCs w:val="18"/>
              </w:rPr>
              <w:t>17.98</w:t>
            </w:r>
          </w:p>
        </w:tc>
        <w:tc>
          <w:tcPr>
            <w:tcW w:w="2672" w:type="dxa"/>
            <w:gridSpan w:val="7"/>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516" w:type="dxa"/>
            <w:gridSpan w:val="3"/>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center"/>
              <w:rPr>
                <w:rFonts w:hint="eastAsia" w:ascii="宋体" w:hAnsi="宋体" w:eastAsia="宋体" w:cs="宋体"/>
                <w:sz w:val="18"/>
                <w:szCs w:val="18"/>
              </w:rPr>
            </w:pPr>
            <w:r>
              <w:rPr>
                <w:rFonts w:hint="eastAsia" w:ascii="宋体" w:hAnsi="宋体" w:eastAsia="宋体" w:cs="宋体"/>
                <w:sz w:val="18"/>
                <w:szCs w:val="18"/>
              </w:rPr>
              <w:t>机构名称</w:t>
            </w:r>
          </w:p>
        </w:tc>
        <w:tc>
          <w:tcPr>
            <w:tcW w:w="947"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both"/>
              <w:rPr>
                <w:rFonts w:hint="eastAsia" w:ascii="宋体" w:hAnsi="宋体" w:eastAsia="宋体" w:cs="宋体"/>
                <w:sz w:val="18"/>
                <w:szCs w:val="18"/>
              </w:rPr>
            </w:pPr>
            <w:r>
              <w:rPr>
                <w:rFonts w:hint="eastAsia" w:ascii="宋体" w:hAnsi="宋体" w:eastAsia="宋体" w:cs="宋体"/>
                <w:sz w:val="18"/>
                <w:szCs w:val="18"/>
              </w:rPr>
              <w:t>固定资产</w:t>
            </w:r>
          </w:p>
          <w:p>
            <w:pPr>
              <w:pStyle w:val="2"/>
              <w:keepNext w:val="0"/>
              <w:keepLines w:val="0"/>
              <w:widowControl/>
              <w:suppressLineNumbers w:val="0"/>
              <w:spacing w:before="0" w:beforeAutospacing="0" w:after="0" w:afterAutospacing="0" w:line="33" w:lineRule="atLeast"/>
              <w:ind w:firstLine="0" w:firstLineChars="0"/>
              <w:jc w:val="both"/>
              <w:rPr>
                <w:rFonts w:hint="eastAsia" w:ascii="宋体" w:hAnsi="宋体" w:eastAsia="宋体" w:cs="宋体"/>
                <w:sz w:val="18"/>
                <w:szCs w:val="18"/>
              </w:rPr>
            </w:pPr>
            <w:r>
              <w:rPr>
                <w:rFonts w:hint="eastAsia" w:ascii="宋体" w:hAnsi="宋体" w:eastAsia="宋体" w:cs="宋体"/>
                <w:sz w:val="18"/>
                <w:szCs w:val="18"/>
              </w:rPr>
              <w:t>合计</w:t>
            </w:r>
          </w:p>
        </w:tc>
        <w:tc>
          <w:tcPr>
            <w:tcW w:w="5385" w:type="dxa"/>
            <w:gridSpan w:val="11"/>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both"/>
              <w:rPr>
                <w:rFonts w:hint="eastAsia" w:ascii="宋体" w:hAnsi="宋体" w:eastAsia="宋体" w:cs="宋体"/>
                <w:sz w:val="18"/>
                <w:szCs w:val="18"/>
              </w:rPr>
            </w:pPr>
            <w:r>
              <w:rPr>
                <w:rFonts w:hint="eastAsia" w:ascii="宋体" w:hAnsi="宋体" w:eastAsia="宋体" w:cs="宋体"/>
                <w:sz w:val="18"/>
                <w:szCs w:val="18"/>
              </w:rPr>
              <w:t>其中：</w:t>
            </w:r>
          </w:p>
        </w:tc>
        <w:tc>
          <w:tcPr>
            <w:tcW w:w="518"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both"/>
            </w:pPr>
            <w:r>
              <w:rPr>
                <w:rFonts w:hint="eastAsia" w:ascii="宋体" w:hAnsi="宋体" w:eastAsia="宋体" w:cs="宋体"/>
                <w:sz w:val="18"/>
                <w:szCs w:val="18"/>
              </w:rPr>
              <w:t>其他</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516" w:type="dxa"/>
            <w:gridSpan w:val="3"/>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rPr>
            </w:pPr>
          </w:p>
        </w:tc>
        <w:tc>
          <w:tcPr>
            <w:tcW w:w="947"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rPr>
            </w:pPr>
          </w:p>
        </w:tc>
        <w:tc>
          <w:tcPr>
            <w:tcW w:w="2159" w:type="dxa"/>
            <w:gridSpan w:val="4"/>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both"/>
              <w:rPr>
                <w:rFonts w:hint="eastAsia" w:ascii="宋体" w:hAnsi="宋体" w:eastAsia="宋体" w:cs="宋体"/>
                <w:sz w:val="18"/>
                <w:szCs w:val="18"/>
              </w:rPr>
            </w:pPr>
            <w:r>
              <w:rPr>
                <w:rFonts w:hint="eastAsia" w:ascii="宋体" w:hAnsi="宋体" w:eastAsia="宋体" w:cs="宋体"/>
                <w:sz w:val="18"/>
                <w:szCs w:val="18"/>
              </w:rPr>
              <w:t>在用固定资产</w:t>
            </w:r>
          </w:p>
        </w:tc>
        <w:tc>
          <w:tcPr>
            <w:tcW w:w="3226" w:type="dxa"/>
            <w:gridSpan w:val="7"/>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both"/>
            </w:pPr>
            <w:r>
              <w:rPr>
                <w:rFonts w:hint="eastAsia" w:ascii="宋体" w:hAnsi="宋体" w:eastAsia="宋体" w:cs="宋体"/>
                <w:sz w:val="18"/>
                <w:szCs w:val="18"/>
              </w:rPr>
              <w:t>出租固定资产</w:t>
            </w:r>
          </w:p>
        </w:tc>
        <w:tc>
          <w:tcPr>
            <w:tcW w:w="518" w:type="dxa"/>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516"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both"/>
            </w:pPr>
            <w:r>
              <w:rPr>
                <w:rFonts w:hint="eastAsia" w:ascii="宋体" w:hAnsi="宋体" w:eastAsia="宋体" w:cs="宋体"/>
                <w:sz w:val="18"/>
                <w:szCs w:val="18"/>
              </w:rPr>
              <w:t>局机关及二级机构汇总</w:t>
            </w:r>
          </w:p>
        </w:tc>
        <w:tc>
          <w:tcPr>
            <w:tcW w:w="947" w:type="dxa"/>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392.53</w:t>
            </w:r>
          </w:p>
        </w:tc>
        <w:tc>
          <w:tcPr>
            <w:tcW w:w="2159" w:type="dxa"/>
            <w:gridSpan w:val="4"/>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rPr>
            </w:pPr>
            <w:r>
              <w:rPr>
                <w:rFonts w:hint="eastAsia" w:ascii="宋体" w:hAnsi="宋体" w:eastAsia="宋体" w:cs="宋体"/>
                <w:sz w:val="18"/>
                <w:szCs w:val="18"/>
                <w:lang w:val="en-US" w:eastAsia="zh-CN"/>
              </w:rPr>
              <w:t>392.53</w:t>
            </w:r>
          </w:p>
        </w:tc>
        <w:tc>
          <w:tcPr>
            <w:tcW w:w="3226" w:type="dxa"/>
            <w:gridSpan w:val="7"/>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rPr>
            </w:pPr>
          </w:p>
        </w:tc>
        <w:tc>
          <w:tcPr>
            <w:tcW w:w="518" w:type="dxa"/>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8366" w:type="dxa"/>
            <w:gridSpan w:val="16"/>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both"/>
            </w:pPr>
            <w:r>
              <w:rPr>
                <w:rFonts w:hint="eastAsia" w:ascii="宋体" w:hAnsi="宋体" w:eastAsia="宋体" w:cs="宋体"/>
                <w:sz w:val="18"/>
                <w:szCs w:val="18"/>
              </w:rPr>
              <w:t>三、部门（单位）整体支出绩效自评情况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258"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both"/>
              <w:rPr>
                <w:rFonts w:hint="eastAsia" w:ascii="宋体" w:hAnsi="宋体" w:eastAsia="宋体" w:cs="宋体"/>
                <w:sz w:val="18"/>
                <w:szCs w:val="18"/>
              </w:rPr>
            </w:pPr>
            <w:r>
              <w:rPr>
                <w:rFonts w:hint="eastAsia" w:ascii="宋体" w:hAnsi="宋体" w:eastAsia="宋体" w:cs="宋体"/>
                <w:sz w:val="18"/>
                <w:szCs w:val="18"/>
              </w:rPr>
              <w:t>整体支出绩效定性目标及实施计划完成情况</w:t>
            </w:r>
          </w:p>
        </w:tc>
        <w:tc>
          <w:tcPr>
            <w:tcW w:w="3364" w:type="dxa"/>
            <w:gridSpan w:val="7"/>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both"/>
              <w:rPr>
                <w:rFonts w:hint="eastAsia" w:ascii="宋体" w:hAnsi="宋体" w:eastAsia="宋体" w:cs="宋体"/>
                <w:sz w:val="18"/>
                <w:szCs w:val="18"/>
              </w:rPr>
            </w:pPr>
            <w:r>
              <w:rPr>
                <w:rFonts w:hint="eastAsia" w:ascii="宋体" w:hAnsi="宋体" w:eastAsia="宋体" w:cs="宋体"/>
                <w:sz w:val="18"/>
                <w:szCs w:val="18"/>
              </w:rPr>
              <w:t>预期目标</w:t>
            </w:r>
          </w:p>
        </w:tc>
        <w:tc>
          <w:tcPr>
            <w:tcW w:w="3744" w:type="dxa"/>
            <w:gridSpan w:val="8"/>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both"/>
            </w:pPr>
            <w:r>
              <w:rPr>
                <w:rFonts w:hint="eastAsia" w:ascii="宋体" w:hAnsi="宋体" w:eastAsia="宋体" w:cs="宋体"/>
                <w:sz w:val="18"/>
                <w:szCs w:val="18"/>
              </w:rPr>
              <w:t>实际完成</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258"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rPr>
            </w:pPr>
          </w:p>
        </w:tc>
        <w:tc>
          <w:tcPr>
            <w:tcW w:w="3364" w:type="dxa"/>
            <w:gridSpan w:val="7"/>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jc w:val="both"/>
            </w:pPr>
            <w:r>
              <w:rPr>
                <w:rFonts w:hint="eastAsia" w:ascii="宋体" w:hAnsi="宋体" w:eastAsia="宋体" w:cs="宋体"/>
                <w:sz w:val="18"/>
                <w:szCs w:val="18"/>
              </w:rPr>
              <w:t>保持安全生产形势总体稳定,趋势好转</w:t>
            </w:r>
          </w:p>
        </w:tc>
        <w:tc>
          <w:tcPr>
            <w:tcW w:w="3744" w:type="dxa"/>
            <w:gridSpan w:val="8"/>
            <w:tcBorders>
              <w:top w:val="outset" w:color="000000" w:sz="6" w:space="0"/>
              <w:left w:val="outset" w:color="000000" w:sz="6" w:space="0"/>
              <w:bottom w:val="outset" w:color="000000" w:sz="6" w:space="0"/>
              <w:right w:val="outset" w:color="000000" w:sz="6" w:space="0"/>
            </w:tcBorders>
            <w:shd w:val="clear" w:color="auto" w:fill="auto"/>
            <w:vAlign w:val="center"/>
          </w:tcPr>
          <w:p>
            <w:pPr>
              <w:numPr>
                <w:ilvl w:val="0"/>
                <w:numId w:val="0"/>
              </w:numP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
              </w:rPr>
              <w:t>全市发生各类生产经营性安全事故50起、死亡62人、受伤21人、直接经济损失1762.5万元，同比分别下降62.3%、43.6%、82.7%、47.3%。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258"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both"/>
              <w:rPr>
                <w:rFonts w:hint="eastAsia" w:ascii="宋体" w:hAnsi="宋体" w:eastAsia="宋体" w:cs="宋体"/>
                <w:sz w:val="18"/>
                <w:szCs w:val="18"/>
              </w:rPr>
            </w:pPr>
            <w:r>
              <w:rPr>
                <w:rFonts w:hint="eastAsia" w:ascii="宋体" w:hAnsi="宋体" w:eastAsia="宋体" w:cs="宋体"/>
                <w:sz w:val="18"/>
                <w:szCs w:val="18"/>
              </w:rPr>
              <w:t>整体支出绩效定量目标及实施计划完成情况</w:t>
            </w:r>
          </w:p>
          <w:p>
            <w:pPr>
              <w:pStyle w:val="2"/>
              <w:keepNext w:val="0"/>
              <w:keepLines w:val="0"/>
              <w:widowControl/>
              <w:suppressLineNumbers w:val="0"/>
              <w:spacing w:before="0" w:beforeAutospacing="0" w:after="0" w:afterAutospacing="0" w:line="33" w:lineRule="atLeast"/>
              <w:ind w:firstLine="0" w:firstLineChars="0"/>
              <w:jc w:val="both"/>
              <w:rPr>
                <w:rFonts w:hint="eastAsia" w:ascii="宋体" w:hAnsi="宋体" w:eastAsia="宋体" w:cs="宋体"/>
                <w:sz w:val="18"/>
                <w:szCs w:val="18"/>
              </w:rPr>
            </w:pPr>
          </w:p>
        </w:tc>
        <w:tc>
          <w:tcPr>
            <w:tcW w:w="2036" w:type="dxa"/>
            <w:gridSpan w:val="5"/>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both"/>
              <w:rPr>
                <w:rFonts w:hint="eastAsia" w:ascii="宋体" w:hAnsi="宋体" w:eastAsia="宋体" w:cs="宋体"/>
                <w:sz w:val="18"/>
                <w:szCs w:val="18"/>
              </w:rPr>
            </w:pPr>
            <w:r>
              <w:rPr>
                <w:rFonts w:hint="eastAsia" w:ascii="宋体" w:hAnsi="宋体" w:eastAsia="宋体" w:cs="宋体"/>
                <w:sz w:val="18"/>
                <w:szCs w:val="18"/>
              </w:rPr>
              <w:t>评价内容</w:t>
            </w:r>
          </w:p>
        </w:tc>
        <w:tc>
          <w:tcPr>
            <w:tcW w:w="1328"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both"/>
              <w:rPr>
                <w:rFonts w:hint="eastAsia" w:ascii="宋体" w:hAnsi="宋体" w:eastAsia="宋体" w:cs="宋体"/>
                <w:sz w:val="18"/>
                <w:szCs w:val="18"/>
              </w:rPr>
            </w:pPr>
            <w:r>
              <w:rPr>
                <w:rFonts w:hint="eastAsia" w:ascii="宋体" w:hAnsi="宋体" w:eastAsia="宋体" w:cs="宋体"/>
                <w:sz w:val="18"/>
                <w:szCs w:val="18"/>
              </w:rPr>
              <w:t>绩效目标</w:t>
            </w:r>
          </w:p>
        </w:tc>
        <w:tc>
          <w:tcPr>
            <w:tcW w:w="3744" w:type="dxa"/>
            <w:gridSpan w:val="8"/>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both"/>
            </w:pPr>
            <w:r>
              <w:rPr>
                <w:rFonts w:hint="eastAsia" w:ascii="宋体" w:hAnsi="宋体" w:eastAsia="宋体" w:cs="宋体"/>
                <w:sz w:val="18"/>
                <w:szCs w:val="18"/>
              </w:rPr>
              <w:t>完成情况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57" w:hRule="atLeast"/>
        </w:trPr>
        <w:tc>
          <w:tcPr>
            <w:tcW w:w="1258"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rPr>
            </w:pPr>
          </w:p>
        </w:tc>
        <w:tc>
          <w:tcPr>
            <w:tcW w:w="1397" w:type="dxa"/>
            <w:gridSpan w:val="4"/>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both"/>
              <w:rPr>
                <w:rFonts w:hint="eastAsia" w:ascii="宋体" w:hAnsi="宋体" w:eastAsia="宋体" w:cs="宋体"/>
                <w:sz w:val="18"/>
                <w:szCs w:val="18"/>
              </w:rPr>
            </w:pPr>
            <w:r>
              <w:rPr>
                <w:rFonts w:hint="eastAsia" w:ascii="宋体" w:hAnsi="宋体" w:eastAsia="宋体" w:cs="宋体"/>
                <w:sz w:val="18"/>
                <w:szCs w:val="18"/>
              </w:rPr>
              <w:t>产出目标（部门工作实绩，包含上级部门和市委市政府布置的重点工作、实事任务等，根据部门实际进行调整细化）</w:t>
            </w:r>
          </w:p>
          <w:p>
            <w:pPr>
              <w:pStyle w:val="2"/>
              <w:keepNext w:val="0"/>
              <w:keepLines w:val="0"/>
              <w:widowControl/>
              <w:suppressLineNumbers w:val="0"/>
              <w:spacing w:before="0" w:beforeAutospacing="0" w:after="0" w:afterAutospacing="0" w:line="33" w:lineRule="atLeast"/>
              <w:ind w:firstLine="0" w:firstLineChars="0"/>
              <w:jc w:val="both"/>
              <w:rPr>
                <w:rFonts w:hint="eastAsia" w:ascii="宋体" w:hAnsi="宋体" w:eastAsia="宋体" w:cs="宋体"/>
                <w:sz w:val="18"/>
                <w:szCs w:val="18"/>
              </w:rPr>
            </w:pPr>
          </w:p>
        </w:tc>
        <w:tc>
          <w:tcPr>
            <w:tcW w:w="63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540" w:firstLineChars="300"/>
              <w:jc w:val="both"/>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 xml:space="preserve"> 质量指标</w:t>
            </w:r>
          </w:p>
          <w:p>
            <w:pPr>
              <w:pStyle w:val="2"/>
              <w:keepNext w:val="0"/>
              <w:keepLines w:val="0"/>
              <w:widowControl/>
              <w:suppressLineNumbers w:val="0"/>
              <w:spacing w:before="0" w:beforeAutospacing="0" w:after="0" w:afterAutospacing="0" w:line="33" w:lineRule="atLeast"/>
              <w:ind w:firstLine="0" w:firstLineChars="0"/>
              <w:jc w:val="both"/>
              <w:rPr>
                <w:rFonts w:hint="eastAsia" w:ascii="宋体" w:hAnsi="宋体" w:eastAsia="宋体" w:cs="宋体"/>
                <w:kern w:val="0"/>
                <w:sz w:val="18"/>
                <w:szCs w:val="18"/>
                <w:lang w:val="en-US" w:eastAsia="zh-CN" w:bidi="ar"/>
              </w:rPr>
            </w:pPr>
          </w:p>
        </w:tc>
        <w:tc>
          <w:tcPr>
            <w:tcW w:w="1328" w:type="dxa"/>
            <w:gridSpan w:val="2"/>
            <w:tcBorders>
              <w:top w:val="outset" w:color="000000" w:sz="6" w:space="0"/>
              <w:left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1440" w:firstLineChars="800"/>
              <w:jc w:val="both"/>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 xml:space="preserve"> </w:t>
            </w:r>
          </w:p>
          <w:p>
            <w:pPr>
              <w:pStyle w:val="2"/>
              <w:keepNext w:val="0"/>
              <w:keepLines w:val="0"/>
              <w:widowControl/>
              <w:suppressLineNumbers w:val="0"/>
              <w:spacing w:before="0" w:beforeAutospacing="0" w:after="0" w:afterAutospacing="0" w:line="33" w:lineRule="atLeast"/>
              <w:ind w:firstLine="1440" w:firstLineChars="800"/>
              <w:jc w:val="both"/>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 xml:space="preserve"> 落实党政同责，构建齐抓共管格局</w:t>
            </w:r>
          </w:p>
          <w:p>
            <w:pPr>
              <w:pStyle w:val="2"/>
              <w:keepNext w:val="0"/>
              <w:keepLines w:val="0"/>
              <w:widowControl/>
              <w:suppressLineNumbers w:val="0"/>
              <w:spacing w:before="0" w:beforeAutospacing="0" w:after="0" w:afterAutospacing="0" w:line="33" w:lineRule="atLeast"/>
              <w:ind w:firstLine="0" w:firstLineChars="0"/>
              <w:jc w:val="both"/>
            </w:pPr>
          </w:p>
        </w:tc>
        <w:tc>
          <w:tcPr>
            <w:tcW w:w="3744" w:type="dxa"/>
            <w:gridSpan w:val="8"/>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rPr>
            </w:pPr>
            <w:r>
              <w:rPr>
                <w:rFonts w:hint="eastAsia" w:ascii="宋体" w:hAnsi="宋体" w:eastAsia="宋体" w:cs="宋体"/>
                <w:sz w:val="18"/>
                <w:szCs w:val="18"/>
              </w:rPr>
              <w:t>忠雄书记坚持每月调度安全生产工作情况，6次带队检查安全生产；和生市长8次参加或出席安全生产专题会议，亲临市安监局调研指导，专程赴省安监局对接会商，深入一线开展安全生产基层基础工作调研；道明常务副市长、文发副市长、作凤副市长定期召开安全生产调度讲评会，并分别10余次带队对烟花爆竹、危险化学品、非煤矿山、建筑施工、道路水上交通、消防等重点行业领域生产经营单位开展“四不两直”检查督查。全体市级领导下到各自分管行业领域和联系的县市区检查安全生产工作。安全生产大检查开展以来，各县市区和市直相关单位党政领导抓安全生产的意识更强、措施更硬、投入更大、成效更好，全市安全生产“党政同责、一岗双责、齐抓共管”的责任体系和“共护平安”的工作局面进一步形成。</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Ex>
        <w:tc>
          <w:tcPr>
            <w:tcW w:w="1258"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rPr>
            </w:pPr>
          </w:p>
        </w:tc>
        <w:tc>
          <w:tcPr>
            <w:tcW w:w="1397" w:type="dxa"/>
            <w:gridSpan w:val="4"/>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rPr>
            </w:pPr>
          </w:p>
        </w:tc>
        <w:tc>
          <w:tcPr>
            <w:tcW w:w="639"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both"/>
              <w:rPr>
                <w:rFonts w:hint="eastAsia" w:ascii="宋体" w:hAnsi="宋体" w:eastAsia="宋体" w:cs="宋体"/>
                <w:sz w:val="18"/>
                <w:szCs w:val="18"/>
              </w:rPr>
            </w:pPr>
            <w:r>
              <w:rPr>
                <w:rFonts w:hint="eastAsia" w:ascii="宋体" w:hAnsi="宋体" w:eastAsia="宋体" w:cs="宋体"/>
                <w:sz w:val="18"/>
                <w:szCs w:val="18"/>
              </w:rPr>
              <w:t>数量指标</w:t>
            </w:r>
          </w:p>
          <w:p>
            <w:pPr>
              <w:pStyle w:val="2"/>
              <w:keepNext w:val="0"/>
              <w:keepLines w:val="0"/>
              <w:widowControl/>
              <w:suppressLineNumbers w:val="0"/>
              <w:spacing w:before="0" w:beforeAutospacing="0" w:after="0" w:afterAutospacing="0" w:line="33" w:lineRule="atLeast"/>
              <w:ind w:firstLine="0" w:firstLineChars="0"/>
              <w:jc w:val="both"/>
              <w:rPr>
                <w:rFonts w:hint="eastAsia" w:ascii="宋体" w:hAnsi="宋体" w:eastAsia="宋体" w:cs="宋体"/>
                <w:sz w:val="18"/>
                <w:szCs w:val="18"/>
              </w:rPr>
            </w:pPr>
          </w:p>
        </w:tc>
        <w:tc>
          <w:tcPr>
            <w:tcW w:w="1328"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both"/>
            </w:pPr>
            <w:r>
              <w:rPr>
                <w:rFonts w:hint="eastAsia" w:ascii="宋体" w:hAnsi="宋体" w:eastAsia="宋体" w:cs="宋体"/>
                <w:sz w:val="18"/>
                <w:szCs w:val="18"/>
              </w:rPr>
              <w:t>保持安全生产形势总体稳定,趋势好转</w:t>
            </w:r>
            <w:r>
              <w:rPr>
                <w:rFonts w:hint="eastAsia" w:ascii="宋体" w:hAnsi="宋体" w:eastAsia="宋体" w:cs="宋体"/>
                <w:sz w:val="18"/>
                <w:szCs w:val="18"/>
                <w:lang w:eastAsia="zh-CN"/>
              </w:rPr>
              <w:t>，安全生产事故起数、死亡人数、经济损失总体下降。</w:t>
            </w:r>
          </w:p>
        </w:tc>
        <w:tc>
          <w:tcPr>
            <w:tcW w:w="3744" w:type="dxa"/>
            <w:gridSpan w:val="8"/>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rPr>
            </w:pPr>
            <w:r>
              <w:rPr>
                <w:rFonts w:hint="eastAsia" w:ascii="宋体" w:hAnsi="宋体" w:eastAsia="宋体" w:cs="宋体"/>
                <w:kern w:val="0"/>
                <w:sz w:val="18"/>
                <w:szCs w:val="18"/>
                <w:lang w:val="en-US" w:eastAsia="zh-CN" w:bidi="ar"/>
              </w:rPr>
              <w:t>全市发生各类生产经营性安全事故50起、死亡62人、受伤21人、直接经济损失1762.5万元，同比分别下降62.3%、43.6%、82.7%、47.3%。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258"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rPr>
            </w:pPr>
          </w:p>
        </w:tc>
        <w:tc>
          <w:tcPr>
            <w:tcW w:w="1397" w:type="dxa"/>
            <w:gridSpan w:val="4"/>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rPr>
            </w:pPr>
          </w:p>
        </w:tc>
        <w:tc>
          <w:tcPr>
            <w:tcW w:w="639"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rPr>
            </w:pPr>
          </w:p>
        </w:tc>
        <w:tc>
          <w:tcPr>
            <w:tcW w:w="1328"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both"/>
            </w:pPr>
            <w:r>
              <w:rPr>
                <w:rFonts w:hint="eastAsia" w:ascii="宋体" w:hAnsi="宋体" w:eastAsia="宋体" w:cs="宋体"/>
                <w:kern w:val="0"/>
                <w:sz w:val="18"/>
                <w:szCs w:val="18"/>
                <w:lang w:val="en-US" w:eastAsia="zh-CN" w:bidi="ar"/>
              </w:rPr>
              <w:t>市、县安监部门执法力度进一步加大。</w:t>
            </w:r>
          </w:p>
        </w:tc>
        <w:tc>
          <w:tcPr>
            <w:tcW w:w="3744" w:type="dxa"/>
            <w:gridSpan w:val="8"/>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360" w:firstLineChars="200"/>
              <w:rPr>
                <w:rFonts w:hint="eastAsia" w:ascii="宋体" w:hAnsi="宋体" w:eastAsia="宋体" w:cs="宋体"/>
                <w:sz w:val="18"/>
                <w:szCs w:val="18"/>
              </w:rPr>
            </w:pPr>
            <w:r>
              <w:rPr>
                <w:rFonts w:hint="eastAsia" w:ascii="宋体" w:hAnsi="宋体" w:eastAsia="宋体" w:cs="宋体"/>
                <w:kern w:val="0"/>
                <w:sz w:val="18"/>
                <w:szCs w:val="18"/>
                <w:lang w:val="en-US" w:eastAsia="zh-CN" w:bidi="ar"/>
              </w:rPr>
              <w:t>市、县安监部门立案查处安全生产违法和事故案件149起，处罚金额709.68万元，移送行政拘留和刑事拘留60人，行政处罚、行政强制的次数同比分别上升96.1%、200%，执法力度显著加大。</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258"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rPr>
            </w:pPr>
          </w:p>
        </w:tc>
        <w:tc>
          <w:tcPr>
            <w:tcW w:w="1397" w:type="dxa"/>
            <w:gridSpan w:val="4"/>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rPr>
            </w:pPr>
          </w:p>
        </w:tc>
        <w:tc>
          <w:tcPr>
            <w:tcW w:w="639"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rPr>
            </w:pPr>
          </w:p>
        </w:tc>
        <w:tc>
          <w:tcPr>
            <w:tcW w:w="1328"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both"/>
            </w:pPr>
            <w:r>
              <w:rPr>
                <w:rFonts w:hint="eastAsia" w:ascii="宋体" w:hAnsi="宋体" w:eastAsia="宋体" w:cs="宋体"/>
                <w:kern w:val="0"/>
                <w:sz w:val="18"/>
                <w:szCs w:val="18"/>
                <w:lang w:val="en-US" w:eastAsia="zh-CN" w:bidi="ar"/>
              </w:rPr>
              <w:t>坚持问题导向，强力开展专项整治</w:t>
            </w:r>
          </w:p>
        </w:tc>
        <w:tc>
          <w:tcPr>
            <w:tcW w:w="3744" w:type="dxa"/>
            <w:gridSpan w:val="8"/>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360" w:firstLineChars="200"/>
              <w:rPr>
                <w:rFonts w:hint="eastAsia" w:ascii="宋体" w:hAnsi="宋体" w:eastAsia="宋体" w:cs="宋体"/>
                <w:sz w:val="18"/>
                <w:szCs w:val="18"/>
              </w:rPr>
            </w:pPr>
            <w:r>
              <w:rPr>
                <w:rFonts w:hint="eastAsia" w:ascii="宋体" w:hAnsi="宋体" w:eastAsia="宋体" w:cs="宋体"/>
                <w:sz w:val="18"/>
                <w:szCs w:val="18"/>
              </w:rPr>
              <w:t>烟花爆竹领域，今年来组织执法行动1705次，关闭非法经营门店4611家，销毁烟花爆竹制品15万件，抓捕犯罪嫌疑人9人，行政拘留21人，取缔了中南大市场、奇家岭学院路、梅溪桥市场等烟花爆竹连片经营门店，得到国家安监总局分管领导和监管三司肯定。</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非煤矿山领域，立案32起，取缔非法矿点 17处，事故问责企业相关人员16名，国家公职人员12名，2名直接责任人被追刑。</w:t>
            </w:r>
          </w:p>
          <w:p>
            <w:pPr>
              <w:ind w:firstLine="360" w:firstLineChars="200"/>
              <w:rPr>
                <w:rFonts w:hint="eastAsia" w:ascii="宋体" w:hAnsi="宋体" w:eastAsia="宋体" w:cs="宋体"/>
                <w:sz w:val="18"/>
                <w:szCs w:val="18"/>
                <w:lang w:eastAsia="zh-CN"/>
              </w:rPr>
            </w:pPr>
            <w:r>
              <w:rPr>
                <w:rFonts w:hint="eastAsia" w:ascii="宋体" w:hAnsi="宋体" w:eastAsia="宋体" w:cs="宋体"/>
                <w:sz w:val="18"/>
                <w:szCs w:val="18"/>
              </w:rPr>
              <w:t>危险化学品领域，积极开展危险化学品罐区、危化企业特殊作业和加油站安全专项整治行动，立案39起，湘阴县关闭取缔杨林寨乡6个非法加油站和新泉红旗桥东加油点、茶湖潭桥东加油站</w:t>
            </w:r>
            <w:r>
              <w:rPr>
                <w:rFonts w:hint="eastAsia" w:ascii="宋体" w:hAnsi="宋体" w:eastAsia="宋体" w:cs="宋体"/>
                <w:sz w:val="18"/>
                <w:szCs w:val="18"/>
                <w:lang w:eastAsia="zh-CN"/>
              </w:rPr>
              <w:t>。</w:t>
            </w:r>
          </w:p>
          <w:p>
            <w:pPr>
              <w:ind w:firstLine="360" w:firstLineChars="200"/>
              <w:rPr>
                <w:rFonts w:hint="eastAsia" w:ascii="宋体" w:hAnsi="宋体" w:eastAsia="宋体" w:cs="宋体"/>
                <w:sz w:val="18"/>
                <w:szCs w:val="18"/>
                <w:lang w:eastAsia="zh-CN"/>
              </w:rPr>
            </w:pPr>
            <w:r>
              <w:rPr>
                <w:rFonts w:hint="eastAsia" w:ascii="宋体" w:hAnsi="宋体" w:eastAsia="宋体" w:cs="宋体"/>
                <w:sz w:val="18"/>
                <w:szCs w:val="18"/>
                <w:lang w:eastAsia="zh-CN"/>
              </w:rPr>
              <w:t>工贸领域，深入开展涉氨制冷、粉尘涉爆、有限空间等专项整治，立案13起，处罚金额88.7万元，停产整顿企业10家。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258"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rPr>
            </w:pPr>
          </w:p>
        </w:tc>
        <w:tc>
          <w:tcPr>
            <w:tcW w:w="1397" w:type="dxa"/>
            <w:gridSpan w:val="4"/>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both"/>
              <w:rPr>
                <w:rFonts w:hint="eastAsia" w:ascii="宋体" w:hAnsi="宋体" w:eastAsia="宋体" w:cs="宋体"/>
                <w:sz w:val="18"/>
                <w:szCs w:val="18"/>
              </w:rPr>
            </w:pPr>
            <w:r>
              <w:rPr>
                <w:rFonts w:hint="eastAsia" w:ascii="宋体" w:hAnsi="宋体" w:eastAsia="宋体" w:cs="宋体"/>
                <w:sz w:val="18"/>
                <w:szCs w:val="18"/>
              </w:rPr>
              <w:t>效益目标（预期实现的效益）</w:t>
            </w:r>
          </w:p>
          <w:p>
            <w:pPr>
              <w:pStyle w:val="2"/>
              <w:keepNext w:val="0"/>
              <w:keepLines w:val="0"/>
              <w:widowControl/>
              <w:suppressLineNumbers w:val="0"/>
              <w:spacing w:before="0" w:beforeAutospacing="0" w:after="0" w:afterAutospacing="0" w:line="33" w:lineRule="atLeast"/>
              <w:ind w:firstLine="0" w:firstLineChars="0"/>
              <w:jc w:val="both"/>
              <w:rPr>
                <w:rFonts w:hint="eastAsia" w:ascii="宋体" w:hAnsi="宋体" w:eastAsia="宋体" w:cs="宋体"/>
                <w:sz w:val="18"/>
                <w:szCs w:val="18"/>
              </w:rPr>
            </w:pPr>
          </w:p>
        </w:tc>
        <w:tc>
          <w:tcPr>
            <w:tcW w:w="63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center"/>
              <w:rPr>
                <w:rFonts w:hint="eastAsia" w:ascii="宋体" w:hAnsi="宋体" w:eastAsia="宋体" w:cs="宋体"/>
                <w:sz w:val="18"/>
                <w:szCs w:val="18"/>
              </w:rPr>
            </w:pPr>
            <w:r>
              <w:rPr>
                <w:rFonts w:hint="eastAsia" w:ascii="宋体" w:hAnsi="宋体" w:eastAsia="宋体" w:cs="宋体"/>
                <w:sz w:val="18"/>
                <w:szCs w:val="18"/>
              </w:rPr>
              <w:t>社会效益</w:t>
            </w:r>
          </w:p>
        </w:tc>
        <w:tc>
          <w:tcPr>
            <w:tcW w:w="1328"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both"/>
            </w:pPr>
            <w:r>
              <w:rPr>
                <w:rFonts w:hint="eastAsia" w:ascii="宋体" w:hAnsi="宋体" w:eastAsia="宋体" w:cs="宋体"/>
                <w:sz w:val="18"/>
                <w:szCs w:val="18"/>
              </w:rPr>
              <w:t>保持安全生产形势总体稳定,趋势好转</w:t>
            </w:r>
          </w:p>
        </w:tc>
        <w:tc>
          <w:tcPr>
            <w:tcW w:w="3744" w:type="dxa"/>
            <w:gridSpan w:val="8"/>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rPr>
            </w:pPr>
            <w:r>
              <w:rPr>
                <w:rFonts w:hint="eastAsia" w:ascii="宋体" w:hAnsi="宋体" w:eastAsia="宋体" w:cs="宋体"/>
                <w:sz w:val="18"/>
                <w:szCs w:val="18"/>
              </w:rPr>
              <w:t>全市发生各类生产经营性安全事故50起、死亡62人、受伤21人、直接经济损失1762.5万元，同比分别下降62.3%、43.6%、82.7%、47.3%。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258"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rPr>
            </w:pPr>
          </w:p>
        </w:tc>
        <w:tc>
          <w:tcPr>
            <w:tcW w:w="1397" w:type="dxa"/>
            <w:gridSpan w:val="4"/>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rPr>
            </w:pPr>
          </w:p>
        </w:tc>
        <w:tc>
          <w:tcPr>
            <w:tcW w:w="63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center"/>
              <w:rPr>
                <w:rFonts w:hint="eastAsia" w:ascii="宋体" w:hAnsi="宋体" w:eastAsia="宋体" w:cs="宋体"/>
                <w:sz w:val="18"/>
                <w:szCs w:val="18"/>
              </w:rPr>
            </w:pPr>
            <w:r>
              <w:rPr>
                <w:rFonts w:hint="eastAsia" w:ascii="宋体" w:hAnsi="宋体" w:eastAsia="宋体" w:cs="宋体"/>
                <w:sz w:val="18"/>
                <w:szCs w:val="18"/>
              </w:rPr>
              <w:t>社会公众或服务对象满意度</w:t>
            </w:r>
          </w:p>
        </w:tc>
        <w:tc>
          <w:tcPr>
            <w:tcW w:w="1328"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both"/>
            </w:pPr>
            <w:r>
              <w:rPr>
                <w:rFonts w:hint="eastAsia" w:ascii="宋体" w:hAnsi="宋体" w:eastAsia="宋体" w:cs="宋体"/>
                <w:sz w:val="18"/>
                <w:szCs w:val="18"/>
              </w:rPr>
              <w:t>队伍建设得到新的加强</w:t>
            </w:r>
          </w:p>
        </w:tc>
        <w:tc>
          <w:tcPr>
            <w:tcW w:w="3744" w:type="dxa"/>
            <w:gridSpan w:val="8"/>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rPr>
            </w:pPr>
            <w:r>
              <w:rPr>
                <w:rFonts w:hint="eastAsia" w:ascii="宋体" w:hAnsi="宋体" w:eastAsia="宋体" w:cs="宋体"/>
                <w:sz w:val="18"/>
                <w:szCs w:val="18"/>
              </w:rPr>
              <w:t>党建工作全面加强，深入推进“两学一做”学习教育常态化、制度化。“三会一课”、“双述双联”、积分管理等一系列党建制度全面落实，党员活动日、红星云手机平台、微信群、QQ群等等平台载体全面应用。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2655" w:type="dxa"/>
            <w:gridSpan w:val="5"/>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both"/>
            </w:pPr>
            <w:r>
              <w:rPr>
                <w:rFonts w:hint="eastAsia" w:ascii="宋体" w:hAnsi="宋体" w:eastAsia="宋体" w:cs="宋体"/>
                <w:sz w:val="18"/>
                <w:szCs w:val="18"/>
              </w:rPr>
              <w:t>绩效自评综合得分</w:t>
            </w:r>
          </w:p>
        </w:tc>
        <w:tc>
          <w:tcPr>
            <w:tcW w:w="5711" w:type="dxa"/>
            <w:gridSpan w:val="11"/>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rPr>
            </w:pPr>
            <w:r>
              <w:rPr>
                <w:rFonts w:hint="eastAsia" w:ascii="宋体" w:hAnsi="宋体" w:eastAsia="宋体" w:cs="宋体"/>
                <w:sz w:val="18"/>
                <w:szCs w:val="18"/>
              </w:rPr>
              <w:t>81.3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2655" w:type="dxa"/>
            <w:gridSpan w:val="5"/>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both"/>
            </w:pPr>
            <w:r>
              <w:rPr>
                <w:rFonts w:hint="eastAsia" w:ascii="宋体" w:hAnsi="宋体" w:eastAsia="宋体" w:cs="宋体"/>
                <w:sz w:val="18"/>
                <w:szCs w:val="18"/>
              </w:rPr>
              <w:t>评价等次</w:t>
            </w:r>
          </w:p>
        </w:tc>
        <w:tc>
          <w:tcPr>
            <w:tcW w:w="5711" w:type="dxa"/>
            <w:gridSpan w:val="11"/>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rPr>
            </w:pPr>
            <w:r>
              <w:rPr>
                <w:rFonts w:hint="eastAsia" w:ascii="宋体" w:hAnsi="宋体" w:eastAsia="宋体" w:cs="宋体"/>
                <w:sz w:val="18"/>
                <w:szCs w:val="18"/>
              </w:rPr>
              <w:t>良</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8366" w:type="dxa"/>
            <w:gridSpan w:val="16"/>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both"/>
            </w:pPr>
            <w:r>
              <w:rPr>
                <w:rFonts w:hint="eastAsia" w:ascii="宋体" w:hAnsi="宋体" w:eastAsia="宋体" w:cs="宋体"/>
                <w:sz w:val="18"/>
                <w:szCs w:val="18"/>
              </w:rPr>
              <w:t>四、评价人员</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450"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center"/>
              <w:rPr>
                <w:rFonts w:hint="eastAsia" w:ascii="宋体" w:hAnsi="宋体" w:eastAsia="宋体" w:cs="宋体"/>
                <w:sz w:val="18"/>
                <w:szCs w:val="18"/>
              </w:rPr>
            </w:pPr>
            <w:r>
              <w:rPr>
                <w:rFonts w:hint="eastAsia" w:ascii="宋体" w:hAnsi="宋体" w:eastAsia="宋体" w:cs="宋体"/>
                <w:sz w:val="18"/>
                <w:szCs w:val="18"/>
              </w:rPr>
              <w:t>姓  名</w:t>
            </w:r>
          </w:p>
        </w:tc>
        <w:tc>
          <w:tcPr>
            <w:tcW w:w="3172" w:type="dxa"/>
            <w:gridSpan w:val="6"/>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center"/>
              <w:rPr>
                <w:rFonts w:hint="eastAsia" w:ascii="宋体" w:hAnsi="宋体" w:eastAsia="宋体" w:cs="宋体"/>
                <w:sz w:val="18"/>
                <w:szCs w:val="18"/>
              </w:rPr>
            </w:pPr>
            <w:r>
              <w:rPr>
                <w:rFonts w:hint="eastAsia" w:ascii="宋体" w:hAnsi="宋体" w:eastAsia="宋体" w:cs="宋体"/>
                <w:sz w:val="18"/>
                <w:szCs w:val="18"/>
              </w:rPr>
              <w:t>职务/职称</w:t>
            </w:r>
          </w:p>
        </w:tc>
        <w:tc>
          <w:tcPr>
            <w:tcW w:w="1297"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center"/>
              <w:rPr>
                <w:rFonts w:hint="eastAsia" w:ascii="宋体" w:hAnsi="宋体" w:eastAsia="宋体" w:cs="宋体"/>
                <w:sz w:val="18"/>
                <w:szCs w:val="18"/>
              </w:rPr>
            </w:pPr>
            <w:r>
              <w:rPr>
                <w:rFonts w:hint="eastAsia" w:ascii="宋体" w:hAnsi="宋体" w:eastAsia="宋体" w:cs="宋体"/>
                <w:sz w:val="18"/>
                <w:szCs w:val="18"/>
              </w:rPr>
              <w:t>单  位</w:t>
            </w:r>
          </w:p>
        </w:tc>
        <w:tc>
          <w:tcPr>
            <w:tcW w:w="2447" w:type="dxa"/>
            <w:gridSpan w:val="6"/>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center"/>
            </w:pPr>
            <w:r>
              <w:rPr>
                <w:rFonts w:hint="eastAsia" w:ascii="宋体" w:hAnsi="宋体" w:eastAsia="宋体" w:cs="宋体"/>
                <w:sz w:val="18"/>
                <w:szCs w:val="18"/>
              </w:rPr>
              <w:t>签  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450"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lang w:eastAsia="zh-CN"/>
              </w:rPr>
            </w:pPr>
            <w:r>
              <w:rPr>
                <w:rFonts w:hint="eastAsia" w:ascii="宋体" w:hAnsi="宋体" w:eastAsia="宋体" w:cs="宋体"/>
                <w:sz w:val="18"/>
                <w:szCs w:val="18"/>
                <w:lang w:eastAsia="zh-CN"/>
              </w:rPr>
              <w:t>喻国平</w:t>
            </w:r>
          </w:p>
        </w:tc>
        <w:tc>
          <w:tcPr>
            <w:tcW w:w="3172" w:type="dxa"/>
            <w:gridSpan w:val="6"/>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lang w:eastAsia="zh-CN"/>
              </w:rPr>
            </w:pPr>
            <w:r>
              <w:rPr>
                <w:rFonts w:hint="eastAsia" w:ascii="宋体" w:hAnsi="宋体" w:eastAsia="宋体" w:cs="宋体"/>
                <w:sz w:val="18"/>
                <w:szCs w:val="18"/>
                <w:lang w:eastAsia="zh-CN"/>
              </w:rPr>
              <w:t>办公室主任</w:t>
            </w:r>
          </w:p>
        </w:tc>
        <w:tc>
          <w:tcPr>
            <w:tcW w:w="1297"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lang w:eastAsia="zh-CN"/>
              </w:rPr>
            </w:pPr>
            <w:r>
              <w:rPr>
                <w:rFonts w:hint="eastAsia" w:ascii="宋体" w:hAnsi="宋体" w:eastAsia="宋体" w:cs="宋体"/>
                <w:sz w:val="18"/>
                <w:szCs w:val="18"/>
                <w:lang w:eastAsia="zh-CN"/>
              </w:rPr>
              <w:t>市安监局</w:t>
            </w:r>
          </w:p>
        </w:tc>
        <w:tc>
          <w:tcPr>
            <w:tcW w:w="2447" w:type="dxa"/>
            <w:gridSpan w:val="6"/>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450"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lang w:eastAsia="zh-CN"/>
              </w:rPr>
            </w:pPr>
            <w:r>
              <w:rPr>
                <w:rFonts w:hint="eastAsia" w:ascii="宋体" w:hAnsi="宋体" w:eastAsia="宋体" w:cs="宋体"/>
                <w:sz w:val="18"/>
                <w:szCs w:val="18"/>
                <w:lang w:eastAsia="zh-CN"/>
              </w:rPr>
              <w:t>段志伟</w:t>
            </w:r>
          </w:p>
        </w:tc>
        <w:tc>
          <w:tcPr>
            <w:tcW w:w="3172" w:type="dxa"/>
            <w:gridSpan w:val="6"/>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lang w:eastAsia="zh-CN"/>
              </w:rPr>
            </w:pPr>
            <w:r>
              <w:rPr>
                <w:rFonts w:hint="eastAsia" w:ascii="宋体" w:hAnsi="宋体" w:eastAsia="宋体" w:cs="宋体"/>
                <w:sz w:val="18"/>
                <w:szCs w:val="18"/>
                <w:lang w:eastAsia="zh-CN"/>
              </w:rPr>
              <w:t>协调科科长</w:t>
            </w:r>
          </w:p>
        </w:tc>
        <w:tc>
          <w:tcPr>
            <w:tcW w:w="1297"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rPr>
            </w:pPr>
            <w:r>
              <w:rPr>
                <w:rFonts w:hint="eastAsia" w:ascii="宋体" w:hAnsi="宋体" w:eastAsia="宋体" w:cs="宋体"/>
                <w:sz w:val="18"/>
                <w:szCs w:val="18"/>
                <w:lang w:eastAsia="zh-CN"/>
              </w:rPr>
              <w:t>市安监局</w:t>
            </w:r>
          </w:p>
        </w:tc>
        <w:tc>
          <w:tcPr>
            <w:tcW w:w="2447" w:type="dxa"/>
            <w:gridSpan w:val="6"/>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450"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lang w:eastAsia="zh-CN"/>
              </w:rPr>
            </w:pPr>
            <w:r>
              <w:rPr>
                <w:rFonts w:hint="eastAsia" w:ascii="宋体" w:hAnsi="宋体" w:eastAsia="宋体" w:cs="宋体"/>
                <w:sz w:val="18"/>
                <w:szCs w:val="18"/>
                <w:lang w:eastAsia="zh-CN"/>
              </w:rPr>
              <w:t>袁方</w:t>
            </w:r>
          </w:p>
        </w:tc>
        <w:tc>
          <w:tcPr>
            <w:tcW w:w="3172" w:type="dxa"/>
            <w:gridSpan w:val="6"/>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lang w:val="en-US" w:eastAsia="zh-CN"/>
              </w:rPr>
            </w:pPr>
            <w:r>
              <w:rPr>
                <w:rFonts w:hint="eastAsia" w:ascii="宋体" w:hAnsi="宋体" w:eastAsia="宋体" w:cs="宋体"/>
                <w:sz w:val="18"/>
                <w:szCs w:val="18"/>
                <w:lang w:eastAsia="zh-CN"/>
              </w:rPr>
              <w:t>正科级监察专员兼单位出纳</w:t>
            </w:r>
          </w:p>
        </w:tc>
        <w:tc>
          <w:tcPr>
            <w:tcW w:w="1297"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rPr>
            </w:pPr>
            <w:r>
              <w:rPr>
                <w:rFonts w:hint="eastAsia" w:ascii="宋体" w:hAnsi="宋体" w:eastAsia="宋体" w:cs="宋体"/>
                <w:sz w:val="18"/>
                <w:szCs w:val="18"/>
                <w:lang w:eastAsia="zh-CN"/>
              </w:rPr>
              <w:t>市安监局</w:t>
            </w:r>
          </w:p>
        </w:tc>
        <w:tc>
          <w:tcPr>
            <w:tcW w:w="2447" w:type="dxa"/>
            <w:gridSpan w:val="6"/>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450"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lang w:eastAsia="zh-CN"/>
              </w:rPr>
            </w:pPr>
            <w:r>
              <w:rPr>
                <w:rFonts w:hint="eastAsia" w:ascii="宋体" w:hAnsi="宋体" w:eastAsia="宋体" w:cs="宋体"/>
                <w:sz w:val="18"/>
                <w:szCs w:val="18"/>
                <w:lang w:eastAsia="zh-CN"/>
              </w:rPr>
              <w:t>魏嘉宾</w:t>
            </w:r>
          </w:p>
        </w:tc>
        <w:tc>
          <w:tcPr>
            <w:tcW w:w="3172" w:type="dxa"/>
            <w:gridSpan w:val="6"/>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lang w:eastAsia="zh-CN"/>
              </w:rPr>
            </w:pPr>
            <w:r>
              <w:rPr>
                <w:rFonts w:hint="eastAsia" w:ascii="宋体" w:hAnsi="宋体" w:eastAsia="宋体" w:cs="宋体"/>
                <w:sz w:val="18"/>
                <w:szCs w:val="18"/>
                <w:lang w:eastAsia="zh-CN"/>
              </w:rPr>
              <w:t>办公室科员兼会计</w:t>
            </w:r>
          </w:p>
        </w:tc>
        <w:tc>
          <w:tcPr>
            <w:tcW w:w="1297"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rPr>
            </w:pPr>
            <w:r>
              <w:rPr>
                <w:rFonts w:hint="eastAsia" w:ascii="宋体" w:hAnsi="宋体" w:eastAsia="宋体" w:cs="宋体"/>
                <w:sz w:val="18"/>
                <w:szCs w:val="18"/>
                <w:lang w:eastAsia="zh-CN"/>
              </w:rPr>
              <w:t>市安监局</w:t>
            </w:r>
          </w:p>
        </w:tc>
        <w:tc>
          <w:tcPr>
            <w:tcW w:w="2447" w:type="dxa"/>
            <w:gridSpan w:val="6"/>
            <w:tcBorders>
              <w:top w:val="outset" w:color="000000" w:sz="6" w:space="0"/>
              <w:left w:val="outset" w:color="000000" w:sz="6" w:space="0"/>
              <w:bottom w:val="outset" w:color="000000" w:sz="6" w:space="0"/>
              <w:right w:val="outset" w:color="000000" w:sz="6" w:space="0"/>
            </w:tcBorders>
            <w:shd w:val="clear" w:color="auto" w:fill="auto"/>
            <w:vAlign w:val="center"/>
          </w:tcPr>
          <w:p>
            <w:pPr>
              <w:ind w:firstLine="0" w:firstLineChars="0"/>
              <w:rPr>
                <w:rFonts w:hint="eastAsia" w:ascii="宋体" w:hAnsi="宋体" w:eastAsia="宋体" w:cs="宋体"/>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8366" w:type="dxa"/>
            <w:gridSpan w:val="16"/>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both"/>
              <w:rPr>
                <w:rFonts w:hint="eastAsia" w:ascii="宋体" w:hAnsi="宋体" w:eastAsia="宋体" w:cs="宋体"/>
                <w:sz w:val="18"/>
                <w:szCs w:val="18"/>
              </w:rPr>
            </w:pPr>
            <w:r>
              <w:rPr>
                <w:rFonts w:hint="eastAsia" w:ascii="宋体" w:hAnsi="宋体" w:eastAsia="宋体" w:cs="宋体"/>
                <w:sz w:val="18"/>
                <w:szCs w:val="18"/>
              </w:rPr>
              <w:t>评价组组长（签字）：</w:t>
            </w:r>
          </w:p>
          <w:p>
            <w:pPr>
              <w:pStyle w:val="2"/>
              <w:keepNext w:val="0"/>
              <w:keepLines w:val="0"/>
              <w:widowControl/>
              <w:suppressLineNumbers w:val="0"/>
              <w:spacing w:before="0" w:beforeAutospacing="0" w:after="0" w:afterAutospacing="0" w:line="33" w:lineRule="atLeast"/>
              <w:ind w:firstLine="0" w:firstLineChars="0"/>
              <w:jc w:val="both"/>
              <w:rPr>
                <w:rFonts w:hint="eastAsia" w:ascii="宋体" w:hAnsi="宋体" w:eastAsia="宋体" w:cs="宋体"/>
                <w:sz w:val="18"/>
                <w:szCs w:val="18"/>
              </w:rPr>
            </w:pPr>
          </w:p>
          <w:p>
            <w:pPr>
              <w:pStyle w:val="2"/>
              <w:keepNext w:val="0"/>
              <w:keepLines w:val="0"/>
              <w:widowControl/>
              <w:suppressLineNumbers w:val="0"/>
              <w:spacing w:before="0" w:beforeAutospacing="0" w:after="0" w:afterAutospacing="0" w:line="33" w:lineRule="atLeast"/>
              <w:ind w:firstLine="1080" w:firstLineChars="600"/>
              <w:jc w:val="both"/>
            </w:pPr>
            <w:r>
              <w:rPr>
                <w:rFonts w:hint="eastAsia" w:ascii="宋体" w:hAnsi="宋体" w:eastAsia="宋体" w:cs="宋体"/>
                <w:sz w:val="18"/>
                <w:szCs w:val="18"/>
              </w:rPr>
              <w:t>年    月    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8366" w:type="dxa"/>
            <w:gridSpan w:val="16"/>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both"/>
              <w:rPr>
                <w:rFonts w:hint="eastAsia" w:ascii="宋体" w:hAnsi="宋体" w:eastAsia="宋体" w:cs="宋体"/>
                <w:sz w:val="18"/>
                <w:szCs w:val="18"/>
              </w:rPr>
            </w:pPr>
            <w:r>
              <w:rPr>
                <w:rFonts w:hint="eastAsia" w:ascii="宋体" w:hAnsi="宋体" w:eastAsia="宋体" w:cs="宋体"/>
                <w:sz w:val="18"/>
                <w:szCs w:val="18"/>
              </w:rPr>
              <w:t>部门（单位）意见：</w:t>
            </w:r>
          </w:p>
          <w:p>
            <w:pPr>
              <w:pStyle w:val="2"/>
              <w:keepNext w:val="0"/>
              <w:keepLines w:val="0"/>
              <w:widowControl/>
              <w:suppressLineNumbers w:val="0"/>
              <w:spacing w:before="0" w:beforeAutospacing="0" w:after="0" w:afterAutospacing="0" w:line="33" w:lineRule="atLeast"/>
              <w:ind w:firstLine="0" w:firstLineChars="0"/>
              <w:jc w:val="both"/>
              <w:rPr>
                <w:rFonts w:hint="eastAsia" w:ascii="宋体" w:hAnsi="宋体" w:eastAsia="宋体" w:cs="宋体"/>
                <w:sz w:val="18"/>
                <w:szCs w:val="18"/>
              </w:rPr>
            </w:pPr>
          </w:p>
          <w:p>
            <w:pPr>
              <w:pStyle w:val="2"/>
              <w:keepNext w:val="0"/>
              <w:keepLines w:val="0"/>
              <w:widowControl/>
              <w:suppressLineNumbers w:val="0"/>
              <w:spacing w:before="0" w:beforeAutospacing="0" w:after="0" w:afterAutospacing="0" w:line="33" w:lineRule="atLeast"/>
              <w:ind w:firstLine="0" w:firstLineChars="0"/>
              <w:jc w:val="both"/>
              <w:rPr>
                <w:rFonts w:hint="eastAsia" w:ascii="宋体" w:hAnsi="宋体" w:eastAsia="宋体" w:cs="宋体"/>
                <w:sz w:val="18"/>
                <w:szCs w:val="18"/>
              </w:rPr>
            </w:pPr>
            <w:r>
              <w:rPr>
                <w:rFonts w:hint="eastAsia" w:ascii="宋体" w:hAnsi="宋体" w:eastAsia="宋体" w:cs="宋体"/>
                <w:sz w:val="18"/>
                <w:szCs w:val="18"/>
              </w:rPr>
              <w:t>部门（单位）负责人（签章）：</w:t>
            </w:r>
          </w:p>
          <w:p>
            <w:pPr>
              <w:pStyle w:val="2"/>
              <w:keepNext w:val="0"/>
              <w:keepLines w:val="0"/>
              <w:widowControl/>
              <w:suppressLineNumbers w:val="0"/>
              <w:spacing w:before="0" w:beforeAutospacing="0" w:after="0" w:afterAutospacing="0" w:line="33" w:lineRule="atLeast"/>
              <w:ind w:firstLine="0" w:firstLineChars="0"/>
              <w:jc w:val="both"/>
              <w:rPr>
                <w:rFonts w:hint="eastAsia" w:ascii="宋体" w:hAnsi="宋体" w:eastAsia="宋体" w:cs="宋体"/>
                <w:sz w:val="18"/>
                <w:szCs w:val="18"/>
              </w:rPr>
            </w:pPr>
          </w:p>
          <w:p>
            <w:pPr>
              <w:pStyle w:val="2"/>
              <w:keepNext w:val="0"/>
              <w:keepLines w:val="0"/>
              <w:widowControl/>
              <w:suppressLineNumbers w:val="0"/>
              <w:spacing w:before="0" w:beforeAutospacing="0" w:after="0" w:afterAutospacing="0" w:line="33" w:lineRule="atLeast"/>
              <w:ind w:firstLine="1080" w:firstLineChars="600"/>
              <w:jc w:val="both"/>
            </w:pPr>
            <w:r>
              <w:rPr>
                <w:rFonts w:hint="eastAsia" w:ascii="宋体" w:hAnsi="宋体" w:eastAsia="宋体" w:cs="宋体"/>
                <w:sz w:val="18"/>
                <w:szCs w:val="18"/>
              </w:rPr>
              <w:t>年    月    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8366" w:type="dxa"/>
            <w:gridSpan w:val="16"/>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0" w:firstLineChars="0"/>
              <w:jc w:val="both"/>
              <w:rPr>
                <w:rFonts w:hint="eastAsia" w:ascii="宋体" w:hAnsi="宋体" w:eastAsia="宋体" w:cs="宋体"/>
                <w:sz w:val="18"/>
                <w:szCs w:val="18"/>
              </w:rPr>
            </w:pPr>
            <w:r>
              <w:rPr>
                <w:rFonts w:hint="eastAsia" w:ascii="宋体" w:hAnsi="宋体" w:eastAsia="宋体" w:cs="宋体"/>
                <w:sz w:val="18"/>
                <w:szCs w:val="18"/>
              </w:rPr>
              <w:t>财政部门归口业务科室意见：</w:t>
            </w:r>
          </w:p>
          <w:p>
            <w:pPr>
              <w:pStyle w:val="2"/>
              <w:keepNext w:val="0"/>
              <w:keepLines w:val="0"/>
              <w:widowControl/>
              <w:suppressLineNumbers w:val="0"/>
              <w:spacing w:before="0" w:beforeAutospacing="0" w:after="0" w:afterAutospacing="0" w:line="33" w:lineRule="atLeast"/>
              <w:ind w:firstLine="0" w:firstLineChars="0"/>
              <w:jc w:val="both"/>
              <w:rPr>
                <w:rFonts w:hint="eastAsia" w:ascii="宋体" w:hAnsi="宋体" w:eastAsia="宋体" w:cs="宋体"/>
                <w:sz w:val="18"/>
                <w:szCs w:val="18"/>
              </w:rPr>
            </w:pPr>
          </w:p>
          <w:p>
            <w:pPr>
              <w:pStyle w:val="2"/>
              <w:keepNext w:val="0"/>
              <w:keepLines w:val="0"/>
              <w:widowControl/>
              <w:suppressLineNumbers w:val="0"/>
              <w:spacing w:before="0" w:beforeAutospacing="0" w:after="0" w:afterAutospacing="0" w:line="33" w:lineRule="atLeast"/>
              <w:ind w:firstLine="0" w:firstLineChars="0"/>
              <w:jc w:val="both"/>
              <w:rPr>
                <w:rFonts w:hint="eastAsia" w:ascii="宋体" w:hAnsi="宋体" w:eastAsia="宋体" w:cs="宋体"/>
                <w:sz w:val="18"/>
                <w:szCs w:val="18"/>
              </w:rPr>
            </w:pPr>
            <w:r>
              <w:rPr>
                <w:rFonts w:hint="eastAsia" w:ascii="宋体" w:hAnsi="宋体" w:eastAsia="宋体" w:cs="宋体"/>
                <w:sz w:val="18"/>
                <w:szCs w:val="18"/>
              </w:rPr>
              <w:t>财政部门归口业务科室负责人（签章）：</w:t>
            </w:r>
          </w:p>
          <w:p>
            <w:pPr>
              <w:pStyle w:val="2"/>
              <w:keepNext w:val="0"/>
              <w:keepLines w:val="0"/>
              <w:widowControl/>
              <w:suppressLineNumbers w:val="0"/>
              <w:spacing w:before="0" w:beforeAutospacing="0" w:after="0" w:afterAutospacing="0" w:line="33" w:lineRule="atLeast"/>
              <w:ind w:firstLine="0" w:firstLineChars="0"/>
              <w:jc w:val="both"/>
              <w:rPr>
                <w:rFonts w:hint="eastAsia" w:ascii="宋体" w:hAnsi="宋体" w:eastAsia="宋体" w:cs="宋体"/>
                <w:sz w:val="18"/>
                <w:szCs w:val="18"/>
              </w:rPr>
            </w:pPr>
          </w:p>
          <w:p>
            <w:pPr>
              <w:pStyle w:val="2"/>
              <w:keepNext w:val="0"/>
              <w:keepLines w:val="0"/>
              <w:widowControl/>
              <w:suppressLineNumbers w:val="0"/>
              <w:spacing w:before="0" w:beforeAutospacing="0" w:after="0" w:afterAutospacing="0" w:line="33" w:lineRule="atLeast"/>
              <w:ind w:firstLine="1080" w:firstLineChars="600"/>
              <w:jc w:val="both"/>
            </w:pPr>
            <w:r>
              <w:rPr>
                <w:rFonts w:hint="eastAsia" w:ascii="宋体" w:hAnsi="宋体" w:eastAsia="宋体" w:cs="宋体"/>
                <w:sz w:val="18"/>
                <w:szCs w:val="18"/>
              </w:rPr>
              <w:t>年    月   日</w:t>
            </w:r>
          </w:p>
        </w:tc>
      </w:tr>
    </w:tbl>
    <w:p>
      <w:pPr>
        <w:pStyle w:val="2"/>
        <w:keepNext w:val="0"/>
        <w:keepLines w:val="0"/>
        <w:widowControl/>
        <w:suppressLineNumbers w:val="0"/>
        <w:spacing w:before="0" w:beforeAutospacing="0" w:after="0" w:afterAutospacing="0" w:line="33" w:lineRule="atLeast"/>
        <w:ind w:left="0" w:firstLine="0" w:firstLineChars="0"/>
        <w:jc w:val="both"/>
      </w:pPr>
      <w:r>
        <w:rPr>
          <w:rFonts w:hint="eastAsia" w:ascii="宋体" w:hAnsi="宋体" w:eastAsia="宋体" w:cs="宋体"/>
          <w:sz w:val="21"/>
          <w:szCs w:val="21"/>
        </w:rPr>
        <w:t>填报人（签名）：                  联系电话：</w:t>
      </w:r>
    </w:p>
    <w:p>
      <w:pPr>
        <w:ind w:firstLine="0" w:firstLineChars="0"/>
        <w:rPr>
          <w:rFonts w:hint="eastAsia"/>
          <w:lang w:val="en-US" w:eastAsia="zh-CN"/>
        </w:rPr>
      </w:pPr>
    </w:p>
    <w:p>
      <w:pPr>
        <w:ind w:firstLine="0" w:firstLineChars="0"/>
        <w:rPr>
          <w:rFonts w:hint="eastAsia"/>
          <w:lang w:val="en-US" w:eastAsia="zh-CN"/>
        </w:rPr>
      </w:pPr>
    </w:p>
    <w:p>
      <w:pPr>
        <w:ind w:firstLine="0" w:firstLineChars="0"/>
        <w:rPr>
          <w:rFonts w:hint="eastAsia" w:eastAsiaTheme="minorEastAsia"/>
          <w:lang w:val="en-US" w:eastAsia="zh-CN"/>
        </w:rPr>
      </w:pPr>
      <w:r>
        <w:rPr>
          <w:rFonts w:hint="eastAsia"/>
          <w:lang w:val="en-US" w:eastAsia="zh-CN"/>
        </w:rPr>
        <w:t>附：岳阳市安全生产监督管理局2017年度部门整体支出绩效评价报告综述（文字部分）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D37968"/>
    <w:rsid w:val="621246F5"/>
    <w:rsid w:val="6A5562E9"/>
    <w:rsid w:val="732A6962"/>
    <w:rsid w:val="75F62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FollowedHyperlink"/>
    <w:basedOn w:val="3"/>
    <w:uiPriority w:val="0"/>
    <w:rPr>
      <w:color w:val="252525"/>
      <w:u w:val="none"/>
    </w:rPr>
  </w:style>
  <w:style w:type="character" w:styleId="5">
    <w:name w:val="Emphasis"/>
    <w:basedOn w:val="3"/>
    <w:qFormat/>
    <w:uiPriority w:val="0"/>
  </w:style>
  <w:style w:type="character" w:styleId="6">
    <w:name w:val="Hyperlink"/>
    <w:basedOn w:val="3"/>
    <w:qFormat/>
    <w:uiPriority w:val="0"/>
    <w:rPr>
      <w:color w:val="252525"/>
      <w:u w:val="none"/>
    </w:rPr>
  </w:style>
  <w:style w:type="character" w:styleId="7">
    <w:name w:val="HTML Code"/>
    <w:basedOn w:val="3"/>
    <w:qFormat/>
    <w:uiPriority w:val="0"/>
    <w:rPr>
      <w:rFonts w:ascii="Courier New" w:hAnsi="Courier New"/>
      <w:sz w:val="20"/>
    </w:rPr>
  </w:style>
  <w:style w:type="character" w:styleId="8">
    <w:name w:val="HTML Cite"/>
    <w:basedOn w:val="3"/>
    <w:uiPriority w:val="0"/>
  </w:style>
  <w:style w:type="character" w:customStyle="1" w:styleId="10">
    <w:name w:val="hover3"/>
    <w:basedOn w:val="3"/>
    <w:uiPriority w:val="0"/>
    <w:rPr>
      <w:color w:val="000000"/>
      <w:shd w:val="clear" w:fill="FFFFFF"/>
    </w:rPr>
  </w:style>
  <w:style w:type="character" w:customStyle="1" w:styleId="11">
    <w:name w:val="wx-space"/>
    <w:basedOn w:val="3"/>
    <w:qFormat/>
    <w:uiPriority w:val="0"/>
  </w:style>
  <w:style w:type="character" w:customStyle="1" w:styleId="12">
    <w:name w:val="wx-space1"/>
    <w:basedOn w:val="3"/>
    <w:qFormat/>
    <w:uiPriority w:val="0"/>
  </w:style>
  <w:style w:type="character" w:customStyle="1" w:styleId="13">
    <w:name w:val="hover2"/>
    <w:basedOn w:val="3"/>
    <w:qFormat/>
    <w:uiPriority w:val="0"/>
    <w:rPr>
      <w:color w:val="000000"/>
      <w:shd w:val="clear"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宾</cp:lastModifiedBy>
  <dcterms:modified xsi:type="dcterms:W3CDTF">2018-07-02T07:52:56Z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