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eastAsia="黑体"/>
          <w:b/>
          <w:kern w:val="2"/>
          <w:sz w:val="36"/>
        </w:rPr>
      </w:pPr>
      <w:bookmarkStart w:id="0" w:name="_GoBack"/>
      <w:bookmarkEnd w:id="0"/>
    </w:p>
    <w:p>
      <w:pPr>
        <w:pStyle w:val="17"/>
        <w:rPr>
          <w:rFonts w:eastAsia="黑体"/>
          <w:b/>
          <w:kern w:val="2"/>
          <w:sz w:val="36"/>
        </w:rPr>
      </w:pPr>
    </w:p>
    <w:p>
      <w:pPr>
        <w:pStyle w:val="17"/>
        <w:spacing w:afterLines="50"/>
        <w:rPr>
          <w:rFonts w:eastAsia="黑体"/>
          <w:b/>
          <w:kern w:val="2"/>
          <w:sz w:val="36"/>
        </w:rPr>
      </w:pPr>
    </w:p>
    <w:p>
      <w:pPr>
        <w:pStyle w:val="17"/>
        <w:rPr>
          <w:rFonts w:eastAsia="黑体"/>
          <w:b/>
          <w:kern w:val="2"/>
          <w:sz w:val="18"/>
          <w:szCs w:val="18"/>
        </w:rPr>
      </w:pPr>
    </w:p>
    <w:p>
      <w:pPr>
        <w:pStyle w:val="17"/>
        <w:ind w:right="320"/>
        <w:jc w:val="right"/>
        <w:rPr>
          <w:rFonts w:eastAsia="黑体"/>
          <w:b/>
          <w:color w:val="000000"/>
          <w:kern w:val="2"/>
          <w:sz w:val="36"/>
        </w:rPr>
      </w:pPr>
      <w:r>
        <w:rPr>
          <w:rFonts w:hint="eastAsia" w:ascii="仿宋" w:hAnsi="仿宋" w:eastAsia="仿宋"/>
          <w:color w:val="000000"/>
        </w:rPr>
        <w:t>岳环评</w:t>
      </w:r>
      <w:r>
        <w:rPr>
          <w:rFonts w:hint="eastAsia" w:ascii="仿宋" w:hAnsi="仿宋" w:eastAsia="仿宋" w:cs="仿宋"/>
          <w:color w:val="000000"/>
        </w:rPr>
        <w:t>〔</w:t>
      </w:r>
      <w:r>
        <w:rPr>
          <w:rFonts w:ascii="仿宋" w:hAnsi="仿宋" w:eastAsia="仿宋"/>
          <w:color w:val="000000"/>
        </w:rPr>
        <w:t>20</w:t>
      </w:r>
      <w:r>
        <w:rPr>
          <w:rFonts w:hint="eastAsia" w:ascii="仿宋" w:hAnsi="仿宋" w:eastAsia="仿宋"/>
          <w:color w:val="000000"/>
        </w:rPr>
        <w:t>21</w:t>
      </w:r>
      <w:r>
        <w:rPr>
          <w:rFonts w:hint="eastAsia" w:ascii="仿宋" w:hAnsi="仿宋" w:eastAsia="仿宋" w:cs="仿宋"/>
          <w:color w:val="000000"/>
        </w:rPr>
        <w:t>〕</w:t>
      </w:r>
      <w:r>
        <w:rPr>
          <w:rFonts w:hint="eastAsia" w:ascii="仿宋" w:hAnsi="仿宋" w:eastAsia="仿宋" w:cs="仿宋"/>
          <w:color w:val="000000"/>
          <w:lang w:val="en-US" w:eastAsia="zh-CN"/>
        </w:rPr>
        <w:t>46</w:t>
      </w:r>
      <w:r>
        <w:rPr>
          <w:rFonts w:hint="eastAsia" w:ascii="仿宋" w:hAnsi="仿宋" w:eastAsia="仿宋"/>
          <w:color w:val="000000"/>
        </w:rPr>
        <w:t>号</w:t>
      </w:r>
    </w:p>
    <w:p>
      <w:pPr>
        <w:adjustRightInd w:val="0"/>
        <w:snapToGrid w:val="0"/>
        <w:spacing w:line="560" w:lineRule="exact"/>
        <w:jc w:val="center"/>
        <w:rPr>
          <w:rFonts w:ascii="宋体" w:hAnsi="宋体"/>
          <w:b/>
          <w:sz w:val="36"/>
          <w:szCs w:val="36"/>
        </w:rPr>
      </w:pPr>
      <w:r>
        <w:rPr>
          <w:rFonts w:hint="eastAsia" w:ascii="宋体" w:hAnsi="宋体"/>
          <w:b/>
          <w:kern w:val="0"/>
          <w:sz w:val="36"/>
          <w:szCs w:val="36"/>
        </w:rPr>
        <w:t>关于建华建材（湖南）有限公司2000t级砂石码头项目环境影响报告书的批复</w:t>
      </w:r>
    </w:p>
    <w:p>
      <w:pPr>
        <w:pStyle w:val="19"/>
        <w:spacing w:line="480" w:lineRule="exact"/>
        <w:rPr>
          <w:rFonts w:eastAsia="仿宋_GB2312"/>
          <w:kern w:val="2"/>
          <w:sz w:val="32"/>
        </w:rPr>
      </w:pPr>
    </w:p>
    <w:p>
      <w:pPr>
        <w:spacing w:line="480" w:lineRule="exact"/>
        <w:rPr>
          <w:rFonts w:ascii="仿宋" w:hAnsi="仿宋" w:eastAsia="仿宋"/>
          <w:sz w:val="32"/>
          <w:szCs w:val="32"/>
        </w:rPr>
      </w:pPr>
      <w:r>
        <w:rPr>
          <w:rFonts w:hint="eastAsia" w:ascii="仿宋" w:hAnsi="仿宋" w:eastAsia="仿宋"/>
          <w:sz w:val="32"/>
          <w:szCs w:val="32"/>
        </w:rPr>
        <w:t>建华建材（湖南）有限公司：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你公司《关于申请办理建华建材（湖南）有限公司2000t级砂石码头项目环评审批</w:t>
      </w:r>
      <w:r>
        <w:rPr>
          <w:rFonts w:hint="eastAsia" w:ascii="仿宋" w:hAnsi="仿宋" w:eastAsia="仿宋"/>
          <w:sz w:val="32"/>
          <w:szCs w:val="32"/>
          <w:lang w:val="en-US" w:eastAsia="zh-CN"/>
        </w:rPr>
        <w:t>手续</w:t>
      </w:r>
      <w:r>
        <w:rPr>
          <w:rFonts w:hint="eastAsia" w:ascii="仿宋" w:hAnsi="仿宋" w:eastAsia="仿宋"/>
          <w:sz w:val="32"/>
          <w:szCs w:val="32"/>
        </w:rPr>
        <w:t>的报告》、岳阳市生态环境局湘阴分局预审意见及有关附件收悉。经研究，批复如下：</w:t>
      </w:r>
    </w:p>
    <w:p>
      <w:pPr>
        <w:pStyle w:val="25"/>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 w:hAnsi="仿宋" w:eastAsia="仿宋"/>
          <w:sz w:val="32"/>
          <w:szCs w:val="32"/>
        </w:rPr>
      </w:pPr>
      <w:r>
        <w:rPr>
          <w:rFonts w:hint="eastAsia" w:ascii="仿宋" w:hAnsi="仿宋" w:eastAsia="仿宋"/>
          <w:sz w:val="32"/>
          <w:szCs w:val="32"/>
        </w:rPr>
        <w:t>建华建材（湖南）有限公司2000t级砂石码头项目</w:t>
      </w:r>
      <w:r>
        <w:rPr>
          <w:rFonts w:ascii="仿宋" w:hAnsi="仿宋" w:eastAsia="仿宋"/>
          <w:sz w:val="32"/>
          <w:szCs w:val="32"/>
        </w:rPr>
        <w:t>位于</w:t>
      </w:r>
      <w:r>
        <w:rPr>
          <w:rFonts w:hint="eastAsia" w:ascii="仿宋" w:hAnsi="仿宋" w:eastAsia="仿宋"/>
          <w:sz w:val="32"/>
          <w:szCs w:val="32"/>
        </w:rPr>
        <w:t>湘阴县文星镇临港产业新区，于上世纪90年代年建成投产，设有2个2000吨级散货进口泊位（洪水期兼顾3000吨级散杂货船），采用丁靠方式</w:t>
      </w:r>
      <w:r>
        <w:rPr>
          <w:rFonts w:ascii="仿宋" w:hAnsi="仿宋" w:eastAsia="仿宋"/>
          <w:sz w:val="32"/>
          <w:szCs w:val="32"/>
        </w:rPr>
        <w:t>，存在较大的安全隐患和环保隐患</w:t>
      </w:r>
      <w:r>
        <w:rPr>
          <w:rFonts w:hint="eastAsia" w:ascii="仿宋" w:hAnsi="仿宋" w:eastAsia="仿宋"/>
          <w:sz w:val="32"/>
          <w:szCs w:val="32"/>
        </w:rPr>
        <w:t>，现拟对码头进行提质改造，取消现有丁靠斜坡码头，将现有2个2000吨级丁靠散货斜坡泊位（洪水期兼顾3000吨级散杂货船）改为1个2000吨级顺靠散货趸船泊位（洪水期兼顾3000吨级散杂货船），总占地面积8160m</w:t>
      </w:r>
      <w:r>
        <w:rPr>
          <w:rFonts w:hint="eastAsia" w:ascii="仿宋" w:hAnsi="仿宋" w:eastAsia="仿宋"/>
          <w:sz w:val="32"/>
          <w:szCs w:val="32"/>
          <w:vertAlign w:val="superscript"/>
        </w:rPr>
        <w:t>2</w:t>
      </w:r>
      <w:r>
        <w:rPr>
          <w:rFonts w:hint="eastAsia" w:ascii="仿宋" w:hAnsi="仿宋" w:eastAsia="仿宋"/>
          <w:sz w:val="32"/>
          <w:szCs w:val="32"/>
        </w:rPr>
        <w:t>，占有岸线138m，码头采用浮码头形式，主要由趸船、跳板、浮趸、定位墩、钢引桥、斜坡踏步等组成，服务对象为建华建材（湖南）有限公司，负责砂石料进口作业，设计吞吐量为180万吨/年</w:t>
      </w:r>
      <w:r>
        <w:rPr>
          <w:rFonts w:hint="eastAsia" w:ascii="仿宋" w:hAnsi="仿宋" w:eastAsia="仿宋"/>
          <w:sz w:val="32"/>
          <w:szCs w:val="32"/>
          <w:lang w:eastAsia="zh-CN"/>
        </w:rPr>
        <w:t>；</w:t>
      </w:r>
      <w:r>
        <w:rPr>
          <w:rFonts w:hint="eastAsia" w:ascii="仿宋" w:hAnsi="仿宋" w:eastAsia="仿宋"/>
          <w:sz w:val="32"/>
          <w:szCs w:val="32"/>
        </w:rPr>
        <w:t>同时对场区现有砂石料露天原料堆场及卵石破碎区修建封闭式钢结构厂房，对码头边坡破损区域进行生态护坡处理。根据湖南道和环保科技有限公司编制的《建华建材（湖南）有限公司2000t级砂石码头项目环境影响报告书》（报批稿）基本内容、结论和专家评审意见及岳阳市生态环境局湘阴分局预审意见，综合考虑，我局原则同意你公司环境影响报告书中所列建设项目的环境影响评价结论和环境保护对策措施。</w:t>
      </w:r>
    </w:p>
    <w:p>
      <w:pPr>
        <w:numPr>
          <w:ilvl w:val="0"/>
          <w:numId w:val="1"/>
        </w:numPr>
        <w:adjustRightInd w:val="0"/>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项目建设和运营必须全面落实环境影响报告书提出的各项环保措施，并着重做好以下工作：</w:t>
      </w:r>
    </w:p>
    <w:p>
      <w:pPr>
        <w:spacing w:line="480" w:lineRule="exact"/>
        <w:ind w:firstLine="640"/>
        <w:rPr>
          <w:rFonts w:ascii="仿宋" w:hAnsi="仿宋" w:eastAsia="仿宋"/>
          <w:sz w:val="32"/>
          <w:szCs w:val="32"/>
        </w:rPr>
      </w:pPr>
      <w:r>
        <w:rPr>
          <w:rFonts w:hint="eastAsia" w:ascii="仿宋" w:hAnsi="仿宋" w:eastAsia="仿宋"/>
          <w:sz w:val="32"/>
          <w:szCs w:val="32"/>
        </w:rPr>
        <w:t>（一）废气污染防治工作。严格落实报告书提出的废气防治措施，到港船舶</w:t>
      </w:r>
      <w:r>
        <w:rPr>
          <w:rFonts w:ascii="仿宋" w:hAnsi="仿宋" w:eastAsia="仿宋"/>
          <w:sz w:val="32"/>
          <w:szCs w:val="32"/>
        </w:rPr>
        <w:t>采用岸电</w:t>
      </w:r>
      <w:r>
        <w:rPr>
          <w:rFonts w:hint="eastAsia" w:ascii="仿宋" w:hAnsi="仿宋" w:eastAsia="仿宋"/>
          <w:sz w:val="32"/>
          <w:szCs w:val="32"/>
        </w:rPr>
        <w:t>，砂石料运输采用封闭式带式输送机，接料斗设喷雾除尘系统和返尘板，转运点和堆场设有喷淋除尘系统，砂石堆场及卵石破碎区采用密闭厂房，确保码头场界无组织废气满足《大气污染物综合排放标准》（GB16297-1996）表2中无组织排放监控浓度限值要求。</w:t>
      </w:r>
    </w:p>
    <w:p>
      <w:pPr>
        <w:autoSpaceDE w:val="0"/>
        <w:autoSpaceDN w:val="0"/>
        <w:adjustRightInd w:val="0"/>
        <w:spacing w:line="480" w:lineRule="exact"/>
        <w:ind w:firstLine="640" w:firstLineChars="200"/>
        <w:rPr>
          <w:rFonts w:hint="eastAsia" w:ascii="仿宋" w:hAnsi="仿宋" w:eastAsia="仿宋"/>
          <w:sz w:val="32"/>
          <w:szCs w:val="32"/>
        </w:rPr>
      </w:pPr>
      <w:r>
        <w:rPr>
          <w:rFonts w:hint="eastAsia" w:ascii="仿宋" w:hAnsi="仿宋" w:eastAsia="仿宋"/>
          <w:sz w:val="32"/>
          <w:szCs w:val="32"/>
        </w:rPr>
        <w:t>（二）废水污染防治工作。港区区域严格落实雨污分流，船舶生活污水</w:t>
      </w:r>
      <w:r>
        <w:rPr>
          <w:rFonts w:hint="eastAsia" w:ascii="仿宋" w:hAnsi="仿宋" w:eastAsia="仿宋"/>
          <w:sz w:val="32"/>
          <w:szCs w:val="32"/>
          <w:lang w:eastAsia="zh-CN"/>
        </w:rPr>
        <w:t>、</w:t>
      </w:r>
      <w:r>
        <w:rPr>
          <w:rFonts w:hint="eastAsia" w:ascii="仿宋" w:hAnsi="仿宋" w:eastAsia="仿宋"/>
          <w:sz w:val="32"/>
          <w:szCs w:val="32"/>
        </w:rPr>
        <w:t>码头员工生活污水</w:t>
      </w:r>
      <w:r>
        <w:rPr>
          <w:rFonts w:hint="eastAsia" w:ascii="仿宋" w:hAnsi="仿宋" w:eastAsia="仿宋"/>
          <w:sz w:val="32"/>
          <w:szCs w:val="32"/>
          <w:lang w:val="en-US" w:eastAsia="zh-CN"/>
        </w:rPr>
        <w:t>经</w:t>
      </w:r>
      <w:r>
        <w:rPr>
          <w:rFonts w:hint="eastAsia" w:ascii="仿宋" w:hAnsi="仿宋" w:eastAsia="仿宋"/>
          <w:sz w:val="32"/>
          <w:szCs w:val="32"/>
        </w:rPr>
        <w:t>收集处理，满足《污水综合排放标准》（GB8978-1996）表4中的三级标准后，经市政污水管网进入湘阴县第一污水处理厂进一步处理；趸船冲洗废水、皮带机生产废水经趸船冲洗废水收集池收集后依托厂区沉淀池处理作为其他工序生产用水回用，不外排；船舶含油废水经趸船含油污水箱收集后交海事部门指定具有专业资质的接收船接收处理。</w:t>
      </w:r>
    </w:p>
    <w:p>
      <w:pPr>
        <w:autoSpaceDE w:val="0"/>
        <w:autoSpaceDN w:val="0"/>
        <w:adjustRightInd w:val="0"/>
        <w:spacing w:line="480" w:lineRule="exact"/>
        <w:ind w:firstLine="640" w:firstLineChars="200"/>
        <w:jc w:val="left"/>
        <w:rPr>
          <w:rFonts w:ascii="仿宋" w:hAnsi="仿宋" w:eastAsia="仿宋"/>
          <w:sz w:val="32"/>
          <w:szCs w:val="32"/>
        </w:rPr>
      </w:pPr>
      <w:r>
        <w:rPr>
          <w:rFonts w:hint="eastAsia" w:ascii="仿宋" w:hAnsi="仿宋" w:eastAsia="仿宋"/>
          <w:sz w:val="32"/>
          <w:szCs w:val="32"/>
        </w:rPr>
        <w:t>（三）噪声防治工作。到港船舶禁止鸣笛，加强各类机械设施维修保养，对带式运输机等高噪声的设备采取减震隔音措施，确保场界噪声满足《工业企业厂界环境噪声排放标准》（</w:t>
      </w:r>
      <w:r>
        <w:rPr>
          <w:rFonts w:ascii="仿宋" w:hAnsi="仿宋" w:eastAsia="仿宋"/>
          <w:sz w:val="32"/>
          <w:szCs w:val="32"/>
        </w:rPr>
        <w:t>GB12348-2008</w:t>
      </w:r>
      <w:r>
        <w:rPr>
          <w:rFonts w:hint="eastAsia" w:ascii="仿宋" w:hAnsi="仿宋" w:eastAsia="仿宋"/>
          <w:sz w:val="32"/>
          <w:szCs w:val="32"/>
        </w:rPr>
        <w:t>）要求。</w:t>
      </w:r>
    </w:p>
    <w:p>
      <w:pPr>
        <w:spacing w:line="460" w:lineRule="exact"/>
        <w:ind w:firstLine="640"/>
        <w:jc w:val="both"/>
        <w:rPr>
          <w:rFonts w:ascii="仿宋" w:hAnsi="仿宋" w:eastAsia="仿宋"/>
          <w:color w:val="000000"/>
          <w:kern w:val="0"/>
          <w:sz w:val="32"/>
          <w:szCs w:val="32"/>
        </w:rPr>
      </w:pPr>
      <w:r>
        <w:rPr>
          <w:rFonts w:hint="eastAsia" w:ascii="仿宋" w:hAnsi="仿宋" w:eastAsia="仿宋"/>
          <w:sz w:val="32"/>
          <w:szCs w:val="32"/>
        </w:rPr>
        <w:t>（四）固体废物管理工作。</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年修改单相关规定</w:t>
      </w:r>
      <w:r>
        <w:rPr>
          <w:rFonts w:hint="eastAsia" w:ascii="Times New Roman" w:hAnsi="仿宋" w:eastAsia="仿宋" w:cs="Times New Roman"/>
          <w:sz w:val="32"/>
          <w:szCs w:val="32"/>
          <w:lang w:val="en-US" w:eastAsia="zh-CN"/>
        </w:rPr>
        <w:t>设置</w:t>
      </w:r>
      <w:r>
        <w:rPr>
          <w:rFonts w:hint="eastAsia" w:ascii="Times New Roman" w:hAnsi="仿宋" w:eastAsia="仿宋" w:cs="Times New Roman"/>
          <w:sz w:val="32"/>
          <w:szCs w:val="32"/>
        </w:rPr>
        <w:t>危险废物暂存间，废</w:t>
      </w:r>
      <w:r>
        <w:rPr>
          <w:rFonts w:hint="eastAsia" w:ascii="Times New Roman" w:hAnsi="仿宋" w:eastAsia="仿宋" w:cs="Times New Roman"/>
          <w:sz w:val="32"/>
          <w:szCs w:val="32"/>
          <w:lang w:val="en-US" w:eastAsia="zh-CN"/>
        </w:rPr>
        <w:t>矿物</w:t>
      </w:r>
      <w:r>
        <w:rPr>
          <w:rFonts w:hint="eastAsia" w:ascii="Times New Roman" w:hAnsi="仿宋" w:eastAsia="仿宋" w:cs="Times New Roman"/>
          <w:sz w:val="32"/>
          <w:szCs w:val="32"/>
        </w:rPr>
        <w:t>油应送有资质的单位处置，并执行转移联单制度；</w:t>
      </w:r>
      <w:r>
        <w:rPr>
          <w:rFonts w:hint="eastAsia" w:ascii="仿宋" w:hAnsi="仿宋" w:eastAsia="仿宋"/>
          <w:color w:val="000000"/>
          <w:kern w:val="0"/>
          <w:sz w:val="32"/>
          <w:szCs w:val="32"/>
        </w:rPr>
        <w:t>生活垃圾定期交环卫部门处理。</w:t>
      </w:r>
    </w:p>
    <w:p>
      <w:pPr>
        <w:spacing w:line="480" w:lineRule="exact"/>
        <w:ind w:firstLine="640"/>
        <w:rPr>
          <w:rFonts w:hint="eastAsia" w:hAnsi="仿宋" w:eastAsia="仿宋"/>
          <w:sz w:val="32"/>
          <w:szCs w:val="32"/>
        </w:rPr>
      </w:pPr>
      <w:r>
        <w:rPr>
          <w:rFonts w:hint="eastAsia" w:ascii="仿宋" w:hAnsi="仿宋" w:eastAsia="仿宋"/>
          <w:sz w:val="32"/>
          <w:szCs w:val="32"/>
        </w:rPr>
        <w:t>（五）环境管理和风险防范工作。</w:t>
      </w:r>
      <w:r>
        <w:rPr>
          <w:rFonts w:hint="eastAsia" w:hAnsi="仿宋" w:eastAsia="仿宋"/>
          <w:sz w:val="32"/>
          <w:szCs w:val="32"/>
        </w:rPr>
        <w:t>落实报告书提出的风险防范措施。重点落实防船舶溢油泄漏等管理措施。定期开展应急演练，充分利用港区内已有的风险防范设备、设施，加强与当地政府和海事等部门应急联动。</w:t>
      </w:r>
    </w:p>
    <w:p>
      <w:pPr>
        <w:spacing w:line="460" w:lineRule="exact"/>
        <w:ind w:firstLine="640"/>
        <w:jc w:val="both"/>
        <w:rPr>
          <w:rFonts w:hint="default" w:ascii="Times New Roman" w:hAnsi="仿宋" w:eastAsia="仿宋" w:cs="Times New Roman"/>
          <w:sz w:val="32"/>
          <w:szCs w:val="32"/>
          <w:lang w:val="en-US" w:eastAsia="zh-CN"/>
        </w:rPr>
      </w:pPr>
      <w:r>
        <w:rPr>
          <w:rFonts w:hint="eastAsia" w:ascii="Times New Roman" w:hAnsi="仿宋" w:eastAsia="仿宋" w:cs="Times New Roman"/>
          <w:sz w:val="32"/>
          <w:szCs w:val="32"/>
          <w:lang w:val="en-US" w:eastAsia="zh-CN"/>
        </w:rPr>
        <w:t>（六）项目位于</w:t>
      </w:r>
      <w:r>
        <w:rPr>
          <w:rFonts w:hint="eastAsia" w:ascii="仿宋" w:hAnsi="仿宋" w:eastAsia="仿宋"/>
          <w:color w:val="000000"/>
          <w:sz w:val="32"/>
          <w:szCs w:val="32"/>
          <w:lang w:val="en-US" w:eastAsia="zh-CN"/>
        </w:rPr>
        <w:t>湖南湘阴洋沙湖-东湖国家湿地公园内</w:t>
      </w:r>
      <w:r>
        <w:rPr>
          <w:rFonts w:hint="eastAsia" w:ascii="Times New Roman" w:hAnsi="仿宋" w:eastAsia="仿宋" w:cs="Times New Roman"/>
          <w:sz w:val="32"/>
          <w:szCs w:val="32"/>
          <w:lang w:val="en-US" w:eastAsia="zh-CN"/>
        </w:rPr>
        <w:t>，请你单位在建设和营运期切实落实报告书提出的生态保护措施，确保项目生态环境风险在可控范围内。项目实施前应征求湿地公园管理机构的意见。</w:t>
      </w:r>
    </w:p>
    <w:p>
      <w:pPr>
        <w:spacing w:line="48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三、你公司应在收到本批复后15个工作日内，将批复及批准的环评报告文本送至岳阳市生态环境局湘阴分局、湖南道和环保科技有限公司。</w:t>
      </w:r>
    </w:p>
    <w:p>
      <w:pPr>
        <w:spacing w:line="480" w:lineRule="exact"/>
        <w:ind w:firstLine="640" w:firstLineChars="200"/>
      </w:pPr>
      <w:r>
        <w:rPr>
          <w:rFonts w:hint="eastAsia" w:ascii="仿宋" w:hAnsi="仿宋" w:eastAsia="仿宋"/>
          <w:sz w:val="32"/>
          <w:szCs w:val="32"/>
        </w:rPr>
        <w:t>四、请岳阳市生态环境局湘阴分局负责项目建设期和运营期的日常环境监管。</w:t>
      </w:r>
    </w:p>
    <w:p>
      <w:pPr>
        <w:pStyle w:val="19"/>
        <w:spacing w:line="480" w:lineRule="exact"/>
        <w:ind w:firstLine="585"/>
        <w:rPr>
          <w:rFonts w:ascii="仿宋" w:hAnsi="仿宋" w:eastAsia="仿宋" w:cs="仿宋"/>
          <w:kern w:val="2"/>
          <w:sz w:val="32"/>
          <w:szCs w:val="32"/>
        </w:rPr>
      </w:pPr>
    </w:p>
    <w:p>
      <w:pPr>
        <w:pStyle w:val="19"/>
        <w:spacing w:line="480" w:lineRule="exact"/>
        <w:rPr>
          <w:rFonts w:ascii="仿宋" w:hAnsi="仿宋" w:eastAsia="仿宋" w:cs="仿宋"/>
          <w:kern w:val="2"/>
          <w:sz w:val="32"/>
          <w:szCs w:val="32"/>
        </w:rPr>
      </w:pPr>
    </w:p>
    <w:p>
      <w:pPr>
        <w:pStyle w:val="19"/>
        <w:spacing w:line="480" w:lineRule="exact"/>
        <w:rPr>
          <w:rFonts w:ascii="仿宋" w:hAnsi="仿宋" w:eastAsia="仿宋" w:cs="仿宋"/>
          <w:kern w:val="2"/>
          <w:sz w:val="32"/>
          <w:szCs w:val="32"/>
        </w:rPr>
      </w:pPr>
    </w:p>
    <w:p>
      <w:pPr>
        <w:pStyle w:val="19"/>
        <w:spacing w:line="480" w:lineRule="exact"/>
        <w:rPr>
          <w:rFonts w:ascii="仿宋" w:hAnsi="仿宋" w:eastAsia="仿宋" w:cs="仿宋"/>
          <w:kern w:val="2"/>
          <w:sz w:val="32"/>
          <w:szCs w:val="32"/>
        </w:rPr>
      </w:pPr>
    </w:p>
    <w:p>
      <w:pPr>
        <w:pStyle w:val="19"/>
        <w:spacing w:line="480" w:lineRule="exact"/>
        <w:ind w:left="0" w:firstLine="5440" w:firstLineChars="1700"/>
        <w:rPr>
          <w:rFonts w:ascii="仿宋" w:hAnsi="仿宋" w:eastAsia="仿宋" w:cs="仿宋"/>
          <w:kern w:val="2"/>
          <w:sz w:val="32"/>
          <w:szCs w:val="32"/>
        </w:rPr>
      </w:pPr>
      <w:r>
        <w:rPr>
          <w:rFonts w:hint="eastAsia" w:ascii="仿宋" w:hAnsi="仿宋" w:eastAsia="仿宋" w:cs="仿宋"/>
          <w:kern w:val="2"/>
          <w:sz w:val="32"/>
          <w:szCs w:val="32"/>
        </w:rPr>
        <w:t>岳阳市生态环境局</w:t>
      </w:r>
    </w:p>
    <w:p>
      <w:pPr>
        <w:pStyle w:val="19"/>
        <w:spacing w:line="480" w:lineRule="exact"/>
        <w:ind w:left="0" w:firstLine="5504" w:firstLineChars="1720"/>
        <w:rPr>
          <w:rFonts w:ascii="仿宋" w:hAnsi="仿宋" w:eastAsia="仿宋" w:cs="仿宋"/>
          <w:color w:val="000000"/>
          <w:kern w:val="2"/>
          <w:sz w:val="32"/>
          <w:szCs w:val="32"/>
        </w:rPr>
      </w:pPr>
      <w:r>
        <w:rPr>
          <w:rFonts w:ascii="仿宋" w:hAnsi="仿宋" w:eastAsia="仿宋" w:cs="仿宋"/>
          <w:color w:val="000000"/>
          <w:kern w:val="2"/>
          <w:sz w:val="32"/>
          <w:szCs w:val="32"/>
        </w:rPr>
        <w:t>20</w:t>
      </w:r>
      <w:r>
        <w:rPr>
          <w:rFonts w:hint="eastAsia" w:ascii="仿宋" w:hAnsi="仿宋" w:eastAsia="仿宋" w:cs="仿宋"/>
          <w:color w:val="000000"/>
          <w:kern w:val="2"/>
          <w:sz w:val="32"/>
          <w:szCs w:val="32"/>
        </w:rPr>
        <w:t>21年</w:t>
      </w:r>
      <w:r>
        <w:rPr>
          <w:rFonts w:hint="eastAsia" w:ascii="仿宋" w:hAnsi="仿宋" w:eastAsia="仿宋" w:cs="仿宋"/>
          <w:color w:val="000000"/>
          <w:kern w:val="2"/>
          <w:sz w:val="32"/>
          <w:szCs w:val="32"/>
          <w:lang w:val="en-US" w:eastAsia="zh-CN"/>
        </w:rPr>
        <w:t>8</w:t>
      </w:r>
      <w:r>
        <w:rPr>
          <w:rFonts w:hint="eastAsia" w:ascii="仿宋" w:hAnsi="仿宋" w:eastAsia="仿宋" w:cs="仿宋"/>
          <w:color w:val="000000"/>
          <w:kern w:val="2"/>
          <w:sz w:val="32"/>
          <w:szCs w:val="32"/>
        </w:rPr>
        <w:t>月</w:t>
      </w:r>
      <w:r>
        <w:rPr>
          <w:rFonts w:hint="eastAsia" w:ascii="仿宋" w:hAnsi="仿宋" w:eastAsia="仿宋" w:cs="仿宋"/>
          <w:color w:val="000000"/>
          <w:kern w:val="2"/>
          <w:sz w:val="32"/>
          <w:szCs w:val="32"/>
          <w:lang w:val="en-US" w:eastAsia="zh-CN"/>
        </w:rPr>
        <w:t>26</w:t>
      </w:r>
      <w:r>
        <w:rPr>
          <w:rFonts w:hint="eastAsia" w:ascii="仿宋" w:hAnsi="仿宋" w:eastAsia="仿宋" w:cs="仿宋"/>
          <w:color w:val="000000"/>
          <w:kern w:val="2"/>
          <w:sz w:val="32"/>
          <w:szCs w:val="32"/>
        </w:rPr>
        <w:t>日</w:t>
      </w:r>
    </w:p>
    <w:p>
      <w:pPr>
        <w:pStyle w:val="19"/>
        <w:spacing w:line="480" w:lineRule="exact"/>
        <w:ind w:left="0" w:firstLine="4480" w:firstLineChars="1400"/>
        <w:rPr>
          <w:rFonts w:ascii="仿宋" w:hAnsi="仿宋" w:eastAsia="仿宋" w:cs="仿宋"/>
          <w:kern w:val="2"/>
          <w:sz w:val="32"/>
          <w:szCs w:val="32"/>
        </w:rPr>
      </w:pPr>
    </w:p>
    <w:p>
      <w:pPr>
        <w:pStyle w:val="19"/>
        <w:spacing w:line="480" w:lineRule="exact"/>
        <w:ind w:left="0" w:firstLine="4480" w:firstLineChars="140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sectPr>
      <w:headerReference r:id="rId3" w:type="default"/>
      <w:footerReference r:id="rId4" w:type="default"/>
      <w:pgSz w:w="11906" w:h="16838"/>
      <w:pgMar w:top="1440" w:right="1588" w:bottom="1418" w:left="1588" w:header="851" w:footer="992" w:gutter="0"/>
      <w:cols w:space="720" w:num="1"/>
      <w:titlePg/>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3</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B41150"/>
    <w:rsid w:val="004F526B"/>
    <w:rsid w:val="00A60FB7"/>
    <w:rsid w:val="00B41150"/>
    <w:rsid w:val="00F908CF"/>
    <w:rsid w:val="05603C6F"/>
    <w:rsid w:val="1A2C0F59"/>
    <w:rsid w:val="4C000D81"/>
    <w:rsid w:val="5DFE7FB7"/>
    <w:rsid w:val="73BB7115"/>
    <w:rsid w:val="73ED1F85"/>
    <w:rsid w:val="775F7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rPr>
  </w:style>
  <w:style w:type="paragraph" w:styleId="4">
    <w:name w:val="Date"/>
    <w:basedOn w:val="1"/>
    <w:next w:val="1"/>
    <w:link w:val="12"/>
    <w:qFormat/>
    <w:uiPriority w:val="99"/>
    <w:pPr>
      <w:ind w:left="100" w:leftChars="2500"/>
    </w:pPr>
  </w:style>
  <w:style w:type="paragraph" w:styleId="5">
    <w:name w:val="Balloon Text"/>
    <w:basedOn w:val="1"/>
    <w:link w:val="13"/>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日期 Char"/>
    <w:basedOn w:val="10"/>
    <w:link w:val="4"/>
    <w:qFormat/>
    <w:uiPriority w:val="99"/>
    <w:rPr>
      <w:szCs w:val="24"/>
    </w:rPr>
  </w:style>
  <w:style w:type="character" w:customStyle="1" w:styleId="13">
    <w:name w:val="批注框文本 Char"/>
    <w:basedOn w:val="10"/>
    <w:link w:val="5"/>
    <w:qFormat/>
    <w:uiPriority w:val="99"/>
    <w:rPr>
      <w:rFonts w:cs="Times New Roman"/>
      <w:kern w:val="2"/>
      <w:sz w:val="18"/>
      <w:szCs w:val="18"/>
    </w:rPr>
  </w:style>
  <w:style w:type="character" w:customStyle="1" w:styleId="14">
    <w:name w:val="页脚 Char"/>
    <w:basedOn w:val="10"/>
    <w:link w:val="6"/>
    <w:qFormat/>
    <w:uiPriority w:val="99"/>
    <w:rPr>
      <w:rFonts w:cs="Times New Roman"/>
      <w:kern w:val="2"/>
      <w:sz w:val="18"/>
      <w:szCs w:val="18"/>
    </w:rPr>
  </w:style>
  <w:style w:type="character" w:customStyle="1" w:styleId="15">
    <w:name w:val="页眉 Char"/>
    <w:basedOn w:val="10"/>
    <w:link w:val="7"/>
    <w:qFormat/>
    <w:uiPriority w:val="99"/>
    <w:rPr>
      <w:rFonts w:cs="Times New Roman"/>
      <w:kern w:val="2"/>
      <w:sz w:val="18"/>
      <w:szCs w:val="18"/>
    </w:rPr>
  </w:style>
  <w:style w:type="character" w:customStyle="1" w:styleId="16">
    <w:name w:val="p0 Char"/>
    <w:basedOn w:val="10"/>
    <w:link w:val="17"/>
    <w:qFormat/>
    <w:uiPriority w:val="99"/>
    <w:rPr>
      <w:rFonts w:eastAsia="宋体" w:cs="Times New Roman"/>
      <w:sz w:val="32"/>
      <w:szCs w:val="32"/>
      <w:lang w:val="en-US" w:eastAsia="zh-CN" w:bidi="ar-SA"/>
    </w:rPr>
  </w:style>
  <w:style w:type="paragraph" w:customStyle="1" w:styleId="17">
    <w:name w:val="p0"/>
    <w:basedOn w:val="1"/>
    <w:link w:val="16"/>
    <w:qFormat/>
    <w:uiPriority w:val="99"/>
    <w:pPr>
      <w:widowControl/>
    </w:pPr>
    <w:rPr>
      <w:kern w:val="0"/>
      <w:sz w:val="32"/>
      <w:szCs w:val="32"/>
    </w:rPr>
  </w:style>
  <w:style w:type="paragraph" w:customStyle="1" w:styleId="18">
    <w:name w:val="WPS Plain"/>
    <w:qFormat/>
    <w:uiPriority w:val="99"/>
    <w:rPr>
      <w:rFonts w:ascii="Times New Roman" w:hAnsi="Times New Roman" w:eastAsia="宋体" w:cs="Times New Roman"/>
      <w:lang w:val="en-US" w:eastAsia="zh-CN" w:bidi="ar-SA"/>
    </w:rPr>
  </w:style>
  <w:style w:type="paragraph" w:customStyle="1" w:styleId="19">
    <w:name w:val="0"/>
    <w:basedOn w:val="1"/>
    <w:qFormat/>
    <w:uiPriority w:val="99"/>
    <w:pPr>
      <w:widowControl/>
      <w:snapToGrid w:val="0"/>
      <w:spacing w:line="365" w:lineRule="atLeast"/>
      <w:ind w:left="1"/>
      <w:textAlignment w:val="bottom"/>
    </w:pPr>
    <w:rPr>
      <w:kern w:val="0"/>
      <w:sz w:val="20"/>
      <w:szCs w:val="20"/>
    </w:rPr>
  </w:style>
  <w:style w:type="paragraph" w:customStyle="1" w:styleId="20">
    <w:name w:val="表头字体宋"/>
    <w:basedOn w:val="1"/>
    <w:qFormat/>
    <w:uiPriority w:val="99"/>
    <w:pPr>
      <w:spacing w:line="500" w:lineRule="exact"/>
      <w:jc w:val="center"/>
    </w:pPr>
    <w:rPr>
      <w:rFonts w:ascii="宋体" w:hAnsi="宋体" w:cs="宋体"/>
      <w:b/>
      <w:bCs/>
      <w:sz w:val="24"/>
      <w:szCs w:val="20"/>
    </w:rPr>
  </w:style>
  <w:style w:type="paragraph" w:customStyle="1" w:styleId="21">
    <w:name w:val="表格内容"/>
    <w:basedOn w:val="1"/>
    <w:qFormat/>
    <w:uiPriority w:val="99"/>
    <w:pPr>
      <w:autoSpaceDE w:val="0"/>
      <w:autoSpaceDN w:val="0"/>
      <w:adjustRightInd w:val="0"/>
      <w:spacing w:line="360" w:lineRule="auto"/>
      <w:jc w:val="center"/>
      <w:textAlignment w:val="baseline"/>
    </w:pPr>
    <w:rPr>
      <w:color w:val="000000"/>
      <w:kern w:val="0"/>
      <w:szCs w:val="21"/>
    </w:rPr>
  </w:style>
  <w:style w:type="character" w:customStyle="1" w:styleId="22">
    <w:name w:val="biaoge Char"/>
    <w:link w:val="23"/>
    <w:qFormat/>
    <w:uiPriority w:val="99"/>
    <w:rPr>
      <w:kern w:val="2"/>
      <w:sz w:val="24"/>
    </w:rPr>
  </w:style>
  <w:style w:type="paragraph" w:customStyle="1" w:styleId="23">
    <w:name w:val="biaoge"/>
    <w:basedOn w:val="1"/>
    <w:link w:val="22"/>
    <w:qFormat/>
    <w:uiPriority w:val="99"/>
    <w:pPr>
      <w:jc w:val="center"/>
    </w:pPr>
    <w:rPr>
      <w:sz w:val="24"/>
      <w:szCs w:val="20"/>
    </w:rPr>
  </w:style>
  <w:style w:type="paragraph" w:customStyle="1" w:styleId="24">
    <w:name w:val="文章正文样式"/>
    <w:basedOn w:val="1"/>
    <w:qFormat/>
    <w:uiPriority w:val="0"/>
    <w:pPr>
      <w:spacing w:line="520" w:lineRule="exact"/>
      <w:ind w:firstLine="480" w:firstLineChars="200"/>
      <w:jc w:val="left"/>
    </w:pPr>
    <w:rPr>
      <w:rFonts w:ascii="宋体" w:hAnsi="宋体" w:cs="宋体"/>
      <w:sz w:val="24"/>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1472</Words>
  <Characters>1572</Characters>
  <Lines>12</Lines>
  <Paragraphs>3</Paragraphs>
  <TotalTime>15</TotalTime>
  <ScaleCrop>false</ScaleCrop>
  <LinksUpToDate>false</LinksUpToDate>
  <CharactersWithSpaces>1578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2019-02-01T10:46:00Z</dcterms:created>
  <dc:creator>微软用户</dc:creator>
  <cp:lastModifiedBy>王志勤</cp:lastModifiedBy>
  <cp:lastPrinted>2021-08-27T02:12:00Z</cp:lastPrinted>
  <dcterms:modified xsi:type="dcterms:W3CDTF">2021-09-06T07:38:37Z</dcterms:modified>
  <dc:title>湘 阴 县 大 地 化 工 有 限 公 司</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058C5021B5E545EE99C395748956A0F3</vt:lpwstr>
  </property>
</Properties>
</file>