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76" w:lineRule="exact"/>
        <w:jc w:val="left"/>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附件7</w:t>
      </w:r>
    </w:p>
    <w:p>
      <w:pPr>
        <w:keepNext w:val="0"/>
        <w:keepLines w:val="0"/>
        <w:pageBreakBefore w:val="0"/>
        <w:kinsoku/>
        <w:wordWrap/>
        <w:overflowPunct/>
        <w:topLinePunct w:val="0"/>
        <w:autoSpaceDE/>
        <w:autoSpaceDN/>
        <w:bidi w:val="0"/>
        <w:adjustRightInd/>
        <w:spacing w:line="576" w:lineRule="exact"/>
        <w:jc w:val="center"/>
        <w:textAlignment w:val="auto"/>
        <w:outlineLvl w:val="0"/>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spacing w:line="576" w:lineRule="exact"/>
        <w:jc w:val="center"/>
        <w:textAlignment w:val="auto"/>
        <w:outlineLvl w:val="0"/>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提名</w:t>
      </w:r>
      <w:r>
        <w:rPr>
          <w:rFonts w:hint="eastAsia" w:ascii="方正小标宋简体" w:hAnsi="方正小标宋简体" w:eastAsia="方正小标宋简体" w:cs="方正小标宋简体"/>
          <w:sz w:val="44"/>
          <w:szCs w:val="44"/>
        </w:rPr>
        <w:t>2020</w:t>
      </w:r>
      <w:r>
        <w:rPr>
          <w:rFonts w:hint="eastAsia" w:ascii="方正小标宋简体" w:hAnsi="方正小标宋简体" w:eastAsia="方正小标宋简体" w:cs="方正小标宋简体"/>
          <w:sz w:val="44"/>
          <w:szCs w:val="44"/>
        </w:rPr>
        <w:t>年度湖南省科学技术进步奖二等奖</w:t>
      </w:r>
    </w:p>
    <w:p>
      <w:pPr>
        <w:keepNext w:val="0"/>
        <w:keepLines w:val="0"/>
        <w:pageBreakBefore w:val="0"/>
        <w:kinsoku/>
        <w:wordWrap/>
        <w:overflowPunct/>
        <w:topLinePunct w:val="0"/>
        <w:autoSpaceDE/>
        <w:autoSpaceDN/>
        <w:bidi w:val="0"/>
        <w:adjustRightInd/>
        <w:spacing w:line="576"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w:t>
      </w:r>
      <w:r>
        <w:rPr>
          <w:rFonts w:hint="eastAsia"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示</w:t>
      </w:r>
      <w:r>
        <w:rPr>
          <w:rFonts w:hint="eastAsia"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内</w:t>
      </w:r>
      <w:r>
        <w:rPr>
          <w:rFonts w:hint="eastAsia"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容</w:t>
      </w:r>
    </w:p>
    <w:p>
      <w:pPr>
        <w:keepNext w:val="0"/>
        <w:keepLines w:val="0"/>
        <w:pageBreakBefore w:val="0"/>
        <w:numPr>
          <w:numId w:val="0"/>
        </w:numPr>
        <w:kinsoku/>
        <w:wordWrap/>
        <w:overflowPunct/>
        <w:topLinePunct w:val="0"/>
        <w:autoSpaceDE/>
        <w:autoSpaceDN/>
        <w:bidi w:val="0"/>
        <w:adjustRightInd/>
        <w:spacing w:line="576" w:lineRule="exact"/>
        <w:ind w:firstLine="640" w:firstLineChars="200"/>
        <w:jc w:val="left"/>
        <w:textAlignment w:val="auto"/>
        <w:outlineLvl w:val="0"/>
        <w:rPr>
          <w:rFonts w:hint="eastAsia" w:ascii="黑体" w:hAnsi="黑体" w:eastAsia="黑体" w:cs="黑体"/>
          <w:b w:val="0"/>
          <w:bCs w:val="0"/>
          <w:sz w:val="32"/>
          <w:szCs w:val="32"/>
          <w:lang w:val="en-US" w:eastAsia="zh-CN"/>
        </w:rPr>
      </w:pPr>
    </w:p>
    <w:p>
      <w:pPr>
        <w:keepNext w:val="0"/>
        <w:keepLines w:val="0"/>
        <w:pageBreakBefore w:val="0"/>
        <w:numPr>
          <w:numId w:val="0"/>
        </w:numPr>
        <w:kinsoku/>
        <w:wordWrap/>
        <w:overflowPunct/>
        <w:topLinePunct w:val="0"/>
        <w:autoSpaceDE/>
        <w:autoSpaceDN/>
        <w:bidi w:val="0"/>
        <w:adjustRightInd/>
        <w:spacing w:line="576" w:lineRule="exact"/>
        <w:ind w:firstLine="640" w:firstLineChars="200"/>
        <w:jc w:val="left"/>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项目名称</w:t>
      </w:r>
    </w:p>
    <w:p>
      <w:pPr>
        <w:keepNext w:val="0"/>
        <w:keepLines w:val="0"/>
        <w:pageBreakBefore w:val="0"/>
        <w:kinsoku/>
        <w:wordWrap/>
        <w:overflowPunct/>
        <w:topLinePunct w:val="0"/>
        <w:autoSpaceDE/>
        <w:autoSpaceDN/>
        <w:bidi w:val="0"/>
        <w:adjustRightInd/>
        <w:spacing w:line="576" w:lineRule="exact"/>
        <w:ind w:firstLine="640" w:firstLineChars="200"/>
        <w:jc w:val="left"/>
        <w:textAlignment w:val="auto"/>
        <w:outlineLvl w:val="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石化尾气回收提纯食品级二氧化碳的关键技术研发及应用</w:t>
      </w:r>
    </w:p>
    <w:p>
      <w:pPr>
        <w:keepNext w:val="0"/>
        <w:keepLines w:val="0"/>
        <w:pageBreakBefore w:val="0"/>
        <w:kinsoku/>
        <w:wordWrap/>
        <w:overflowPunct/>
        <w:topLinePunct w:val="0"/>
        <w:autoSpaceDE/>
        <w:autoSpaceDN/>
        <w:bidi w:val="0"/>
        <w:adjustRightInd/>
        <w:spacing w:line="576" w:lineRule="exact"/>
        <w:ind w:firstLine="640" w:firstLineChars="200"/>
        <w:jc w:val="left"/>
        <w:textAlignment w:val="auto"/>
        <w:outlineLvl w:val="0"/>
        <w:rPr>
          <w:rFonts w:hint="eastAsia" w:ascii="黑体" w:hAnsi="黑体" w:eastAsia="黑体" w:cs="黑体"/>
          <w:b w:val="0"/>
          <w:bCs/>
          <w:i w:val="0"/>
          <w:iCs w:val="0"/>
          <w:sz w:val="32"/>
          <w:szCs w:val="32"/>
        </w:rPr>
      </w:pPr>
      <w:r>
        <w:rPr>
          <w:rFonts w:hint="eastAsia" w:ascii="黑体" w:hAnsi="黑体" w:eastAsia="黑体" w:cs="黑体"/>
          <w:b w:val="0"/>
          <w:bCs/>
          <w:i w:val="0"/>
          <w:iCs w:val="0"/>
          <w:sz w:val="32"/>
          <w:szCs w:val="32"/>
          <w:lang w:val="en-US" w:eastAsia="zh-CN"/>
        </w:rPr>
        <w:t>二、</w:t>
      </w:r>
      <w:r>
        <w:rPr>
          <w:rFonts w:hint="eastAsia" w:ascii="黑体" w:hAnsi="黑体" w:eastAsia="黑体" w:cs="黑体"/>
          <w:b w:val="0"/>
          <w:bCs/>
          <w:i w:val="0"/>
          <w:iCs w:val="0"/>
          <w:sz w:val="32"/>
          <w:szCs w:val="32"/>
        </w:rPr>
        <w:t>项目单位</w:t>
      </w:r>
    </w:p>
    <w:p>
      <w:pPr>
        <w:keepNext w:val="0"/>
        <w:keepLines w:val="0"/>
        <w:pageBreakBefore w:val="0"/>
        <w:kinsoku/>
        <w:wordWrap/>
        <w:overflowPunct/>
        <w:topLinePunct w:val="0"/>
        <w:autoSpaceDE/>
        <w:autoSpaceDN/>
        <w:bidi w:val="0"/>
        <w:adjustRightInd/>
        <w:spacing w:line="576" w:lineRule="exact"/>
        <w:jc w:val="left"/>
        <w:textAlignment w:val="auto"/>
        <w:outlineLvl w:val="0"/>
        <w:rPr>
          <w:rFonts w:hint="eastAsia" w:ascii="仿宋_GB2312" w:hAnsi="仿宋_GB2312" w:eastAsia="仿宋_GB2312" w:cs="仿宋_GB2312"/>
          <w:b w:val="0"/>
          <w:bCs w:val="0"/>
          <w:sz w:val="32"/>
          <w:szCs w:val="32"/>
        </w:rPr>
      </w:pPr>
      <w:r>
        <w:rPr>
          <w:rFonts w:ascii="宋体" w:hAnsi="宋体" w:cs="宋体"/>
          <w:sz w:val="24"/>
          <w:szCs w:val="24"/>
        </w:rPr>
        <w:t xml:space="preserve">   </w:t>
      </w:r>
      <w:r>
        <w:rPr>
          <w:rFonts w:hint="eastAsia" w:ascii="仿宋_GB2312" w:hAnsi="仿宋_GB2312" w:eastAsia="仿宋_GB2312" w:cs="仿宋_GB2312"/>
          <w:b w:val="0"/>
          <w:bCs w:val="0"/>
          <w:sz w:val="32"/>
          <w:szCs w:val="32"/>
        </w:rPr>
        <w:t>湖南凯美特气体股份有限公司/湖南理工学院</w:t>
      </w:r>
    </w:p>
    <w:p>
      <w:pPr>
        <w:keepNext w:val="0"/>
        <w:keepLines w:val="0"/>
        <w:pageBreakBefore w:val="0"/>
        <w:kinsoku/>
        <w:wordWrap/>
        <w:overflowPunct/>
        <w:topLinePunct w:val="0"/>
        <w:autoSpaceDE/>
        <w:autoSpaceDN/>
        <w:bidi w:val="0"/>
        <w:adjustRightInd/>
        <w:spacing w:line="576" w:lineRule="exact"/>
        <w:ind w:firstLine="640" w:firstLineChars="200"/>
        <w:jc w:val="left"/>
        <w:textAlignment w:val="auto"/>
        <w:outlineLvl w:val="0"/>
        <w:rPr>
          <w:rFonts w:hint="eastAsia" w:ascii="黑体" w:hAnsi="黑体" w:eastAsia="黑体" w:cs="黑体"/>
          <w:b w:val="0"/>
          <w:bCs/>
          <w:i w:val="0"/>
          <w:iCs w:val="0"/>
          <w:sz w:val="32"/>
          <w:szCs w:val="32"/>
          <w:lang w:val="en-US" w:eastAsia="zh-CN"/>
        </w:rPr>
      </w:pPr>
      <w:r>
        <w:rPr>
          <w:rFonts w:hint="eastAsia" w:ascii="黑体" w:hAnsi="黑体" w:eastAsia="黑体" w:cs="黑体"/>
          <w:b w:val="0"/>
          <w:bCs/>
          <w:i w:val="0"/>
          <w:iCs w:val="0"/>
          <w:sz w:val="32"/>
          <w:szCs w:val="32"/>
          <w:lang w:val="en-US" w:eastAsia="zh-CN"/>
        </w:rPr>
        <w:t>三、提名意见</w:t>
      </w:r>
    </w:p>
    <w:p>
      <w:pPr>
        <w:keepNext w:val="0"/>
        <w:keepLines w:val="0"/>
        <w:pageBreakBefore w:val="0"/>
        <w:kinsoku/>
        <w:wordWrap/>
        <w:overflowPunct/>
        <w:topLinePunct w:val="0"/>
        <w:autoSpaceDE/>
        <w:autoSpaceDN/>
        <w:bidi w:val="0"/>
        <w:adjustRightInd/>
        <w:spacing w:line="576" w:lineRule="exact"/>
        <w:ind w:firstLine="640" w:firstLineChars="200"/>
        <w:jc w:val="left"/>
        <w:textAlignment w:val="auto"/>
        <w:outlineLvl w:val="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针对传统工艺回收的CO2产品难以达到食品及高端领域的应用标准的技术难题，利用石化尾气资源，开发了石化尾气回收提纯食品级CO2的关键技术，助力国家“碳达峰”、“碳中和”重大战略，实现了CO2的高效、低成本捕集纯化和高品质资源化利用，技术应用生产的CO2产品纯度达99.999%，打破国外企业对CO2食品添加剂的垄断。项目组依托省CO2综合利用工程技术研究中心、“石油化工催化与分离关键技术”协同创新中心和省企业技术中心等平台，采用“产学研用”合作模式，经多年技术攻关，在低温催化脱烃、分段式异高程规整填料再沸低压精馏提纯、高效脱硫、能量多重回收利用等方面取得了系列突破，成功实现了石化尾气回收提纯食品级CO2的高效、低成本、低能耗产业化。项目研究成果获授权发明专利4项、实用新型专利3项、发表学术论文1篇。受项目成果应用的推动，项目牵头单位受邀牵头编制国标1件、参与编制行标和团标各1件。项目产品已广泛应用于食品、药品工业和环保领域，成为中粮可口可乐华中饮料有限公司、武汉百事可乐饮料有限公司等多家国内知名企业的战略供应商。近三年，项目成果为牵头单位新增销售额6.8亿元，新增利润2.2亿元；同时，本项目技术已推广至福建泉州、安徽安庆、广东惠州、海南儋州等地的化工园区应用。项目成果整体实现碳减排每年可超45万吨，具有良好的经济效益和社会效益。综上所述，我单位同意推荐该项目申报湖南省科技进步奖二等奖。</w:t>
      </w:r>
    </w:p>
    <w:p>
      <w:pPr>
        <w:keepNext w:val="0"/>
        <w:keepLines w:val="0"/>
        <w:pageBreakBefore w:val="0"/>
        <w:kinsoku/>
        <w:wordWrap/>
        <w:overflowPunct/>
        <w:topLinePunct w:val="0"/>
        <w:autoSpaceDE/>
        <w:autoSpaceDN/>
        <w:bidi w:val="0"/>
        <w:adjustRightInd/>
        <w:spacing w:line="576" w:lineRule="exact"/>
        <w:ind w:firstLine="640" w:firstLineChars="200"/>
        <w:jc w:val="left"/>
        <w:textAlignment w:val="auto"/>
        <w:outlineLvl w:val="0"/>
        <w:rPr>
          <w:rFonts w:hint="eastAsia" w:ascii="黑体" w:hAnsi="黑体" w:eastAsia="黑体" w:cs="黑体"/>
          <w:b w:val="0"/>
          <w:bCs/>
          <w:i w:val="0"/>
          <w:iCs w:val="0"/>
          <w:sz w:val="32"/>
          <w:szCs w:val="32"/>
          <w:lang w:val="en-US" w:eastAsia="zh-CN"/>
        </w:rPr>
      </w:pPr>
      <w:r>
        <w:rPr>
          <w:rFonts w:hint="eastAsia" w:ascii="黑体" w:hAnsi="黑体" w:eastAsia="黑体" w:cs="黑体"/>
          <w:b w:val="0"/>
          <w:bCs/>
          <w:i w:val="0"/>
          <w:iCs w:val="0"/>
          <w:sz w:val="32"/>
          <w:szCs w:val="32"/>
          <w:lang w:val="en-US" w:eastAsia="zh-CN"/>
        </w:rPr>
        <w:t>四、项目简介</w:t>
      </w:r>
    </w:p>
    <w:p>
      <w:pPr>
        <w:keepNext w:val="0"/>
        <w:keepLines w:val="0"/>
        <w:pageBreakBefore w:val="0"/>
        <w:kinsoku/>
        <w:wordWrap/>
        <w:overflowPunct/>
        <w:topLinePunct w:val="0"/>
        <w:autoSpaceDE/>
        <w:autoSpaceDN/>
        <w:bidi w:val="0"/>
        <w:adjustRightInd/>
        <w:spacing w:line="576" w:lineRule="exact"/>
        <w:ind w:firstLine="640" w:firstLineChars="200"/>
        <w:jc w:val="left"/>
        <w:textAlignment w:val="auto"/>
        <w:outlineLvl w:val="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本项目通过10余年的持续攻关，在CO2回收产业化、产品品质提升、能量回收等方面取得较大突破。主要创新成果如下：</w:t>
      </w:r>
    </w:p>
    <w:p>
      <w:pPr>
        <w:keepNext w:val="0"/>
        <w:keepLines w:val="0"/>
        <w:pageBreakBefore w:val="0"/>
        <w:kinsoku/>
        <w:wordWrap/>
        <w:overflowPunct/>
        <w:topLinePunct w:val="0"/>
        <w:autoSpaceDE/>
        <w:autoSpaceDN/>
        <w:bidi w:val="0"/>
        <w:adjustRightInd/>
        <w:spacing w:line="576" w:lineRule="exact"/>
        <w:ind w:firstLine="640" w:firstLineChars="200"/>
        <w:jc w:val="left"/>
        <w:textAlignment w:val="auto"/>
        <w:outlineLvl w:val="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（1）研发和应用低温催化脱烃工艺，实现了石化尾气中H2、烷烃、苯、醇、烯烃等杂质的高效脱除，降低了设备投资成本和工艺能耗。脱烃反应温度从500-600℃左右降低到300-350℃，烃含量降至1 ppm以下。</w:t>
      </w:r>
    </w:p>
    <w:p>
      <w:pPr>
        <w:keepNext w:val="0"/>
        <w:keepLines w:val="0"/>
        <w:pageBreakBefore w:val="0"/>
        <w:kinsoku/>
        <w:wordWrap/>
        <w:overflowPunct/>
        <w:topLinePunct w:val="0"/>
        <w:autoSpaceDE/>
        <w:autoSpaceDN/>
        <w:bidi w:val="0"/>
        <w:adjustRightInd/>
        <w:spacing w:line="576" w:lineRule="exact"/>
        <w:ind w:firstLine="640" w:firstLineChars="200"/>
        <w:jc w:val="left"/>
        <w:textAlignment w:val="auto"/>
        <w:outlineLvl w:val="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研发和应用分段式异高程规整填料再沸低压精馏提纯工艺，并对精馏塔进行重新优化设计，解决了传统精馏工艺提纯效果不佳、传质效率差、产品质量不稳定等问题，使CO2产品的纯度达到高纯气标准99.999%，各项指标均满足并大幅超过《食品添加剂 二氧化碳》国家标准的技术指标要求。</w:t>
      </w:r>
    </w:p>
    <w:p>
      <w:pPr>
        <w:keepNext w:val="0"/>
        <w:keepLines w:val="0"/>
        <w:pageBreakBefore w:val="0"/>
        <w:kinsoku/>
        <w:wordWrap/>
        <w:overflowPunct/>
        <w:topLinePunct w:val="0"/>
        <w:autoSpaceDE/>
        <w:autoSpaceDN/>
        <w:bidi w:val="0"/>
        <w:adjustRightInd/>
        <w:spacing w:line="576" w:lineRule="exact"/>
        <w:ind w:firstLine="640" w:firstLineChars="200"/>
        <w:jc w:val="left"/>
        <w:textAlignment w:val="auto"/>
        <w:outlineLvl w:val="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（3）研发和应用三段式精脱硫工艺，总硫浓度降至0.01ppm，有效避免脱烃催化剂中毒和脱烃后换热器应力腐蚀破裂（SSCC）风险，提高生产效率和设备安全性。</w:t>
      </w:r>
    </w:p>
    <w:p>
      <w:pPr>
        <w:keepNext w:val="0"/>
        <w:keepLines w:val="0"/>
        <w:pageBreakBefore w:val="0"/>
        <w:kinsoku/>
        <w:wordWrap/>
        <w:overflowPunct/>
        <w:topLinePunct w:val="0"/>
        <w:autoSpaceDE/>
        <w:autoSpaceDN/>
        <w:bidi w:val="0"/>
        <w:adjustRightInd/>
        <w:spacing w:line="576" w:lineRule="exact"/>
        <w:ind w:firstLine="640" w:firstLineChars="200"/>
        <w:jc w:val="left"/>
        <w:textAlignment w:val="auto"/>
        <w:outlineLvl w:val="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（4）开发和应用能量多重回收利用技术，实现了能量的高效回收利用，CO2回收率由76%提高至95%，脱烃电加热器的负荷由150kw降至0kw，解决了传统回收技术CO2利用率低、能耗高等问题。</w:t>
      </w:r>
    </w:p>
    <w:p>
      <w:pPr>
        <w:keepNext w:val="0"/>
        <w:keepLines w:val="0"/>
        <w:pageBreakBefore w:val="0"/>
        <w:kinsoku/>
        <w:wordWrap/>
        <w:overflowPunct/>
        <w:topLinePunct w:val="0"/>
        <w:autoSpaceDE/>
        <w:autoSpaceDN/>
        <w:bidi w:val="0"/>
        <w:adjustRightInd/>
        <w:spacing w:line="576" w:lineRule="exact"/>
        <w:ind w:firstLine="640" w:firstLineChars="200"/>
        <w:jc w:val="left"/>
        <w:textAlignment w:val="auto"/>
        <w:outlineLvl w:val="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项目产品已经广泛应用于食品、药品、工业和环保领域，成为中粮可口可乐华中饮料有限公司、武汉百事可乐饮料有限公司等多家国内知名企业的战略供应商。近三年新增销售额6.8亿元，新增利润2.2亿元。同时本项目技术已推广至泉州、安庆、惠州、儋州等地的化工园区应用，可实现CO2回收利用每年超45万吨，产生良好的经济效益和社会效益。</w:t>
      </w:r>
    </w:p>
    <w:p>
      <w:pPr>
        <w:keepNext w:val="0"/>
        <w:keepLines w:val="0"/>
        <w:pageBreakBefore w:val="0"/>
        <w:numPr>
          <w:ilvl w:val="0"/>
          <w:numId w:val="1"/>
        </w:numPr>
        <w:kinsoku/>
        <w:wordWrap/>
        <w:overflowPunct/>
        <w:topLinePunct w:val="0"/>
        <w:autoSpaceDE/>
        <w:autoSpaceDN/>
        <w:bidi w:val="0"/>
        <w:adjustRightInd/>
        <w:spacing w:line="576" w:lineRule="exact"/>
        <w:ind w:firstLine="640" w:firstLineChars="200"/>
        <w:jc w:val="left"/>
        <w:textAlignment w:val="auto"/>
        <w:outlineLvl w:val="0"/>
        <w:rPr>
          <w:rFonts w:hint="eastAsia" w:ascii="黑体" w:hAnsi="黑体" w:eastAsia="黑体" w:cs="黑体"/>
          <w:b w:val="0"/>
          <w:bCs/>
          <w:i w:val="0"/>
          <w:iCs w:val="0"/>
          <w:sz w:val="32"/>
          <w:szCs w:val="32"/>
          <w:lang w:val="en-US" w:eastAsia="zh-CN"/>
        </w:rPr>
      </w:pPr>
      <w:r>
        <w:rPr>
          <w:rFonts w:hint="eastAsia" w:ascii="黑体" w:hAnsi="黑体" w:eastAsia="黑体" w:cs="黑体"/>
          <w:b w:val="0"/>
          <w:bCs/>
          <w:i w:val="0"/>
          <w:iCs w:val="0"/>
          <w:sz w:val="32"/>
          <w:szCs w:val="32"/>
          <w:lang w:val="en-US" w:eastAsia="zh-CN"/>
        </w:rPr>
        <w:t>客观评价</w:t>
      </w:r>
    </w:p>
    <w:p>
      <w:pPr>
        <w:keepNext w:val="0"/>
        <w:keepLines w:val="0"/>
        <w:pageBreakBefore w:val="0"/>
        <w:numPr>
          <w:numId w:val="0"/>
        </w:numPr>
        <w:kinsoku/>
        <w:wordWrap/>
        <w:overflowPunct/>
        <w:topLinePunct w:val="0"/>
        <w:autoSpaceDE/>
        <w:autoSpaceDN/>
        <w:bidi w:val="0"/>
        <w:adjustRightInd/>
        <w:spacing w:line="576" w:lineRule="exact"/>
        <w:ind w:firstLine="640" w:firstLineChars="200"/>
        <w:jc w:val="left"/>
        <w:textAlignment w:val="auto"/>
        <w:outlineLvl w:val="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经过多年的不断优化和创新，本项目技术由湖南凯美特成功应用，并推广至海南儋州、安徽安庆、福建泉州、广东惠州等地，全面实现产业园区二氧化碳回收综合利用和产业化应用。2020年湖南凯美特公司液体二氧化碳营收达24758.57万元，利润7749.11万元。经有关机构和学者测算，一公顷的毛竹每年可固碳5.09吨。2020年湖南凯美特集团公司共回收液体二氧化碳35.49万吨,按二氧化碳含碳量为27.27%计算，相当于种植了19014公顷毛竹，减碳效果显著。项目研究成果有利于资源节约、环境保护和经济的可持续发展。</w:t>
      </w:r>
    </w:p>
    <w:p>
      <w:pPr>
        <w:keepNext w:val="0"/>
        <w:keepLines w:val="0"/>
        <w:pageBreakBefore w:val="0"/>
        <w:kinsoku/>
        <w:wordWrap/>
        <w:overflowPunct/>
        <w:topLinePunct w:val="0"/>
        <w:autoSpaceDE/>
        <w:autoSpaceDN/>
        <w:bidi w:val="0"/>
        <w:adjustRightInd/>
        <w:spacing w:line="576" w:lineRule="exact"/>
        <w:ind w:firstLine="640" w:firstLineChars="200"/>
        <w:jc w:val="left"/>
        <w:textAlignment w:val="auto"/>
        <w:outlineLvl w:val="0"/>
        <w:rPr>
          <w:rFonts w:hint="eastAsia" w:ascii="黑体" w:hAnsi="黑体" w:eastAsia="黑体" w:cs="黑体"/>
          <w:b w:val="0"/>
          <w:bCs/>
          <w:i w:val="0"/>
          <w:iCs w:val="0"/>
          <w:sz w:val="32"/>
          <w:szCs w:val="32"/>
          <w:lang w:val="en-US" w:eastAsia="zh-CN"/>
        </w:rPr>
      </w:pPr>
      <w:r>
        <w:rPr>
          <w:rFonts w:hint="eastAsia" w:ascii="黑体" w:hAnsi="黑体" w:eastAsia="黑体" w:cs="黑体"/>
          <w:b w:val="0"/>
          <w:bCs/>
          <w:i w:val="0"/>
          <w:iCs w:val="0"/>
          <w:sz w:val="32"/>
          <w:szCs w:val="32"/>
          <w:lang w:val="en-US" w:eastAsia="zh-CN"/>
        </w:rPr>
        <w:t>六、推广应用情况</w:t>
      </w:r>
    </w:p>
    <w:p>
      <w:pPr>
        <w:pStyle w:val="2"/>
        <w:keepNext w:val="0"/>
        <w:keepLines w:val="0"/>
        <w:pageBreakBefore w:val="0"/>
        <w:kinsoku/>
        <w:wordWrap/>
        <w:overflowPunct/>
        <w:topLinePunct w:val="0"/>
        <w:autoSpaceDE/>
        <w:autoSpaceDN/>
        <w:bidi w:val="0"/>
        <w:adjustRightInd/>
        <w:spacing w:line="576" w:lineRule="exact"/>
        <w:textAlignment w:val="auto"/>
        <w:outlineLvl w:val="2"/>
        <w:rPr>
          <w:rFonts w:hint="eastAsia" w:ascii="宋体" w:hAnsi="宋体"/>
        </w:rPr>
      </w:pPr>
      <w:r>
        <w:rPr>
          <w:rFonts w:hint="eastAsia" w:ascii="仿宋_GB2312" w:hAnsi="仿宋_GB2312" w:eastAsia="仿宋_GB2312" w:cs="仿宋_GB2312"/>
          <w:b w:val="0"/>
          <w:bCs w:val="0"/>
          <w:kern w:val="2"/>
          <w:sz w:val="32"/>
          <w:szCs w:val="32"/>
          <w:lang w:val="en-US" w:eastAsia="zh-CN" w:bidi="ar-SA"/>
        </w:rPr>
        <w:t>经过不断完善和优化，本技术除已在湖南凯美特气体股份有限公司应用外，还在安庆凯美特气体有限公司建成并投产年产10万吨食品级液体二氧化碳项目、惠州凯美特气体有限公司建成并投产年产13万吨食品级液体二氧化碳项目、海南凯美特气体有限公司建成并投产年产3万吨食品级液体二氧化碳项目、福建凯美特气体有限公司建成并投产年产10万吨食品级液体二氧化碳项目。上述建设项目均生产正常，充分说明了本技术的可推广性和适用性。</w:t>
      </w:r>
    </w:p>
    <w:p>
      <w:pPr>
        <w:keepNext w:val="0"/>
        <w:keepLines w:val="0"/>
        <w:pageBreakBefore w:val="0"/>
        <w:kinsoku/>
        <w:wordWrap/>
        <w:overflowPunct/>
        <w:topLinePunct w:val="0"/>
        <w:autoSpaceDE/>
        <w:autoSpaceDN/>
        <w:bidi w:val="0"/>
        <w:adjustRightInd/>
        <w:spacing w:line="576" w:lineRule="exact"/>
        <w:ind w:firstLine="640" w:firstLineChars="200"/>
        <w:jc w:val="left"/>
        <w:textAlignment w:val="auto"/>
        <w:outlineLvl w:val="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技术产品食品级液体二氧化碳推向市场后，取得了众多客户的一致好评，2018年-2020年新增销售额68035.85万元，新增利润22409.34万元，产生了显著的经济效益，典型客户有百事可乐、可口可乐、青岛啤酒、重庆啤酒、华润啤酒、娃哈哈集团、百威啤酒等。</w:t>
      </w:r>
    </w:p>
    <w:p>
      <w:pPr>
        <w:keepNext w:val="0"/>
        <w:keepLines w:val="0"/>
        <w:pageBreakBefore w:val="0"/>
        <w:kinsoku/>
        <w:wordWrap/>
        <w:overflowPunct/>
        <w:topLinePunct w:val="0"/>
        <w:autoSpaceDE/>
        <w:autoSpaceDN/>
        <w:bidi w:val="0"/>
        <w:adjustRightInd/>
        <w:spacing w:line="576" w:lineRule="exact"/>
        <w:ind w:firstLine="640" w:firstLineChars="200"/>
        <w:jc w:val="left"/>
        <w:textAlignment w:val="auto"/>
        <w:outlineLvl w:val="0"/>
        <w:rPr>
          <w:rFonts w:hint="eastAsia" w:ascii="黑体" w:hAnsi="黑体" w:eastAsia="黑体" w:cs="黑体"/>
          <w:b w:val="0"/>
          <w:bCs/>
          <w:i w:val="0"/>
          <w:iCs w:val="0"/>
          <w:sz w:val="32"/>
          <w:szCs w:val="32"/>
          <w:lang w:val="en-US" w:eastAsia="zh-CN"/>
        </w:rPr>
      </w:pPr>
      <w:r>
        <w:rPr>
          <w:rFonts w:hint="eastAsia" w:ascii="黑体" w:hAnsi="黑体" w:eastAsia="黑体" w:cs="黑体"/>
          <w:b w:val="0"/>
          <w:bCs/>
          <w:i w:val="0"/>
          <w:iCs w:val="0"/>
          <w:sz w:val="32"/>
          <w:szCs w:val="32"/>
          <w:lang w:val="en-US" w:eastAsia="zh-CN"/>
        </w:rPr>
        <w:t>七、主要知识产权和标准规范等目录</w:t>
      </w:r>
    </w:p>
    <w:tbl>
      <w:tblPr>
        <w:tblStyle w:val="5"/>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590"/>
        <w:gridCol w:w="4935"/>
        <w:gridCol w:w="1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b/>
                <w:bCs/>
                <w:sz w:val="24"/>
                <w:szCs w:val="24"/>
              </w:rPr>
            </w:pPr>
            <w:r>
              <w:rPr>
                <w:rFonts w:hint="eastAsia"/>
                <w:b/>
                <w:bCs/>
                <w:sz w:val="24"/>
                <w:szCs w:val="24"/>
              </w:rPr>
              <w:t>序号</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b/>
                <w:bCs/>
                <w:sz w:val="24"/>
                <w:szCs w:val="24"/>
              </w:rPr>
            </w:pPr>
            <w:r>
              <w:rPr>
                <w:rFonts w:hint="eastAsia"/>
                <w:b/>
                <w:bCs/>
                <w:sz w:val="24"/>
                <w:szCs w:val="24"/>
              </w:rPr>
              <w:t>类别</w:t>
            </w:r>
          </w:p>
        </w:tc>
        <w:tc>
          <w:tcPr>
            <w:tcW w:w="49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b/>
                <w:bCs/>
                <w:sz w:val="24"/>
                <w:szCs w:val="24"/>
              </w:rPr>
            </w:pPr>
            <w:r>
              <w:rPr>
                <w:rFonts w:hint="eastAsia"/>
                <w:b/>
                <w:bCs/>
                <w:sz w:val="24"/>
                <w:szCs w:val="24"/>
              </w:rPr>
              <w:t>名称</w:t>
            </w:r>
          </w:p>
        </w:tc>
        <w:tc>
          <w:tcPr>
            <w:tcW w:w="19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b/>
                <w:bCs/>
                <w:sz w:val="24"/>
                <w:szCs w:val="24"/>
              </w:rPr>
            </w:pPr>
            <w:r>
              <w:rPr>
                <w:rFonts w:hint="eastAsia"/>
                <w:b/>
                <w:bCs/>
                <w:sz w:val="24"/>
                <w:szCs w:val="24"/>
              </w:rPr>
              <w:t>授权号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b/>
                <w:bCs/>
                <w:sz w:val="24"/>
                <w:szCs w:val="24"/>
              </w:rPr>
            </w:pPr>
            <w:r>
              <w:rPr>
                <w:b/>
                <w:bCs/>
                <w:sz w:val="24"/>
                <w:szCs w:val="24"/>
              </w:rPr>
              <w:t>1</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sz w:val="24"/>
                <w:szCs w:val="24"/>
              </w:rPr>
            </w:pPr>
            <w:r>
              <w:rPr>
                <w:rFonts w:hint="eastAsia"/>
                <w:sz w:val="24"/>
                <w:szCs w:val="24"/>
              </w:rPr>
              <w:t>发明专利</w:t>
            </w:r>
          </w:p>
        </w:tc>
        <w:tc>
          <w:tcPr>
            <w:tcW w:w="493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szCs w:val="24"/>
              </w:rPr>
            </w:pPr>
            <w:r>
              <w:rPr>
                <w:rFonts w:hint="eastAsia" w:ascii="Times New Roman"/>
                <w:szCs w:val="24"/>
              </w:rPr>
              <w:t>改进</w:t>
            </w:r>
            <w:r>
              <w:rPr>
                <w:rFonts w:ascii="Times New Roman"/>
                <w:szCs w:val="24"/>
              </w:rPr>
              <w:t>的食品级液体二氧化碳产品的生产方法</w:t>
            </w:r>
          </w:p>
        </w:tc>
        <w:tc>
          <w:tcPr>
            <w:tcW w:w="1939"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2</w:t>
            </w:r>
            <w:r>
              <w:rPr>
                <w:rFonts w:ascii="宋体" w:hAnsi="宋体"/>
                <w:szCs w:val="21"/>
              </w:rPr>
              <w:t>01110230704.4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b/>
                <w:bCs/>
                <w:sz w:val="24"/>
                <w:szCs w:val="24"/>
              </w:rPr>
            </w:pPr>
            <w:r>
              <w:rPr>
                <w:b/>
                <w:bCs/>
                <w:sz w:val="24"/>
                <w:szCs w:val="24"/>
              </w:rPr>
              <w:t>2</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sz w:val="24"/>
                <w:szCs w:val="24"/>
              </w:rPr>
            </w:pPr>
            <w:r>
              <w:rPr>
                <w:rFonts w:hint="eastAsia"/>
                <w:sz w:val="24"/>
                <w:szCs w:val="24"/>
              </w:rPr>
              <w:t>发明专利</w:t>
            </w:r>
          </w:p>
        </w:tc>
        <w:tc>
          <w:tcPr>
            <w:tcW w:w="493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szCs w:val="24"/>
              </w:rPr>
            </w:pPr>
            <w:r>
              <w:rPr>
                <w:rFonts w:hint="eastAsia" w:ascii="Times New Roman"/>
                <w:szCs w:val="24"/>
              </w:rPr>
              <w:t>一种</w:t>
            </w:r>
            <w:r>
              <w:rPr>
                <w:rFonts w:ascii="Times New Roman"/>
                <w:szCs w:val="24"/>
              </w:rPr>
              <w:t>食品级液体二氧化碳产品的生产方法</w:t>
            </w:r>
          </w:p>
        </w:tc>
        <w:tc>
          <w:tcPr>
            <w:tcW w:w="1939"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ascii="宋体" w:hAnsi="宋体"/>
                <w:szCs w:val="21"/>
              </w:rPr>
              <w:t>200710200557.X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b/>
                <w:bCs/>
                <w:sz w:val="24"/>
                <w:szCs w:val="24"/>
              </w:rPr>
            </w:pPr>
            <w:r>
              <w:rPr>
                <w:b/>
                <w:bCs/>
                <w:sz w:val="24"/>
                <w:szCs w:val="24"/>
              </w:rPr>
              <w:t>3</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r>
              <w:rPr>
                <w:rFonts w:hint="eastAsia"/>
                <w:sz w:val="24"/>
                <w:szCs w:val="24"/>
              </w:rPr>
              <w:t>发明专利</w:t>
            </w:r>
          </w:p>
        </w:tc>
        <w:tc>
          <w:tcPr>
            <w:tcW w:w="493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szCs w:val="24"/>
              </w:rPr>
            </w:pPr>
            <w:r>
              <w:rPr>
                <w:rFonts w:hint="eastAsia" w:ascii="Times New Roman"/>
                <w:szCs w:val="24"/>
              </w:rPr>
              <w:t>一种</w:t>
            </w:r>
            <w:r>
              <w:rPr>
                <w:rFonts w:ascii="Times New Roman"/>
                <w:szCs w:val="24"/>
              </w:rPr>
              <w:t>回收再</w:t>
            </w:r>
            <w:r>
              <w:rPr>
                <w:rFonts w:hint="eastAsia" w:ascii="Times New Roman"/>
                <w:szCs w:val="24"/>
              </w:rPr>
              <w:t>生</w:t>
            </w:r>
            <w:r>
              <w:rPr>
                <w:rFonts w:ascii="Times New Roman"/>
                <w:szCs w:val="24"/>
              </w:rPr>
              <w:t>气的食品级液体二氧化碳产品</w:t>
            </w:r>
            <w:r>
              <w:rPr>
                <w:rFonts w:hint="eastAsia" w:ascii="Times New Roman"/>
                <w:szCs w:val="24"/>
              </w:rPr>
              <w:t>的</w:t>
            </w:r>
            <w:r>
              <w:rPr>
                <w:rFonts w:ascii="Times New Roman"/>
                <w:szCs w:val="24"/>
              </w:rPr>
              <w:t>生产方法</w:t>
            </w:r>
          </w:p>
        </w:tc>
        <w:tc>
          <w:tcPr>
            <w:tcW w:w="1939"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szCs w:val="21"/>
              </w:rPr>
            </w:pPr>
            <w:r>
              <w:rPr>
                <w:rFonts w:hint="eastAsia" w:ascii="宋体" w:hAnsi="宋体"/>
                <w:szCs w:val="21"/>
              </w:rPr>
              <w:t>2</w:t>
            </w:r>
            <w:r>
              <w:rPr>
                <w:rFonts w:ascii="宋体" w:hAnsi="宋体"/>
                <w:szCs w:val="21"/>
              </w:rPr>
              <w:t>01110230717.1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b/>
                <w:bCs/>
                <w:kern w:val="0"/>
                <w:szCs w:val="24"/>
              </w:rPr>
            </w:pPr>
            <w:r>
              <w:rPr>
                <w:b/>
                <w:bCs/>
                <w:kern w:val="0"/>
                <w:szCs w:val="24"/>
              </w:rPr>
              <w:t>4</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r>
              <w:rPr>
                <w:rFonts w:hint="eastAsia"/>
                <w:sz w:val="24"/>
                <w:szCs w:val="24"/>
              </w:rPr>
              <w:t>发明专利</w:t>
            </w:r>
          </w:p>
        </w:tc>
        <w:tc>
          <w:tcPr>
            <w:tcW w:w="493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szCs w:val="24"/>
              </w:rPr>
            </w:pPr>
            <w:r>
              <w:rPr>
                <w:rFonts w:hint="eastAsia" w:ascii="Times New Roman"/>
                <w:szCs w:val="24"/>
              </w:rPr>
              <w:t>一种</w:t>
            </w:r>
            <w:r>
              <w:rPr>
                <w:rFonts w:ascii="Times New Roman"/>
                <w:szCs w:val="24"/>
              </w:rPr>
              <w:t>排除在线操作的容器内的两相分层液体的装置</w:t>
            </w:r>
          </w:p>
        </w:tc>
        <w:tc>
          <w:tcPr>
            <w:tcW w:w="1939"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2</w:t>
            </w:r>
            <w:r>
              <w:rPr>
                <w:rFonts w:ascii="宋体" w:hAnsi="宋体"/>
                <w:szCs w:val="21"/>
              </w:rPr>
              <w:t>01810274561.9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b/>
                <w:bCs/>
                <w:kern w:val="0"/>
                <w:szCs w:val="24"/>
              </w:rPr>
            </w:pPr>
            <w:r>
              <w:rPr>
                <w:b/>
                <w:bCs/>
                <w:kern w:val="0"/>
                <w:szCs w:val="24"/>
              </w:rPr>
              <w:t>5</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sz w:val="24"/>
                <w:szCs w:val="24"/>
              </w:rPr>
            </w:pPr>
            <w:r>
              <w:rPr>
                <w:rFonts w:hint="eastAsia"/>
                <w:sz w:val="24"/>
                <w:szCs w:val="24"/>
              </w:rPr>
              <w:t>实用新型</w:t>
            </w:r>
          </w:p>
        </w:tc>
        <w:tc>
          <w:tcPr>
            <w:tcW w:w="493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szCs w:val="24"/>
              </w:rPr>
            </w:pPr>
            <w:r>
              <w:rPr>
                <w:rFonts w:hint="eastAsia" w:ascii="Times New Roman"/>
                <w:szCs w:val="24"/>
              </w:rPr>
              <w:t>一种</w:t>
            </w:r>
            <w:r>
              <w:rPr>
                <w:rFonts w:ascii="Times New Roman"/>
                <w:szCs w:val="24"/>
              </w:rPr>
              <w:t>处理离心</w:t>
            </w:r>
            <w:r>
              <w:rPr>
                <w:rFonts w:hint="eastAsia" w:ascii="Times New Roman"/>
                <w:szCs w:val="24"/>
              </w:rPr>
              <w:t>压缩</w:t>
            </w:r>
            <w:r>
              <w:rPr>
                <w:rFonts w:ascii="Times New Roman"/>
                <w:szCs w:val="24"/>
              </w:rPr>
              <w:t>机轴封含润滑油密封气的装置</w:t>
            </w:r>
          </w:p>
        </w:tc>
        <w:tc>
          <w:tcPr>
            <w:tcW w:w="1939"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2</w:t>
            </w:r>
            <w:r>
              <w:rPr>
                <w:rFonts w:ascii="宋体" w:hAnsi="宋体"/>
                <w:szCs w:val="21"/>
              </w:rPr>
              <w:t>02020087387.X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b/>
                <w:bCs/>
                <w:kern w:val="0"/>
                <w:szCs w:val="24"/>
              </w:rPr>
            </w:pPr>
            <w:r>
              <w:rPr>
                <w:b/>
                <w:bCs/>
                <w:kern w:val="0"/>
                <w:szCs w:val="24"/>
              </w:rPr>
              <w:t>6</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sz w:val="24"/>
                <w:szCs w:val="24"/>
              </w:rPr>
            </w:pPr>
            <w:r>
              <w:rPr>
                <w:rFonts w:hint="eastAsia"/>
                <w:sz w:val="24"/>
                <w:szCs w:val="24"/>
              </w:rPr>
              <w:t>实用新型</w:t>
            </w:r>
          </w:p>
        </w:tc>
        <w:tc>
          <w:tcPr>
            <w:tcW w:w="493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szCs w:val="24"/>
              </w:rPr>
            </w:pPr>
            <w:r>
              <w:rPr>
                <w:rFonts w:hint="eastAsia" w:ascii="Times New Roman"/>
                <w:szCs w:val="24"/>
              </w:rPr>
              <w:t>一种污水</w:t>
            </w:r>
            <w:r>
              <w:rPr>
                <w:rFonts w:ascii="Times New Roman"/>
                <w:szCs w:val="24"/>
              </w:rPr>
              <w:t>脱泥装置</w:t>
            </w:r>
          </w:p>
        </w:tc>
        <w:tc>
          <w:tcPr>
            <w:tcW w:w="1939"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ascii="宋体" w:hAnsi="宋体"/>
                <w:szCs w:val="21"/>
              </w:rPr>
              <w:t>201922015806.9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8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b/>
                <w:bCs/>
                <w:kern w:val="0"/>
                <w:szCs w:val="24"/>
              </w:rPr>
            </w:pPr>
            <w:r>
              <w:rPr>
                <w:b/>
                <w:bCs/>
                <w:kern w:val="0"/>
                <w:szCs w:val="24"/>
              </w:rPr>
              <w:t>7</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kern w:val="0"/>
                <w:szCs w:val="24"/>
              </w:rPr>
            </w:pPr>
            <w:r>
              <w:rPr>
                <w:rFonts w:hint="eastAsia"/>
                <w:sz w:val="24"/>
                <w:szCs w:val="24"/>
              </w:rPr>
              <w:t>实用新型</w:t>
            </w:r>
          </w:p>
        </w:tc>
        <w:tc>
          <w:tcPr>
            <w:tcW w:w="493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szCs w:val="24"/>
              </w:rPr>
            </w:pPr>
            <w:r>
              <w:rPr>
                <w:rFonts w:hint="eastAsia" w:ascii="Times New Roman"/>
                <w:szCs w:val="24"/>
              </w:rPr>
              <w:t>一种油水</w:t>
            </w:r>
            <w:r>
              <w:rPr>
                <w:rFonts w:ascii="Times New Roman"/>
                <w:szCs w:val="24"/>
              </w:rPr>
              <w:t>分离装置</w:t>
            </w:r>
          </w:p>
        </w:tc>
        <w:tc>
          <w:tcPr>
            <w:tcW w:w="1939"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2</w:t>
            </w:r>
            <w:r>
              <w:rPr>
                <w:rFonts w:ascii="宋体" w:hAnsi="宋体"/>
                <w:szCs w:val="21"/>
              </w:rPr>
              <w:t>02020087386.5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b/>
                <w:bCs/>
                <w:kern w:val="0"/>
                <w:szCs w:val="24"/>
              </w:rPr>
            </w:pPr>
            <w:r>
              <w:rPr>
                <w:b/>
                <w:bCs/>
                <w:kern w:val="0"/>
                <w:szCs w:val="24"/>
              </w:rPr>
              <w:t>8</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kern w:val="0"/>
                <w:szCs w:val="24"/>
              </w:rPr>
            </w:pPr>
            <w:r>
              <w:rPr>
                <w:rFonts w:hint="eastAsia"/>
                <w:sz w:val="24"/>
                <w:szCs w:val="24"/>
              </w:rPr>
              <w:t>论文</w:t>
            </w:r>
          </w:p>
        </w:tc>
        <w:tc>
          <w:tcPr>
            <w:tcW w:w="493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szCs w:val="24"/>
              </w:rPr>
            </w:pPr>
            <w:r>
              <w:rPr>
                <w:rFonts w:hint="eastAsia" w:ascii="Times New Roman"/>
                <w:szCs w:val="24"/>
              </w:rPr>
              <w:t>MEA吸收-解吸CO</w:t>
            </w:r>
            <w:r>
              <w:rPr>
                <w:rFonts w:hint="eastAsia" w:ascii="Times New Roman"/>
                <w:szCs w:val="24"/>
                <w:vertAlign w:val="subscript"/>
              </w:rPr>
              <w:t>2</w:t>
            </w:r>
            <w:r>
              <w:rPr>
                <w:rFonts w:hint="eastAsia" w:ascii="Times New Roman"/>
                <w:szCs w:val="24"/>
              </w:rPr>
              <w:t>过程的工艺流程模拟</w:t>
            </w:r>
          </w:p>
        </w:tc>
        <w:tc>
          <w:tcPr>
            <w:tcW w:w="1939"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szCs w:val="21"/>
              </w:rPr>
            </w:pPr>
            <w:r>
              <w:rPr>
                <w:rFonts w:ascii="宋体" w:hAnsi="宋体"/>
                <w:szCs w:val="21"/>
              </w:rPr>
              <w:t>/</w:t>
            </w:r>
          </w:p>
        </w:tc>
      </w:tr>
    </w:tbl>
    <w:p>
      <w:pPr>
        <w:keepNext w:val="0"/>
        <w:keepLines w:val="0"/>
        <w:pageBreakBefore w:val="0"/>
        <w:kinsoku/>
        <w:wordWrap/>
        <w:overflowPunct/>
        <w:topLinePunct w:val="0"/>
        <w:autoSpaceDE/>
        <w:autoSpaceDN/>
        <w:bidi w:val="0"/>
        <w:adjustRightInd/>
        <w:spacing w:line="576" w:lineRule="exact"/>
        <w:ind w:firstLine="640" w:firstLineChars="200"/>
        <w:jc w:val="left"/>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主要完成人情况</w:t>
      </w:r>
    </w:p>
    <w:tbl>
      <w:tblPr>
        <w:tblStyle w:val="5"/>
        <w:tblW w:w="9495"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066"/>
        <w:gridCol w:w="1802"/>
        <w:gridCol w:w="1815"/>
        <w:gridCol w:w="3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ascii="宋体" w:cs="宋体"/>
                <w:b/>
                <w:bCs/>
                <w:sz w:val="24"/>
                <w:szCs w:val="24"/>
              </w:rPr>
            </w:pPr>
            <w:r>
              <w:rPr>
                <w:rFonts w:hint="eastAsia" w:ascii="宋体" w:hAnsi="宋体" w:cs="宋体"/>
                <w:b/>
                <w:bCs/>
                <w:sz w:val="24"/>
                <w:szCs w:val="24"/>
              </w:rPr>
              <w:t>排序</w:t>
            </w: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ascii="宋体" w:cs="宋体"/>
                <w:b/>
                <w:bCs/>
                <w:sz w:val="24"/>
                <w:szCs w:val="24"/>
              </w:rPr>
            </w:pPr>
            <w:r>
              <w:rPr>
                <w:rFonts w:hint="eastAsia" w:ascii="宋体" w:hAnsi="宋体" w:cs="宋体"/>
                <w:b/>
                <w:bCs/>
                <w:sz w:val="24"/>
                <w:szCs w:val="24"/>
              </w:rPr>
              <w:t>姓名</w:t>
            </w:r>
          </w:p>
        </w:tc>
        <w:tc>
          <w:tcPr>
            <w:tcW w:w="18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ascii="宋体" w:cs="宋体"/>
                <w:b/>
                <w:bCs/>
                <w:sz w:val="24"/>
                <w:szCs w:val="24"/>
              </w:rPr>
            </w:pPr>
            <w:r>
              <w:rPr>
                <w:rFonts w:hint="eastAsia" w:ascii="宋体" w:hAnsi="宋体" w:cs="宋体"/>
                <w:b/>
                <w:bCs/>
                <w:sz w:val="24"/>
                <w:szCs w:val="24"/>
              </w:rPr>
              <w:t>职称</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ascii="宋体" w:cs="宋体"/>
                <w:b/>
                <w:bCs/>
                <w:sz w:val="24"/>
                <w:szCs w:val="24"/>
              </w:rPr>
            </w:pPr>
            <w:r>
              <w:rPr>
                <w:rFonts w:hint="eastAsia" w:ascii="宋体" w:hAnsi="宋体" w:cs="宋体"/>
                <w:b/>
                <w:bCs/>
                <w:sz w:val="24"/>
                <w:szCs w:val="24"/>
              </w:rPr>
              <w:t>项目职务</w:t>
            </w:r>
          </w:p>
        </w:tc>
        <w:tc>
          <w:tcPr>
            <w:tcW w:w="385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ascii="宋体" w:cs="宋体"/>
                <w:b/>
                <w:bCs/>
                <w:sz w:val="24"/>
                <w:szCs w:val="24"/>
              </w:rPr>
            </w:pPr>
            <w:r>
              <w:rPr>
                <w:rFonts w:hint="eastAsia" w:ascii="宋体" w:hAnsi="宋体" w:cs="宋体"/>
                <w:b/>
                <w:bCs/>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ascii="宋体" w:cs="宋体"/>
                <w:sz w:val="24"/>
                <w:szCs w:val="24"/>
              </w:rPr>
            </w:pPr>
            <w:r>
              <w:rPr>
                <w:rFonts w:ascii="宋体" w:hAnsi="宋体" w:cs="宋体"/>
                <w:sz w:val="24"/>
                <w:szCs w:val="24"/>
              </w:rPr>
              <w:t>1</w:t>
            </w: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ascii="宋体" w:cs="宋体"/>
                <w:sz w:val="24"/>
                <w:szCs w:val="24"/>
              </w:rPr>
            </w:pPr>
            <w:r>
              <w:rPr>
                <w:rFonts w:hint="eastAsia" w:ascii="宋体" w:hAnsi="宋体" w:cs="宋体"/>
                <w:sz w:val="24"/>
                <w:szCs w:val="24"/>
              </w:rPr>
              <w:t>张晓辉</w:t>
            </w:r>
          </w:p>
        </w:tc>
        <w:tc>
          <w:tcPr>
            <w:tcW w:w="18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ascii="宋体" w:cs="宋体"/>
                <w:sz w:val="24"/>
                <w:szCs w:val="24"/>
              </w:rPr>
            </w:pPr>
            <w:r>
              <w:rPr>
                <w:rFonts w:hint="eastAsia" w:ascii="宋体" w:hAnsi="宋体" w:cs="宋体"/>
                <w:sz w:val="24"/>
                <w:szCs w:val="24"/>
              </w:rPr>
              <w:t>工程师</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ascii="宋体" w:cs="宋体"/>
                <w:sz w:val="24"/>
                <w:szCs w:val="24"/>
              </w:rPr>
            </w:pPr>
            <w:r>
              <w:rPr>
                <w:rFonts w:hint="eastAsia" w:ascii="宋体" w:hAnsi="宋体" w:cs="宋体"/>
                <w:sz w:val="24"/>
                <w:szCs w:val="24"/>
              </w:rPr>
              <w:t>项目负责人</w:t>
            </w:r>
          </w:p>
        </w:tc>
        <w:tc>
          <w:tcPr>
            <w:tcW w:w="385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cs="宋体"/>
                <w:sz w:val="24"/>
                <w:szCs w:val="24"/>
              </w:rPr>
            </w:pPr>
            <w:r>
              <w:rPr>
                <w:rFonts w:hint="eastAsia" w:ascii="宋体" w:hAnsi="宋体" w:cs="宋体"/>
                <w:sz w:val="24"/>
                <w:szCs w:val="24"/>
              </w:rPr>
              <w:t>湖南凯美特气体</w:t>
            </w:r>
            <w:r>
              <w:rPr>
                <w:rFonts w:ascii="宋体" w:hAnsi="宋体" w:cs="宋体"/>
                <w:sz w:val="24"/>
                <w:szCs w:val="24"/>
              </w:rPr>
              <w:t>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ascii="宋体" w:cs="宋体"/>
                <w:sz w:val="24"/>
                <w:szCs w:val="24"/>
              </w:rPr>
            </w:pPr>
            <w:r>
              <w:rPr>
                <w:rFonts w:ascii="宋体" w:hAnsi="宋体" w:cs="宋体"/>
                <w:sz w:val="24"/>
                <w:szCs w:val="24"/>
              </w:rPr>
              <w:t>2</w:t>
            </w: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ascii="宋体" w:cs="宋体"/>
                <w:sz w:val="24"/>
                <w:szCs w:val="24"/>
              </w:rPr>
            </w:pPr>
            <w:r>
              <w:rPr>
                <w:rFonts w:hint="eastAsia" w:ascii="宋体" w:hAnsi="宋体" w:cs="宋体"/>
                <w:sz w:val="24"/>
                <w:szCs w:val="24"/>
              </w:rPr>
              <w:t>范强</w:t>
            </w:r>
          </w:p>
        </w:tc>
        <w:tc>
          <w:tcPr>
            <w:tcW w:w="18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cs="宋体"/>
                <w:sz w:val="24"/>
                <w:szCs w:val="24"/>
              </w:rPr>
            </w:pPr>
            <w:r>
              <w:rPr>
                <w:rFonts w:hint="eastAsia" w:ascii="宋体" w:hAnsi="宋体" w:cs="宋体"/>
                <w:sz w:val="24"/>
                <w:szCs w:val="24"/>
              </w:rPr>
              <w:t>工程师</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ascii="宋体" w:cs="宋体"/>
                <w:sz w:val="24"/>
                <w:szCs w:val="24"/>
              </w:rPr>
            </w:pPr>
            <w:r>
              <w:rPr>
                <w:rFonts w:hint="eastAsia" w:ascii="宋体" w:hAnsi="宋体" w:cs="宋体"/>
                <w:sz w:val="24"/>
                <w:szCs w:val="24"/>
              </w:rPr>
              <w:t>研发工程师</w:t>
            </w:r>
          </w:p>
        </w:tc>
        <w:tc>
          <w:tcPr>
            <w:tcW w:w="385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ascii="宋体" w:cs="宋体"/>
                <w:sz w:val="24"/>
                <w:szCs w:val="24"/>
              </w:rPr>
            </w:pPr>
            <w:r>
              <w:rPr>
                <w:rFonts w:hint="eastAsia" w:ascii="宋体" w:hAnsi="宋体" w:cs="宋体"/>
                <w:sz w:val="24"/>
                <w:szCs w:val="24"/>
              </w:rPr>
              <w:t>湖南凯美特气体</w:t>
            </w:r>
            <w:r>
              <w:rPr>
                <w:rFonts w:ascii="宋体" w:hAnsi="宋体" w:cs="宋体"/>
                <w:sz w:val="24"/>
                <w:szCs w:val="24"/>
              </w:rPr>
              <w:t>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ascii="宋体" w:cs="宋体"/>
                <w:sz w:val="24"/>
                <w:szCs w:val="24"/>
              </w:rPr>
            </w:pPr>
            <w:r>
              <w:rPr>
                <w:rFonts w:ascii="宋体" w:hAnsi="宋体" w:cs="宋体"/>
                <w:sz w:val="24"/>
                <w:szCs w:val="24"/>
              </w:rPr>
              <w:t>3</w:t>
            </w: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ascii="宋体" w:cs="宋体"/>
                <w:sz w:val="24"/>
                <w:szCs w:val="24"/>
              </w:rPr>
            </w:pPr>
            <w:r>
              <w:rPr>
                <w:rFonts w:hint="eastAsia" w:ascii="宋体" w:hAnsi="宋体" w:cs="宋体"/>
                <w:sz w:val="24"/>
                <w:szCs w:val="24"/>
              </w:rPr>
              <w:t>许文苑</w:t>
            </w:r>
          </w:p>
        </w:tc>
        <w:tc>
          <w:tcPr>
            <w:tcW w:w="18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ascii="宋体" w:cs="宋体"/>
                <w:sz w:val="24"/>
                <w:szCs w:val="24"/>
              </w:rPr>
            </w:pPr>
            <w:r>
              <w:rPr>
                <w:rFonts w:hint="eastAsia" w:ascii="宋体" w:hAnsi="宋体" w:cs="宋体"/>
                <w:sz w:val="24"/>
                <w:szCs w:val="24"/>
              </w:rPr>
              <w:t>教授</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ascii="宋体" w:cs="宋体"/>
                <w:sz w:val="24"/>
                <w:szCs w:val="24"/>
              </w:rPr>
            </w:pPr>
            <w:r>
              <w:rPr>
                <w:rFonts w:hint="eastAsia" w:ascii="宋体" w:hAnsi="宋体" w:cs="宋体"/>
                <w:sz w:val="24"/>
                <w:szCs w:val="24"/>
              </w:rPr>
              <w:t>研发工程师</w:t>
            </w:r>
          </w:p>
        </w:tc>
        <w:tc>
          <w:tcPr>
            <w:tcW w:w="385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ascii="宋体" w:cs="宋体"/>
                <w:sz w:val="24"/>
                <w:szCs w:val="24"/>
              </w:rPr>
            </w:pPr>
            <w:r>
              <w:rPr>
                <w:rFonts w:hint="eastAsia" w:ascii="宋体" w:hAnsi="宋体" w:cs="宋体"/>
                <w:sz w:val="24"/>
                <w:szCs w:val="24"/>
              </w:rPr>
              <w:t>湖南理工学院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ascii="宋体" w:cs="宋体"/>
                <w:sz w:val="24"/>
                <w:szCs w:val="24"/>
              </w:rPr>
            </w:pPr>
            <w:r>
              <w:rPr>
                <w:rFonts w:ascii="宋体" w:hAnsi="宋体" w:cs="宋体"/>
                <w:sz w:val="24"/>
                <w:szCs w:val="24"/>
              </w:rPr>
              <w:t>4</w:t>
            </w: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ascii="宋体" w:cs="宋体"/>
                <w:sz w:val="24"/>
                <w:szCs w:val="24"/>
              </w:rPr>
            </w:pPr>
            <w:r>
              <w:rPr>
                <w:rFonts w:hint="eastAsia" w:ascii="宋体" w:hAnsi="宋体" w:cs="宋体"/>
                <w:sz w:val="24"/>
                <w:szCs w:val="24"/>
              </w:rPr>
              <w:t>常纪良</w:t>
            </w:r>
          </w:p>
        </w:tc>
        <w:tc>
          <w:tcPr>
            <w:tcW w:w="18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cs="宋体"/>
                <w:sz w:val="24"/>
                <w:szCs w:val="24"/>
              </w:rPr>
            </w:pPr>
            <w:r>
              <w:rPr>
                <w:rFonts w:hint="eastAsia" w:ascii="宋体" w:hAnsi="宋体" w:cs="宋体"/>
                <w:sz w:val="24"/>
                <w:szCs w:val="24"/>
              </w:rPr>
              <w:t>工程师</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ascii="宋体" w:cs="宋体"/>
                <w:sz w:val="24"/>
                <w:szCs w:val="24"/>
              </w:rPr>
            </w:pPr>
            <w:r>
              <w:rPr>
                <w:rFonts w:hint="eastAsia" w:ascii="宋体" w:hAnsi="宋体" w:cs="宋体"/>
                <w:sz w:val="24"/>
                <w:szCs w:val="24"/>
              </w:rPr>
              <w:t>研发工程师</w:t>
            </w:r>
          </w:p>
        </w:tc>
        <w:tc>
          <w:tcPr>
            <w:tcW w:w="385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ascii="宋体" w:cs="宋体"/>
                <w:sz w:val="24"/>
                <w:szCs w:val="24"/>
              </w:rPr>
            </w:pPr>
            <w:r>
              <w:rPr>
                <w:rFonts w:hint="eastAsia" w:ascii="宋体" w:hAnsi="宋体" w:cs="宋体"/>
                <w:sz w:val="24"/>
                <w:szCs w:val="24"/>
              </w:rPr>
              <w:t>湖南凯美特气体</w:t>
            </w:r>
            <w:r>
              <w:rPr>
                <w:rFonts w:ascii="宋体" w:hAnsi="宋体" w:cs="宋体"/>
                <w:sz w:val="24"/>
                <w:szCs w:val="24"/>
              </w:rPr>
              <w:t>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ascii="宋体" w:cs="宋体"/>
                <w:sz w:val="24"/>
                <w:szCs w:val="24"/>
              </w:rPr>
            </w:pPr>
            <w:r>
              <w:rPr>
                <w:rFonts w:ascii="宋体" w:hAnsi="宋体" w:cs="宋体"/>
                <w:sz w:val="24"/>
                <w:szCs w:val="24"/>
              </w:rPr>
              <w:t>5</w:t>
            </w: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ascii="宋体" w:cs="宋体"/>
                <w:sz w:val="24"/>
                <w:szCs w:val="24"/>
              </w:rPr>
            </w:pPr>
            <w:r>
              <w:rPr>
                <w:rFonts w:hint="eastAsia" w:ascii="宋体" w:hAnsi="宋体" w:cs="宋体"/>
                <w:sz w:val="24"/>
                <w:szCs w:val="24"/>
              </w:rPr>
              <w:t>阳彩霞</w:t>
            </w:r>
          </w:p>
        </w:tc>
        <w:tc>
          <w:tcPr>
            <w:tcW w:w="18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ascii="宋体" w:cs="宋体"/>
                <w:sz w:val="24"/>
                <w:szCs w:val="24"/>
              </w:rPr>
            </w:pPr>
            <w:r>
              <w:rPr>
                <w:rFonts w:hint="eastAsia" w:ascii="宋体" w:hAnsi="宋体" w:cs="宋体"/>
                <w:sz w:val="24"/>
                <w:szCs w:val="24"/>
              </w:rPr>
              <w:t>高级工程师</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ascii="宋体" w:cs="宋体"/>
                <w:sz w:val="24"/>
                <w:szCs w:val="24"/>
              </w:rPr>
            </w:pPr>
            <w:r>
              <w:rPr>
                <w:rFonts w:hint="eastAsia" w:ascii="宋体" w:hAnsi="宋体" w:cs="宋体"/>
                <w:sz w:val="24"/>
                <w:szCs w:val="24"/>
              </w:rPr>
              <w:t>研发工程师</w:t>
            </w:r>
          </w:p>
        </w:tc>
        <w:tc>
          <w:tcPr>
            <w:tcW w:w="385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ascii="宋体" w:cs="宋体"/>
                <w:sz w:val="24"/>
                <w:szCs w:val="24"/>
              </w:rPr>
            </w:pPr>
            <w:r>
              <w:rPr>
                <w:rFonts w:hint="eastAsia" w:ascii="宋体" w:hAnsi="宋体" w:cs="宋体"/>
                <w:sz w:val="24"/>
                <w:szCs w:val="24"/>
              </w:rPr>
              <w:t>湖南理工学院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ascii="宋体" w:cs="宋体"/>
                <w:sz w:val="24"/>
                <w:szCs w:val="24"/>
              </w:rPr>
            </w:pPr>
            <w:r>
              <w:rPr>
                <w:rFonts w:ascii="宋体" w:hAnsi="宋体" w:cs="宋体"/>
                <w:sz w:val="24"/>
                <w:szCs w:val="24"/>
              </w:rPr>
              <w:t>6</w:t>
            </w: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ascii="宋体" w:cs="宋体"/>
                <w:sz w:val="24"/>
                <w:szCs w:val="24"/>
              </w:rPr>
            </w:pPr>
            <w:r>
              <w:rPr>
                <w:rFonts w:hint="eastAsia" w:ascii="宋体" w:hAnsi="宋体" w:cs="宋体"/>
                <w:sz w:val="24"/>
                <w:szCs w:val="24"/>
              </w:rPr>
              <w:t>周欣</w:t>
            </w:r>
          </w:p>
        </w:tc>
        <w:tc>
          <w:tcPr>
            <w:tcW w:w="18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ascii="宋体" w:cs="宋体"/>
                <w:sz w:val="24"/>
                <w:szCs w:val="24"/>
              </w:rPr>
            </w:pPr>
            <w:r>
              <w:rPr>
                <w:rFonts w:hint="eastAsia" w:ascii="宋体" w:hAnsi="宋体" w:cs="宋体"/>
                <w:sz w:val="24"/>
                <w:szCs w:val="24"/>
              </w:rPr>
              <w:t>工程师</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ascii="宋体" w:cs="宋体"/>
                <w:sz w:val="24"/>
                <w:szCs w:val="24"/>
              </w:rPr>
            </w:pPr>
            <w:r>
              <w:rPr>
                <w:rFonts w:hint="eastAsia" w:ascii="宋体" w:hAnsi="宋体" w:cs="宋体"/>
                <w:sz w:val="24"/>
                <w:szCs w:val="24"/>
              </w:rPr>
              <w:t>研发工程师</w:t>
            </w:r>
          </w:p>
        </w:tc>
        <w:tc>
          <w:tcPr>
            <w:tcW w:w="385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r>
              <w:rPr>
                <w:rFonts w:hint="eastAsia" w:ascii="宋体" w:hAnsi="宋体" w:cs="宋体"/>
                <w:sz w:val="24"/>
                <w:szCs w:val="24"/>
              </w:rPr>
              <w:t>湖南凯美特气体</w:t>
            </w:r>
            <w:r>
              <w:rPr>
                <w:rFonts w:ascii="宋体" w:hAnsi="宋体" w:cs="宋体"/>
                <w:sz w:val="24"/>
                <w:szCs w:val="24"/>
              </w:rPr>
              <w:t>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ascii="宋体" w:cs="宋体"/>
                <w:sz w:val="24"/>
                <w:szCs w:val="24"/>
              </w:rPr>
            </w:pPr>
            <w:r>
              <w:rPr>
                <w:rFonts w:ascii="宋体" w:hAnsi="宋体" w:cs="宋体"/>
                <w:sz w:val="24"/>
                <w:szCs w:val="24"/>
              </w:rPr>
              <w:t>7</w:t>
            </w: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cs="宋体"/>
                <w:sz w:val="24"/>
                <w:szCs w:val="24"/>
              </w:rPr>
            </w:pPr>
            <w:r>
              <w:rPr>
                <w:rFonts w:hint="eastAsia" w:ascii="宋体" w:hAnsi="宋体" w:cs="宋体"/>
                <w:sz w:val="24"/>
                <w:szCs w:val="24"/>
              </w:rPr>
              <w:t>任姬敏</w:t>
            </w:r>
          </w:p>
        </w:tc>
        <w:tc>
          <w:tcPr>
            <w:tcW w:w="18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ascii="宋体" w:cs="宋体"/>
                <w:sz w:val="24"/>
                <w:szCs w:val="24"/>
              </w:rPr>
            </w:pPr>
            <w:r>
              <w:rPr>
                <w:rFonts w:hint="eastAsia" w:ascii="宋体" w:hAnsi="宋体" w:cs="宋体"/>
                <w:sz w:val="24"/>
                <w:szCs w:val="24"/>
              </w:rPr>
              <w:t>工程师</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ascii="宋体" w:cs="宋体"/>
                <w:sz w:val="24"/>
                <w:szCs w:val="24"/>
              </w:rPr>
            </w:pPr>
            <w:r>
              <w:rPr>
                <w:rFonts w:hint="eastAsia" w:ascii="宋体" w:hAnsi="宋体" w:cs="宋体"/>
                <w:sz w:val="24"/>
                <w:szCs w:val="24"/>
              </w:rPr>
              <w:t>研发工程师</w:t>
            </w:r>
          </w:p>
        </w:tc>
        <w:tc>
          <w:tcPr>
            <w:tcW w:w="385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r>
              <w:rPr>
                <w:rFonts w:hint="eastAsia" w:ascii="宋体" w:hAnsi="宋体" w:cs="宋体"/>
                <w:sz w:val="24"/>
                <w:szCs w:val="24"/>
              </w:rPr>
              <w:t>湖南凯美特气体</w:t>
            </w:r>
            <w:r>
              <w:rPr>
                <w:rFonts w:ascii="宋体" w:hAnsi="宋体" w:cs="宋体"/>
                <w:sz w:val="24"/>
                <w:szCs w:val="24"/>
              </w:rPr>
              <w:t>股份有限公司</w:t>
            </w:r>
          </w:p>
        </w:tc>
      </w:tr>
    </w:tbl>
    <w:p>
      <w:pPr>
        <w:keepNext w:val="0"/>
        <w:keepLines w:val="0"/>
        <w:pageBreakBefore w:val="0"/>
        <w:kinsoku/>
        <w:wordWrap/>
        <w:overflowPunct/>
        <w:topLinePunct w:val="0"/>
        <w:autoSpaceDE/>
        <w:autoSpaceDN/>
        <w:bidi w:val="0"/>
        <w:adjustRightInd/>
        <w:spacing w:line="576" w:lineRule="exact"/>
        <w:ind w:firstLine="640" w:firstLineChars="200"/>
        <w:jc w:val="left"/>
        <w:textAlignment w:val="auto"/>
        <w:outlineLvl w:val="0"/>
        <w:rPr>
          <w:rFonts w:hint="eastAsia" w:ascii="黑体" w:hAnsi="黑体" w:eastAsia="黑体" w:cs="黑体"/>
          <w:b w:val="0"/>
          <w:bCs/>
          <w:i w:val="0"/>
          <w:iCs w:val="0"/>
          <w:sz w:val="32"/>
          <w:szCs w:val="32"/>
          <w:lang w:val="en-US" w:eastAsia="zh-CN"/>
        </w:rPr>
      </w:pPr>
      <w:r>
        <w:rPr>
          <w:rFonts w:hint="eastAsia" w:ascii="黑体" w:hAnsi="黑体" w:eastAsia="黑体" w:cs="黑体"/>
          <w:b w:val="0"/>
          <w:bCs/>
          <w:i w:val="0"/>
          <w:iCs w:val="0"/>
          <w:sz w:val="32"/>
          <w:szCs w:val="32"/>
          <w:lang w:val="en-US" w:eastAsia="zh-CN"/>
        </w:rPr>
        <w:t>九、主要完成单位及创新推广贡献</w:t>
      </w:r>
    </w:p>
    <w:p>
      <w:pPr>
        <w:keepNext w:val="0"/>
        <w:keepLines w:val="0"/>
        <w:pageBreakBefore w:val="0"/>
        <w:kinsoku/>
        <w:wordWrap/>
        <w:overflowPunct/>
        <w:topLinePunct w:val="0"/>
        <w:autoSpaceDE/>
        <w:autoSpaceDN/>
        <w:bidi w:val="0"/>
        <w:adjustRightInd/>
        <w:spacing w:line="576" w:lineRule="exact"/>
        <w:ind w:firstLine="640" w:firstLineChars="200"/>
        <w:jc w:val="left"/>
        <w:textAlignment w:val="auto"/>
        <w:outlineLvl w:val="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第一完成单位：湖南凯美特气体股份有限公司</w:t>
      </w:r>
    </w:p>
    <w:p>
      <w:pPr>
        <w:keepNext w:val="0"/>
        <w:keepLines w:val="0"/>
        <w:pageBreakBefore w:val="0"/>
        <w:kinsoku/>
        <w:wordWrap/>
        <w:overflowPunct/>
        <w:topLinePunct w:val="0"/>
        <w:autoSpaceDE/>
        <w:autoSpaceDN/>
        <w:bidi w:val="0"/>
        <w:adjustRightInd/>
        <w:spacing w:line="576" w:lineRule="exact"/>
        <w:ind w:firstLine="640" w:firstLineChars="200"/>
        <w:jc w:val="left"/>
        <w:textAlignment w:val="auto"/>
        <w:outlineLvl w:val="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创新推广贡献：本项目由湖南凯美特气体股份有限公司主持研发，针对石化尾气回收提纯食品级二氧化碳生产工艺中的问题，主导进行技术创新和升级改造，成功取得“低温催化脱烃技术”、“分段式异高程规整填料再沸精馏提纯工艺”、“三段式精脱硫工艺”、“能量多重回收利用技术”等多项自主创新成果，拥有完全自主知识产权，并将创新成果进行产业化实施。本项目的产品，由于纯度高、杂质少、质量稳定等特点，广受客户好评，市场占有率逐年增加。该项目在安庆凯美特、惠州凯美特、福建凯美特、海南凯美特等多家子公司应用推广，取得良好的经济效益和社会效益。</w:t>
      </w:r>
    </w:p>
    <w:p>
      <w:pPr>
        <w:keepNext w:val="0"/>
        <w:keepLines w:val="0"/>
        <w:pageBreakBefore w:val="0"/>
        <w:kinsoku/>
        <w:wordWrap/>
        <w:overflowPunct/>
        <w:topLinePunct w:val="0"/>
        <w:autoSpaceDE/>
        <w:autoSpaceDN/>
        <w:bidi w:val="0"/>
        <w:adjustRightInd/>
        <w:spacing w:line="576" w:lineRule="exact"/>
        <w:ind w:firstLine="640" w:firstLineChars="200"/>
        <w:jc w:val="left"/>
        <w:textAlignment w:val="auto"/>
        <w:outlineLvl w:val="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第二完成单位：湖南理工学院</w:t>
      </w:r>
    </w:p>
    <w:p>
      <w:pPr>
        <w:keepNext w:val="0"/>
        <w:keepLines w:val="0"/>
        <w:pageBreakBefore w:val="0"/>
        <w:kinsoku/>
        <w:wordWrap/>
        <w:overflowPunct/>
        <w:topLinePunct w:val="0"/>
        <w:autoSpaceDE/>
        <w:autoSpaceDN/>
        <w:bidi w:val="0"/>
        <w:adjustRightInd/>
        <w:spacing w:line="576" w:lineRule="exact"/>
        <w:ind w:firstLine="640" w:firstLineChars="200"/>
        <w:jc w:val="left"/>
        <w:textAlignment w:val="auto"/>
        <w:outlineLvl w:val="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创新推广贡献：湖南理工学院与湖南凯美特气体股份有限公司建立了长期稳定的产学研合作关系。 2013年起湖南理工学院派出许文苑教授和阳彩霞高工，针对本项目关键技术展开技术攻关，并与湖南凯美特气体股份有限公司技术人员组建联合研发攻关团队，从项目方案设计和审定，实验室小试、项目成果产业化及产品的推广应用进行了合理分工，密切配合，培养了一支高素质的科研攻关团队。</w:t>
      </w:r>
    </w:p>
    <w:p>
      <w:pPr>
        <w:keepNext w:val="0"/>
        <w:keepLines w:val="0"/>
        <w:pageBreakBefore w:val="0"/>
        <w:kinsoku/>
        <w:wordWrap/>
        <w:overflowPunct/>
        <w:topLinePunct w:val="0"/>
        <w:autoSpaceDE/>
        <w:autoSpaceDN/>
        <w:bidi w:val="0"/>
        <w:adjustRightInd/>
        <w:spacing w:line="576" w:lineRule="exact"/>
        <w:ind w:firstLine="640" w:firstLineChars="200"/>
        <w:jc w:val="left"/>
        <w:textAlignment w:val="auto"/>
        <w:outlineLvl w:val="0"/>
        <w:rPr>
          <w:rFonts w:hint="eastAsia" w:ascii="黑体" w:hAnsi="黑体" w:eastAsia="黑体" w:cs="黑体"/>
          <w:b w:val="0"/>
          <w:bCs/>
          <w:i w:val="0"/>
          <w:iCs w:val="0"/>
          <w:sz w:val="32"/>
          <w:szCs w:val="32"/>
          <w:lang w:val="en-US" w:eastAsia="zh-CN"/>
        </w:rPr>
      </w:pPr>
      <w:r>
        <w:rPr>
          <w:rFonts w:hint="eastAsia" w:ascii="黑体" w:hAnsi="黑体" w:eastAsia="黑体" w:cs="黑体"/>
          <w:b w:val="0"/>
          <w:bCs/>
          <w:i w:val="0"/>
          <w:iCs w:val="0"/>
          <w:sz w:val="32"/>
          <w:szCs w:val="32"/>
          <w:lang w:val="en-US" w:eastAsia="zh-CN"/>
        </w:rPr>
        <w:t>十、主要完成人合作关系说明</w:t>
      </w:r>
    </w:p>
    <w:p>
      <w:pPr>
        <w:keepNext w:val="0"/>
        <w:keepLines w:val="0"/>
        <w:pageBreakBefore w:val="0"/>
        <w:kinsoku/>
        <w:wordWrap/>
        <w:overflowPunct/>
        <w:topLinePunct w:val="0"/>
        <w:autoSpaceDE/>
        <w:autoSpaceDN/>
        <w:bidi w:val="0"/>
        <w:adjustRightInd/>
        <w:spacing w:line="576" w:lineRule="exact"/>
        <w:ind w:firstLine="640" w:firstLineChars="200"/>
        <w:jc w:val="left"/>
        <w:textAlignment w:val="auto"/>
        <w:outlineLvl w:val="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项目的主要完成人张晓辉、范强、常纪良等长期从事二氧化碳回收技术的科研攻关工作，其中还参与省市级科研课题，为项目的顺利完成奠定了研究基础。项目第一完成人张晓辉为湖南凯美特气体股份有限公司为该项目的项目负责人，组织第二完成人范强、第四完成人常纪良针对传统工艺高温反应脱烃导致高成本、高能耗和产品二氧化碳纯度不稳定的问题，开展石化尾气回收提纯食品级二氧化碳的关键技术研发及应用科技攻关工作，其中范强负责构建生产装置工艺理论模型，调整优化工艺参数，完善工艺包内容；常纪良组织设备团队配合围绕低温催化脱烃工艺、分段式异高程规整填料再沸低压精馏提纯工艺和能量多重回收利用技术的开发和应用开展相关研发工作。2013年湖南凯美特气体股份有限公司与湖南理工学院建立产学研合作关系。随后石化尾气回收提纯食品级二氧化碳的关键技术研发及应用项目团队引进第三和第五完成人许文苑教授和阳彩霞高工，许文苑教授承担了全流程、再沸精馏控制模型仿真计算、优化，阳彩霞参与分段式异高程规整填料再沸低压精馏提纯工艺、能量多重回收技术研发和应用，与张晓辉、范强、常纪良组成核心技术团队，在项目攻关的关键时刻发挥重要作用。第六完成人周欣和第七完成人任姬敏先后投入本项目中开展联合攻关，在开展本项目的工艺研发、产品推广等方面贡献较大。</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7785" cy="131445"/>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0.35pt;width:4.55pt;mso-position-horizontal:outside;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L3UTQAAAAAgEAAA8AAAAAAAAAAQAgAAAAIgAAAGRycy9kb3ducmV2LnhtbFBLAQIUABQA&#10;AAAIAIdO4kCR96Ut+AEAAAAEAAAOAAAAAAAAAAEAIAAAAB8BAABkcnMvZTJvRG9jLnhtbFBLBQYA&#10;AAAABgAGAFkBAACJBQAAAAA=&#10;">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C52C07"/>
    <w:multiLevelType w:val="singleLevel"/>
    <w:tmpl w:val="85C52C0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CF2AE8"/>
    <w:rsid w:val="00007235"/>
    <w:rsid w:val="00042080"/>
    <w:rsid w:val="000B4358"/>
    <w:rsid w:val="000F65F6"/>
    <w:rsid w:val="001274E8"/>
    <w:rsid w:val="002B1AF0"/>
    <w:rsid w:val="002B703D"/>
    <w:rsid w:val="00392CC0"/>
    <w:rsid w:val="00490562"/>
    <w:rsid w:val="005A1683"/>
    <w:rsid w:val="006025BC"/>
    <w:rsid w:val="00621A28"/>
    <w:rsid w:val="00710D70"/>
    <w:rsid w:val="0088100B"/>
    <w:rsid w:val="00886EB8"/>
    <w:rsid w:val="00A63461"/>
    <w:rsid w:val="00A82EAE"/>
    <w:rsid w:val="00AE0946"/>
    <w:rsid w:val="00B82E04"/>
    <w:rsid w:val="00D54B33"/>
    <w:rsid w:val="00D56624"/>
    <w:rsid w:val="00D74714"/>
    <w:rsid w:val="00E516BA"/>
    <w:rsid w:val="00E77845"/>
    <w:rsid w:val="00EE2A01"/>
    <w:rsid w:val="00FC26B9"/>
    <w:rsid w:val="032A764A"/>
    <w:rsid w:val="041E0237"/>
    <w:rsid w:val="06925BD1"/>
    <w:rsid w:val="0944372F"/>
    <w:rsid w:val="0AAB23C2"/>
    <w:rsid w:val="13DF5C84"/>
    <w:rsid w:val="1500442B"/>
    <w:rsid w:val="172D249C"/>
    <w:rsid w:val="173E0C79"/>
    <w:rsid w:val="20226B04"/>
    <w:rsid w:val="235863F3"/>
    <w:rsid w:val="256949A7"/>
    <w:rsid w:val="28757976"/>
    <w:rsid w:val="289E5EC9"/>
    <w:rsid w:val="29C2666F"/>
    <w:rsid w:val="29FE0731"/>
    <w:rsid w:val="2D1B2D6E"/>
    <w:rsid w:val="2E0D45E2"/>
    <w:rsid w:val="2E8A00D9"/>
    <w:rsid w:val="332A7D4A"/>
    <w:rsid w:val="33C74F03"/>
    <w:rsid w:val="3646734E"/>
    <w:rsid w:val="39AB21D9"/>
    <w:rsid w:val="3BCF2AE8"/>
    <w:rsid w:val="3C522596"/>
    <w:rsid w:val="42AD5ECD"/>
    <w:rsid w:val="43024769"/>
    <w:rsid w:val="43D02DE1"/>
    <w:rsid w:val="48C943A2"/>
    <w:rsid w:val="4A325915"/>
    <w:rsid w:val="4AD47944"/>
    <w:rsid w:val="4E8F1B49"/>
    <w:rsid w:val="4F0C6464"/>
    <w:rsid w:val="50C62A20"/>
    <w:rsid w:val="50F52A53"/>
    <w:rsid w:val="53764048"/>
    <w:rsid w:val="53E97C50"/>
    <w:rsid w:val="54655159"/>
    <w:rsid w:val="6028247B"/>
    <w:rsid w:val="6348552B"/>
    <w:rsid w:val="65D5369F"/>
    <w:rsid w:val="6B6516C1"/>
    <w:rsid w:val="73E037B3"/>
    <w:rsid w:val="7A400881"/>
    <w:rsid w:val="7E0D3598"/>
    <w:rsid w:val="7E88161C"/>
    <w:rsid w:val="7FEA424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link w:val="9"/>
    <w:qFormat/>
    <w:uiPriority w:val="0"/>
    <w:pPr>
      <w:spacing w:line="360" w:lineRule="auto"/>
      <w:ind w:firstLine="480" w:firstLineChars="200"/>
    </w:pPr>
    <w:rPr>
      <w:rFonts w:ascii="仿宋_GB2312"/>
      <w:sz w:val="24"/>
    </w:rPr>
  </w:style>
  <w:style w:type="paragraph" w:styleId="3">
    <w:name w:val="footer"/>
    <w:basedOn w:val="1"/>
    <w:link w:val="10"/>
    <w:semiHidden/>
    <w:qFormat/>
    <w:uiPriority w:val="99"/>
    <w:pPr>
      <w:tabs>
        <w:tab w:val="center" w:pos="4153"/>
        <w:tab w:val="right" w:pos="8306"/>
      </w:tabs>
      <w:snapToGrid w:val="0"/>
      <w:jc w:val="left"/>
    </w:pPr>
    <w:rPr>
      <w:sz w:val="18"/>
    </w:rPr>
  </w:style>
  <w:style w:type="paragraph" w:styleId="4">
    <w:name w:val="header"/>
    <w:basedOn w:val="1"/>
    <w:link w:val="11"/>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semiHidden/>
    <w:uiPriority w:val="99"/>
    <w:rPr>
      <w:rFonts w:cs="Times New Roman"/>
    </w:rPr>
  </w:style>
  <w:style w:type="character" w:customStyle="1" w:styleId="9">
    <w:name w:val="纯文本 Char"/>
    <w:basedOn w:val="7"/>
    <w:link w:val="2"/>
    <w:semiHidden/>
    <w:uiPriority w:val="99"/>
    <w:rPr>
      <w:rFonts w:ascii="宋体" w:hAnsi="Courier New" w:cs="Courier New"/>
      <w:szCs w:val="21"/>
    </w:rPr>
  </w:style>
  <w:style w:type="character" w:customStyle="1" w:styleId="10">
    <w:name w:val="页脚 Char"/>
    <w:basedOn w:val="7"/>
    <w:link w:val="3"/>
    <w:semiHidden/>
    <w:uiPriority w:val="99"/>
    <w:rPr>
      <w:sz w:val="18"/>
      <w:szCs w:val="18"/>
    </w:rPr>
  </w:style>
  <w:style w:type="character" w:customStyle="1" w:styleId="11">
    <w:name w:val="页眉 Char"/>
    <w:basedOn w:val="7"/>
    <w:link w:val="4"/>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532</Words>
  <Characters>3034</Characters>
  <Lines>25</Lines>
  <Paragraphs>7</Paragraphs>
  <TotalTime>39</TotalTime>
  <ScaleCrop>false</ScaleCrop>
  <LinksUpToDate>false</LinksUpToDate>
  <CharactersWithSpaces>3559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2021-09-13T06:34:00Z</dcterms:created>
  <dc:creator>你都如何回蚁窝</dc:creator>
  <cp:lastModifiedBy>丹丹Harry </cp:lastModifiedBy>
  <dcterms:modified xsi:type="dcterms:W3CDTF">2021-09-13T09:11:51Z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1B9FFDAD53704F5FAEA37E2E4455C143</vt:lpwstr>
  </property>
</Properties>
</file>