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项目完成结果评价□</w:t>
      </w:r>
    </w:p>
    <w:p>
      <w:pPr>
        <w:spacing w:before="156" w:beforeLines="50" w:line="760" w:lineRule="exact"/>
        <w:ind w:left="1805" w:leftChars="250" w:hanging="1280" w:hangingChars="4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智慧岳阳基层公共服务（一门式）信息化管理平台项目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岳阳市政务服务中心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rPr>
          <w:rFonts w:eastAsia="仿宋_GB2312"/>
          <w:sz w:val="28"/>
          <w:szCs w:val="28"/>
        </w:rPr>
      </w:pPr>
      <w:bookmarkStart w:id="4" w:name="_GoBack"/>
      <w:bookmarkEnd w:id="4"/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报告日期：2021年6月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562"/>
        <w:gridCol w:w="785"/>
        <w:gridCol w:w="485"/>
        <w:gridCol w:w="532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谭昕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07308880113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岳阳市政务服务中心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 xml:space="preserve"> 月起至今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8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73.6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8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173.6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694.4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项目支出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73.6</w:t>
            </w: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25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2020年12月34#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73.6</w:t>
            </w:r>
            <w:r>
              <w:rPr>
                <w:rFonts w:hint="eastAsia" w:eastAsia="仿宋_GB2312"/>
                <w:b/>
                <w:sz w:val="24"/>
              </w:rPr>
              <w:t>万元</w:t>
            </w:r>
          </w:p>
        </w:tc>
        <w:tc>
          <w:tcPr>
            <w:tcW w:w="25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26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26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156" w:after="156"/>
              <w:rPr>
                <w:rFonts w:hint="eastAsia" w:ascii="仿宋_GB2312" w:hAnsi="仿宋_GB2312" w:eastAsia="仿宋_GB2312" w:cs="仿宋_GB2312"/>
              </w:rPr>
            </w:pPr>
            <w:bookmarkStart w:id="0" w:name="_Toc1561323"/>
            <w:r>
              <w:rPr>
                <w:rFonts w:hint="eastAsia" w:ascii="仿宋_GB2312" w:hAnsi="仿宋_GB2312" w:eastAsia="仿宋_GB2312" w:cs="仿宋_GB2312"/>
              </w:rPr>
              <w:t>项目目标</w:t>
            </w:r>
          </w:p>
          <w:bookmarkEnd w:id="0"/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慧岳阳基层公共服务（一门式）信息化管理平台建设项目是按照岳阳市两办《关于坚持党建引领推进基层公共服务（一门式）全覆盖标准化建设的实施方案》（岳办〔2020〕12号）的要求开展的信息化建设项目，方案中明确要求提高基层公共服务信息化水平，其中的工作任务包括了推进智慧党建，市级统一开发建设智慧党建指挥中心和基层公共服务（一门式）全覆盖信息化管理系统,整合“岳农”智慧党建平台、“互联网+监督平台”、“互联网+政务服务”平台、智慧人社网等各类公共服务平台,最终实现端口相联、数据共享、信息互通,构建市县乡村上下贯通、部门联动、安全可靠的信息化服务格局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构建更好服务群众、简约精干的基层组织架构，在整合基层行政审批和公共服务职责基础上，进一步加强乡镇和街道党政综合（便民）服务机构与服务平台建设，实行“一站式服务”、“一门式办理”，充分发挥综合便民服务作用，推动公共服务提供主体和提供方式多元化，加快建立政府主导、社会参与、公办民办并举的公共服务供给模式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基层公共服务一门式综合管理平台为支撑，构建集政务服务、党务、村务、商务、社会服务于一体的综合性服务平台，推进一门式改革落地见效，为全市“一网通办”打下坚实基础，以三端面向群众打造“一门集成、智能高效、党群满意”的基层公共服务体系，不断优化服务内容、方式，提升服务质量，整合资源，完善运行机制，让政务服务更加便捷，让服务触手可得。</w:t>
            </w:r>
          </w:p>
          <w:p>
            <w:pPr>
              <w:pStyle w:val="2"/>
              <w:numPr>
                <w:ilvl w:val="3"/>
                <w:numId w:val="0"/>
              </w:numPr>
              <w:spacing w:before="156" w:after="15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项目实施计划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该项目于2020年8月初项目组入场；8月份完成系统整体调研，并完成系统功能设计；9月份完成系统开发、测试、联调工作，于2020年10月份开始试运行。11月份完成试运行并进入验收。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按期完成招投标；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按期完成试运行；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系统尚未验收</w:t>
            </w:r>
            <w:r>
              <w:rPr>
                <w:rFonts w:hint="eastAsia" w:eastAsia="仿宋_GB2312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四端覆盖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四端覆盖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四端覆盖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端口相联、数据共享、信息互通,构建市县乡村上下贯通、部门联动、安全可靠的信息化服务格局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端口相联、数据共享、信息互通,构建市县乡村上下贯通、部门联动、安全可靠的信息化服务格局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端口相联、数据共享、信息互通,构建市县乡村上下贯通、部门联动、安全可靠的信息化服务格局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3个月完成项目开发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3个月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总成本不超过</w:t>
            </w:r>
            <w:r>
              <w:rPr>
                <w:rFonts w:eastAsia="仿宋_GB2312"/>
                <w:sz w:val="24"/>
              </w:rPr>
              <w:t>870</w:t>
            </w:r>
            <w:r>
              <w:rPr>
                <w:rFonts w:hint="eastAsia" w:eastAsia="仿宋_GB2312"/>
                <w:sz w:val="24"/>
              </w:rPr>
              <w:t>万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870</w:t>
            </w:r>
            <w:r>
              <w:rPr>
                <w:rFonts w:hint="eastAsia" w:eastAsia="仿宋_GB2312"/>
                <w:sz w:val="24"/>
              </w:rPr>
              <w:t>万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68</w:t>
            </w:r>
            <w:r>
              <w:rPr>
                <w:rFonts w:hint="eastAsia" w:eastAsia="仿宋_GB2312"/>
                <w:sz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岳阳市县区、镇村、社区街道系统基本全覆盖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95%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个事项实现镇街道可受理，3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个事项实现村社区可受理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03</w:t>
            </w: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杨胜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副主任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eastAsia="仿宋_GB2312"/>
                <w:sz w:val="24"/>
              </w:rPr>
              <w:t>政务服务中心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谭昕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科长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eastAsia="仿宋_GB2312"/>
                <w:sz w:val="24"/>
              </w:rPr>
              <w:t>政务服务中心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李琳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副科长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</w:t>
            </w:r>
            <w:r>
              <w:rPr>
                <w:rFonts w:hint="eastAsia" w:eastAsia="仿宋_GB2312"/>
                <w:sz w:val="24"/>
              </w:rPr>
              <w:t>政务服务中心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Toc12895050"/>
            <w:r>
              <w:rPr>
                <w:rFonts w:hint="eastAsia" w:ascii="仿宋" w:hAnsi="仿宋" w:eastAsia="仿宋" w:cs="仿宋"/>
                <w:sz w:val="28"/>
                <w:szCs w:val="28"/>
              </w:rPr>
              <w:t>（一）项目概述</w:t>
            </w:r>
            <w:bookmarkEnd w:id="1"/>
          </w:p>
          <w:p>
            <w:pPr>
              <w:spacing w:line="560" w:lineRule="exact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eastAsia="楷体_GB2312"/>
                <w:bCs/>
                <w:sz w:val="28"/>
                <w:szCs w:val="28"/>
              </w:rPr>
              <w:t xml:space="preserve"> </w:t>
            </w:r>
            <w:r>
              <w:rPr>
                <w:rFonts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智慧岳阳基层公共服务（一门式）信息化管理平台建设项目是按照岳阳市两办《关于坚持党建引领推进基层公共服务（一门式）全覆盖标准化建设的实施方案》（岳办〔2020〕12号）的要求开展的信息化建设项目，方案中明确要求提高基层公共服务信息化水平，其中的工作任务包括了推进智慧党建，市级统一开发建设智慧党建指挥中心和基层公共服务（一门式）全覆盖信息化管理系统,整合“岳农”智慧党建平台、“互联网+监督平台”、“互联网+政务服务”平台、智慧人社网等各类公共服务平台,最终实现端口相联、数据共享、信息互通,构建市县乡村上下贯通、部门联动、安全可靠的信息化服务格局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（二）项目资金使用及管理情况</w:t>
            </w:r>
          </w:p>
          <w:p>
            <w:pPr>
              <w:spacing w:line="560" w:lineRule="exact"/>
              <w:rPr>
                <w:rFonts w:hint="eastAsia" w:eastAsia="楷体_GB2312"/>
                <w:bCs/>
                <w:sz w:val="28"/>
                <w:szCs w:val="28"/>
              </w:rPr>
            </w:pPr>
            <w:r>
              <w:rPr>
                <w:rFonts w:hint="eastAsia" w:eastAsia="楷体_GB2312"/>
                <w:bCs/>
                <w:sz w:val="28"/>
                <w:szCs w:val="28"/>
              </w:rPr>
              <w:t xml:space="preserve"> </w:t>
            </w:r>
            <w:r>
              <w:rPr>
                <w:rFonts w:eastAsia="楷体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本项目资金预算为</w:t>
            </w:r>
            <w:r>
              <w:rPr>
                <w:rFonts w:ascii="仿宋" w:hAnsi="仿宋" w:eastAsia="仿宋" w:cs="仿宋"/>
                <w:sz w:val="28"/>
                <w:szCs w:val="28"/>
              </w:rPr>
              <w:t>868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万元，已使用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%，即</w:t>
            </w:r>
            <w:r>
              <w:rPr>
                <w:rFonts w:ascii="仿宋" w:hAnsi="仿宋" w:eastAsia="仿宋" w:cs="仿宋"/>
                <w:sz w:val="28"/>
                <w:szCs w:val="28"/>
              </w:rPr>
              <w:t>173.6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万元，剩余部分在完成项目验收后按合同支付。在项目建设过程中，严格按照项目实施方案组织施工建设，足额配套落实资金。资金拨付均通过财政国库集中支付，支出合理、合法、合规，无违规使用现象。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eastAsia="楷体_GB2312"/>
                <w:bCs/>
                <w:sz w:val="28"/>
                <w:szCs w:val="28"/>
              </w:rPr>
              <w:t xml:space="preserve"> </w:t>
            </w:r>
            <w:r>
              <w:rPr>
                <w:rFonts w:eastAsia="楷体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（三）项目组织实施情况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项目的前期准备工作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从20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初，我中心成立了一门式工作专班，并对系统建设方式和建设目标进行了明确。按照“资源整合、信息共享、协同联动、高效便捷”的总体要求，在认真研究省委组织部文件精神，以及深入调研对接业务需求的基础上，完成了项目技术方案编制、造价测算、方案评审、预算评审等工作，并整体向市政府进行了报告，获得了相关建设资金的安排。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项目的政府采购工作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项目整体采购确定为公开招标的采购方式，并于20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月将项目在政府采购网上进行了采购公示，中标单位为江苏国泰新点软件有限公司，中标价格为</w:t>
            </w:r>
            <w:r>
              <w:rPr>
                <w:rFonts w:ascii="仿宋" w:hAnsi="仿宋" w:eastAsia="仿宋" w:cs="仿宋"/>
                <w:sz w:val="28"/>
                <w:szCs w:val="28"/>
              </w:rPr>
              <w:t>8680000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元。 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eastAsia="楷体_GB2312"/>
                <w:bCs/>
                <w:sz w:val="28"/>
                <w:szCs w:val="28"/>
              </w:rPr>
              <w:t xml:space="preserve"> </w:t>
            </w:r>
            <w:r>
              <w:rPr>
                <w:rFonts w:eastAsia="楷体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（四）综合评价情况及评价结论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项目建设对照投标合同，已达到原来的建设目标。对照评价为优。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（五）项目主要绩效情况分析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充分利用和发挥岳阳市</w:t>
            </w:r>
            <w:bookmarkStart w:id="2" w:name="_Hlk37105596"/>
            <w:r>
              <w:rPr>
                <w:rFonts w:hint="eastAsia" w:ascii="仿宋" w:hAnsi="仿宋" w:eastAsia="仿宋" w:cs="仿宋"/>
                <w:sz w:val="28"/>
                <w:szCs w:val="28"/>
              </w:rPr>
              <w:t>政务数据共享交换平台</w:t>
            </w:r>
            <w:bookmarkEnd w:id="2"/>
            <w:r>
              <w:rPr>
                <w:rFonts w:hint="eastAsia" w:ascii="仿宋" w:hAnsi="仿宋" w:eastAsia="仿宋" w:cs="仿宋"/>
                <w:sz w:val="28"/>
                <w:szCs w:val="28"/>
              </w:rPr>
              <w:t>、“58农服”综合服务平台、“互联网+政务服务”一体化平台的建设成果，依托省市两级数据交换共享体系，汇聚省市两级基层公共服务数据资源，借助统一身份认证、统一电子证照等公共支撑能力，按照“统一资源汇聚、统一服务提供、统一门户入口”的原则进行建设。主要建设</w:t>
            </w:r>
            <w:bookmarkStart w:id="3" w:name="_Hlk37106301"/>
            <w:r>
              <w:rPr>
                <w:rFonts w:hint="eastAsia" w:ascii="仿宋" w:hAnsi="仿宋" w:eastAsia="仿宋" w:cs="仿宋"/>
                <w:sz w:val="28"/>
                <w:szCs w:val="28"/>
              </w:rPr>
              <w:t>内容包括基层公共服务（一门式）管理系统、基层公共服务APP端、基层公共服务微信小程序端、基层公共服务自助服务终端</w:t>
            </w:r>
            <w:bookmarkEnd w:id="3"/>
            <w:r>
              <w:rPr>
                <w:rFonts w:hint="eastAsia" w:ascii="仿宋" w:hAnsi="仿宋" w:eastAsia="仿宋" w:cs="仿宋"/>
                <w:sz w:val="28"/>
                <w:szCs w:val="28"/>
              </w:rPr>
              <w:t>和云视频会议系统。依托统一支付、统一身份认证和智能网关为基层公共服务（一门式）管理系统与三端用户提供支付服务、身份认证、业务接入服务能力；依托市岳阳市“互联网+政务服务”一体化平台完成全市乡镇（街道）、村（社区）基层公共服务（一门式）管理平台的标准化建设，区县依托此平台结合各自的实际情况实现乡镇（街道）、村（社区）的办事一门式全覆盖。</w:t>
            </w:r>
          </w:p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据“一级平台、多级应用、资源整合、共享共建”基本原则，在基层公共服务一门式信息化管理平台建设的基础上，依托三终端打通服务群众的桥梁，构建面向社区居民、基层党组织、基层职能组织、基层社会组织、基层经济组织等基层主体的综合信息平台。基层公共服务平台以夯实基层党建、优化基层服务、创新社会治理为主要任务，整合推进惠民服务资源与城市综合管理向基层延伸。提升基层政务服务、综合治理、党建管理多条线的协同联动能力。</w:t>
            </w:r>
          </w:p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党建方面：进一步深化推进基层党群组织信息化建设，加强与市统一战线、党建宣传、综合治理等系统的对接融合工作，增加党员教育学习、党群关系管理、党组织管理等功能，充分发挥党员的先锋模范作用、基层党组织的战斗堡垒作用，实现全市的智慧化党建。</w:t>
            </w:r>
          </w:p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服务方面：围绕一门式信息化管理平台，大力推进基层政务服务建设。将平台打造为覆盖市、区县（市）、街道（乡镇）、社区（村）四级的基层服务体系，建立全市统一的基层公共服务体系，有效减轻基层职能组织负担，提升为社区居民服务的效率。拓展基层服务渠道建设，建立满足基层各类服务、各年龄段人群的服务渠道建设，实现更加高效、全面、智慧的服务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（六）主要经验及做法、存在问题和建议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项目于20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年8月正式动工建设，新点公司于20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31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日初步完成项目所有系统软件的设计、开发、测试、部署等工作。同期新点公司开始对县市区工作人员进行培训，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培训分党务、政务、云视讯等部分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由于基层工作人员少，需要学习掌握的内容多，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导致部分地区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工作人员系统使用掌握不全面，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系统使用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不熟练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部分业务单位使用的系统是部委垂管或者省垂管系统，业务对接难度大，导致基层公共服务（一门式）政务服务办件需要二次录入，效率较低。</w:t>
            </w:r>
          </w:p>
        </w:tc>
      </w:tr>
    </w:tbl>
    <w:p>
      <w:pPr>
        <w:spacing w:before="156" w:beforeLines="50"/>
        <w:rPr>
          <w:rFonts w:ascii="仿宋_GB2312" w:hAnsi="宋体" w:eastAsia="仿宋_GB2312" w:cs="宋体"/>
          <w:kern w:val="0"/>
          <w:szCs w:val="21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before="156"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="187" w:beforeLines="60" w:after="187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98</w:t>
            </w:r>
          </w:p>
        </w:tc>
      </w:tr>
    </w:tbl>
    <w:p>
      <w:pPr>
        <w:adjustRightInd w:val="0"/>
        <w:snapToGrid w:val="0"/>
        <w:spacing w:before="156"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="156"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="156" w:beforeLines="50"/>
        <w:ind w:firstLine="630" w:firstLineChars="300"/>
        <w:contextualSpacing/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6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1C67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4853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04EDB"/>
    <w:rsid w:val="006124FB"/>
    <w:rsid w:val="00612F8A"/>
    <w:rsid w:val="00612FB0"/>
    <w:rsid w:val="00613316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4BB9"/>
    <w:rsid w:val="006D6579"/>
    <w:rsid w:val="006E09A9"/>
    <w:rsid w:val="006E2301"/>
    <w:rsid w:val="006E23D9"/>
    <w:rsid w:val="006E2B71"/>
    <w:rsid w:val="006E2C64"/>
    <w:rsid w:val="006E5523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3A06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462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4B88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812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E2EC7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2C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1794D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151054DE"/>
    <w:rsid w:val="290D2A10"/>
    <w:rsid w:val="36310350"/>
    <w:rsid w:val="46571627"/>
    <w:rsid w:val="54E96D2E"/>
    <w:rsid w:val="65C42395"/>
    <w:rsid w:val="796F02DA"/>
    <w:rsid w:val="7F3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8"/>
    <w:qFormat/>
    <w:uiPriority w:val="0"/>
    <w:pPr>
      <w:keepNext/>
      <w:keepLines/>
      <w:numPr>
        <w:ilvl w:val="3"/>
        <w:numId w:val="1"/>
      </w:numPr>
      <w:tabs>
        <w:tab w:val="left" w:pos="780"/>
      </w:tabs>
      <w:spacing w:before="50" w:beforeLines="50" w:after="50" w:afterLines="50"/>
      <w:outlineLvl w:val="3"/>
    </w:pPr>
    <w:rPr>
      <w:rFonts w:ascii="Cambria" w:hAnsi="Cambria" w:eastAsia="黑体"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4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4">
    <w:name w:val="正文文本缩进 2 字符"/>
    <w:basedOn w:val="8"/>
    <w:link w:val="3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5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6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7">
    <w:name w:val="批注框文本 字符"/>
    <w:basedOn w:val="8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4 字符"/>
    <w:basedOn w:val="8"/>
    <w:link w:val="2"/>
    <w:qFormat/>
    <w:uiPriority w:val="0"/>
    <w:rPr>
      <w:rFonts w:ascii="Cambria" w:hAnsi="Cambria" w:eastAsia="黑体" w:cs="Times New Roman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871</Words>
  <Characters>4965</Characters>
  <Lines>41</Lines>
  <Paragraphs>11</Paragraphs>
  <TotalTime>1</TotalTime>
  <ScaleCrop>false</ScaleCrop>
  <LinksUpToDate>false</LinksUpToDate>
  <CharactersWithSpaces>5825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颠茄果</cp:lastModifiedBy>
  <cp:lastPrinted>2021-06-25T01:29:51Z</cp:lastPrinted>
  <dcterms:modified xsi:type="dcterms:W3CDTF">2021-06-25T01:31:12Z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BC552E16036F45DA91B7C2CCFD8592E6</vt:lpwstr>
  </property>
</Properties>
</file>