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lang w:val="en-US" w:eastAsia="zh-CN"/>
        </w:rPr>
        <w:t>20</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岳阳市政务服务中心</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238001</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8</w:t>
      </w:r>
      <w:r>
        <w:rPr>
          <w:rFonts w:hint="eastAsia" w:eastAsia="仿宋_GB2312"/>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3"/>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姚文静</w:t>
            </w:r>
          </w:p>
        </w:tc>
        <w:tc>
          <w:tcPr>
            <w:tcW w:w="1479" w:type="dxa"/>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联络电话</w:t>
            </w:r>
          </w:p>
        </w:tc>
        <w:tc>
          <w:tcPr>
            <w:tcW w:w="3106" w:type="dxa"/>
            <w:gridSpan w:val="8"/>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8882008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人员编制</w:t>
            </w:r>
          </w:p>
        </w:tc>
        <w:tc>
          <w:tcPr>
            <w:tcW w:w="3561" w:type="dxa"/>
            <w:gridSpan w:val="6"/>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30</w:t>
            </w:r>
          </w:p>
        </w:tc>
        <w:tc>
          <w:tcPr>
            <w:tcW w:w="1479" w:type="dxa"/>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实有人数</w:t>
            </w:r>
          </w:p>
        </w:tc>
        <w:tc>
          <w:tcPr>
            <w:tcW w:w="3106" w:type="dxa"/>
            <w:gridSpan w:val="8"/>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职能职责概述</w:t>
            </w:r>
          </w:p>
        </w:tc>
        <w:tc>
          <w:tcPr>
            <w:tcW w:w="8146" w:type="dxa"/>
            <w:gridSpan w:val="15"/>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1）.贯彻落实国家、省、市有关行政审批制度改革、优化政务服务、大数据应用等方面的方针政策、法律法规和决策部署；（2）.负责全市政务服务规范化标准化建设，探索政务服务方式创新；负责对政务服务事项进流程再造、环节优化、压缩时限，并对办理情况进行跟踪督办、指导、协调；组织、协调、督办全市重点项目代办服务工作，指导各县市区（园区）开展重点项目代办服务工作；负责对项目报建相关的中介服务机构的监督管理工作；（3）.负责制定政务服务大厅的管理办法和规章制度，并组织实施，对各部门、单位进入政务服务大厅的行政审批、政务服务行为进行监督检查，负责入驻中心窗口工作人员党组强关系的转入、转出以及教育培训、日常管理和检查考核；拓宽社会和群众监督渠道，接受社会监督和评议；（4）.负责制订全市基层政务服务标准规范，协调指导基层综合便民服务机构实施跨层级业务输，推进服务下沉就近办；负责对全市各级政务服务大厅的政务服务工作进行指导和监督；组织开展政务服务民意调查工作；（5）.负责对政务服务事项投诉举报的承办、协办和督办；（6）.研究拟订全市大数据开发应用规划，推进全市“互联网+政务服务”一体化平台建设，统筹协调政务服务信息系统建设等工作；（7）.统筹协调并规范全市电子政务应用系统的建设和管理；负责全市电子政务外网的建设、管理和运行维护工作，推进各级各部门电子政务网络互联互通；负责市电子云计算中心的建设、运营维护、管理工作；（8）.负责市政府门户网站主网步的建设、运行维护工作；承担市政府网站群集约化平台建设、安全防护等运行保障工作；负责市政府网站群子网站建设的指导、监督、管理等工作；负责对县市区政府门户网站及市直部门单位网站的绩效考评；（9）.负责组织和协调全资源的开发利用和信息资源共享的有关工作；开发和建设全市基础政务数据资源库，提供综合信息服务；加强政务信息资源的统筹管理，推广信息技术在政务部门中的应用；（10）.承担市委、市政府和上级业务主管部门交界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年度主要</w:t>
            </w:r>
          </w:p>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工作内容</w:t>
            </w:r>
          </w:p>
        </w:tc>
        <w:tc>
          <w:tcPr>
            <w:tcW w:w="8146" w:type="dxa"/>
            <w:gridSpan w:val="15"/>
            <w:noWrap w:val="0"/>
            <w:vAlign w:val="center"/>
          </w:tcPr>
          <w:p>
            <w:pPr>
              <w:numPr>
                <w:ilvl w:val="0"/>
                <w:numId w:val="1"/>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强化党建</w:t>
            </w:r>
            <w:r>
              <w:rPr>
                <w:rFonts w:hint="eastAsia" w:ascii="仿宋" w:hAnsi="仿宋" w:eastAsia="仿宋" w:cs="仿宋"/>
                <w:color w:val="000000"/>
                <w:sz w:val="24"/>
                <w:lang w:eastAsia="zh-CN"/>
              </w:rPr>
              <w:t>，</w:t>
            </w:r>
            <w:r>
              <w:rPr>
                <w:rFonts w:hint="eastAsia" w:ascii="仿宋" w:hAnsi="仿宋" w:eastAsia="仿宋" w:cs="仿宋"/>
                <w:color w:val="000000"/>
                <w:sz w:val="24"/>
              </w:rPr>
              <w:t>打造矢志为民的战斗堡垒</w:t>
            </w:r>
            <w:r>
              <w:rPr>
                <w:rFonts w:hint="eastAsia" w:ascii="仿宋" w:hAnsi="仿宋" w:eastAsia="仿宋" w:cs="仿宋"/>
                <w:color w:val="000000"/>
                <w:sz w:val="24"/>
                <w:lang w:eastAsia="zh-CN"/>
              </w:rPr>
              <w:t>、锻造负重奋进的改革先锋、构建联系群众的桥梁纽带。</w:t>
            </w:r>
          </w:p>
          <w:p>
            <w:pPr>
              <w:numPr>
                <w:ilvl w:val="0"/>
                <w:numId w:val="1"/>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固化标准</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健全工作标准、服务标准及考核标准。</w:t>
            </w:r>
          </w:p>
          <w:p>
            <w:pPr>
              <w:numPr>
                <w:ilvl w:val="0"/>
                <w:numId w:val="1"/>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深化改革</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深化“一件事”、“一门式”、“一体化”改革。</w:t>
            </w:r>
          </w:p>
          <w:p>
            <w:pPr>
              <w:numPr>
                <w:ilvl w:val="0"/>
                <w:numId w:val="1"/>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优化平台</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改进升级“集成办”、“指尖办”、“跨省办”。</w:t>
            </w:r>
          </w:p>
          <w:p>
            <w:pPr>
              <w:numPr>
                <w:ilvl w:val="0"/>
                <w:numId w:val="1"/>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亮化服务</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落实</w:t>
            </w:r>
            <w:r>
              <w:rPr>
                <w:rFonts w:hint="eastAsia" w:ascii="仿宋" w:hAnsi="仿宋" w:eastAsia="仿宋" w:cs="仿宋"/>
                <w:color w:val="000000"/>
                <w:sz w:val="24"/>
                <w:lang w:eastAsia="zh-CN"/>
              </w:rPr>
              <w:t>全流程导办、全过程代办、全天候能办。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pacing w:val="-6"/>
                <w:sz w:val="24"/>
              </w:rPr>
            </w:pPr>
            <w:r>
              <w:rPr>
                <w:rFonts w:hint="eastAsia" w:ascii="仿宋" w:hAnsi="仿宋" w:eastAsia="仿宋" w:cs="仿宋"/>
                <w:color w:val="000000"/>
                <w:spacing w:val="-6"/>
                <w:sz w:val="24"/>
              </w:rPr>
              <w:t>年度部门（单位）总体运行情况及取得的成绩</w:t>
            </w:r>
          </w:p>
        </w:tc>
        <w:tc>
          <w:tcPr>
            <w:tcW w:w="8146" w:type="dxa"/>
            <w:gridSpan w:val="15"/>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1.2020年是党建强化之年。一是打造矢志为民的战斗堡垒。以创建“三表率一模范”政治机关为总揽，深入开展党徽闪耀进窗口、标准管理进大厅、一站服务进企业、一门办理进乡村和网络联通、数据打通、业务互通、办事畅通“四进四通”主题活动，让党旗在窗口一线飘扬，让党徽在审批服务链上闪耀，将支部建在窗口，推动党支部政治力、学习力、凝聚力、战斗力、组织力“五力提升”。年初为打好疫情防控的人民战、整体战，中心党委向全体党员发出《动员令》，10个支部107名党员积极响应，主动请缨，递交请战书。在全省各市州政务大厅中率先开门服务，创新实施特事快办、容缺简办、爱心帮办、你邮我办等服务，实现了疫情零输入、零传播、零感染。2名入党积极分子一线入党。工作作法被国务院办公厅《政务公开交流》（2020年第三期）重点推介。二是锻造负重奋进的改革先锋。一年来，中心协力推进疫情阻击战、脱贫攻坚战，并承担深化“放管服”改革国务院大督查、优化营商环境政务服务指标“国考”、“一件事一次办”改革省政府大督查和“数字政府·智慧岳阳”建设等系列重大任务考验。在机构两次调整的情况下，始终讲政治、讲大局、讲担当、讲奉献，砥砺奋进、一门心思抓改革、抓攻坚、抓突破。组织开展政务信息化平台上线“九月攻坚”和项目推进“百日攻坚”行动，加速推进“数字政府·智慧岳阳”建设，确保了城市综合服务移动平台“岳办岳好”APP小程序和基层公共服务（一门式）信息化管理平台如期上线。工作得到了省委组织部、省政府办公厅的高度肯定，央视《新闻直播间》12月15日、《人民日报》2021年1月4日、1月8日接连报道岳阳政务服务改革工作，并入选省深改委“湖南基层改革探索100例”。三是构建联系群众的桥梁纽带。认真组织开展平江县石牛寨镇桂林村驻村扶贫工作，130户503人建档立卡贫困户全面脱贫。共完成易地搬迁40户117人，危房改造10户，发放教育助学资金23.46万元，建成2个集中安全饮水供水点，惠及135户，妥善安置劳动力就业98人，17户26人实现低保保障兜底，13户20人享受医保全免政策，通村公路硬化率、路灯安装率100%，资助协调打造了革命先烈胡筠故居红色旅游景点。认真组织开展每月常态化“市民开放日”活动，让市民走进政府、了解政府，凝聚广大市民共同推进“省域副中心城市”和“长江经济带绿色发展示范区”建设的强大正能量。先后开展城区交通综合治理和东风湖生态环境治理“市民开放日”2期。完善政府门户网站集约化建设，加强政府信息公开，全年发布信息47万余条，微博2800条、微信服务号信息384条，建设专题专栏12个，制作会议解读10期，开展调查征集16期，处理市民来信1.2万封、网上依申请公开302件，网站年浏览量突破1.5亿人次。荣获行业内中国政务网站领先奖、最佳管理奖。机关一支部获评“全市基层党建示范单位”，并在全市市直机关“三表率一模范”政治机关创建工作推进会上作典型发言。中心获评2020年度综治、信访、扶贫等多项全市绩效考核先进。</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2.2020年是标准固化之年。紧扣国家市场监督管理总局国家级政务服务“一窗受理、集成服务”标准化试点，固化标准。一是工作标准。建立健全窗口考勤管理、着装规范、调整程序等制度20项，机关党委工作、会务工作等制度18项。实行工作周报、周一晨会制度，实施“一件事一次办”改革和“数字政府·智慧岳阳”建设工作任务分解2批次，层层压实工作责任，明确工作目标、工作标准、落实期限，做到事事有着落、着落有标准。定期组织对各窗口、科室的作风效能、工作纪律、窗口服务等进行明察暗访。突击查岗8次，在岗率均达到99.8%（不含现场踏勘）。二是服务标准。出台《窗口服务工作规范》，建立仪表仪容、行为举止、廉洁自律等七大服务标准，下发《关于规范窗口工作人员着装的通知》，坚持窗口礼仪早操。落实1136个进厅事项情形化、颗粒化梳理，形成事项精准、比对清晰、流程优化的政务服务事项目录和实施清单，夯实全智能导办、无差别受理、同标准办理基础，建立“前台综合受理、后台分类审批、综合窗口出件”标准化服务流程。顺利应对人社疫情失业补助6.5万余人次申请登记、社保基数调整813家单位7.4万余人次缴费、灵活人员就业缴费1.5万余人次，医保基数调整3.7万余人次缴费等4个业务高峰期。三是考核标准。出台《一窗受理工作人员实施“智慧化”考核办法》，开发建设政务大厅智慧化考核系统，320名窗口工作人员全面实现唯一工号匹配。通过数字工位、综合监管，实行多渠道、全方位考核，提升考核的精准度。深入开展月度、季度、年度“五星十佳”评选活动，制定《“一窗受理员”薪酬管理指导意见》，将考核结果与薪酬管理、与评选评优挂钩，砥砺标准执行。开展业务培训交流会议20余次，“业务大比武”活动2批次。建立健全政务服务“好差评”制度，实行取号、叫号、评价、反馈“四个短信”提醒，做到“办完即评、随时能评、一事一评”。加强问题交办督办，实施咨询建议1小时内派单、一般事项2天内回复、复杂事项5天内办结“125”处置。出台《工作人员廉洁勤政十条严禁》，狠抓作风纪律标准建设，先后督办、约谈进驻窗口10个，劝退3人。34家进驻窗口单位有25家全年“零投诉”。</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3.2020年是改革深化之年。一是深化全周期“一件事”。围绕企业、个人两个全生命周期，创新实施企业开办、信贷、注销，公民出生、退休、身后等“一件事一次办”，推进工程建设项目审批“170”、不动产登记“160”和企业开办“110”改革。其中，出生“一件事”将卫健、公安、医保等部门办理的出生医学证明、预防接种证、儿童保健手册、户口登记、医疗保险登记等实行“一窗受理、五证联办”，群众只需要填报一个表单、提交一次材料到医院开设的综合窗口，证照可以就近在窗口领取或者邮政快递送达，总办理时长不超过2个工作日，实现了“出生就办、一次办好”。身后“一件事”民政、公安、人社等9部门联动实行死亡证明、户口注销等多个事项“一次办”，实现了伤心事“宽心办”。工作作法被全省“一件事一次办”新闻发布会、“放管服”改革工作通报重点推介。二是深化全覆盖“一门式”。协同市委组织部，深入推进基层公共服务（一门式）全覆盖。2020年，全市13个县市区6个新建扩建政务大厅投入运行；130个乡镇（街道）、1812个村（社区）全面建成标准化服务中心，窗口视频监控、业务视频连线实现四级全覆盖。首批梳理下放基层服务事项116项，其中乡镇（街道）71项，村（社区）45项。开发建设全市统一的基层公共服务（一门式）信息化管理平台，10月28日平台云上发布启动运行，全市各级42万名党员群众通过云视讯视频连线在线参与，在全省率先实现基层公共服务（一门式）全覆盖。截止12月底，已完成办件44.1053万件。三是深化全区域“一体化”。打破层级限制，实施全区域、全链条一体办理、就近办理。下发《关于全市政务服务事项“全域通办”的通知》，出台《岳阳市政务服务事项“全域通办”实施细则》，通过系统联通、数据跑路、快递送达方式，实现市、县、乡、村四级贯通、业务直达。根据当地直办、网上帮办、异地转办三种不同办理类型分别设计办理方式，统一服务流程、统一办理环节、统一窗口受理发证。企业和群众结合自身实际，选择离自己工作、生活较近的窗口，就近提出申请、在家得到办理结果。共实现285项政务服务市内“全域通办”。</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4.2020年是平台优化之年。一是改进窗口平台“集成办”。进一步深化“一窗受理、集成服务”改革，“三集中、三到位”进厅审批服务事项从707项增至1136项，净增429项。其中，“全科受理、一窗通办”事项796项，涉及部门27个，占比70.1%；工程报建、产权登记、人社医保等6个专区“分类受理、一窗综办”事项340个，占比29.9%。形成了窗口代表政府，部门整体为企业群众办事的合力，实现了“一个窗口对外”。二是升级网络平台“指尖办”。深化在线政务服务一体化平台建设，建立健全网上政务服务旗舰店，政务云计算中心二期扩容200T，升级电子政务外网2.0版，完成3.0等保监测评估，云上应用系统部署达到106个，初步建成城市现代化治理中心。建立健全全市统一的数据共享交换平台，开通无差别“一窗”综合受理系统，对公安、人社、民政、医保等10个市直部门203个业务系统数据及接口,进行跨领域、跨条块、跨层级整合。推进线下窗口端、线上PC端、掌上移动端、一体自助端“四端协同”。9月30日，全市官方唯一城市级综合移动服务平台“岳办岳好”APP和小程序上线运行，打造集政务服务、公共服务、生活服务于一体的宽口径、一站式“移动办事之城”，建立移动端群众办事统一综合入口，实现单点登录、统一认证、全网漫游，推进“网上办”向“掌上办”“指尖办”迭代升级，“掌上”可查可办事项达263项。开发建设全省首个刷脸办事系统，实行群众刷脸取号、办事刷脸核验、后台刷脸登录多场景应用，实现“秒登录”。获评全国电子政务理事会2020年度“互联网+政务服务”先进单位。三是拓展区域平台“跨省办”。与多地达成合作协议，建立“互设办事窗口、互通办事系统、互建视频连线、互认证照材料”的“跨省通办”机制，首批推行就医结算、失业保险等58个异地事项“一地办”，惠及湘、粤、鄂、赣近百万人口，实现了“进一扇门，办多省事”。并推行“58+N”服务，按照群众办事需求，实施“即来即调度、即受即开通”服务。创新性将“跨省通办”窗口迁移到医院，实现新生儿异地落户医院办。</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5.2020年是服务亮化之年。始终坚持“始于群众需求，终于群众满意”的服务宗旨，努力让企业群众办事省心舒心宽心。一是全流程导办更省心。以事项颗粒化、情形化为基础，形成了企业群众办事个性化“定制菜单”，全面推行事项咨询一码知晓、事项申请一键取号、事项受理一网登录、证照材料一调共享、费用缴纳一点支付，让企业群众“少走弯路、一次办好”。1136项进厅审批服务事项全部实行智能导办。线下设立志愿服务岗，实施平板智能导办服务。实施帮办协办，推行6项适老化服务举措，让老年人跨越“数字鸿沟”。开设企业复工复产网上专题专栏，开发涉企信息智能推送平台，实现惠企政策精准定向推送。二是全过程代办更舒心。强化工程建设项目“4+1”联合审批，实施水电气报装一窗综合水，让企业享受一条龙、一站式服务。切实加强项目代办，全年工程审批签订代办协议110份，代办项目222个、帮办代办审批事项555项。设立中小企业信贷服务中心，引入融资担保机构和银行驻点办公，构建“政府帮贷、企业易贷、银行快贷”新格局，有效解决中小企业“融资难、融资贵”问题。三是全天候能办更宽心。完善“政务e站”24小时自助服务，开发引进全省首台智能秒批自助服务终端，公共卫生许可等服务事项实现电子证照实时生成、纸质证照自助打印。完善全省首家市级“5+2”无休日市级政务大厅，周末开放办理事项由61项增至111项，有效解决了企业群众“上班时间没空来办事，下班时间没处能办事”问题。全年周末办理事项2.3937万件。2020年累计收到企业群众的感谢信和锦旗108封（面），办事满意率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收入合计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公共财</w:t>
            </w:r>
          </w:p>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其他</w:t>
            </w:r>
          </w:p>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 w:hAnsi="仿宋" w:eastAsia="仿宋" w:cs="仿宋"/>
                <w:sz w:val="24"/>
              </w:rPr>
            </w:pPr>
            <w:r>
              <w:rPr>
                <w:rFonts w:hint="eastAsia" w:ascii="仿宋" w:hAnsi="仿宋" w:eastAsia="仿宋" w:cs="仿宋"/>
                <w:sz w:val="24"/>
              </w:rPr>
              <w:t>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5238.85</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1131.56</w:t>
            </w:r>
          </w:p>
        </w:tc>
        <w:tc>
          <w:tcPr>
            <w:tcW w:w="1080" w:type="dxa"/>
            <w:gridSpan w:val="2"/>
            <w:noWrap w:val="0"/>
            <w:vAlign w:val="center"/>
          </w:tcPr>
          <w:p>
            <w:pPr>
              <w:autoSpaceDN w:val="0"/>
              <w:spacing w:line="320" w:lineRule="exact"/>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3963.75</w:t>
            </w:r>
          </w:p>
        </w:tc>
        <w:tc>
          <w:tcPr>
            <w:tcW w:w="1705" w:type="dxa"/>
            <w:gridSpan w:val="2"/>
            <w:noWrap w:val="0"/>
            <w:vAlign w:val="center"/>
          </w:tcPr>
          <w:p>
            <w:pPr>
              <w:autoSpaceDN w:val="0"/>
              <w:spacing w:line="320" w:lineRule="exact"/>
              <w:jc w:val="left"/>
              <w:textAlignment w:val="center"/>
              <w:rPr>
                <w:rFonts w:hint="eastAsia" w:ascii="仿宋" w:hAnsi="仿宋" w:eastAsia="仿宋" w:cs="仿宋"/>
                <w:color w:val="000000"/>
                <w:sz w:val="24"/>
              </w:rPr>
            </w:pPr>
          </w:p>
        </w:tc>
        <w:tc>
          <w:tcPr>
            <w:tcW w:w="1800" w:type="dxa"/>
            <w:gridSpan w:val="4"/>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1080" w:type="dxa"/>
            <w:gridSpan w:val="3"/>
            <w:noWrap w:val="0"/>
            <w:vAlign w:val="center"/>
          </w:tcPr>
          <w:p>
            <w:pPr>
              <w:autoSpaceDN w:val="0"/>
              <w:spacing w:line="320" w:lineRule="exact"/>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142.54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 w:hAnsi="仿宋" w:eastAsia="仿宋" w:cs="仿宋"/>
                <w:sz w:val="24"/>
              </w:rPr>
            </w:pPr>
            <w:r>
              <w:rPr>
                <w:rFonts w:hint="eastAsia" w:ascii="仿宋" w:hAnsi="仿宋" w:eastAsia="仿宋" w:cs="仿宋"/>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 w:hAnsi="仿宋" w:eastAsia="仿宋" w:cs="仿宋"/>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 w:hAnsi="仿宋" w:eastAsia="仿宋" w:cs="仿宋"/>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1080"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人员支出</w:t>
            </w:r>
          </w:p>
        </w:tc>
        <w:tc>
          <w:tcPr>
            <w:tcW w:w="2160" w:type="dxa"/>
            <w:gridSpan w:val="4"/>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 w:hAnsi="仿宋" w:eastAsia="仿宋" w:cs="仿宋"/>
                <w:color w:val="000000"/>
                <w:sz w:val="24"/>
              </w:rPr>
            </w:pPr>
            <w:r>
              <w:rPr>
                <w:rFonts w:hint="eastAsia" w:ascii="仿宋" w:hAnsi="仿宋" w:eastAsia="仿宋" w:cs="仿宋"/>
                <w:sz w:val="24"/>
              </w:rPr>
              <w:t>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3557.6</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1028.69</w:t>
            </w:r>
          </w:p>
        </w:tc>
        <w:tc>
          <w:tcPr>
            <w:tcW w:w="1080" w:type="dxa"/>
            <w:gridSpan w:val="2"/>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396.6</w:t>
            </w:r>
          </w:p>
        </w:tc>
        <w:tc>
          <w:tcPr>
            <w:tcW w:w="2160" w:type="dxa"/>
            <w:gridSpan w:val="4"/>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633.09</w:t>
            </w:r>
          </w:p>
        </w:tc>
        <w:tc>
          <w:tcPr>
            <w:tcW w:w="1080" w:type="dxa"/>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2528.92</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548.69</w:t>
            </w:r>
          </w:p>
        </w:tc>
        <w:tc>
          <w:tcPr>
            <w:tcW w:w="625" w:type="dxa"/>
            <w:tcBorders>
              <w:left w:val="single" w:color="auto" w:sz="4" w:space="0"/>
            </w:tcBorders>
            <w:noWrap w:val="0"/>
            <w:vAlign w:val="center"/>
          </w:tcPr>
          <w:p>
            <w:pPr>
              <w:autoSpaceDN w:val="0"/>
              <w:spacing w:line="320" w:lineRule="exact"/>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1680.25</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三公经费</w:t>
            </w:r>
          </w:p>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 w:hAnsi="仿宋" w:eastAsia="仿宋" w:cs="仿宋"/>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公务用车运维费</w:t>
            </w:r>
          </w:p>
        </w:tc>
        <w:tc>
          <w:tcPr>
            <w:tcW w:w="2160" w:type="dxa"/>
            <w:gridSpan w:val="4"/>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公务用车购置费</w:t>
            </w:r>
          </w:p>
        </w:tc>
        <w:tc>
          <w:tcPr>
            <w:tcW w:w="2425" w:type="dxa"/>
            <w:gridSpan w:val="5"/>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8.38</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5.3</w:t>
            </w:r>
          </w:p>
        </w:tc>
        <w:tc>
          <w:tcPr>
            <w:tcW w:w="1080" w:type="dxa"/>
            <w:gridSpan w:val="2"/>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3.08</w:t>
            </w:r>
          </w:p>
        </w:tc>
        <w:tc>
          <w:tcPr>
            <w:tcW w:w="2160" w:type="dxa"/>
            <w:gridSpan w:val="4"/>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0</w:t>
            </w:r>
          </w:p>
        </w:tc>
        <w:tc>
          <w:tcPr>
            <w:tcW w:w="2425" w:type="dxa"/>
            <w:gridSpan w:val="5"/>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固定资产</w:t>
            </w:r>
          </w:p>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 w:hAnsi="仿宋" w:eastAsia="仿宋" w:cs="仿宋"/>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 w:hAnsi="仿宋" w:eastAsia="仿宋" w:cs="仿宋"/>
                <w:sz w:val="24"/>
              </w:rPr>
            </w:pPr>
            <w:r>
              <w:rPr>
                <w:rFonts w:hint="eastAsia" w:ascii="仿宋" w:hAnsi="仿宋" w:eastAsia="仿宋" w:cs="仿宋"/>
                <w:color w:val="000000"/>
                <w:sz w:val="24"/>
              </w:rPr>
              <w:t>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3026.12</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3026.12</w:t>
            </w:r>
          </w:p>
        </w:tc>
        <w:tc>
          <w:tcPr>
            <w:tcW w:w="3644" w:type="dxa"/>
            <w:gridSpan w:val="7"/>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941"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预期目标</w:t>
            </w:r>
          </w:p>
        </w:tc>
        <w:tc>
          <w:tcPr>
            <w:tcW w:w="4585" w:type="dxa"/>
            <w:gridSpan w:val="9"/>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3774" w:type="dxa"/>
            <w:gridSpan w:val="7"/>
            <w:noWrap w:val="0"/>
            <w:vAlign w:val="center"/>
          </w:tcPr>
          <w:p>
            <w:pPr>
              <w:numPr>
                <w:ilvl w:val="0"/>
                <w:numId w:val="2"/>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创建“三表率一模范”政治机关，推动党支部政治力、学习力、凝聚力、战斗力、组织力“五力提升”。</w:t>
            </w:r>
          </w:p>
          <w:p>
            <w:pPr>
              <w:numPr>
                <w:ilvl w:val="0"/>
                <w:numId w:val="2"/>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实现政务服务“一厅集成”</w:t>
            </w:r>
            <w:r>
              <w:rPr>
                <w:rFonts w:hint="eastAsia" w:ascii="仿宋" w:hAnsi="仿宋" w:eastAsia="仿宋" w:cs="仿宋"/>
                <w:color w:val="000000"/>
                <w:sz w:val="24"/>
                <w:lang w:eastAsia="zh-CN"/>
              </w:rPr>
              <w:t>。</w:t>
            </w:r>
          </w:p>
          <w:p>
            <w:pPr>
              <w:numPr>
                <w:ilvl w:val="0"/>
                <w:numId w:val="2"/>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完善政府门户网站集约化建设，加强政府信息公开。</w:t>
            </w:r>
          </w:p>
          <w:p>
            <w:pPr>
              <w:numPr>
                <w:ilvl w:val="0"/>
                <w:numId w:val="2"/>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上线</w:t>
            </w:r>
            <w:r>
              <w:rPr>
                <w:rFonts w:hint="eastAsia" w:ascii="仿宋" w:hAnsi="仿宋" w:eastAsia="仿宋" w:cs="仿宋"/>
                <w:color w:val="000000"/>
                <w:sz w:val="24"/>
                <w:lang w:eastAsia="zh-CN"/>
              </w:rPr>
              <w:t>城市综合服务移动平台“岳办岳好”APP小程序和基层公共服务（一门式）信息化管理平台。</w:t>
            </w:r>
          </w:p>
          <w:p>
            <w:pPr>
              <w:numPr>
                <w:ilvl w:val="0"/>
                <w:numId w:val="2"/>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全面完成</w:t>
            </w:r>
            <w:r>
              <w:rPr>
                <w:rFonts w:hint="eastAsia" w:ascii="仿宋" w:hAnsi="仿宋" w:eastAsia="仿宋" w:cs="仿宋"/>
                <w:color w:val="000000"/>
                <w:sz w:val="24"/>
                <w:lang w:eastAsia="zh-CN"/>
              </w:rPr>
              <w:t>平江县石牛寨镇桂林村驻村扶贫工作。</w:t>
            </w:r>
          </w:p>
          <w:p>
            <w:pPr>
              <w:numPr>
                <w:ilvl w:val="0"/>
                <w:numId w:val="2"/>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进行</w:t>
            </w:r>
            <w:r>
              <w:rPr>
                <w:rFonts w:hint="eastAsia" w:ascii="仿宋" w:hAnsi="仿宋" w:eastAsia="仿宋" w:cs="仿宋"/>
                <w:color w:val="000000"/>
                <w:sz w:val="24"/>
                <w:lang w:eastAsia="zh-CN"/>
              </w:rPr>
              <w:t>“一窗受理、集成服务”标准化试点，固化标准。</w:t>
            </w:r>
          </w:p>
          <w:p>
            <w:pPr>
              <w:numPr>
                <w:ilvl w:val="0"/>
                <w:numId w:val="0"/>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7、</w:t>
            </w:r>
            <w:r>
              <w:rPr>
                <w:rFonts w:hint="eastAsia" w:ascii="仿宋" w:hAnsi="仿宋" w:eastAsia="仿宋" w:cs="仿宋"/>
                <w:color w:val="000000"/>
                <w:sz w:val="24"/>
              </w:rPr>
              <w:t>深化改革</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深化“一件事”、“一门式”、“一体化”改革。</w:t>
            </w:r>
          </w:p>
          <w:p>
            <w:pPr>
              <w:numPr>
                <w:ilvl w:val="0"/>
                <w:numId w:val="0"/>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8、</w:t>
            </w:r>
            <w:r>
              <w:rPr>
                <w:rFonts w:hint="eastAsia" w:ascii="仿宋" w:hAnsi="仿宋" w:eastAsia="仿宋" w:cs="仿宋"/>
                <w:color w:val="000000"/>
                <w:sz w:val="24"/>
              </w:rPr>
              <w:t>优化平台</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改进升级“集成办”、“指尖办”、“跨省办”。</w:t>
            </w:r>
          </w:p>
          <w:p>
            <w:pPr>
              <w:numPr>
                <w:ilvl w:val="0"/>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r>
              <w:rPr>
                <w:rFonts w:hint="eastAsia" w:ascii="仿宋" w:hAnsi="仿宋" w:eastAsia="仿宋" w:cs="仿宋"/>
                <w:color w:val="000000"/>
                <w:sz w:val="24"/>
              </w:rPr>
              <w:t>亮化服务</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落实</w:t>
            </w:r>
            <w:r>
              <w:rPr>
                <w:rFonts w:hint="eastAsia" w:ascii="仿宋" w:hAnsi="仿宋" w:eastAsia="仿宋" w:cs="仿宋"/>
                <w:color w:val="000000"/>
                <w:sz w:val="24"/>
                <w:lang w:eastAsia="zh-CN"/>
              </w:rPr>
              <w:t>全流程导办、全过程代办、全天候能办。</w:t>
            </w:r>
          </w:p>
          <w:p>
            <w:pPr>
              <w:numPr>
                <w:ilvl w:val="0"/>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10、</w:t>
            </w:r>
            <w:r>
              <w:rPr>
                <w:rFonts w:hint="eastAsia" w:ascii="仿宋" w:hAnsi="仿宋" w:eastAsia="仿宋" w:cs="仿宋"/>
                <w:color w:val="000000"/>
                <w:sz w:val="24"/>
              </w:rPr>
              <w:t>保障电子政务内、外网</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云中心</w:t>
            </w:r>
            <w:r>
              <w:rPr>
                <w:rFonts w:hint="eastAsia" w:ascii="仿宋" w:hAnsi="仿宋" w:eastAsia="仿宋" w:cs="仿宋"/>
                <w:color w:val="000000"/>
                <w:sz w:val="24"/>
              </w:rPr>
              <w:t>全年的平稳运行。</w:t>
            </w:r>
          </w:p>
        </w:tc>
        <w:tc>
          <w:tcPr>
            <w:tcW w:w="4585" w:type="dxa"/>
            <w:gridSpan w:val="9"/>
            <w:noWrap w:val="0"/>
            <w:vAlign w:val="center"/>
          </w:tcPr>
          <w:p>
            <w:pPr>
              <w:numPr>
                <w:ilvl w:val="0"/>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w:t>
            </w:r>
            <w:r>
              <w:rPr>
                <w:rFonts w:hint="eastAsia" w:ascii="仿宋" w:hAnsi="仿宋" w:eastAsia="仿宋" w:cs="仿宋"/>
                <w:color w:val="000000"/>
                <w:sz w:val="24"/>
                <w:lang w:eastAsia="zh-CN"/>
              </w:rPr>
              <w:t>创建“三表率一模范”政治机关，推动党支部政治力、学习力、凝聚力、战斗力、组织力“五力提升”。</w:t>
            </w:r>
          </w:p>
          <w:p>
            <w:pPr>
              <w:numPr>
                <w:ilvl w:val="0"/>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实现政务服务“一厅集成”</w:t>
            </w:r>
            <w:r>
              <w:rPr>
                <w:rFonts w:hint="eastAsia" w:ascii="仿宋" w:hAnsi="仿宋" w:eastAsia="仿宋" w:cs="仿宋"/>
                <w:color w:val="000000"/>
                <w:sz w:val="24"/>
                <w:lang w:eastAsia="zh-CN"/>
              </w:rPr>
              <w:t>。</w:t>
            </w:r>
          </w:p>
          <w:p>
            <w:pPr>
              <w:numPr>
                <w:ilvl w:val="0"/>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w:t>
            </w:r>
            <w:r>
              <w:rPr>
                <w:rFonts w:hint="eastAsia" w:ascii="仿宋" w:hAnsi="仿宋" w:eastAsia="仿宋" w:cs="仿宋"/>
                <w:color w:val="000000"/>
                <w:sz w:val="24"/>
                <w:lang w:eastAsia="zh-CN"/>
              </w:rPr>
              <w:t>完善政府门户网站集约化建设，加强政府信息公开。</w:t>
            </w:r>
          </w:p>
          <w:p>
            <w:pPr>
              <w:numPr>
                <w:ilvl w:val="0"/>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4、上线</w:t>
            </w:r>
            <w:r>
              <w:rPr>
                <w:rFonts w:hint="eastAsia" w:ascii="仿宋" w:hAnsi="仿宋" w:eastAsia="仿宋" w:cs="仿宋"/>
                <w:color w:val="000000"/>
                <w:sz w:val="24"/>
                <w:lang w:eastAsia="zh-CN"/>
              </w:rPr>
              <w:t>城市综合服务移动平台“岳办岳好”APP小程序和基层公共服务（一门式）信息化管理平台。</w:t>
            </w:r>
          </w:p>
          <w:p>
            <w:pPr>
              <w:numPr>
                <w:ilvl w:val="0"/>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5、全面完成</w:t>
            </w:r>
            <w:r>
              <w:rPr>
                <w:rFonts w:hint="eastAsia" w:ascii="仿宋" w:hAnsi="仿宋" w:eastAsia="仿宋" w:cs="仿宋"/>
                <w:color w:val="000000"/>
                <w:sz w:val="24"/>
                <w:lang w:eastAsia="zh-CN"/>
              </w:rPr>
              <w:t>平江县石牛寨镇桂林村驻村扶贫工作。</w:t>
            </w:r>
          </w:p>
          <w:p>
            <w:pPr>
              <w:numPr>
                <w:ilvl w:val="0"/>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6、进行</w:t>
            </w:r>
            <w:r>
              <w:rPr>
                <w:rFonts w:hint="eastAsia" w:ascii="仿宋" w:hAnsi="仿宋" w:eastAsia="仿宋" w:cs="仿宋"/>
                <w:color w:val="000000"/>
                <w:sz w:val="24"/>
                <w:lang w:eastAsia="zh-CN"/>
              </w:rPr>
              <w:t>“一窗受理、集成服务”标准化试点，固化标准。</w:t>
            </w:r>
          </w:p>
          <w:p>
            <w:pPr>
              <w:numPr>
                <w:ilvl w:val="0"/>
                <w:numId w:val="0"/>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7、</w:t>
            </w:r>
            <w:r>
              <w:rPr>
                <w:rFonts w:hint="eastAsia" w:ascii="仿宋" w:hAnsi="仿宋" w:eastAsia="仿宋" w:cs="仿宋"/>
                <w:color w:val="000000"/>
                <w:sz w:val="24"/>
              </w:rPr>
              <w:t>深化改革</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深化“一件事”、“一门式”、“一体化”改革。</w:t>
            </w:r>
          </w:p>
          <w:p>
            <w:pPr>
              <w:numPr>
                <w:ilvl w:val="0"/>
                <w:numId w:val="0"/>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8、</w:t>
            </w:r>
            <w:r>
              <w:rPr>
                <w:rFonts w:hint="eastAsia" w:ascii="仿宋" w:hAnsi="仿宋" w:eastAsia="仿宋" w:cs="仿宋"/>
                <w:color w:val="000000"/>
                <w:sz w:val="24"/>
              </w:rPr>
              <w:t>优化平台</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改进升级“集成办”、“指尖办”、“跨省办”。</w:t>
            </w:r>
          </w:p>
          <w:p>
            <w:pPr>
              <w:numPr>
                <w:ilvl w:val="0"/>
                <w:numId w:val="0"/>
              </w:num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r>
              <w:rPr>
                <w:rFonts w:hint="eastAsia" w:ascii="仿宋" w:hAnsi="仿宋" w:eastAsia="仿宋" w:cs="仿宋"/>
                <w:color w:val="000000"/>
                <w:sz w:val="24"/>
              </w:rPr>
              <w:t>亮化服务</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落实</w:t>
            </w:r>
            <w:r>
              <w:rPr>
                <w:rFonts w:hint="eastAsia" w:ascii="仿宋" w:hAnsi="仿宋" w:eastAsia="仿宋" w:cs="仿宋"/>
                <w:color w:val="000000"/>
                <w:sz w:val="24"/>
                <w:lang w:eastAsia="zh-CN"/>
              </w:rPr>
              <w:t>全流程导办、全过程代办、全天候能办。</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10、</w:t>
            </w:r>
            <w:r>
              <w:rPr>
                <w:rFonts w:hint="eastAsia" w:ascii="仿宋" w:hAnsi="仿宋" w:eastAsia="仿宋" w:cs="仿宋"/>
                <w:color w:val="000000"/>
                <w:sz w:val="24"/>
              </w:rPr>
              <w:t>保障电子政务内、外网</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云中心</w:t>
            </w:r>
            <w:r>
              <w:rPr>
                <w:rFonts w:hint="eastAsia" w:ascii="仿宋" w:hAnsi="仿宋" w:eastAsia="仿宋" w:cs="仿宋"/>
                <w:color w:val="000000"/>
                <w:sz w:val="24"/>
              </w:rPr>
              <w:t>全年的平稳运行。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整体支出</w:t>
            </w:r>
          </w:p>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评价内容</w:t>
            </w:r>
          </w:p>
        </w:tc>
        <w:tc>
          <w:tcPr>
            <w:tcW w:w="2709" w:type="dxa"/>
            <w:gridSpan w:val="4"/>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绩效目标</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restart"/>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产出目标</w:t>
            </w:r>
          </w:p>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（部门工作实绩，包含上级部门和市委市政府布置的重点工作、实事任务等，根据部门实际进行调整细化）</w:t>
            </w:r>
          </w:p>
        </w:tc>
        <w:tc>
          <w:tcPr>
            <w:tcW w:w="1417"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质量指标</w:t>
            </w:r>
          </w:p>
        </w:tc>
        <w:tc>
          <w:tcPr>
            <w:tcW w:w="2709" w:type="dxa"/>
            <w:gridSpan w:val="4"/>
            <w:noWrap w:val="0"/>
            <w:vAlign w:val="center"/>
          </w:tcPr>
          <w:p>
            <w:pPr>
              <w:numPr>
                <w:ilvl w:val="0"/>
                <w:numId w:val="0"/>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指标1：</w:t>
            </w:r>
            <w:r>
              <w:rPr>
                <w:rFonts w:hint="eastAsia" w:ascii="仿宋" w:hAnsi="仿宋" w:eastAsia="仿宋" w:cs="仿宋"/>
                <w:color w:val="000000"/>
                <w:sz w:val="24"/>
                <w:lang w:eastAsia="zh-CN"/>
              </w:rPr>
              <w:t>创建“三表率一模范”政治机关，推动党支部政治力、学习力、凝聚力、战斗力、组织力“五力提升”。</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指标2：</w:t>
            </w:r>
            <w:r>
              <w:rPr>
                <w:rFonts w:hint="eastAsia" w:ascii="仿宋" w:hAnsi="仿宋" w:eastAsia="仿宋" w:cs="仿宋"/>
                <w:color w:val="000000"/>
                <w:sz w:val="24"/>
              </w:rPr>
              <w:t>保障</w:t>
            </w:r>
            <w:r>
              <w:rPr>
                <w:rFonts w:hint="eastAsia" w:ascii="仿宋" w:hAnsi="仿宋" w:eastAsia="仿宋" w:cs="仿宋"/>
                <w:color w:val="000000"/>
                <w:sz w:val="24"/>
                <w:lang w:val="en-US" w:eastAsia="zh-CN"/>
              </w:rPr>
              <w:t>市政务服务中心大厅及</w:t>
            </w:r>
            <w:r>
              <w:rPr>
                <w:rFonts w:hint="eastAsia" w:ascii="仿宋" w:hAnsi="仿宋" w:eastAsia="仿宋" w:cs="仿宋"/>
                <w:color w:val="000000"/>
                <w:sz w:val="24"/>
              </w:rPr>
              <w:t>全市电子政务内网、外网、市政府门户网站、市政府英文门户网站稳定运行</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restart"/>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数量指标</w:t>
            </w: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指标1：实现政务服务“一厅集成”1</w:t>
            </w:r>
            <w:r>
              <w:rPr>
                <w:rFonts w:hint="eastAsia" w:ascii="仿宋" w:hAnsi="仿宋" w:eastAsia="仿宋" w:cs="仿宋"/>
                <w:color w:val="000000"/>
                <w:sz w:val="24"/>
                <w:lang w:val="en-US" w:eastAsia="zh-CN"/>
              </w:rPr>
              <w:t>000</w:t>
            </w:r>
            <w:r>
              <w:rPr>
                <w:rFonts w:hint="eastAsia" w:ascii="仿宋" w:hAnsi="仿宋" w:eastAsia="仿宋" w:cs="仿宋"/>
                <w:color w:val="000000"/>
                <w:sz w:val="24"/>
              </w:rPr>
              <w:t>项</w:t>
            </w:r>
            <w:r>
              <w:rPr>
                <w:rFonts w:hint="eastAsia" w:ascii="仿宋" w:hAnsi="仿宋" w:eastAsia="仿宋" w:cs="仿宋"/>
                <w:color w:val="000000"/>
                <w:sz w:val="24"/>
                <w:lang w:eastAsia="zh-CN"/>
              </w:rPr>
              <w:t>、年度累计办件1</w:t>
            </w:r>
            <w:r>
              <w:rPr>
                <w:rFonts w:hint="eastAsia" w:ascii="仿宋" w:hAnsi="仿宋" w:eastAsia="仿宋" w:cs="仿宋"/>
                <w:color w:val="000000"/>
                <w:sz w:val="24"/>
                <w:lang w:val="en-US" w:eastAsia="zh-CN"/>
              </w:rPr>
              <w:t>20</w:t>
            </w:r>
            <w:r>
              <w:rPr>
                <w:rFonts w:hint="eastAsia" w:ascii="仿宋" w:hAnsi="仿宋" w:eastAsia="仿宋" w:cs="仿宋"/>
                <w:color w:val="000000"/>
                <w:sz w:val="24"/>
                <w:lang w:eastAsia="zh-CN"/>
              </w:rPr>
              <w:t>万件</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continue"/>
            <w:noWrap w:val="0"/>
            <w:vAlign w:val="center"/>
          </w:tcPr>
          <w:p>
            <w:pPr>
              <w:autoSpaceDN w:val="0"/>
              <w:spacing w:line="320" w:lineRule="exact"/>
              <w:jc w:val="center"/>
              <w:textAlignment w:val="center"/>
              <w:rPr>
                <w:rFonts w:hint="eastAsia" w:ascii="仿宋" w:hAnsi="仿宋" w:eastAsia="仿宋" w:cs="仿宋"/>
                <w:sz w:val="24"/>
              </w:rPr>
            </w:pP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指标2：130户503人建档立卡贫困户全面脱贫      </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continue"/>
            <w:noWrap w:val="0"/>
            <w:vAlign w:val="center"/>
          </w:tcPr>
          <w:p>
            <w:pPr>
              <w:autoSpaceDN w:val="0"/>
              <w:spacing w:line="320" w:lineRule="exact"/>
              <w:jc w:val="center"/>
              <w:textAlignment w:val="center"/>
              <w:rPr>
                <w:rFonts w:hint="eastAsia" w:ascii="仿宋" w:hAnsi="仿宋" w:eastAsia="仿宋" w:cs="仿宋"/>
                <w:sz w:val="24"/>
              </w:rPr>
            </w:pP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指标3：</w:t>
            </w:r>
            <w:r>
              <w:rPr>
                <w:rFonts w:hint="eastAsia" w:ascii="仿宋" w:hAnsi="仿宋" w:eastAsia="仿宋" w:cs="仿宋"/>
                <w:color w:val="000000"/>
                <w:sz w:val="24"/>
              </w:rPr>
              <w:t>加强政府信息公开，全年发布信息4</w:t>
            </w:r>
            <w:r>
              <w:rPr>
                <w:rFonts w:hint="eastAsia" w:ascii="仿宋" w:hAnsi="仿宋" w:eastAsia="仿宋" w:cs="仿宋"/>
                <w:color w:val="000000"/>
                <w:sz w:val="24"/>
                <w:lang w:val="en-US" w:eastAsia="zh-CN"/>
              </w:rPr>
              <w:t>0</w:t>
            </w:r>
            <w:r>
              <w:rPr>
                <w:rFonts w:hint="eastAsia" w:ascii="仿宋" w:hAnsi="仿宋" w:eastAsia="仿宋" w:cs="仿宋"/>
                <w:color w:val="000000"/>
                <w:sz w:val="24"/>
              </w:rPr>
              <w:t>万条</w:t>
            </w:r>
            <w:r>
              <w:rPr>
                <w:rFonts w:hint="eastAsia" w:ascii="仿宋" w:hAnsi="仿宋" w:eastAsia="仿宋" w:cs="仿宋"/>
                <w:color w:val="000000"/>
                <w:sz w:val="24"/>
                <w:lang w:eastAsia="zh-CN"/>
              </w:rPr>
              <w:t>、网站年浏览量突破1.5亿人次</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restart"/>
            <w:noWrap w:val="0"/>
            <w:vAlign w:val="center"/>
          </w:tcPr>
          <w:p>
            <w:pPr>
              <w:autoSpaceDN w:val="0"/>
              <w:spacing w:line="320" w:lineRule="exact"/>
              <w:jc w:val="center"/>
              <w:textAlignment w:val="center"/>
              <w:rPr>
                <w:rFonts w:hint="eastAsia" w:ascii="仿宋" w:hAnsi="仿宋" w:eastAsia="仿宋" w:cs="仿宋"/>
                <w:sz w:val="24"/>
              </w:rPr>
            </w:pP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指标4：落实1000个进厅事项情形化、颗粒化梳理</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continue"/>
            <w:noWrap w:val="0"/>
            <w:vAlign w:val="center"/>
          </w:tcPr>
          <w:p>
            <w:pPr>
              <w:autoSpaceDN w:val="0"/>
              <w:spacing w:line="320" w:lineRule="exact"/>
              <w:jc w:val="center"/>
              <w:textAlignment w:val="center"/>
              <w:rPr>
                <w:rFonts w:hint="eastAsia" w:ascii="仿宋" w:hAnsi="仿宋" w:eastAsia="仿宋" w:cs="仿宋"/>
                <w:sz w:val="24"/>
              </w:rPr>
            </w:pP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指标5：全市13个县市区6个新建扩建政务大厅投入运行；130个乡镇（街道）、1812个村（社区）全面建成标准化服务中心，窗口视频监控、业务视频连线实现四级全覆盖。首批梳理下放基层服务事项116项</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continue"/>
            <w:noWrap w:val="0"/>
            <w:vAlign w:val="center"/>
          </w:tcPr>
          <w:p>
            <w:pPr>
              <w:autoSpaceDN w:val="0"/>
              <w:spacing w:line="320" w:lineRule="exact"/>
              <w:jc w:val="center"/>
              <w:textAlignment w:val="center"/>
              <w:rPr>
                <w:rFonts w:hint="eastAsia" w:ascii="仿宋" w:hAnsi="仿宋" w:eastAsia="仿宋" w:cs="仿宋"/>
                <w:sz w:val="24"/>
              </w:rPr>
            </w:pP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指标6：深化在线政务服务一体化平台建设，建立健全网上政务服务旗舰店，政务云计算中心二期扩容200T，升级电子政务外网2.0版，完成3.0等保监测评估，云上应用系统部署达到106个</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restart"/>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时效指标</w:t>
            </w: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指标1：制定政务数据标准规范，支撑3-5年市电子政务基础设施需求</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val="0"/>
                <w:bCs/>
                <w:color w:val="000000"/>
                <w:sz w:val="24"/>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continue"/>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指标2：优化营商环境，强化服务便民，所有涉企审批服务承诺时限压缩至法定时限的2/3以内</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continue"/>
            <w:noWrap w:val="0"/>
            <w:vAlign w:val="center"/>
          </w:tcPr>
          <w:p>
            <w:pPr>
              <w:autoSpaceDN w:val="0"/>
              <w:spacing w:line="320" w:lineRule="exact"/>
              <w:jc w:val="center"/>
              <w:textAlignment w:val="center"/>
              <w:rPr>
                <w:rFonts w:hint="eastAsia" w:ascii="仿宋" w:hAnsi="仿宋" w:eastAsia="仿宋" w:cs="仿宋"/>
                <w:sz w:val="24"/>
              </w:rPr>
            </w:pP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restart"/>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成本指标</w:t>
            </w: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指标1：应用云平台后电子政务项目硬件设备投资节约60%</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continue"/>
            <w:noWrap w:val="0"/>
            <w:vAlign w:val="center"/>
          </w:tcPr>
          <w:p>
            <w:pPr>
              <w:autoSpaceDN w:val="0"/>
              <w:spacing w:line="320" w:lineRule="exact"/>
              <w:jc w:val="center"/>
              <w:textAlignment w:val="center"/>
              <w:rPr>
                <w:rFonts w:hint="eastAsia" w:ascii="仿宋" w:hAnsi="仿宋" w:eastAsia="仿宋" w:cs="仿宋"/>
                <w:color w:val="000000"/>
                <w:sz w:val="24"/>
              </w:rPr>
            </w:pP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指标2：节约各级行政部门办事成本450万以上</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vMerge w:val="continue"/>
            <w:noWrap w:val="0"/>
            <w:vAlign w:val="center"/>
          </w:tcPr>
          <w:p>
            <w:pPr>
              <w:autoSpaceDN w:val="0"/>
              <w:spacing w:line="320" w:lineRule="exact"/>
              <w:jc w:val="center"/>
              <w:textAlignment w:val="center"/>
              <w:rPr>
                <w:rFonts w:hint="eastAsia" w:ascii="仿宋" w:hAnsi="仿宋" w:eastAsia="仿宋" w:cs="仿宋"/>
                <w:sz w:val="24"/>
              </w:rPr>
            </w:pP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restart"/>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效益目标</w:t>
            </w:r>
          </w:p>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社会效益</w:t>
            </w:r>
          </w:p>
        </w:tc>
        <w:tc>
          <w:tcPr>
            <w:tcW w:w="2709" w:type="dxa"/>
            <w:gridSpan w:val="4"/>
            <w:noWrap w:val="0"/>
            <w:vAlign w:val="center"/>
          </w:tcPr>
          <w:p>
            <w:pPr>
              <w:numPr>
                <w:ilvl w:val="0"/>
                <w:numId w:val="3"/>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政务服务效率明显提高         </w:t>
            </w:r>
          </w:p>
          <w:p>
            <w:pPr>
              <w:numPr>
                <w:ilvl w:val="0"/>
                <w:numId w:val="3"/>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政府信息透明度明显增强 </w:t>
            </w:r>
          </w:p>
          <w:p>
            <w:pPr>
              <w:numPr>
                <w:ilvl w:val="0"/>
                <w:numId w:val="3"/>
              </w:num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企业和群众办事更便捷、更高效，成本更低，群众的获得感和满意度明显提升                       </w:t>
            </w:r>
          </w:p>
          <w:p>
            <w:pPr>
              <w:autoSpaceDN w:val="0"/>
              <w:spacing w:line="320" w:lineRule="exact"/>
              <w:jc w:val="left"/>
              <w:textAlignment w:val="center"/>
              <w:rPr>
                <w:rFonts w:hint="eastAsia" w:ascii="仿宋" w:hAnsi="仿宋" w:eastAsia="仿宋" w:cs="仿宋"/>
                <w:color w:val="000000"/>
                <w:sz w:val="24"/>
              </w:rPr>
            </w:pP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经济效益</w:t>
            </w: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指标1：</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指标2：</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生态效益</w:t>
            </w: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指标1：</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指标2：</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 w:hAnsi="仿宋" w:eastAsia="仿宋" w:cs="仿宋"/>
                <w:sz w:val="24"/>
              </w:rPr>
            </w:pPr>
          </w:p>
        </w:tc>
        <w:tc>
          <w:tcPr>
            <w:tcW w:w="1549" w:type="dxa"/>
            <w:gridSpan w:val="4"/>
            <w:vMerge w:val="continue"/>
            <w:noWrap w:val="0"/>
            <w:vAlign w:val="center"/>
          </w:tcPr>
          <w:p>
            <w:pPr>
              <w:autoSpaceDN w:val="0"/>
              <w:spacing w:line="320" w:lineRule="exact"/>
              <w:rPr>
                <w:rFonts w:hint="eastAsia" w:ascii="仿宋" w:hAnsi="仿宋" w:eastAsia="仿宋" w:cs="仿宋"/>
                <w:sz w:val="24"/>
              </w:rPr>
            </w:pPr>
          </w:p>
        </w:tc>
        <w:tc>
          <w:tcPr>
            <w:tcW w:w="1417"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社会公众或服务对象满意度</w:t>
            </w:r>
          </w:p>
        </w:tc>
        <w:tc>
          <w:tcPr>
            <w:tcW w:w="2709" w:type="dxa"/>
            <w:gridSpan w:val="4"/>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指标1：1.服务对象满意度达到98%以上</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指标2：</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684" w:type="dxa"/>
            <w:gridSpan w:val="6"/>
            <w:noWrap w:val="0"/>
            <w:vAlign w:val="center"/>
          </w:tcPr>
          <w:p>
            <w:pPr>
              <w:autoSpaceDN w:val="0"/>
              <w:spacing w:line="320" w:lineRule="exact"/>
              <w:jc w:val="center"/>
              <w:textAlignment w:val="center"/>
              <w:rPr>
                <w:rFonts w:hint="eastAsia" w:ascii="仿宋" w:hAnsi="仿宋" w:eastAsia="仿宋" w:cs="仿宋"/>
                <w:b/>
                <w:color w:val="000000"/>
                <w:sz w:val="24"/>
              </w:rPr>
            </w:pPr>
            <w:r>
              <w:rPr>
                <w:rFonts w:hint="eastAsia" w:ascii="仿宋" w:hAnsi="仿宋" w:eastAsia="仿宋" w:cs="仿宋"/>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绩效自评综合得分</w:t>
            </w:r>
          </w:p>
        </w:tc>
        <w:tc>
          <w:tcPr>
            <w:tcW w:w="6810" w:type="dxa"/>
            <w:gridSpan w:val="12"/>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评价等次</w:t>
            </w:r>
          </w:p>
        </w:tc>
        <w:tc>
          <w:tcPr>
            <w:tcW w:w="6810" w:type="dxa"/>
            <w:gridSpan w:val="12"/>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姓  名</w:t>
            </w:r>
          </w:p>
        </w:tc>
        <w:tc>
          <w:tcPr>
            <w:tcW w:w="3561" w:type="dxa"/>
            <w:gridSpan w:val="6"/>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职务/职称</w:t>
            </w:r>
          </w:p>
        </w:tc>
        <w:tc>
          <w:tcPr>
            <w:tcW w:w="1479" w:type="dxa"/>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单  位</w:t>
            </w:r>
          </w:p>
        </w:tc>
        <w:tc>
          <w:tcPr>
            <w:tcW w:w="3106" w:type="dxa"/>
            <w:gridSpan w:val="8"/>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童为华</w:t>
            </w:r>
          </w:p>
        </w:tc>
        <w:tc>
          <w:tcPr>
            <w:tcW w:w="3561" w:type="dxa"/>
            <w:gridSpan w:val="6"/>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综合科科长</w:t>
            </w:r>
          </w:p>
        </w:tc>
        <w:tc>
          <w:tcPr>
            <w:tcW w:w="1479" w:type="dxa"/>
            <w:noWrap w:val="0"/>
            <w:vAlign w:val="center"/>
          </w:tcPr>
          <w:p>
            <w:pPr>
              <w:autoSpaceDN w:val="0"/>
              <w:spacing w:line="320" w:lineRule="exact"/>
              <w:jc w:val="center"/>
              <w:textAlignment w:val="center"/>
              <w:rPr>
                <w:rFonts w:hint="eastAsia" w:ascii="仿宋" w:hAnsi="仿宋" w:eastAsia="仿宋" w:cs="仿宋"/>
                <w:b w:val="0"/>
                <w:bCs w:val="0"/>
                <w:color w:val="000000"/>
                <w:sz w:val="24"/>
              </w:rPr>
            </w:pPr>
            <w:r>
              <w:rPr>
                <w:rFonts w:hint="eastAsia" w:ascii="仿宋" w:hAnsi="仿宋" w:eastAsia="仿宋" w:cs="仿宋"/>
                <w:color w:val="000000"/>
                <w:sz w:val="24"/>
                <w:lang w:val="en-US" w:eastAsia="zh-CN"/>
              </w:rPr>
              <w:t>岳阳市政务服务中心</w:t>
            </w:r>
          </w:p>
        </w:tc>
        <w:tc>
          <w:tcPr>
            <w:tcW w:w="3106" w:type="dxa"/>
            <w:gridSpan w:val="8"/>
            <w:noWrap w:val="0"/>
            <w:vAlign w:val="center"/>
          </w:tcPr>
          <w:p>
            <w:pPr>
              <w:autoSpaceDN w:val="0"/>
              <w:spacing w:line="320" w:lineRule="exact"/>
              <w:jc w:val="center"/>
              <w:textAlignment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唐琼</w:t>
            </w:r>
          </w:p>
        </w:tc>
        <w:tc>
          <w:tcPr>
            <w:tcW w:w="3561" w:type="dxa"/>
            <w:gridSpan w:val="6"/>
            <w:noWrap w:val="0"/>
            <w:vAlign w:val="center"/>
          </w:tcPr>
          <w:p>
            <w:pPr>
              <w:autoSpaceDN w:val="0"/>
              <w:spacing w:line="32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机关党委专职副书记</w:t>
            </w:r>
          </w:p>
        </w:tc>
        <w:tc>
          <w:tcPr>
            <w:tcW w:w="1479" w:type="dxa"/>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岳阳市政务服务中心</w:t>
            </w:r>
          </w:p>
        </w:tc>
        <w:tc>
          <w:tcPr>
            <w:tcW w:w="3106" w:type="dxa"/>
            <w:gridSpan w:val="8"/>
            <w:noWrap w:val="0"/>
            <w:vAlign w:val="center"/>
          </w:tcPr>
          <w:p>
            <w:pPr>
              <w:autoSpaceDN w:val="0"/>
              <w:spacing w:line="320" w:lineRule="exact"/>
              <w:jc w:val="center"/>
              <w:textAlignment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姚文静</w:t>
            </w:r>
          </w:p>
        </w:tc>
        <w:tc>
          <w:tcPr>
            <w:tcW w:w="3561" w:type="dxa"/>
            <w:gridSpan w:val="6"/>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会计</w:t>
            </w:r>
          </w:p>
        </w:tc>
        <w:tc>
          <w:tcPr>
            <w:tcW w:w="1479" w:type="dxa"/>
            <w:noWrap w:val="0"/>
            <w:vAlign w:val="center"/>
          </w:tcPr>
          <w:p>
            <w:pPr>
              <w:autoSpaceDN w:val="0"/>
              <w:spacing w:line="32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岳阳市政务服务中心</w:t>
            </w:r>
          </w:p>
        </w:tc>
        <w:tc>
          <w:tcPr>
            <w:tcW w:w="3106" w:type="dxa"/>
            <w:gridSpan w:val="8"/>
            <w:noWrap w:val="0"/>
            <w:vAlign w:val="center"/>
          </w:tcPr>
          <w:p>
            <w:pPr>
              <w:autoSpaceDN w:val="0"/>
              <w:spacing w:line="320" w:lineRule="exact"/>
              <w:jc w:val="center"/>
              <w:textAlignment w:val="center"/>
              <w:rPr>
                <w:rFonts w:hint="eastAsia"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评价组组长（签字）：</w:t>
            </w: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部门（单位）意见：</w:t>
            </w: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                                         部门（单位）负责人（签章）：</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hint="eastAsia" w:ascii="仿宋" w:hAnsi="仿宋" w:eastAsia="仿宋" w:cs="仿宋"/>
                <w:sz w:val="24"/>
              </w:rPr>
            </w:pPr>
            <w:r>
              <w:rPr>
                <w:rFonts w:hint="eastAsia" w:ascii="仿宋" w:hAnsi="仿宋" w:eastAsia="仿宋" w:cs="仿宋"/>
                <w:sz w:val="24"/>
              </w:rPr>
              <w:t>财政部门归口业务科室意见：</w:t>
            </w:r>
          </w:p>
          <w:p>
            <w:pPr>
              <w:spacing w:line="320" w:lineRule="exact"/>
              <w:rPr>
                <w:rFonts w:hint="eastAsia" w:ascii="仿宋" w:hAnsi="仿宋" w:eastAsia="仿宋" w:cs="仿宋"/>
                <w:sz w:val="24"/>
              </w:rPr>
            </w:pPr>
          </w:p>
          <w:p>
            <w:pPr>
              <w:spacing w:line="320" w:lineRule="exact"/>
              <w:rPr>
                <w:rFonts w:hint="eastAsia" w:ascii="仿宋" w:hAnsi="仿宋" w:eastAsia="仿宋" w:cs="仿宋"/>
                <w:sz w:val="24"/>
              </w:rPr>
            </w:pPr>
          </w:p>
          <w:p>
            <w:pPr>
              <w:spacing w:line="320" w:lineRule="exact"/>
              <w:rPr>
                <w:rFonts w:hint="eastAsia" w:ascii="仿宋" w:hAnsi="仿宋" w:eastAsia="仿宋" w:cs="仿宋"/>
                <w:sz w:val="24"/>
              </w:rPr>
            </w:pPr>
          </w:p>
          <w:p>
            <w:pPr>
              <w:spacing w:line="320" w:lineRule="exact"/>
              <w:rPr>
                <w:rFonts w:hint="eastAsia" w:ascii="仿宋" w:hAnsi="仿宋" w:eastAsia="仿宋" w:cs="仿宋"/>
                <w:sz w:val="24"/>
              </w:rPr>
            </w:pPr>
          </w:p>
          <w:p>
            <w:pPr>
              <w:spacing w:line="320" w:lineRule="exact"/>
              <w:rPr>
                <w:rFonts w:hint="eastAsia" w:ascii="仿宋" w:hAnsi="仿宋" w:eastAsia="仿宋" w:cs="仿宋"/>
                <w:sz w:val="24"/>
              </w:rPr>
            </w:pPr>
            <w:r>
              <w:rPr>
                <w:rFonts w:hint="eastAsia" w:ascii="仿宋" w:hAnsi="仿宋" w:eastAsia="仿宋" w:cs="仿宋"/>
                <w:sz w:val="24"/>
              </w:rPr>
              <w:t xml:space="preserve">                                  财政部门归口业务科室负责人（签章）：</w:t>
            </w:r>
          </w:p>
          <w:p>
            <w:pPr>
              <w:autoSpaceDN w:val="0"/>
              <w:spacing w:line="320" w:lineRule="exact"/>
              <w:jc w:val="left"/>
              <w:textAlignment w:val="center"/>
              <w:rPr>
                <w:rFonts w:hint="eastAsia" w:ascii="仿宋" w:hAnsi="仿宋" w:eastAsia="仿宋" w:cs="仿宋"/>
                <w:color w:val="000000"/>
                <w:sz w:val="24"/>
              </w:rPr>
            </w:pPr>
            <w:r>
              <w:rPr>
                <w:rFonts w:hint="eastAsia" w:ascii="仿宋" w:hAnsi="仿宋" w:eastAsia="仿宋" w:cs="仿宋"/>
                <w:sz w:val="24"/>
              </w:rPr>
              <w:t xml:space="preserve">                                                                 年    月   日</w:t>
            </w:r>
          </w:p>
        </w:tc>
      </w:tr>
    </w:tbl>
    <w:p>
      <w:pPr>
        <w:rPr>
          <w:rFonts w:hint="eastAsia" w:eastAsia="仿宋_GB2312" w:cs="仿宋_GB2312"/>
          <w:bCs/>
          <w:sz w:val="28"/>
          <w:szCs w:val="28"/>
        </w:rPr>
      </w:pPr>
      <w:r>
        <w:rPr>
          <w:rFonts w:hint="eastAsia" w:ascii="仿宋" w:hAnsi="仿宋" w:eastAsia="仿宋" w:cs="仿宋"/>
          <w:bCs/>
          <w:sz w:val="28"/>
          <w:szCs w:val="28"/>
        </w:rPr>
        <w:t xml:space="preserve">填报人（签名）：      </w:t>
      </w:r>
      <w:r>
        <w:rPr>
          <w:rFonts w:hint="eastAsia" w:eastAsia="仿宋_GB2312" w:cs="仿宋_GB2312"/>
          <w:bCs/>
          <w:sz w:val="28"/>
          <w:szCs w:val="28"/>
        </w:rPr>
        <w:t xml:space="preserve">                    联系电话：</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hint="eastAsia" w:eastAsia="仿宋_GB2312"/>
                <w:sz w:val="32"/>
                <w:szCs w:val="32"/>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主要职能。（1）.贯彻落实国家、省、市有关行政审批制度改革、优化政务服务、大数据应用等方面的方针政策、法律法规和决策部署；（2）.负责全市政务服务规范化标准化建设，探索政务服务方式创新；负责对政务服务事项进流程再造、环节优化、压缩时限，并对办理情况进行跟踪督办、指导、协调；组织、协调、督办全市重点项目代办服务工作，指导各县市区（园区）开展重点项目代办服务工作；负责对项目报建相关的中介服务机构的监督管理工作；（3）.负责制定政务服务大厅的管理办法和规章制度，并组织实施，对各部门、单位进入政务服务大厅的行政审批、政务服务行为进行监督检查，负责入驻中心窗口工作人员党组强关系的转入、转出以及教育培训、日常管理和检查考核；拓宽社会和群众监督渠道，接受社会监督和评议；（4）.负责制订全市基层政务服务标准规范，协调指导基层综合便民服务机构实施跨层级业务输，推进服务下沉就近办；负责对全市各级政务服务大厅的政务服务工作进行指导和监督；组织开展政务服务民意调查工作；（5）.负责对政务服务事项投诉举报的承办、协办和督办；（6）.研究拟订全市大数据开发应用规划，推进全市“互联网+政务服务”一体化平台建设，统筹协调政务服务信息系统建设等工作；（7）.统筹协调并规范全市电子政务应用系统的建设和管理；负责全市电子政务外网的建设、管理和运行维护工作，推进各级各部门电子政务网络互联互通；负责市电子云计算中心的建设、运营维护、管理工作；（8）.负责市政府门户网站主网步的建设、运行维护工作；承担市政府网站群集约化平台建设、安全防护等运行保障工作；负责市政府网站群子网站建设的指导、监督、管理等工作；负责对县市区政府门户网站及市直部门单位网站的绩效考评；（9）.负责组织和协调全资源的开发利用和信息资源共享的有关工作；开发和建设全市基础政务数据资源库，提供综合信息服务；加强政务信息资源的统筹管理，推广信息技术在政务部门中的应用；（10）.承担市委、市政府和上级业务主管部门交界的其他事项。</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机构情况。原岳阳市政府政务服务中心属于岳阳市政府办公室归口管理单位，没有纳入一级财政预算，财务没有单独核算。2018年机构改革成立岳阳市政务服务中心。2019年纳入财政一级预算单位，财务单独核算。</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市政务服务中心只有本级，为没有其他二级机构，内设科室8个，分别是综合科、监督科、政务公开科、网络信息科、门户网站管理科、项目管理科、网络运行科、电子政务科。</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3．人员情况。年末本单位实有在职在编人员29人，退休2人，共31人。</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（二）部门（单位）整体支出规模、使用方向和主要内容、涉及范围等</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本年总收入为4106.29万元，其中财政拨款收入为3963.75万元，占比96.53%；其他收入为142.54万元，占比3.47%。本年总支出为3557.6万元，按资金来源划分：其中财政拨款支出3506.6万元，占比98.57%、其他51万元，占比1.43%；按支出性质划分：基本支出1028.69万元，占比28.92%、项目支出2528.92万元，占比71.08%；按经济分类划分：工资福利支出396.6万元，占比11.15%、商品和服务支出1868.49万元，占比52.52%，对个人和家庭的补助11.26万元，占比0.32%、资本性支出1280.37万元，占比35.99%、其他0.88万元，占比0.08%。</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本年基本支出1028.69万元，其中人员经费396.6万元，商品与服务支出633.09万元.</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本年专项资金总收入2921.7万元，落实资金2528.92万元。</w:t>
            </w:r>
          </w:p>
          <w:p>
            <w:pPr>
              <w:numPr>
                <w:ilvl w:val="0"/>
                <w:numId w:val="4"/>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专项资金实际使用情况分析</w:t>
            </w:r>
          </w:p>
          <w:p>
            <w:pPr>
              <w:numPr>
                <w:ilvl w:val="0"/>
                <w:numId w:val="0"/>
              </w:numPr>
              <w:spacing w:line="560" w:lineRule="exac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本年专项资金总支出2528.92万元，按支出经济分类，其中商品与服务支出为1250.72万元，占比49.46%，资本性支出为1278.2万元，占比50.54%。</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3、专项资金管理情况分析</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我中心为合理、有效、规范使用专项资金，建立健全了专项资金管理制度，完善了专项资金管理流程，做到专人负责、专款专用，严格按照相关会计制度进行会计核算和财务处理，做到财务处理及时、会计核算规范。专项资金纳入国库集中支付管理，单位严把审批关，杜绝了弄虚作假、截留、挤占、挪用专项资金的情况发生。</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各项专项资金都安排责任人，按专项资金的用途专款专用。在使用专项资金时，严格执行专项资使用制度和财务制度，同时对各项专项资金的使用流程进行监督，定时查看财务表报检查专项资金使用情况</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保证各个专项都能保质保量落实完成，使财政资金发挥出最大的项目效益</w:t>
            </w:r>
            <w:r>
              <w:rPr>
                <w:rFonts w:hint="eastAsia" w:ascii="仿宋_GB2312" w:hAnsi="仿宋_GB2312" w:eastAsia="仿宋_GB2312" w:cs="仿宋_GB2312"/>
                <w:bCs/>
                <w:sz w:val="28"/>
                <w:szCs w:val="28"/>
              </w:rPr>
              <w:t>。</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1、创建“三表率一模范”政治机关。</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2、实现政务服务“一厅集成”1136项，其中“一窗通办”796项、“一网通办”263项、“全域通办”285项、“跨省通办”58项。</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3、完善政府门户网站集约化建设，加强政府信息公开。</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4、上线城市综合服务移动平台“岳办岳好”APP小程序和基层公共服务（一门式）信息化管理平台。</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5、全面完成平江县石牛寨镇桂林村驻村扶贫工作。</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6、进行“一窗受理、集成服务”标准化试点，固化标准。</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7、深化改革，深化“一件事”、“一门式”、“一体化”改革。</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8、优化平台，改进升级“集成办”、“指尖办”、“跨省办”。</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9、亮化服务，落实全流程导办、全过程代办、全天候能办。</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10、保障电子政务内、外网、云中心全年的平稳运行。</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五、存在的主要问题</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预算绩效管理基础工作有待进一步加强。绩效评价指标体系还不完善，评价指标设定的科学性有待加强。</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eastAsia="楷体_GB2312"/>
                <w:bCs/>
                <w:sz w:val="28"/>
                <w:szCs w:val="28"/>
              </w:rPr>
            </w:pPr>
            <w:r>
              <w:rPr>
                <w:rFonts w:hint="eastAsia" w:ascii="仿宋_GB2312" w:hAnsi="仿宋_GB2312" w:eastAsia="仿宋_GB2312" w:cs="仿宋_GB2312"/>
                <w:bCs/>
                <w:sz w:val="28"/>
                <w:szCs w:val="28"/>
                <w:lang w:eastAsia="zh-CN"/>
              </w:rPr>
              <w:t>加快完善相应制度建设和账务处理能力，</w:t>
            </w:r>
            <w:r>
              <w:rPr>
                <w:rFonts w:hint="eastAsia" w:ascii="仿宋_GB2312" w:hAnsi="仿宋_GB2312" w:eastAsia="仿宋_GB2312" w:cs="仿宋_GB2312"/>
                <w:bCs/>
                <w:sz w:val="28"/>
                <w:szCs w:val="28"/>
                <w:lang w:val="en-US" w:eastAsia="zh-CN"/>
              </w:rPr>
              <w:t>进一步</w:t>
            </w:r>
            <w:r>
              <w:rPr>
                <w:rFonts w:hint="eastAsia" w:ascii="仿宋_GB2312" w:hAnsi="仿宋_GB2312" w:eastAsia="仿宋_GB2312" w:cs="仿宋_GB2312"/>
                <w:bCs/>
                <w:sz w:val="28"/>
                <w:szCs w:val="28"/>
                <w:lang w:eastAsia="zh-CN"/>
              </w:rPr>
              <w:t>提升部门效率，</w:t>
            </w:r>
            <w:r>
              <w:rPr>
                <w:rFonts w:hint="eastAsia" w:ascii="仿宋_GB2312" w:hAnsi="仿宋_GB2312" w:eastAsia="仿宋_GB2312" w:cs="仿宋_GB2312"/>
                <w:bCs/>
                <w:sz w:val="28"/>
                <w:szCs w:val="28"/>
                <w:lang w:val="en-US" w:eastAsia="zh-CN"/>
              </w:rPr>
              <w:t>进一步</w:t>
            </w:r>
            <w:r>
              <w:rPr>
                <w:rFonts w:hint="eastAsia" w:ascii="仿宋_GB2312" w:hAnsi="仿宋_GB2312" w:eastAsia="仿宋_GB2312" w:cs="仿宋_GB2312"/>
                <w:bCs/>
                <w:sz w:val="28"/>
                <w:szCs w:val="28"/>
                <w:lang w:eastAsia="zh-CN"/>
              </w:rPr>
              <w:t>加强政策学习，提高思想认识，</w:t>
            </w:r>
            <w:r>
              <w:rPr>
                <w:rFonts w:hint="eastAsia" w:ascii="仿宋_GB2312" w:hAnsi="仿宋_GB2312" w:eastAsia="仿宋_GB2312" w:cs="仿宋_GB2312"/>
                <w:bCs/>
                <w:sz w:val="28"/>
                <w:szCs w:val="28"/>
                <w:lang w:val="en-US" w:eastAsia="zh-CN"/>
              </w:rPr>
              <w:t>更大力度</w:t>
            </w:r>
            <w:r>
              <w:rPr>
                <w:rFonts w:hint="eastAsia" w:ascii="仿宋_GB2312" w:hAnsi="仿宋_GB2312" w:eastAsia="仿宋_GB2312" w:cs="仿宋_GB2312"/>
                <w:bCs/>
                <w:sz w:val="28"/>
                <w:szCs w:val="28"/>
                <w:lang w:eastAsia="zh-CN"/>
              </w:rPr>
              <w:t>严格执行财经纪律。</w:t>
            </w:r>
          </w:p>
        </w:tc>
      </w:tr>
    </w:tbl>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附件3-1</w:t>
      </w:r>
    </w:p>
    <w:p>
      <w:pPr>
        <w:spacing w:before="312" w:beforeLines="100" w:after="312" w:afterLines="100"/>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3"/>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资金有结余</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3"/>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1</w:t>
    </w:r>
    <w:r>
      <w:rPr>
        <w:sz w:val="24"/>
        <w:szCs w:val="24"/>
      </w:rPr>
      <w:fldChar w:fldCharType="end"/>
    </w:r>
    <w:r>
      <w:rPr>
        <w:rStyle w:val="5"/>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E0D67"/>
    <w:multiLevelType w:val="singleLevel"/>
    <w:tmpl w:val="D72E0D67"/>
    <w:lvl w:ilvl="0" w:tentative="0">
      <w:start w:val="1"/>
      <w:numFmt w:val="decimal"/>
      <w:suff w:val="nothing"/>
      <w:lvlText w:val="%1、"/>
      <w:lvlJc w:val="left"/>
    </w:lvl>
  </w:abstractNum>
  <w:abstractNum w:abstractNumId="1">
    <w:nsid w:val="045FC15A"/>
    <w:multiLevelType w:val="singleLevel"/>
    <w:tmpl w:val="045FC15A"/>
    <w:lvl w:ilvl="0" w:tentative="0">
      <w:start w:val="2"/>
      <w:numFmt w:val="decimal"/>
      <w:suff w:val="nothing"/>
      <w:lvlText w:val="%1、"/>
      <w:lvlJc w:val="left"/>
    </w:lvl>
  </w:abstractNum>
  <w:abstractNum w:abstractNumId="2">
    <w:nsid w:val="5BF33A89"/>
    <w:multiLevelType w:val="singleLevel"/>
    <w:tmpl w:val="5BF33A89"/>
    <w:lvl w:ilvl="0" w:tentative="0">
      <w:start w:val="1"/>
      <w:numFmt w:val="decimal"/>
      <w:lvlText w:val="%1."/>
      <w:lvlJc w:val="left"/>
      <w:pPr>
        <w:tabs>
          <w:tab w:val="left" w:pos="312"/>
        </w:tabs>
      </w:pPr>
    </w:lvl>
  </w:abstractNum>
  <w:abstractNum w:abstractNumId="3">
    <w:nsid w:val="79779749"/>
    <w:multiLevelType w:val="singleLevel"/>
    <w:tmpl w:val="79779749"/>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01EC0"/>
    <w:rsid w:val="07BA27DB"/>
    <w:rsid w:val="08FD5018"/>
    <w:rsid w:val="0A490598"/>
    <w:rsid w:val="1033119C"/>
    <w:rsid w:val="10E262DE"/>
    <w:rsid w:val="19A01EC0"/>
    <w:rsid w:val="412E397B"/>
    <w:rsid w:val="49D275E6"/>
    <w:rsid w:val="6F5C22D0"/>
    <w:rsid w:val="714C4A28"/>
    <w:rsid w:val="71952CC7"/>
    <w:rsid w:val="7469785E"/>
    <w:rsid w:val="77570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1358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2020-06-09T07:05:00Z</dcterms:created>
  <dc:creator>颠茄果</dc:creator>
  <cp:lastModifiedBy>颠茄果</cp:lastModifiedBy>
  <cp:lastPrinted>2021-06-29T08:37:00Z</cp:lastPrinted>
  <dcterms:modified xsi:type="dcterms:W3CDTF">2021-09-10T01:56:42Z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6069292432FA4DBD909FCCD3205E1EAB</vt:lpwstr>
  </property>
</Properties>
</file>