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2C" w:rsidRDefault="00227E2C">
      <w:pPr>
        <w:pStyle w:val="Default"/>
        <w:jc w:val="center"/>
        <w:rPr>
          <w:sz w:val="56"/>
          <w:szCs w:val="56"/>
        </w:rPr>
      </w:pPr>
    </w:p>
    <w:p w:rsidR="00227E2C" w:rsidRDefault="00227E2C">
      <w:pPr>
        <w:pStyle w:val="Default"/>
        <w:jc w:val="center"/>
        <w:rPr>
          <w:sz w:val="56"/>
          <w:szCs w:val="56"/>
        </w:rPr>
      </w:pPr>
    </w:p>
    <w:p w:rsidR="00227E2C" w:rsidRDefault="00227E2C">
      <w:pPr>
        <w:pStyle w:val="Default"/>
        <w:jc w:val="center"/>
        <w:rPr>
          <w:sz w:val="84"/>
          <w:szCs w:val="84"/>
        </w:rPr>
      </w:pPr>
    </w:p>
    <w:p w:rsidR="00227E2C" w:rsidRDefault="00227E2C">
      <w:pPr>
        <w:pStyle w:val="Default"/>
        <w:jc w:val="center"/>
        <w:rPr>
          <w:sz w:val="84"/>
          <w:szCs w:val="84"/>
        </w:rPr>
      </w:pPr>
    </w:p>
    <w:p w:rsidR="00227E2C" w:rsidRDefault="00DC6F88">
      <w:pPr>
        <w:pStyle w:val="Default"/>
        <w:jc w:val="center"/>
        <w:rPr>
          <w:sz w:val="84"/>
          <w:szCs w:val="84"/>
        </w:rPr>
      </w:pPr>
      <w:r>
        <w:rPr>
          <w:rFonts w:hint="eastAsia"/>
          <w:sz w:val="84"/>
          <w:szCs w:val="84"/>
        </w:rPr>
        <w:t>2020</w:t>
      </w:r>
      <w:r>
        <w:rPr>
          <w:rFonts w:hint="eastAsia"/>
          <w:sz w:val="84"/>
          <w:szCs w:val="84"/>
        </w:rPr>
        <w:t>年度</w:t>
      </w:r>
    </w:p>
    <w:p w:rsidR="00227E2C" w:rsidRDefault="00DC6F88">
      <w:pPr>
        <w:pStyle w:val="Default"/>
        <w:jc w:val="center"/>
        <w:rPr>
          <w:sz w:val="84"/>
          <w:szCs w:val="84"/>
        </w:rPr>
      </w:pPr>
      <w:r>
        <w:rPr>
          <w:rFonts w:hint="eastAsia"/>
          <w:sz w:val="84"/>
          <w:szCs w:val="84"/>
        </w:rPr>
        <w:t>岳阳市民主党派机关</w:t>
      </w:r>
    </w:p>
    <w:p w:rsidR="00227E2C" w:rsidRDefault="00DC6F88">
      <w:pPr>
        <w:pStyle w:val="Default"/>
        <w:jc w:val="center"/>
        <w:rPr>
          <w:sz w:val="84"/>
          <w:szCs w:val="84"/>
        </w:rPr>
      </w:pPr>
      <w:r>
        <w:rPr>
          <w:rFonts w:hint="eastAsia"/>
          <w:sz w:val="84"/>
          <w:szCs w:val="84"/>
        </w:rPr>
        <w:t>部门决算</w:t>
      </w:r>
    </w:p>
    <w:p w:rsidR="00227E2C" w:rsidRDefault="00227E2C">
      <w:pPr>
        <w:pStyle w:val="Default"/>
        <w:jc w:val="center"/>
        <w:rPr>
          <w:sz w:val="56"/>
          <w:szCs w:val="56"/>
        </w:rPr>
      </w:pPr>
    </w:p>
    <w:p w:rsidR="00227E2C" w:rsidRDefault="00227E2C">
      <w:pPr>
        <w:pStyle w:val="Default"/>
        <w:jc w:val="center"/>
        <w:rPr>
          <w:sz w:val="56"/>
          <w:szCs w:val="56"/>
        </w:rPr>
      </w:pPr>
    </w:p>
    <w:p w:rsidR="00227E2C" w:rsidRDefault="00227E2C">
      <w:pPr>
        <w:pStyle w:val="Default"/>
        <w:jc w:val="center"/>
        <w:rPr>
          <w:sz w:val="56"/>
          <w:szCs w:val="56"/>
        </w:rPr>
      </w:pPr>
    </w:p>
    <w:p w:rsidR="00227E2C" w:rsidRDefault="00227E2C">
      <w:pPr>
        <w:pStyle w:val="Default"/>
        <w:jc w:val="center"/>
        <w:rPr>
          <w:sz w:val="56"/>
          <w:szCs w:val="56"/>
        </w:rPr>
      </w:pPr>
    </w:p>
    <w:p w:rsidR="00227E2C" w:rsidRDefault="00227E2C">
      <w:pPr>
        <w:pStyle w:val="Default"/>
        <w:rPr>
          <w:sz w:val="32"/>
          <w:szCs w:val="32"/>
        </w:rPr>
      </w:pPr>
    </w:p>
    <w:p w:rsidR="00227E2C" w:rsidRDefault="00227E2C">
      <w:pPr>
        <w:pStyle w:val="Default"/>
        <w:rPr>
          <w:sz w:val="32"/>
          <w:szCs w:val="32"/>
        </w:rPr>
      </w:pPr>
    </w:p>
    <w:p w:rsidR="00227E2C" w:rsidRDefault="00227E2C">
      <w:pPr>
        <w:pStyle w:val="Default"/>
        <w:rPr>
          <w:sz w:val="32"/>
          <w:szCs w:val="32"/>
        </w:rPr>
      </w:pPr>
    </w:p>
    <w:p w:rsidR="00227E2C" w:rsidRDefault="00227E2C">
      <w:pPr>
        <w:pStyle w:val="Default"/>
        <w:jc w:val="center"/>
        <w:rPr>
          <w:sz w:val="32"/>
          <w:szCs w:val="32"/>
        </w:rPr>
      </w:pPr>
    </w:p>
    <w:p w:rsidR="00227E2C" w:rsidRDefault="00227E2C">
      <w:pPr>
        <w:pStyle w:val="Default"/>
        <w:jc w:val="center"/>
        <w:rPr>
          <w:sz w:val="32"/>
          <w:szCs w:val="32"/>
        </w:rPr>
      </w:pPr>
    </w:p>
    <w:p w:rsidR="00227E2C" w:rsidRDefault="00227E2C">
      <w:pPr>
        <w:pStyle w:val="Default"/>
        <w:jc w:val="center"/>
        <w:rPr>
          <w:sz w:val="32"/>
          <w:szCs w:val="32"/>
        </w:rPr>
      </w:pPr>
    </w:p>
    <w:p w:rsidR="00227E2C" w:rsidRDefault="00227E2C">
      <w:pPr>
        <w:pStyle w:val="Default"/>
        <w:spacing w:line="540" w:lineRule="exact"/>
        <w:jc w:val="center"/>
        <w:rPr>
          <w:sz w:val="56"/>
          <w:szCs w:val="56"/>
        </w:rPr>
      </w:pPr>
    </w:p>
    <w:p w:rsidR="00227E2C" w:rsidRDefault="00227E2C">
      <w:pPr>
        <w:pStyle w:val="Default"/>
        <w:spacing w:line="500" w:lineRule="exact"/>
        <w:jc w:val="center"/>
        <w:rPr>
          <w:b/>
          <w:sz w:val="36"/>
          <w:szCs w:val="28"/>
        </w:rPr>
      </w:pPr>
    </w:p>
    <w:p w:rsidR="00227E2C" w:rsidRDefault="00227E2C">
      <w:pPr>
        <w:pStyle w:val="Default"/>
        <w:spacing w:line="500" w:lineRule="exact"/>
        <w:jc w:val="center"/>
        <w:rPr>
          <w:b/>
          <w:sz w:val="36"/>
          <w:szCs w:val="28"/>
        </w:rPr>
      </w:pPr>
    </w:p>
    <w:p w:rsidR="00227E2C" w:rsidRDefault="00DC6F88">
      <w:pPr>
        <w:pStyle w:val="Default"/>
        <w:spacing w:line="500" w:lineRule="exact"/>
        <w:jc w:val="center"/>
        <w:rPr>
          <w:b/>
          <w:sz w:val="36"/>
          <w:szCs w:val="28"/>
        </w:rPr>
      </w:pPr>
      <w:r>
        <w:rPr>
          <w:rFonts w:hint="eastAsia"/>
          <w:b/>
          <w:sz w:val="36"/>
          <w:szCs w:val="28"/>
        </w:rPr>
        <w:t>目录</w:t>
      </w:r>
    </w:p>
    <w:p w:rsidR="00227E2C" w:rsidRDefault="00DC6F88">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岳阳市民主党派机关</w:t>
      </w:r>
      <w:r>
        <w:rPr>
          <w:rFonts w:hint="eastAsia"/>
          <w:b/>
          <w:sz w:val="28"/>
          <w:szCs w:val="28"/>
        </w:rPr>
        <w:t>单位概况</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227E2C" w:rsidRDefault="00DC6F88">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227E2C" w:rsidRDefault="00DC6F88">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227E2C" w:rsidRDefault="00DC6F8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227E2C" w:rsidRDefault="00DC6F88">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227E2C" w:rsidRDefault="00DC6F8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227E2C" w:rsidRDefault="00DC6F8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227E2C" w:rsidRDefault="00DC6F8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227E2C" w:rsidRDefault="00DC6F8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227E2C" w:rsidRDefault="00DC6F8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227E2C" w:rsidRDefault="00DC6F8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227E2C" w:rsidRDefault="00DC6F8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九、国有资本经营预算财政拨款支出决算情况</w:t>
      </w:r>
    </w:p>
    <w:p w:rsidR="00227E2C" w:rsidRDefault="00DC6F8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十、关于机关运行经费支出说明</w:t>
      </w:r>
    </w:p>
    <w:p w:rsidR="00227E2C" w:rsidRDefault="00DC6F8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十一、一般性支出情况</w:t>
      </w:r>
    </w:p>
    <w:p w:rsidR="00227E2C" w:rsidRDefault="00DC6F8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 xml:space="preserve">     </w:t>
      </w:r>
      <w:r>
        <w:rPr>
          <w:rFonts w:ascii="仿宋_GB2312" w:hAnsi="仿宋_GB2312" w:cs="仿宋_GB2312" w:hint="eastAsia"/>
          <w:color w:val="000000"/>
          <w:kern w:val="0"/>
          <w:sz w:val="28"/>
          <w:szCs w:val="28"/>
        </w:rPr>
        <w:t>十二、关于政府采购支出说明</w:t>
      </w:r>
    </w:p>
    <w:p w:rsidR="00227E2C" w:rsidRDefault="00DC6F8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十三、关于国有资产占用情况说明</w:t>
      </w:r>
    </w:p>
    <w:p w:rsidR="00227E2C" w:rsidRDefault="00DC6F88">
      <w:pPr>
        <w:autoSpaceDE w:val="0"/>
        <w:autoSpaceDN w:val="0"/>
        <w:adjustRightInd w:val="0"/>
        <w:spacing w:line="500" w:lineRule="exact"/>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r>
        <w:rPr>
          <w:rFonts w:ascii="仿宋_GB2312" w:hAnsi="仿宋_GB2312" w:cs="仿宋_GB2312" w:hint="eastAsia"/>
          <w:color w:val="000000"/>
          <w:kern w:val="0"/>
          <w:sz w:val="28"/>
          <w:szCs w:val="28"/>
        </w:rPr>
        <w:t>十四、关于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年度预算绩效情况的说明</w:t>
      </w:r>
    </w:p>
    <w:p w:rsidR="00227E2C" w:rsidRDefault="00DC6F88">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227E2C" w:rsidRDefault="00DC6F88">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rPr>
          <w:sz w:val="72"/>
          <w:szCs w:val="72"/>
        </w:rPr>
      </w:pPr>
    </w:p>
    <w:p w:rsidR="00227E2C" w:rsidRDefault="00DC6F88">
      <w:pPr>
        <w:pStyle w:val="Default"/>
        <w:jc w:val="center"/>
        <w:rPr>
          <w:sz w:val="84"/>
          <w:szCs w:val="84"/>
        </w:rPr>
      </w:pPr>
      <w:r>
        <w:rPr>
          <w:rFonts w:hint="eastAsia"/>
          <w:sz w:val="84"/>
          <w:szCs w:val="84"/>
        </w:rPr>
        <w:t>第一部分</w:t>
      </w:r>
      <w:r>
        <w:rPr>
          <w:sz w:val="84"/>
          <w:szCs w:val="84"/>
        </w:rPr>
        <w:t xml:space="preserve"> </w:t>
      </w:r>
    </w:p>
    <w:p w:rsidR="00227E2C" w:rsidRDefault="00227E2C">
      <w:pPr>
        <w:pStyle w:val="Default"/>
        <w:jc w:val="center"/>
        <w:rPr>
          <w:sz w:val="84"/>
          <w:szCs w:val="84"/>
        </w:rPr>
      </w:pPr>
    </w:p>
    <w:p w:rsidR="00227E2C" w:rsidRDefault="00DC6F88">
      <w:pPr>
        <w:pStyle w:val="Default"/>
        <w:jc w:val="center"/>
        <w:rPr>
          <w:sz w:val="84"/>
          <w:szCs w:val="84"/>
        </w:rPr>
      </w:pPr>
      <w:r>
        <w:rPr>
          <w:rFonts w:hint="eastAsia"/>
          <w:sz w:val="84"/>
          <w:szCs w:val="84"/>
        </w:rPr>
        <w:t>岳阳市民主党派机关</w:t>
      </w:r>
    </w:p>
    <w:p w:rsidR="00227E2C" w:rsidRDefault="00DC6F88">
      <w:pPr>
        <w:pStyle w:val="Default"/>
        <w:jc w:val="center"/>
        <w:rPr>
          <w:sz w:val="84"/>
          <w:szCs w:val="84"/>
        </w:rPr>
      </w:pPr>
      <w:r>
        <w:rPr>
          <w:rFonts w:hint="eastAsia"/>
          <w:sz w:val="84"/>
          <w:szCs w:val="84"/>
        </w:rPr>
        <w:t>概况</w:t>
      </w: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pStyle w:val="aa"/>
        <w:ind w:left="720" w:firstLineChars="0" w:firstLine="0"/>
        <w:jc w:val="left"/>
        <w:rPr>
          <w:rFonts w:ascii="黑体" w:eastAsia="黑体" w:hAnsi="黑体"/>
          <w:sz w:val="32"/>
          <w:szCs w:val="32"/>
        </w:rPr>
      </w:pPr>
    </w:p>
    <w:p w:rsidR="00227E2C" w:rsidRDefault="00227E2C">
      <w:pPr>
        <w:pStyle w:val="aa"/>
        <w:ind w:left="720" w:firstLineChars="0" w:firstLine="0"/>
        <w:jc w:val="left"/>
        <w:rPr>
          <w:rFonts w:ascii="黑体" w:eastAsia="黑体" w:hAnsi="黑体"/>
          <w:sz w:val="32"/>
          <w:szCs w:val="32"/>
        </w:rPr>
      </w:pPr>
    </w:p>
    <w:p w:rsidR="00227E2C" w:rsidRDefault="00227E2C">
      <w:pPr>
        <w:pStyle w:val="aa"/>
        <w:ind w:left="720" w:firstLineChars="0" w:firstLine="0"/>
        <w:jc w:val="left"/>
        <w:rPr>
          <w:rFonts w:ascii="黑体" w:eastAsia="黑体" w:hAnsi="黑体"/>
          <w:sz w:val="32"/>
          <w:szCs w:val="32"/>
        </w:rPr>
      </w:pPr>
    </w:p>
    <w:p w:rsidR="00227E2C" w:rsidRDefault="00DC6F88">
      <w:pPr>
        <w:pStyle w:val="aa"/>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227E2C" w:rsidRDefault="00DC6F88">
      <w:pPr>
        <w:pStyle w:val="a8"/>
        <w:widowControl/>
        <w:spacing w:before="0" w:beforeAutospacing="0" w:after="0" w:afterAutospacing="0" w:line="33" w:lineRule="atLeast"/>
        <w:ind w:firstLineChars="300" w:firstLine="840"/>
        <w:jc w:val="both"/>
        <w:rPr>
          <w:rFonts w:ascii="宋体" w:eastAsia="宋体" w:hAnsi="宋体" w:cs="宋体"/>
          <w:sz w:val="28"/>
          <w:szCs w:val="28"/>
        </w:rPr>
      </w:pPr>
      <w:r>
        <w:rPr>
          <w:rFonts w:ascii="宋体" w:eastAsia="宋体" w:hAnsi="宋体" w:cs="宋体" w:hint="eastAsia"/>
          <w:sz w:val="28"/>
          <w:szCs w:val="28"/>
        </w:rPr>
        <w:t>各民主党派的主要职责是</w:t>
      </w:r>
      <w:r>
        <w:rPr>
          <w:rFonts w:ascii="宋体" w:eastAsia="宋体" w:hAnsi="宋体" w:cs="宋体" w:hint="eastAsia"/>
          <w:sz w:val="28"/>
          <w:szCs w:val="28"/>
        </w:rPr>
        <w:t>参政议政、政治协商、民主监督和自身建设</w:t>
      </w:r>
      <w:r>
        <w:rPr>
          <w:rFonts w:ascii="宋体" w:eastAsia="宋体" w:hAnsi="宋体" w:cs="宋体" w:hint="eastAsia"/>
          <w:sz w:val="28"/>
          <w:szCs w:val="28"/>
        </w:rPr>
        <w:t>四个主要方面，并围绕市委、市政府的中心工作开展调查研究、献计献策，主要内容如下：</w:t>
      </w:r>
    </w:p>
    <w:p w:rsidR="00227E2C" w:rsidRDefault="00DC6F88">
      <w:pPr>
        <w:pStyle w:val="a8"/>
        <w:widowControl/>
        <w:spacing w:before="0" w:beforeAutospacing="0" w:after="0" w:afterAutospacing="0" w:line="33" w:lineRule="atLeast"/>
        <w:ind w:firstLine="420"/>
        <w:jc w:val="both"/>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、团结、组织各民主党派成员和所联系的群众，发挥广大成员与社会各界联系密切的特点和优势，进行政治协商和民主监督。</w:t>
      </w:r>
    </w:p>
    <w:p w:rsidR="00227E2C" w:rsidRDefault="00DC6F88">
      <w:pPr>
        <w:pStyle w:val="a8"/>
        <w:widowControl/>
        <w:spacing w:before="0" w:beforeAutospacing="0" w:after="0" w:afterAutospacing="0" w:line="33" w:lineRule="atLeast"/>
        <w:ind w:firstLine="420"/>
        <w:jc w:val="both"/>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、加强成员的思想政治工作，不断加强自身建设，有计划、有步骤地组织成员认真学习，努力提高参政议政水平。</w:t>
      </w:r>
    </w:p>
    <w:p w:rsidR="00227E2C" w:rsidRDefault="00DC6F88">
      <w:pPr>
        <w:pStyle w:val="a8"/>
        <w:widowControl/>
        <w:spacing w:before="0" w:beforeAutospacing="0" w:after="0" w:afterAutospacing="0" w:line="33" w:lineRule="atLeast"/>
        <w:ind w:firstLine="420"/>
        <w:jc w:val="both"/>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、维护成员的合法权益，反映成员的合理要求，做好成员的举荐工作和人大代表、政协委员的联谊工作，积极发挥参政议政、咨询服务的作用。</w:t>
      </w:r>
    </w:p>
    <w:p w:rsidR="00227E2C" w:rsidRDefault="00DC6F88">
      <w:pPr>
        <w:pStyle w:val="a8"/>
        <w:widowControl/>
        <w:spacing w:before="0" w:beforeAutospacing="0" w:after="0" w:afterAutospacing="0" w:line="33" w:lineRule="atLeast"/>
        <w:ind w:firstLine="420"/>
        <w:jc w:val="both"/>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、坚持与中共“长期共存、互相监督、肝胆相照、荣辱与共”的方针，协助党和政府落实好政策，协调好关系，发挥纽带作用。结合实际，有针对性地开展调查研究，提出有益的意见和建议。</w:t>
      </w:r>
    </w:p>
    <w:p w:rsidR="00227E2C" w:rsidRDefault="00227E2C">
      <w:pPr>
        <w:jc w:val="left"/>
        <w:rPr>
          <w:rFonts w:ascii="仿宋_GB2312" w:eastAsia="仿宋_GB2312" w:hAnsiTheme="minorEastAsia"/>
          <w:sz w:val="28"/>
          <w:szCs w:val="32"/>
        </w:rPr>
      </w:pPr>
    </w:p>
    <w:p w:rsidR="00227E2C" w:rsidRDefault="00DC6F88">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227E2C" w:rsidRDefault="00DC6F88">
      <w:pPr>
        <w:pStyle w:val="a8"/>
        <w:widowControl/>
        <w:spacing w:before="0" w:beforeAutospacing="0" w:after="0" w:afterAutospacing="0" w:line="33" w:lineRule="atLeast"/>
        <w:ind w:firstLineChars="300" w:firstLine="840"/>
        <w:jc w:val="both"/>
        <w:rPr>
          <w:rFonts w:ascii="宋体" w:eastAsia="宋体" w:hAnsi="宋体" w:cs="宋体"/>
          <w:sz w:val="28"/>
          <w:szCs w:val="28"/>
        </w:rPr>
      </w:pPr>
      <w:r>
        <w:rPr>
          <w:rFonts w:ascii="宋体" w:eastAsia="宋体" w:hAnsi="宋体" w:cs="宋体" w:hint="eastAsia"/>
          <w:bCs/>
          <w:sz w:val="28"/>
          <w:szCs w:val="28"/>
        </w:rPr>
        <w:t>（一）内设机构设置。</w:t>
      </w:r>
      <w:r>
        <w:rPr>
          <w:rFonts w:ascii="宋体" w:eastAsia="宋体" w:hAnsi="宋体" w:cs="宋体" w:hint="eastAsia"/>
          <w:sz w:val="28"/>
          <w:szCs w:val="28"/>
        </w:rPr>
        <w:t>岳阳市民主党派机关系市财政全额预算拨款单位，由民革岳阳市</w:t>
      </w:r>
      <w:r>
        <w:rPr>
          <w:rFonts w:ascii="宋体" w:eastAsia="宋体" w:hAnsi="宋体" w:cs="宋体" w:hint="eastAsia"/>
          <w:sz w:val="28"/>
          <w:szCs w:val="28"/>
        </w:rPr>
        <w:t>委、民盟岳阳市委、民建岳阳市委、民进岳阳市委、农工党岳阳市委、致公党岳阳市委、九三学社岳阳市委等</w:t>
      </w:r>
      <w:r>
        <w:rPr>
          <w:rFonts w:ascii="宋体" w:eastAsia="宋体" w:hAnsi="宋体" w:cs="宋体" w:hint="eastAsia"/>
          <w:sz w:val="28"/>
          <w:szCs w:val="28"/>
        </w:rPr>
        <w:t>7</w:t>
      </w:r>
      <w:r>
        <w:rPr>
          <w:rFonts w:ascii="宋体" w:eastAsia="宋体" w:hAnsi="宋体" w:cs="宋体" w:hint="eastAsia"/>
          <w:sz w:val="28"/>
          <w:szCs w:val="28"/>
        </w:rPr>
        <w:t>个民主党派市委机关和机关事务办构成。</w:t>
      </w:r>
    </w:p>
    <w:p w:rsidR="00227E2C" w:rsidRDefault="00227E2C">
      <w:pPr>
        <w:widowControl/>
        <w:spacing w:line="600" w:lineRule="exact"/>
        <w:rPr>
          <w:rFonts w:asciiTheme="minorEastAsia" w:hAnsiTheme="minorEastAsia"/>
          <w:bCs/>
          <w:kern w:val="0"/>
          <w:sz w:val="32"/>
          <w:szCs w:val="32"/>
        </w:rPr>
      </w:pPr>
    </w:p>
    <w:p w:rsidR="00227E2C" w:rsidRDefault="00DC6F88">
      <w:pPr>
        <w:widowControl/>
        <w:spacing w:line="600" w:lineRule="exact"/>
        <w:rPr>
          <w:rFonts w:ascii="宋体" w:eastAsia="宋体" w:hAnsi="宋体" w:cs="宋体"/>
          <w:bCs/>
          <w:kern w:val="0"/>
          <w:sz w:val="28"/>
          <w:szCs w:val="28"/>
        </w:rPr>
      </w:pPr>
      <w:r>
        <w:rPr>
          <w:rFonts w:ascii="宋体" w:eastAsia="宋体" w:hAnsi="宋体" w:cs="宋体" w:hint="eastAsia"/>
          <w:bCs/>
          <w:kern w:val="0"/>
          <w:sz w:val="28"/>
          <w:szCs w:val="28"/>
        </w:rPr>
        <w:lastRenderedPageBreak/>
        <w:t>（二）决算单位构成。</w:t>
      </w:r>
      <w:r>
        <w:rPr>
          <w:rFonts w:ascii="宋体" w:eastAsia="宋体" w:hAnsi="宋体" w:cs="宋体" w:hint="eastAsia"/>
          <w:bCs/>
          <w:kern w:val="0"/>
          <w:sz w:val="28"/>
          <w:szCs w:val="28"/>
        </w:rPr>
        <w:t>岳阳市民主党派机关</w:t>
      </w:r>
      <w:r>
        <w:rPr>
          <w:rFonts w:ascii="宋体" w:eastAsia="宋体" w:hAnsi="宋体" w:cs="宋体" w:hint="eastAsia"/>
          <w:bCs/>
          <w:kern w:val="0"/>
          <w:sz w:val="28"/>
          <w:szCs w:val="28"/>
        </w:rPr>
        <w:t>2020</w:t>
      </w:r>
      <w:r>
        <w:rPr>
          <w:rFonts w:ascii="宋体" w:eastAsia="宋体" w:hAnsi="宋体" w:cs="宋体" w:hint="eastAsia"/>
          <w:bCs/>
          <w:kern w:val="0"/>
          <w:sz w:val="28"/>
          <w:szCs w:val="28"/>
        </w:rPr>
        <w:t>年部门决算汇总公开单位构成包括：</w:t>
      </w:r>
      <w:r>
        <w:rPr>
          <w:rFonts w:ascii="宋体" w:eastAsia="宋体" w:hAnsi="宋体" w:cs="宋体" w:hint="eastAsia"/>
          <w:sz w:val="28"/>
          <w:szCs w:val="28"/>
        </w:rPr>
        <w:t>本</w:t>
      </w:r>
      <w:r>
        <w:rPr>
          <w:rFonts w:ascii="宋体" w:eastAsia="宋体" w:hAnsi="宋体" w:cs="宋体" w:hint="eastAsia"/>
          <w:sz w:val="28"/>
          <w:szCs w:val="28"/>
        </w:rPr>
        <w:t>单位只有本级，没有二级预算单位，因此，纳入</w:t>
      </w:r>
      <w:r>
        <w:rPr>
          <w:rFonts w:ascii="宋体" w:eastAsia="宋体" w:hAnsi="宋体" w:cs="宋体" w:hint="eastAsia"/>
          <w:sz w:val="28"/>
          <w:szCs w:val="28"/>
        </w:rPr>
        <w:t>2020</w:t>
      </w:r>
      <w:r>
        <w:rPr>
          <w:rFonts w:ascii="宋体" w:eastAsia="宋体" w:hAnsi="宋体" w:cs="宋体" w:hint="eastAsia"/>
          <w:sz w:val="28"/>
          <w:szCs w:val="28"/>
        </w:rPr>
        <w:t>年部门决算编制范围的只有民主党派机关部门本级。</w:t>
      </w:r>
    </w:p>
    <w:p w:rsidR="00227E2C" w:rsidRDefault="00227E2C">
      <w:pPr>
        <w:jc w:val="left"/>
        <w:rPr>
          <w:rFonts w:ascii="仿宋_GB2312" w:eastAsia="仿宋_GB2312" w:hAnsiTheme="minorEastAsia"/>
          <w:sz w:val="28"/>
          <w:szCs w:val="32"/>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rFonts w:ascii="黑体" w:eastAsia="黑体" w:hAnsi="黑体"/>
          <w:sz w:val="28"/>
          <w:szCs w:val="28"/>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DC6F88">
      <w:pPr>
        <w:jc w:val="center"/>
        <w:rPr>
          <w:sz w:val="72"/>
          <w:szCs w:val="72"/>
        </w:rPr>
      </w:pPr>
      <w:r>
        <w:rPr>
          <w:rFonts w:hint="eastAsia"/>
          <w:sz w:val="72"/>
          <w:szCs w:val="72"/>
        </w:rPr>
        <w:t>第二部分</w:t>
      </w:r>
    </w:p>
    <w:p w:rsidR="00227E2C" w:rsidRDefault="00227E2C">
      <w:pPr>
        <w:jc w:val="center"/>
        <w:rPr>
          <w:sz w:val="72"/>
          <w:szCs w:val="72"/>
        </w:rPr>
      </w:pPr>
    </w:p>
    <w:p w:rsidR="00227E2C" w:rsidRDefault="00DC6F88">
      <w:pPr>
        <w:jc w:val="center"/>
        <w:rPr>
          <w:sz w:val="72"/>
          <w:szCs w:val="72"/>
        </w:rPr>
      </w:pPr>
      <w:r>
        <w:rPr>
          <w:rFonts w:hint="eastAsia"/>
          <w:sz w:val="72"/>
          <w:szCs w:val="72"/>
        </w:rPr>
        <w:t>部门决算表</w:t>
      </w: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center"/>
        <w:rPr>
          <w:sz w:val="72"/>
          <w:szCs w:val="72"/>
        </w:rPr>
      </w:pPr>
    </w:p>
    <w:p w:rsidR="00227E2C" w:rsidRDefault="00227E2C">
      <w:pPr>
        <w:jc w:val="left"/>
        <w:rPr>
          <w:sz w:val="32"/>
          <w:szCs w:val="32"/>
        </w:rPr>
      </w:pPr>
    </w:p>
    <w:p w:rsidR="00227E2C" w:rsidRDefault="00227E2C">
      <w:pPr>
        <w:jc w:val="left"/>
        <w:rPr>
          <w:rFonts w:asciiTheme="minorEastAsia" w:hAnsiTheme="minorEastAsia"/>
          <w:sz w:val="32"/>
          <w:szCs w:val="32"/>
        </w:rPr>
        <w:sectPr w:rsidR="00227E2C">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227E2C">
        <w:trPr>
          <w:trHeight w:val="360"/>
        </w:trPr>
        <w:tc>
          <w:tcPr>
            <w:tcW w:w="14081" w:type="dxa"/>
            <w:gridSpan w:val="11"/>
            <w:tcBorders>
              <w:top w:val="nil"/>
              <w:left w:val="nil"/>
              <w:bottom w:val="nil"/>
              <w:right w:val="nil"/>
            </w:tcBorders>
            <w:shd w:val="clear" w:color="auto" w:fill="auto"/>
            <w:noWrap/>
            <w:vAlign w:val="center"/>
          </w:tcPr>
          <w:p w:rsidR="00227E2C" w:rsidRDefault="00DC6F88">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227E2C">
        <w:trPr>
          <w:trHeight w:val="199"/>
        </w:trPr>
        <w:tc>
          <w:tcPr>
            <w:tcW w:w="5206" w:type="dxa"/>
            <w:gridSpan w:val="3"/>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01</w:t>
            </w:r>
            <w:r>
              <w:rPr>
                <w:rFonts w:ascii="宋体" w:eastAsia="宋体" w:hAnsi="宋体" w:cs="宋体" w:hint="eastAsia"/>
                <w:color w:val="000000"/>
                <w:kern w:val="0"/>
                <w:sz w:val="20"/>
                <w:szCs w:val="20"/>
              </w:rPr>
              <w:t>表</w:t>
            </w:r>
          </w:p>
        </w:tc>
      </w:tr>
      <w:tr w:rsidR="00227E2C">
        <w:trPr>
          <w:trHeight w:val="300"/>
        </w:trPr>
        <w:tc>
          <w:tcPr>
            <w:tcW w:w="5206" w:type="dxa"/>
            <w:gridSpan w:val="3"/>
            <w:tcBorders>
              <w:top w:val="nil"/>
              <w:left w:val="nil"/>
              <w:bottom w:val="nil"/>
              <w:right w:val="nil"/>
            </w:tcBorders>
            <w:shd w:val="clear" w:color="000000" w:fill="FFFFFF"/>
            <w:noWrap/>
            <w:vAlign w:val="center"/>
          </w:tcPr>
          <w:p w:rsidR="00227E2C" w:rsidRDefault="00DC6F8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color w:val="000000"/>
                <w:kern w:val="0"/>
                <w:sz w:val="20"/>
                <w:szCs w:val="20"/>
              </w:rPr>
              <w:t xml:space="preserve"> </w:t>
            </w:r>
            <w:r>
              <w:rPr>
                <w:rFonts w:ascii="Times New Roman" w:eastAsia="仿宋_GB2312" w:hAnsi="Times New Roman" w:cs="Times New Roman" w:hint="eastAsia"/>
                <w:color w:val="000000"/>
                <w:kern w:val="0"/>
                <w:szCs w:val="21"/>
              </w:rPr>
              <w:t>岳阳市民主党派机关</w:t>
            </w:r>
          </w:p>
        </w:tc>
        <w:tc>
          <w:tcPr>
            <w:tcW w:w="697" w:type="dxa"/>
            <w:gridSpan w:val="2"/>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227E2C">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781.46</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31</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684.10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32</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33</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34</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35</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36</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七、文化旅游体育与传媒支出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37</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38</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77.57</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九、卫生健康支出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39</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十、节能环保支出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40</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十一、城乡社区支出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41</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十二、农林水支出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42</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十三、交通运输支出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43</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14</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十四、资源勘探工业信息等支出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44</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15</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tabs>
                <w:tab w:val="left" w:pos="615"/>
              </w:tabs>
              <w:jc w:val="left"/>
              <w:rPr>
                <w:rFonts w:ascii="宋体" w:eastAsia="宋体" w:hAnsi="宋体" w:cs="宋体"/>
                <w:kern w:val="0"/>
                <w:sz w:val="20"/>
                <w:szCs w:val="20"/>
              </w:rPr>
            </w:pPr>
            <w:r>
              <w:rPr>
                <w:rFonts w:ascii="宋体" w:eastAsia="宋体" w:hAnsi="宋体" w:cs="宋体" w:hint="eastAsia"/>
                <w:kern w:val="0"/>
                <w:sz w:val="20"/>
                <w:szCs w:val="20"/>
              </w:rPr>
              <w:t>十五、商业服务业等支出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45</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16</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十六、金融支出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46</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17</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十七、援助其他地区支出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47</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18</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十八、自然资源海洋气象等支出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48</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19</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tabs>
                <w:tab w:val="left" w:pos="233"/>
              </w:tabs>
              <w:jc w:val="left"/>
              <w:rPr>
                <w:rFonts w:ascii="宋体" w:eastAsia="宋体" w:hAnsi="宋体" w:cs="宋体"/>
                <w:kern w:val="0"/>
                <w:sz w:val="20"/>
                <w:szCs w:val="20"/>
              </w:rPr>
            </w:pPr>
            <w:r>
              <w:rPr>
                <w:rFonts w:ascii="宋体" w:eastAsia="宋体" w:hAnsi="宋体" w:cs="宋体" w:hint="eastAsia"/>
                <w:kern w:val="0"/>
                <w:sz w:val="20"/>
                <w:szCs w:val="20"/>
              </w:rPr>
              <w:t>十九、住房保障支出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49</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20</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二十、粮油物资储备支出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50</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21</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二十一、国有资本经营预算支出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51</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22</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二十二、灾害防治及应急管理支出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52</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23</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二十三、其他支出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53</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24</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二十四、债务还本支出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54</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25</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二十五、债务付息支出</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55</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26</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 xml:space="preserve">二十六、抗疫特别国债安排的支出　</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56</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27</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b/>
                <w:bCs/>
                <w:kern w:val="0"/>
                <w:sz w:val="22"/>
              </w:rPr>
              <w:t>781.46</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57</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b/>
                <w:bCs/>
                <w:kern w:val="0"/>
                <w:sz w:val="22"/>
              </w:rPr>
              <w:t>782.47</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28</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结余分配</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58</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r>
      <w:tr w:rsidR="00227E2C">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29</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130.36</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59</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129.35</w:t>
            </w:r>
          </w:p>
        </w:tc>
      </w:tr>
      <w:tr w:rsidR="00227E2C">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30</w:t>
            </w:r>
          </w:p>
        </w:tc>
        <w:tc>
          <w:tcPr>
            <w:tcW w:w="1230"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b/>
                <w:bCs/>
                <w:kern w:val="0"/>
                <w:sz w:val="22"/>
              </w:rPr>
              <w:t>911.82</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60</w:t>
            </w:r>
          </w:p>
        </w:tc>
        <w:tc>
          <w:tcPr>
            <w:tcW w:w="3633" w:type="dxa"/>
            <w:gridSpan w:val="3"/>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 xml:space="preserve">　</w:t>
            </w:r>
            <w:r>
              <w:rPr>
                <w:rFonts w:ascii="宋体" w:eastAsia="宋体" w:hAnsi="宋体" w:cs="宋体" w:hint="eastAsia"/>
                <w:b/>
                <w:bCs/>
                <w:kern w:val="0"/>
                <w:sz w:val="22"/>
              </w:rPr>
              <w:t>911.82</w:t>
            </w:r>
          </w:p>
        </w:tc>
      </w:tr>
      <w:tr w:rsidR="00227E2C">
        <w:trPr>
          <w:trHeight w:val="1020"/>
        </w:trPr>
        <w:tc>
          <w:tcPr>
            <w:tcW w:w="14081" w:type="dxa"/>
            <w:gridSpan w:val="11"/>
            <w:tcBorders>
              <w:top w:val="nil"/>
              <w:left w:val="nil"/>
              <w:bottom w:val="nil"/>
              <w:right w:val="nil"/>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本表反映部门本年度的总收支和年末结转结余情况。</w:t>
            </w:r>
            <w:r>
              <w:rPr>
                <w:rFonts w:ascii="宋体" w:eastAsia="宋体" w:hAnsi="宋体" w:cs="宋体" w:hint="eastAsia"/>
                <w:kern w:val="0"/>
                <w:sz w:val="24"/>
                <w:szCs w:val="24"/>
              </w:rPr>
              <w:br/>
              <w:t xml:space="preserve"> 2.</w:t>
            </w:r>
            <w:r>
              <w:rPr>
                <w:rFonts w:ascii="宋体" w:eastAsia="宋体" w:hAnsi="宋体" w:cs="宋体" w:hint="eastAsia"/>
                <w:kern w:val="0"/>
                <w:sz w:val="24"/>
                <w:szCs w:val="24"/>
              </w:rPr>
              <w:t>本套报表金额单位转换时可能存在尾数误差。</w:t>
            </w:r>
          </w:p>
        </w:tc>
      </w:tr>
    </w:tbl>
    <w:p w:rsidR="00227E2C" w:rsidRDefault="00227E2C">
      <w:pPr>
        <w:jc w:val="center"/>
        <w:rPr>
          <w:rFonts w:ascii="黑体" w:eastAsia="黑体" w:hAnsi="黑体"/>
          <w:sz w:val="28"/>
          <w:szCs w:val="28"/>
        </w:rPr>
        <w:sectPr w:rsidR="00227E2C">
          <w:pgSz w:w="16838" w:h="11906" w:orient="landscape"/>
          <w:pgMar w:top="1797" w:right="1440" w:bottom="1797" w:left="1440" w:header="851" w:footer="992" w:gutter="0"/>
          <w:cols w:space="425"/>
          <w:docGrid w:type="linesAndChars" w:linePitch="312"/>
        </w:sectPr>
      </w:pPr>
    </w:p>
    <w:tbl>
      <w:tblPr>
        <w:tblW w:w="14402" w:type="dxa"/>
        <w:tblCellMar>
          <w:left w:w="0" w:type="dxa"/>
          <w:right w:w="0" w:type="dxa"/>
        </w:tblCellMar>
        <w:tblLook w:val="04A0"/>
      </w:tblPr>
      <w:tblGrid>
        <w:gridCol w:w="365"/>
        <w:gridCol w:w="365"/>
        <w:gridCol w:w="3230"/>
        <w:gridCol w:w="1671"/>
        <w:gridCol w:w="1671"/>
        <w:gridCol w:w="1556"/>
        <w:gridCol w:w="1464"/>
        <w:gridCol w:w="1384"/>
        <w:gridCol w:w="1316"/>
        <w:gridCol w:w="2039"/>
      </w:tblGrid>
      <w:tr w:rsidR="00227E2C">
        <w:trPr>
          <w:trHeight w:val="435"/>
        </w:trPr>
        <w:tc>
          <w:tcPr>
            <w:tcW w:w="14402"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227E2C" w:rsidRDefault="00DC6F88">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227E2C">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227E2C">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rPr>
                <w:rFonts w:ascii="宋体" w:eastAsia="宋体" w:hAnsi="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left"/>
              <w:rPr>
                <w:rFonts w:ascii="宋体" w:eastAsia="宋体" w:hAnsi="宋体" w:cs="宋体"/>
                <w:sz w:val="24"/>
                <w:szCs w:val="24"/>
              </w:rPr>
            </w:pPr>
            <w:r>
              <w:rPr>
                <w:rFonts w:ascii="Times New Roman" w:eastAsia="仿宋_GB2312" w:hAnsi="Times New Roman" w:cs="Times New Roman" w:hint="eastAsia"/>
                <w:color w:val="000000"/>
                <w:kern w:val="0"/>
                <w:szCs w:val="21"/>
              </w:rPr>
              <w:t>岳阳市民主党派机关</w:t>
            </w: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227E2C" w:rsidRDefault="00DC6F88">
            <w:pPr>
              <w:jc w:val="right"/>
              <w:rPr>
                <w:rFonts w:ascii="宋体" w:eastAsia="宋体" w:hAnsi="宋体" w:cs="宋体"/>
                <w:color w:val="000000"/>
                <w:sz w:val="20"/>
                <w:szCs w:val="20"/>
              </w:rPr>
            </w:pPr>
            <w:r>
              <w:rPr>
                <w:rFonts w:hint="eastAsia"/>
                <w:color w:val="000000"/>
                <w:sz w:val="20"/>
                <w:szCs w:val="20"/>
              </w:rPr>
              <w:t>单位：万元</w:t>
            </w:r>
          </w:p>
        </w:tc>
      </w:tr>
      <w:tr w:rsidR="00227E2C">
        <w:trPr>
          <w:trHeight w:val="450"/>
        </w:trPr>
        <w:tc>
          <w:tcPr>
            <w:tcW w:w="1999"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本年收入合计</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财政拨款收入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上级补助收入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事业收入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经营收入</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附属单位上缴收入</w:t>
            </w:r>
          </w:p>
        </w:tc>
        <w:tc>
          <w:tcPr>
            <w:tcW w:w="237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其他收入</w:t>
            </w:r>
          </w:p>
        </w:tc>
      </w:tr>
      <w:tr w:rsidR="00227E2C">
        <w:trPr>
          <w:trHeight w:val="450"/>
        </w:trPr>
        <w:tc>
          <w:tcPr>
            <w:tcW w:w="63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功能分类科目编码</w:t>
            </w:r>
          </w:p>
        </w:tc>
        <w:tc>
          <w:tcPr>
            <w:tcW w:w="1369"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r>
      <w:tr w:rsidR="00227E2C">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27E2C" w:rsidRDefault="00227E2C">
            <w:pPr>
              <w:rPr>
                <w:rFonts w:ascii="宋体" w:eastAsia="宋体" w:hAnsi="宋体" w:cs="宋体"/>
                <w:sz w:val="24"/>
                <w:szCs w:val="24"/>
              </w:rPr>
            </w:pPr>
          </w:p>
        </w:tc>
      </w:tr>
      <w:tr w:rsidR="00227E2C">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栏次</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7</w:t>
            </w:r>
          </w:p>
        </w:tc>
      </w:tr>
      <w:tr w:rsidR="00227E2C">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jc w:val="center"/>
              <w:rPr>
                <w:rFonts w:ascii="宋体" w:eastAsia="宋体" w:hAnsi="宋体" w:cs="宋体"/>
                <w:sz w:val="24"/>
                <w:szCs w:val="24"/>
              </w:rPr>
            </w:pPr>
            <w:r>
              <w:rPr>
                <w:rFonts w:hint="eastAsia"/>
              </w:rPr>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781.46</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781.46</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一般公共服务支出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ab/>
              <w:t>674.58</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674.58</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民主党派及工商联事务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674.58</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674.58</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行政运行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325.41</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325.41</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一般行政管理事务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226.77</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226.77</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参政议政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教育费支出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20509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教育费附加安排的支出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2050999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其他教育费附加安排的支出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社会保障和就业支出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81.66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81.66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20805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行政事业单位离退休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81.66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81.66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2080505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机关事业单位基本养老保险缴费支出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37.19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37.19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2080599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其他行政事业单位离退休支出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44.47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44.47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卫生健康支出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17.22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17.22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21011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行政事业单位医疗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17.22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17.22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lastRenderedPageBreak/>
              <w:t>2101101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行政单位医疗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17.22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17.22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其他支出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22999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其他支出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2299901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其他支出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615"/>
        </w:trPr>
        <w:tc>
          <w:tcPr>
            <w:tcW w:w="14402" w:type="dxa"/>
            <w:gridSpan w:val="10"/>
            <w:tcBorders>
              <w:top w:val="nil"/>
              <w:left w:val="nil"/>
              <w:bottom w:val="nil"/>
              <w:right w:val="nil"/>
            </w:tcBorders>
            <w:shd w:val="clear" w:color="auto" w:fill="auto"/>
            <w:tcMar>
              <w:top w:w="15" w:type="dxa"/>
              <w:left w:w="15" w:type="dxa"/>
              <w:bottom w:w="0" w:type="dxa"/>
              <w:right w:w="15" w:type="dxa"/>
            </w:tcMar>
            <w:vAlign w:val="center"/>
          </w:tcPr>
          <w:p w:rsidR="00227E2C" w:rsidRDefault="00DC6F88">
            <w:pPr>
              <w:rPr>
                <w:rFonts w:ascii="宋体" w:eastAsia="宋体" w:hAnsi="宋体" w:cs="宋体"/>
                <w:sz w:val="24"/>
                <w:szCs w:val="24"/>
              </w:rPr>
            </w:pPr>
            <w:r>
              <w:rPr>
                <w:rFonts w:hint="eastAsia"/>
              </w:rPr>
              <w:t>注：本表反映部门本年度取得的各项收入情况。</w:t>
            </w:r>
          </w:p>
        </w:tc>
      </w:tr>
    </w:tbl>
    <w:p w:rsidR="00227E2C" w:rsidRDefault="00DC6F88">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227E2C" w:rsidRDefault="00227E2C">
      <w:pPr>
        <w:widowControl/>
        <w:rPr>
          <w:rFonts w:ascii="Times New Roman" w:eastAsia="方正小标宋_GBK" w:hAnsi="Times New Roman" w:cs="Times New Roman"/>
          <w:color w:val="000000"/>
          <w:kern w:val="0"/>
          <w:sz w:val="36"/>
          <w:szCs w:val="36"/>
        </w:rPr>
      </w:pPr>
    </w:p>
    <w:tbl>
      <w:tblPr>
        <w:tblW w:w="13183" w:type="dxa"/>
        <w:tblInd w:w="93" w:type="dxa"/>
        <w:tblLayout w:type="fixed"/>
        <w:tblLook w:val="04A0"/>
      </w:tblPr>
      <w:tblGrid>
        <w:gridCol w:w="1042"/>
        <w:gridCol w:w="240"/>
        <w:gridCol w:w="2134"/>
        <w:gridCol w:w="1691"/>
        <w:gridCol w:w="1814"/>
        <w:gridCol w:w="1500"/>
        <w:gridCol w:w="1663"/>
        <w:gridCol w:w="1514"/>
        <w:gridCol w:w="1585"/>
      </w:tblGrid>
      <w:tr w:rsidR="00227E2C">
        <w:trPr>
          <w:trHeight w:val="435"/>
        </w:trPr>
        <w:tc>
          <w:tcPr>
            <w:tcW w:w="13183" w:type="dxa"/>
            <w:gridSpan w:val="9"/>
            <w:tcBorders>
              <w:top w:val="nil"/>
              <w:left w:val="nil"/>
              <w:bottom w:val="nil"/>
              <w:right w:val="nil"/>
            </w:tcBorders>
            <w:shd w:val="clear" w:color="auto" w:fill="auto"/>
            <w:noWrap/>
            <w:vAlign w:val="center"/>
          </w:tcPr>
          <w:p w:rsidR="00227E2C" w:rsidRDefault="00DC6F88">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227E2C">
        <w:trPr>
          <w:trHeight w:val="285"/>
        </w:trPr>
        <w:tc>
          <w:tcPr>
            <w:tcW w:w="1042"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0"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3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91"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1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00"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63"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85"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227E2C">
        <w:trPr>
          <w:trHeight w:val="285"/>
        </w:trPr>
        <w:tc>
          <w:tcPr>
            <w:tcW w:w="1042" w:type="dxa"/>
            <w:tcBorders>
              <w:top w:val="nil"/>
              <w:left w:val="nil"/>
              <w:bottom w:val="nil"/>
              <w:right w:val="nil"/>
            </w:tcBorders>
            <w:shd w:val="clear" w:color="000000" w:fill="FFFFFF"/>
            <w:noWrap/>
            <w:vAlign w:val="center"/>
          </w:tcPr>
          <w:p w:rsidR="00227E2C" w:rsidRDefault="00DC6F8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40"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3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Times New Roman" w:eastAsia="仿宋_GB2312" w:hAnsi="Times New Roman" w:cs="Times New Roman" w:hint="eastAsia"/>
                <w:color w:val="000000"/>
                <w:kern w:val="0"/>
                <w:szCs w:val="21"/>
              </w:rPr>
              <w:t>岳阳市民主党派机关</w:t>
            </w:r>
            <w:r>
              <w:rPr>
                <w:rFonts w:ascii="宋体" w:eastAsia="宋体" w:hAnsi="宋体" w:cs="宋体" w:hint="eastAsia"/>
                <w:kern w:val="0"/>
                <w:sz w:val="24"/>
                <w:szCs w:val="24"/>
              </w:rPr>
              <w:t xml:space="preserve">　</w:t>
            </w:r>
          </w:p>
        </w:tc>
        <w:tc>
          <w:tcPr>
            <w:tcW w:w="1691"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1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00" w:type="dxa"/>
            <w:tcBorders>
              <w:top w:val="nil"/>
              <w:left w:val="nil"/>
              <w:bottom w:val="nil"/>
              <w:right w:val="nil"/>
            </w:tcBorders>
            <w:shd w:val="clear" w:color="000000" w:fill="FFFFFF"/>
            <w:noWrap/>
            <w:vAlign w:val="center"/>
          </w:tcPr>
          <w:p w:rsidR="00227E2C" w:rsidRDefault="00DC6F8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63"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85"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227E2C">
        <w:trPr>
          <w:trHeight w:val="450"/>
        </w:trPr>
        <w:tc>
          <w:tcPr>
            <w:tcW w:w="341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6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5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227E2C">
        <w:trPr>
          <w:trHeight w:val="450"/>
        </w:trPr>
        <w:tc>
          <w:tcPr>
            <w:tcW w:w="12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34" w:type="dxa"/>
            <w:vMerge w:val="restart"/>
            <w:tcBorders>
              <w:top w:val="nil"/>
              <w:left w:val="single" w:sz="4" w:space="0" w:color="auto"/>
              <w:bottom w:val="single" w:sz="4" w:space="0" w:color="auto"/>
              <w:right w:val="single" w:sz="4" w:space="0" w:color="auto"/>
            </w:tcBorders>
            <w:shd w:val="clear" w:color="000000" w:fill="FFFFFF"/>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691"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r>
      <w:tr w:rsidR="00227E2C">
        <w:trPr>
          <w:trHeight w:val="450"/>
        </w:trPr>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2134" w:type="dxa"/>
            <w:vMerge/>
            <w:tcBorders>
              <w:top w:val="nil"/>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r>
      <w:tr w:rsidR="00227E2C">
        <w:trPr>
          <w:trHeight w:val="450"/>
        </w:trPr>
        <w:tc>
          <w:tcPr>
            <w:tcW w:w="341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691"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81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00"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663"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1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85"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227E2C">
        <w:trPr>
          <w:trHeight w:val="450"/>
        </w:trPr>
        <w:tc>
          <w:tcPr>
            <w:tcW w:w="341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782.47</w:t>
            </w:r>
            <w:r>
              <w:rPr>
                <w:rFonts w:ascii="宋体" w:eastAsia="宋体" w:hAnsi="宋体" w:cs="宋体" w:hint="eastAsia"/>
                <w:kern w:val="0"/>
                <w:sz w:val="22"/>
              </w:rPr>
              <w:t xml:space="preserve">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504.35</w:t>
            </w:r>
            <w:r>
              <w:rPr>
                <w:rFonts w:ascii="宋体" w:eastAsia="宋体" w:hAnsi="宋体" w:cs="宋体"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278.12</w:t>
            </w:r>
            <w:r>
              <w:rPr>
                <w:rFonts w:ascii="宋体" w:eastAsia="宋体" w:hAnsi="宋体" w:cs="宋体" w:hint="eastAsia"/>
                <w:kern w:val="0"/>
                <w:sz w:val="22"/>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684.10</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410.98</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273.12</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20128</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民主党派及工商联事务</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684.10</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410.98</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273.12</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2012801</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351.68</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351.68</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2012802</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210.02</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210.02</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2012804</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参政议政</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122.40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59.30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63.10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77.57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77.57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行政事业单位离退休</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77.57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77.57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机关事业单位基本养老保险缴费支出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33.10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33.10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2080599</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其他行政事业单位离退休支出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44.47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44.47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卫生健康支出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15.80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15.80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行政事业单位医疗</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15.80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15.80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2101101</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行政单位医疗</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15.80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15.80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229</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5.00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5.00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22999</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5.00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5.00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2299901</w:t>
            </w:r>
          </w:p>
        </w:tc>
        <w:tc>
          <w:tcPr>
            <w:tcW w:w="213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其他支出</w:t>
            </w:r>
          </w:p>
        </w:tc>
        <w:tc>
          <w:tcPr>
            <w:tcW w:w="1691"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5.00 </w:t>
            </w:r>
          </w:p>
        </w:tc>
        <w:tc>
          <w:tcPr>
            <w:tcW w:w="18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00"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5.00 </w:t>
            </w:r>
          </w:p>
        </w:tc>
        <w:tc>
          <w:tcPr>
            <w:tcW w:w="166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1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85"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227E2C">
        <w:trPr>
          <w:trHeight w:val="630"/>
        </w:trPr>
        <w:tc>
          <w:tcPr>
            <w:tcW w:w="13183" w:type="dxa"/>
            <w:gridSpan w:val="9"/>
            <w:tcBorders>
              <w:top w:val="nil"/>
              <w:left w:val="nil"/>
              <w:bottom w:val="nil"/>
              <w:right w:val="nil"/>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227E2C" w:rsidRDefault="00227E2C">
      <w:pPr>
        <w:widowControl/>
        <w:ind w:left="93"/>
        <w:jc w:val="center"/>
        <w:rPr>
          <w:rFonts w:ascii="Times New Roman" w:eastAsia="方正小标宋_GBK" w:hAnsi="Times New Roman" w:cs="Times New Roman"/>
          <w:color w:val="000000"/>
          <w:kern w:val="0"/>
          <w:sz w:val="36"/>
          <w:szCs w:val="21"/>
        </w:rPr>
      </w:pPr>
    </w:p>
    <w:p w:rsidR="00227E2C" w:rsidRDefault="00227E2C">
      <w:pPr>
        <w:widowControl/>
        <w:ind w:left="93"/>
        <w:jc w:val="center"/>
        <w:rPr>
          <w:rFonts w:ascii="Times New Roman" w:eastAsia="方正小标宋_GBK" w:hAnsi="Times New Roman" w:cs="Times New Roman"/>
          <w:color w:val="000000"/>
          <w:kern w:val="0"/>
          <w:sz w:val="36"/>
          <w:szCs w:val="21"/>
        </w:rPr>
      </w:pPr>
    </w:p>
    <w:p w:rsidR="00227E2C" w:rsidRDefault="00227E2C">
      <w:pPr>
        <w:widowControl/>
        <w:ind w:left="93"/>
        <w:jc w:val="center"/>
        <w:rPr>
          <w:rFonts w:ascii="Times New Roman" w:eastAsia="方正小标宋_GBK" w:hAnsi="Times New Roman" w:cs="Times New Roman"/>
          <w:color w:val="000000"/>
          <w:kern w:val="0"/>
          <w:sz w:val="36"/>
          <w:szCs w:val="21"/>
        </w:rPr>
      </w:pPr>
    </w:p>
    <w:p w:rsidR="00227E2C" w:rsidRDefault="00227E2C">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227E2C">
        <w:trPr>
          <w:trHeight w:val="285"/>
        </w:trPr>
        <w:tc>
          <w:tcPr>
            <w:tcW w:w="3595" w:type="dxa"/>
            <w:tcBorders>
              <w:top w:val="nil"/>
              <w:left w:val="nil"/>
              <w:bottom w:val="nil"/>
              <w:right w:val="nil"/>
            </w:tcBorders>
            <w:shd w:val="clear" w:color="auto" w:fill="auto"/>
            <w:noWrap/>
            <w:vAlign w:val="center"/>
          </w:tcPr>
          <w:p w:rsidR="00227E2C" w:rsidRDefault="00227E2C">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227E2C" w:rsidRDefault="00227E2C">
            <w:pPr>
              <w:widowControl/>
              <w:jc w:val="right"/>
              <w:rPr>
                <w:rFonts w:ascii="宋体" w:eastAsia="宋体" w:hAnsi="宋体" w:cs="宋体"/>
                <w:kern w:val="0"/>
                <w:sz w:val="24"/>
                <w:szCs w:val="24"/>
              </w:rPr>
            </w:pPr>
          </w:p>
        </w:tc>
      </w:tr>
      <w:tr w:rsidR="00227E2C">
        <w:trPr>
          <w:trHeight w:val="360"/>
        </w:trPr>
        <w:tc>
          <w:tcPr>
            <w:tcW w:w="15521" w:type="dxa"/>
            <w:gridSpan w:val="11"/>
            <w:tcBorders>
              <w:top w:val="nil"/>
              <w:left w:val="nil"/>
              <w:bottom w:val="nil"/>
              <w:right w:val="nil"/>
            </w:tcBorders>
            <w:shd w:val="clear" w:color="auto" w:fill="auto"/>
            <w:noWrap/>
            <w:vAlign w:val="center"/>
          </w:tcPr>
          <w:p w:rsidR="00227E2C" w:rsidRDefault="00DC6F88">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227E2C">
        <w:trPr>
          <w:trHeight w:val="199"/>
        </w:trPr>
        <w:tc>
          <w:tcPr>
            <w:tcW w:w="3595"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227E2C">
        <w:trPr>
          <w:trHeight w:val="300"/>
        </w:trPr>
        <w:tc>
          <w:tcPr>
            <w:tcW w:w="3595" w:type="dxa"/>
            <w:tcBorders>
              <w:top w:val="nil"/>
              <w:left w:val="nil"/>
              <w:bottom w:val="nil"/>
              <w:right w:val="nil"/>
            </w:tcBorders>
            <w:shd w:val="clear" w:color="000000" w:fill="FFFFFF"/>
            <w:noWrap/>
            <w:vAlign w:val="center"/>
          </w:tcPr>
          <w:p w:rsidR="00227E2C" w:rsidRDefault="00DC6F8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Times New Roman" w:eastAsia="仿宋_GB2312" w:hAnsi="Times New Roman" w:cs="Times New Roman" w:hint="eastAsia"/>
                <w:color w:val="000000"/>
                <w:kern w:val="0"/>
                <w:szCs w:val="21"/>
              </w:rPr>
              <w:t>岳阳市民主党派机关</w:t>
            </w:r>
          </w:p>
        </w:tc>
        <w:tc>
          <w:tcPr>
            <w:tcW w:w="436"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227E2C">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227E2C">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781.46</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33</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684.10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684.10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34</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35</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36</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37</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38</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七、文化旅游体育与传媒支出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39</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77.57</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77.57</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41</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十、节能环保支出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42</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十一、城乡社区支出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43</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44</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十三、交通运输支出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45</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十四、资源勘探工业信息等支出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46</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15</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tabs>
                <w:tab w:val="left" w:pos="615"/>
              </w:tabs>
              <w:jc w:val="left"/>
              <w:rPr>
                <w:rFonts w:ascii="宋体" w:eastAsia="宋体" w:hAnsi="宋体" w:cs="宋体"/>
                <w:kern w:val="0"/>
                <w:sz w:val="20"/>
                <w:szCs w:val="20"/>
              </w:rPr>
            </w:pPr>
            <w:r>
              <w:rPr>
                <w:rFonts w:ascii="宋体" w:eastAsia="宋体" w:hAnsi="宋体" w:cs="宋体" w:hint="eastAsia"/>
                <w:kern w:val="0"/>
                <w:sz w:val="20"/>
                <w:szCs w:val="20"/>
              </w:rPr>
              <w:t>十五、商业服务业等支出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47</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16</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十六、金融支出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48</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17</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十七、援助其他地区支出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49</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18</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十八、自然资源海洋气象等支出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19</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tabs>
                <w:tab w:val="left" w:pos="233"/>
              </w:tabs>
              <w:jc w:val="left"/>
              <w:rPr>
                <w:rFonts w:ascii="宋体" w:eastAsia="宋体" w:hAnsi="宋体" w:cs="宋体"/>
                <w:kern w:val="0"/>
                <w:sz w:val="20"/>
                <w:szCs w:val="20"/>
              </w:rPr>
            </w:pPr>
            <w:r>
              <w:rPr>
                <w:rFonts w:ascii="宋体" w:eastAsia="宋体" w:hAnsi="宋体" w:cs="宋体" w:hint="eastAsia"/>
                <w:kern w:val="0"/>
                <w:sz w:val="20"/>
                <w:szCs w:val="20"/>
              </w:rPr>
              <w:t>十九、住房保障支出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51</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20</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二十、粮油物资储备支出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52</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21</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二十一、国有资本经营预算支出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53</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22</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二十二、灾害防治及应急管理支出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54</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23</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二十三、其他支出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55</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227E2C">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24</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二十四、债务还本支出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56</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25</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二十五、债务付息支出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57</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26</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 xml:space="preserve">二十六、抗疫特别国债安排的支出　</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58</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27</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b/>
                <w:bCs/>
                <w:kern w:val="0"/>
                <w:sz w:val="22"/>
              </w:rPr>
              <w:t>781.46</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59</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782.47</w:t>
            </w:r>
            <w:r>
              <w:rPr>
                <w:rFonts w:ascii="宋体" w:eastAsia="宋体" w:hAnsi="宋体" w:cs="宋体" w:hint="eastAsia"/>
                <w:b/>
                <w:bCs/>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782.47</w:t>
            </w:r>
            <w:r>
              <w:rPr>
                <w:rFonts w:ascii="宋体" w:eastAsia="宋体" w:hAnsi="宋体" w:cs="宋体" w:hint="eastAsia"/>
                <w:b/>
                <w:bCs/>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 xml:space="preserve">　</w:t>
            </w:r>
            <w:r>
              <w:rPr>
                <w:rFonts w:ascii="宋体" w:eastAsia="宋体" w:hAnsi="宋体" w:cs="宋体" w:hint="eastAsia"/>
                <w:b/>
                <w:bCs/>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0.00</w:t>
            </w:r>
            <w:r>
              <w:rPr>
                <w:rFonts w:ascii="宋体" w:eastAsia="宋体" w:hAnsi="宋体" w:cs="宋体" w:hint="eastAsia"/>
                <w:b/>
                <w:bCs/>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28</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130.36</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129.35</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129.35</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29</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130.36</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61</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30</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62</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31</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3411"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63</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27E2C">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lastRenderedPageBreak/>
              <w:t>总计</w:t>
            </w:r>
          </w:p>
        </w:tc>
        <w:tc>
          <w:tcPr>
            <w:tcW w:w="436"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32</w:t>
            </w:r>
          </w:p>
        </w:tc>
        <w:tc>
          <w:tcPr>
            <w:tcW w:w="1078"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b/>
                <w:bCs/>
                <w:kern w:val="0"/>
                <w:sz w:val="22"/>
              </w:rPr>
              <w:t>911.82</w:t>
            </w:r>
          </w:p>
        </w:tc>
        <w:tc>
          <w:tcPr>
            <w:tcW w:w="3411" w:type="dxa"/>
            <w:gridSpan w:val="2"/>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227E2C" w:rsidRDefault="00DC6F88">
            <w:pPr>
              <w:widowControl/>
              <w:jc w:val="center"/>
              <w:rPr>
                <w:rFonts w:ascii="宋体" w:eastAsia="宋体" w:hAnsi="宋体" w:cs="宋体"/>
                <w:kern w:val="0"/>
                <w:sz w:val="22"/>
              </w:rPr>
            </w:pPr>
            <w:r>
              <w:rPr>
                <w:rFonts w:ascii="宋体" w:eastAsia="宋体" w:hAnsi="宋体" w:cs="宋体" w:hint="eastAsia"/>
                <w:kern w:val="0"/>
                <w:sz w:val="22"/>
              </w:rPr>
              <w:t>64</w:t>
            </w:r>
          </w:p>
        </w:tc>
        <w:tc>
          <w:tcPr>
            <w:tcW w:w="1573"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 xml:space="preserve">　</w:t>
            </w:r>
            <w:r>
              <w:rPr>
                <w:rFonts w:ascii="宋体" w:eastAsia="宋体" w:hAnsi="宋体" w:cs="宋体" w:hint="eastAsia"/>
                <w:b/>
                <w:bCs/>
                <w:kern w:val="0"/>
                <w:sz w:val="22"/>
              </w:rPr>
              <w:t>911.82</w:t>
            </w:r>
          </w:p>
        </w:tc>
        <w:tc>
          <w:tcPr>
            <w:tcW w:w="1394" w:type="dxa"/>
            <w:tcBorders>
              <w:top w:val="nil"/>
              <w:left w:val="nil"/>
              <w:bottom w:val="single" w:sz="4" w:space="0" w:color="auto"/>
              <w:right w:val="single" w:sz="4" w:space="0" w:color="auto"/>
            </w:tcBorders>
            <w:shd w:val="clear" w:color="000000" w:fill="FFFFFF"/>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 xml:space="preserve">　</w:t>
            </w:r>
            <w:r>
              <w:rPr>
                <w:rFonts w:ascii="宋体" w:eastAsia="宋体" w:hAnsi="宋体" w:cs="宋体" w:hint="eastAsia"/>
                <w:b/>
                <w:bCs/>
                <w:kern w:val="0"/>
                <w:sz w:val="22"/>
              </w:rPr>
              <w:t>911.82</w:t>
            </w:r>
          </w:p>
        </w:tc>
        <w:tc>
          <w:tcPr>
            <w:tcW w:w="1394"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 xml:space="preserve">　</w:t>
            </w:r>
            <w:r>
              <w:rPr>
                <w:rFonts w:ascii="宋体" w:eastAsia="宋体" w:hAnsi="宋体" w:cs="宋体" w:hint="eastAsia"/>
                <w:b/>
                <w:bCs/>
                <w:kern w:val="0"/>
                <w:sz w:val="22"/>
              </w:rPr>
              <w:t>0.00</w:t>
            </w:r>
          </w:p>
        </w:tc>
        <w:tc>
          <w:tcPr>
            <w:tcW w:w="1573"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b/>
                <w:bCs/>
                <w:kern w:val="0"/>
                <w:sz w:val="22"/>
              </w:rPr>
            </w:pPr>
            <w:r>
              <w:rPr>
                <w:rFonts w:ascii="宋体" w:eastAsia="宋体" w:hAnsi="宋体" w:cs="宋体" w:hint="eastAsia"/>
                <w:b/>
                <w:bCs/>
                <w:kern w:val="0"/>
                <w:sz w:val="22"/>
              </w:rPr>
              <w:t>0.00</w:t>
            </w:r>
            <w:r>
              <w:rPr>
                <w:rFonts w:ascii="宋体" w:eastAsia="宋体" w:hAnsi="宋体" w:cs="宋体" w:hint="eastAsia"/>
                <w:b/>
                <w:bCs/>
                <w:kern w:val="0"/>
                <w:sz w:val="22"/>
              </w:rPr>
              <w:t xml:space="preserve">　</w:t>
            </w:r>
          </w:p>
        </w:tc>
      </w:tr>
      <w:tr w:rsidR="00227E2C">
        <w:trPr>
          <w:trHeight w:val="585"/>
        </w:trPr>
        <w:tc>
          <w:tcPr>
            <w:tcW w:w="15521" w:type="dxa"/>
            <w:gridSpan w:val="11"/>
            <w:tcBorders>
              <w:top w:val="nil"/>
              <w:left w:val="nil"/>
              <w:bottom w:val="nil"/>
              <w:right w:val="nil"/>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227E2C" w:rsidRDefault="00227E2C">
      <w:pPr>
        <w:widowControl/>
        <w:jc w:val="center"/>
        <w:rPr>
          <w:rFonts w:ascii="Times New Roman" w:eastAsia="方正小标宋_GBK" w:hAnsi="Times New Roman" w:cs="Times New Roman"/>
          <w:kern w:val="0"/>
          <w:sz w:val="36"/>
          <w:szCs w:val="36"/>
        </w:rPr>
      </w:pPr>
    </w:p>
    <w:p w:rsidR="00227E2C" w:rsidRDefault="00227E2C">
      <w:pPr>
        <w:widowControl/>
        <w:jc w:val="center"/>
        <w:rPr>
          <w:rFonts w:ascii="Times New Roman" w:eastAsia="方正小标宋_GBK" w:hAnsi="Times New Roman" w:cs="Times New Roman"/>
          <w:kern w:val="0"/>
          <w:sz w:val="36"/>
          <w:szCs w:val="36"/>
        </w:rPr>
      </w:pPr>
    </w:p>
    <w:p w:rsidR="00227E2C" w:rsidRDefault="00DC6F88">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227E2C" w:rsidRDefault="00DC6F88" w:rsidP="007126B3">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岳阳市民主党派机关</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227E2C" w:rsidRDefault="00DC6F88">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227E2C">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227E2C">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227E2C">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227E2C" w:rsidRDefault="00227E2C">
            <w:pPr>
              <w:widowControl/>
              <w:jc w:val="left"/>
              <w:rPr>
                <w:rFonts w:ascii="Times New Roman" w:eastAsia="仿宋_GB2312" w:hAnsi="Times New Roman" w:cs="Times New Roman"/>
                <w:kern w:val="0"/>
                <w:szCs w:val="21"/>
              </w:rPr>
            </w:pPr>
          </w:p>
        </w:tc>
      </w:tr>
      <w:tr w:rsidR="00227E2C">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227E2C" w:rsidRDefault="00227E2C">
            <w:pPr>
              <w:widowControl/>
              <w:jc w:val="left"/>
              <w:rPr>
                <w:rFonts w:ascii="Times New Roman" w:eastAsia="仿宋_GB2312" w:hAnsi="Times New Roman" w:cs="Times New Roman"/>
                <w:kern w:val="0"/>
                <w:szCs w:val="21"/>
              </w:rPr>
            </w:pPr>
          </w:p>
        </w:tc>
      </w:tr>
      <w:tr w:rsidR="00227E2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227E2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782.47</w:t>
            </w:r>
            <w:r>
              <w:rPr>
                <w:rFonts w:ascii="宋体" w:eastAsia="宋体" w:hAnsi="宋体" w:cs="宋体" w:hint="eastAsia"/>
                <w:kern w:val="0"/>
                <w:sz w:val="22"/>
              </w:rPr>
              <w:t xml:space="preserve">　</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504.35</w:t>
            </w:r>
            <w:r>
              <w:rPr>
                <w:rFonts w:ascii="宋体" w:eastAsia="宋体" w:hAnsi="宋体" w:cs="宋体" w:hint="eastAsia"/>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278.12</w:t>
            </w:r>
            <w:r>
              <w:rPr>
                <w:rFonts w:ascii="宋体" w:eastAsia="宋体" w:hAnsi="宋体" w:cs="宋体" w:hint="eastAsia"/>
                <w:kern w:val="0"/>
                <w:sz w:val="22"/>
              </w:rPr>
              <w:t xml:space="preserve">　</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684.10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410.98</w:t>
            </w:r>
            <w:r>
              <w:rPr>
                <w:rFonts w:ascii="宋体" w:eastAsia="宋体" w:hAnsi="宋体" w:cs="宋体" w:hint="eastAsia"/>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273.12</w:t>
            </w:r>
            <w:r>
              <w:rPr>
                <w:rFonts w:ascii="宋体" w:eastAsia="宋体" w:hAnsi="宋体" w:cs="宋体" w:hint="eastAsia"/>
                <w:kern w:val="0"/>
                <w:sz w:val="22"/>
              </w:rPr>
              <w:t xml:space="preserve">　</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民主党派及工商联事务</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684.10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410.98</w:t>
            </w:r>
            <w:r>
              <w:rPr>
                <w:rFonts w:ascii="宋体" w:eastAsia="宋体" w:hAnsi="宋体" w:cs="宋体" w:hint="eastAsia"/>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273.12</w:t>
            </w:r>
            <w:r>
              <w:rPr>
                <w:rFonts w:ascii="宋体" w:eastAsia="宋体" w:hAnsi="宋体" w:cs="宋体" w:hint="eastAsia"/>
                <w:kern w:val="0"/>
                <w:sz w:val="22"/>
              </w:rPr>
              <w:t xml:space="preserve">　</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2012801</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行政运行</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351.68</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351.68</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2012802</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210.02</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210.02</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2012804</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参政议政</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122.4</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59.30</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63.10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208</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77.57</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77.57</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20805</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行政事业单位离退休</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77.57</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77.57</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2080505</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33.10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33.10</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lastRenderedPageBreak/>
              <w:t>2080599</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其他行政事业单位离退休支出</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44.47</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44.47</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210</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卫生健康支出</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21011</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2101101</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行政单位医疗</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15.80</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229</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宋体" w:eastAsia="宋体" w:hAnsi="宋体" w:cs="宋体"/>
                <w:kern w:val="0"/>
                <w:sz w:val="20"/>
                <w:szCs w:val="20"/>
              </w:rPr>
            </w:pPr>
            <w:r>
              <w:rPr>
                <w:rFonts w:ascii="宋体" w:eastAsia="宋体" w:hAnsi="宋体" w:cs="宋体" w:hint="eastAsia"/>
                <w:kern w:val="0"/>
                <w:sz w:val="20"/>
                <w:szCs w:val="20"/>
              </w:rPr>
              <w:t>其他支出</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5.00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5.00</w:t>
            </w:r>
          </w:p>
        </w:tc>
      </w:tr>
      <w:tr w:rsidR="00227E2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rPr>
                <w:rFonts w:ascii="Times New Roman" w:eastAsia="仿宋_GB2312" w:hAnsi="Times New Roman" w:cs="Times New Roman"/>
                <w:kern w:val="0"/>
                <w:szCs w:val="21"/>
              </w:rPr>
            </w:pPr>
            <w:r>
              <w:rPr>
                <w:rFonts w:ascii="宋体" w:eastAsia="宋体" w:hAnsi="宋体" w:cs="宋体" w:hint="eastAsia"/>
                <w:kern w:val="0"/>
                <w:sz w:val="20"/>
                <w:szCs w:val="20"/>
              </w:rPr>
              <w:t>22999</w:t>
            </w:r>
          </w:p>
        </w:tc>
        <w:tc>
          <w:tcPr>
            <w:tcW w:w="3527" w:type="dxa"/>
            <w:tcBorders>
              <w:top w:val="nil"/>
              <w:left w:val="nil"/>
              <w:bottom w:val="single" w:sz="4" w:space="0" w:color="auto"/>
              <w:right w:val="single" w:sz="4" w:space="0" w:color="auto"/>
            </w:tcBorders>
            <w:shd w:val="clear" w:color="auto" w:fill="auto"/>
            <w:vAlign w:val="center"/>
          </w:tcPr>
          <w:p w:rsidR="00227E2C" w:rsidRDefault="00DC6F88">
            <w:pPr>
              <w:widowControl/>
              <w:rPr>
                <w:rFonts w:ascii="Times New Roman" w:eastAsia="仿宋_GB2312" w:hAnsi="Times New Roman" w:cs="Times New Roman"/>
                <w:kern w:val="0"/>
                <w:szCs w:val="21"/>
              </w:rPr>
            </w:pPr>
            <w:r>
              <w:rPr>
                <w:rFonts w:ascii="宋体" w:eastAsia="宋体" w:hAnsi="宋体" w:cs="宋体" w:hint="eastAsia"/>
                <w:kern w:val="0"/>
                <w:sz w:val="20"/>
                <w:szCs w:val="20"/>
              </w:rPr>
              <w:t>其他支出</w:t>
            </w:r>
          </w:p>
        </w:tc>
        <w:tc>
          <w:tcPr>
            <w:tcW w:w="3000"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5.00</w:t>
            </w:r>
          </w:p>
        </w:tc>
        <w:tc>
          <w:tcPr>
            <w:tcW w:w="3492"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5.00</w:t>
            </w:r>
          </w:p>
        </w:tc>
      </w:tr>
      <w:tr w:rsidR="00227E2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227E2C" w:rsidRDefault="00DC6F88">
            <w:pPr>
              <w:widowControl/>
              <w:rPr>
                <w:rFonts w:ascii="Times New Roman" w:eastAsia="仿宋_GB2312" w:hAnsi="Times New Roman" w:cs="Times New Roman"/>
                <w:kern w:val="0"/>
                <w:szCs w:val="21"/>
              </w:rPr>
            </w:pPr>
            <w:r>
              <w:rPr>
                <w:rFonts w:ascii="宋体" w:eastAsia="宋体" w:hAnsi="宋体" w:cs="宋体" w:hint="eastAsia"/>
                <w:kern w:val="0"/>
                <w:sz w:val="20"/>
                <w:szCs w:val="20"/>
              </w:rPr>
              <w:t>2299901</w:t>
            </w:r>
          </w:p>
        </w:tc>
        <w:tc>
          <w:tcPr>
            <w:tcW w:w="3527" w:type="dxa"/>
            <w:tcBorders>
              <w:top w:val="nil"/>
              <w:left w:val="nil"/>
              <w:bottom w:val="single" w:sz="8" w:space="0" w:color="auto"/>
              <w:right w:val="single" w:sz="4" w:space="0" w:color="auto"/>
            </w:tcBorders>
            <w:shd w:val="clear" w:color="auto" w:fill="auto"/>
            <w:vAlign w:val="center"/>
          </w:tcPr>
          <w:p w:rsidR="00227E2C" w:rsidRDefault="00DC6F88">
            <w:pPr>
              <w:widowControl/>
              <w:rPr>
                <w:rFonts w:ascii="Times New Roman" w:eastAsia="仿宋_GB2312" w:hAnsi="Times New Roman" w:cs="Times New Roman"/>
                <w:kern w:val="0"/>
                <w:szCs w:val="21"/>
              </w:rPr>
            </w:pPr>
            <w:r>
              <w:rPr>
                <w:rFonts w:ascii="宋体" w:eastAsia="宋体" w:hAnsi="宋体" w:cs="宋体" w:hint="eastAsia"/>
                <w:kern w:val="0"/>
                <w:sz w:val="20"/>
                <w:szCs w:val="20"/>
              </w:rPr>
              <w:t>其他支出</w:t>
            </w:r>
          </w:p>
        </w:tc>
        <w:tc>
          <w:tcPr>
            <w:tcW w:w="300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5.00</w:t>
            </w:r>
          </w:p>
        </w:tc>
        <w:tc>
          <w:tcPr>
            <w:tcW w:w="3492"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c>
          <w:tcPr>
            <w:tcW w:w="3000" w:type="dxa"/>
            <w:tcBorders>
              <w:top w:val="nil"/>
              <w:left w:val="nil"/>
              <w:bottom w:val="single" w:sz="8" w:space="0" w:color="auto"/>
              <w:right w:val="single" w:sz="8" w:space="0" w:color="auto"/>
            </w:tcBorders>
            <w:shd w:val="clear" w:color="auto" w:fill="auto"/>
            <w:vAlign w:val="center"/>
          </w:tcPr>
          <w:p w:rsidR="00227E2C" w:rsidRDefault="00DC6F88">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5.00</w:t>
            </w:r>
          </w:p>
        </w:tc>
      </w:tr>
      <w:tr w:rsidR="00227E2C">
        <w:trPr>
          <w:trHeight w:val="645"/>
          <w:jc w:val="center"/>
        </w:trPr>
        <w:tc>
          <w:tcPr>
            <w:tcW w:w="14219" w:type="dxa"/>
            <w:gridSpan w:val="5"/>
            <w:tcBorders>
              <w:top w:val="nil"/>
              <w:left w:val="nil"/>
              <w:bottom w:val="nil"/>
              <w:right w:val="nil"/>
            </w:tcBorders>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227E2C" w:rsidRDefault="00227E2C">
      <w:pPr>
        <w:widowControl/>
        <w:jc w:val="left"/>
        <w:rPr>
          <w:rFonts w:ascii="Times New Roman" w:eastAsia="仿宋_GB2312" w:hAnsi="Times New Roman" w:cs="Times New Roman"/>
          <w:bCs/>
          <w:kern w:val="0"/>
          <w:szCs w:val="21"/>
        </w:rPr>
      </w:pPr>
    </w:p>
    <w:p w:rsidR="00227E2C" w:rsidRDefault="00DC6F88">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ook w:val="04A0"/>
      </w:tblPr>
      <w:tblGrid>
        <w:gridCol w:w="1338"/>
        <w:gridCol w:w="3366"/>
        <w:gridCol w:w="1056"/>
        <w:gridCol w:w="971"/>
        <w:gridCol w:w="2316"/>
        <w:gridCol w:w="522"/>
        <w:gridCol w:w="888"/>
        <w:gridCol w:w="4206"/>
        <w:gridCol w:w="951"/>
      </w:tblGrid>
      <w:tr w:rsidR="00227E2C">
        <w:trPr>
          <w:trHeight w:val="113"/>
        </w:trPr>
        <w:tc>
          <w:tcPr>
            <w:tcW w:w="0" w:type="auto"/>
            <w:gridSpan w:val="9"/>
            <w:tcBorders>
              <w:top w:val="nil"/>
              <w:left w:val="nil"/>
              <w:bottom w:val="nil"/>
              <w:right w:val="nil"/>
            </w:tcBorders>
            <w:shd w:val="clear" w:color="auto" w:fill="auto"/>
            <w:noWrap/>
            <w:vAlign w:val="center"/>
          </w:tcPr>
          <w:p w:rsidR="00227E2C" w:rsidRDefault="00DC6F88">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一般公共预算财政拨款基本支出决算表</w:t>
            </w:r>
            <w:bookmarkEnd w:id="2"/>
          </w:p>
          <w:p w:rsidR="00227E2C" w:rsidRDefault="00DC6F88">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岳阳市民主党派机关</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227E2C" w:rsidRDefault="00DC6F88">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227E2C">
        <w:trPr>
          <w:trHeight w:val="113"/>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66" w:type="dxa"/>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483.44</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137.61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78.66</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151.4</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20.91</w:t>
            </w: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15.65</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0" w:type="auto"/>
            <w:tcBorders>
              <w:top w:val="nil"/>
              <w:left w:val="nil"/>
              <w:bottom w:val="single" w:sz="4" w:space="0" w:color="auto"/>
              <w:right w:val="single" w:sz="4" w:space="0" w:color="auto"/>
            </w:tcBorders>
            <w:shd w:val="clear" w:color="auto" w:fill="auto"/>
            <w:noWrap/>
            <w:vAlign w:val="center"/>
          </w:tcPr>
          <w:p w:rsidR="00227E2C" w:rsidRDefault="00227E2C">
            <w:pPr>
              <w:widowControl/>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20.91</w:t>
            </w: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33.1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15.8</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32.18</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9.97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9.07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赠与</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366" w:type="dxa"/>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227E2C">
        <w:trPr>
          <w:trHeight w:hRule="exac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483.44</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tcPr>
          <w:p w:rsidR="00227E2C" w:rsidRDefault="00DC6F88">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tcPr>
          <w:p w:rsidR="00227E2C" w:rsidRDefault="00DC6F88">
            <w:pPr>
              <w:widowControl/>
              <w:jc w:val="right"/>
              <w:rPr>
                <w:rFonts w:ascii="宋体" w:eastAsia="宋体" w:hAnsi="宋体" w:cs="宋体"/>
                <w:color w:val="000000"/>
                <w:kern w:val="0"/>
                <w:szCs w:val="18"/>
              </w:rPr>
            </w:pPr>
            <w:r>
              <w:rPr>
                <w:rFonts w:ascii="宋体" w:eastAsia="宋体" w:hAnsi="宋体" w:cs="宋体" w:hint="eastAsia"/>
                <w:color w:val="000000"/>
                <w:kern w:val="0"/>
                <w:szCs w:val="18"/>
              </w:rPr>
              <w:t xml:space="preserve">　</w:t>
            </w:r>
            <w:r>
              <w:rPr>
                <w:rFonts w:ascii="宋体" w:eastAsia="宋体" w:hAnsi="宋体" w:cs="宋体" w:hint="eastAsia"/>
                <w:color w:val="000000"/>
                <w:kern w:val="0"/>
                <w:szCs w:val="18"/>
              </w:rPr>
              <w:t>20.91</w:t>
            </w:r>
          </w:p>
        </w:tc>
      </w:tr>
      <w:tr w:rsidR="00227E2C">
        <w:trPr>
          <w:trHeight w:hRule="exact" w:val="284"/>
        </w:trPr>
        <w:tc>
          <w:tcPr>
            <w:tcW w:w="0" w:type="auto"/>
            <w:gridSpan w:val="9"/>
            <w:tcBorders>
              <w:top w:val="nil"/>
              <w:left w:val="nil"/>
              <w:bottom w:val="nil"/>
              <w:right w:val="nil"/>
            </w:tcBorders>
            <w:shd w:val="clear" w:color="auto" w:fill="auto"/>
            <w:noWrap/>
            <w:vAlign w:val="center"/>
          </w:tcPr>
          <w:p w:rsidR="00227E2C" w:rsidRDefault="00DC6F88">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227E2C" w:rsidRDefault="00DC6F88">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227E2C" w:rsidRDefault="00DC6F88">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岳阳市民主党派机关</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227E2C" w:rsidRDefault="00DC6F88">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227E2C">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227E2C">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227E2C">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227E2C" w:rsidRDefault="00227E2C">
            <w:pPr>
              <w:widowControl/>
              <w:jc w:val="left"/>
              <w:rPr>
                <w:rFonts w:ascii="Times New Roman" w:eastAsia="仿宋_GB2312" w:hAnsi="Times New Roman" w:cs="Times New Roman"/>
                <w:kern w:val="0"/>
                <w:szCs w:val="21"/>
              </w:rPr>
            </w:pPr>
          </w:p>
        </w:tc>
      </w:tr>
      <w:tr w:rsidR="00227E2C">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227E2C">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28.77</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6.84</w:t>
            </w: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6.84</w:t>
            </w: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21.93</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10.33</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2.75</w:t>
            </w: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2.75</w:t>
            </w:r>
          </w:p>
        </w:tc>
        <w:tc>
          <w:tcPr>
            <w:tcW w:w="1220" w:type="dxa"/>
            <w:tcBorders>
              <w:top w:val="nil"/>
              <w:left w:val="single" w:sz="4" w:space="0" w:color="auto"/>
              <w:bottom w:val="single" w:sz="8" w:space="0" w:color="auto"/>
              <w:right w:val="single" w:sz="8" w:space="0" w:color="auto"/>
            </w:tcBorders>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7.58</w:t>
            </w:r>
            <w:r>
              <w:rPr>
                <w:rFonts w:ascii="Times New Roman" w:eastAsia="仿宋_GB2312" w:hAnsi="Times New Roman" w:cs="Times New Roman"/>
                <w:kern w:val="0"/>
                <w:szCs w:val="21"/>
              </w:rPr>
              <w:t xml:space="preserve">　</w:t>
            </w:r>
          </w:p>
        </w:tc>
      </w:tr>
    </w:tbl>
    <w:p w:rsidR="00227E2C" w:rsidRDefault="00DC6F88">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227E2C" w:rsidRDefault="00227E2C">
      <w:pPr>
        <w:autoSpaceDE w:val="0"/>
        <w:autoSpaceDN w:val="0"/>
        <w:adjustRightInd w:val="0"/>
        <w:ind w:leftChars="150" w:left="315"/>
        <w:jc w:val="left"/>
        <w:rPr>
          <w:rFonts w:ascii="宋体" w:eastAsia="宋体" w:cs="宋体"/>
          <w:kern w:val="0"/>
          <w:sz w:val="24"/>
          <w:szCs w:val="24"/>
        </w:rPr>
      </w:pPr>
    </w:p>
    <w:p w:rsidR="00227E2C" w:rsidRDefault="00DC6F88">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227E2C" w:rsidRDefault="00DC6F88">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岳阳市民主党派机关</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227E2C" w:rsidRDefault="00DC6F88">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227E2C">
        <w:trPr>
          <w:trHeight w:val="454"/>
          <w:jc w:val="center"/>
        </w:trPr>
        <w:tc>
          <w:tcPr>
            <w:tcW w:w="2440" w:type="dxa"/>
            <w:gridSpan w:val="2"/>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227E2C">
        <w:trPr>
          <w:trHeight w:val="454"/>
          <w:jc w:val="center"/>
        </w:trPr>
        <w:tc>
          <w:tcPr>
            <w:tcW w:w="112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227E2C" w:rsidRDefault="00227E2C">
            <w:pPr>
              <w:widowControl/>
              <w:jc w:val="left"/>
              <w:rPr>
                <w:rFonts w:ascii="Times New Roman" w:eastAsia="仿宋_GB2312" w:hAnsi="Times New Roman" w:cs="Times New Roman"/>
                <w:b/>
                <w:kern w:val="0"/>
                <w:szCs w:val="21"/>
              </w:rPr>
            </w:pPr>
          </w:p>
        </w:tc>
        <w:tc>
          <w:tcPr>
            <w:tcW w:w="2000" w:type="dxa"/>
            <w:vMerge/>
            <w:vAlign w:val="center"/>
          </w:tcPr>
          <w:p w:rsidR="00227E2C" w:rsidRDefault="00227E2C">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227E2C" w:rsidRDefault="00DC6F88">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227E2C" w:rsidRDefault="00227E2C">
            <w:pPr>
              <w:widowControl/>
              <w:jc w:val="left"/>
              <w:rPr>
                <w:rFonts w:ascii="Times New Roman" w:eastAsia="仿宋_GB2312" w:hAnsi="Times New Roman" w:cs="Times New Roman"/>
                <w:b/>
                <w:kern w:val="0"/>
                <w:szCs w:val="21"/>
              </w:rPr>
            </w:pPr>
          </w:p>
        </w:tc>
      </w:tr>
      <w:tr w:rsidR="00227E2C">
        <w:trPr>
          <w:trHeight w:val="454"/>
          <w:jc w:val="center"/>
        </w:trPr>
        <w:tc>
          <w:tcPr>
            <w:tcW w:w="1120" w:type="dxa"/>
            <w:vMerge/>
            <w:vAlign w:val="center"/>
          </w:tcPr>
          <w:p w:rsidR="00227E2C" w:rsidRDefault="00227E2C">
            <w:pPr>
              <w:widowControl/>
              <w:jc w:val="left"/>
              <w:rPr>
                <w:rFonts w:ascii="Times New Roman" w:eastAsia="仿宋_GB2312" w:hAnsi="Times New Roman" w:cs="Times New Roman"/>
                <w:kern w:val="0"/>
                <w:szCs w:val="21"/>
              </w:rPr>
            </w:pPr>
          </w:p>
        </w:tc>
        <w:tc>
          <w:tcPr>
            <w:tcW w:w="132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r>
      <w:tr w:rsidR="00227E2C">
        <w:trPr>
          <w:trHeight w:val="454"/>
          <w:jc w:val="center"/>
        </w:trPr>
        <w:tc>
          <w:tcPr>
            <w:tcW w:w="1120" w:type="dxa"/>
            <w:vMerge/>
            <w:vAlign w:val="center"/>
          </w:tcPr>
          <w:p w:rsidR="00227E2C" w:rsidRDefault="00227E2C">
            <w:pPr>
              <w:widowControl/>
              <w:jc w:val="left"/>
              <w:rPr>
                <w:rFonts w:ascii="Times New Roman" w:eastAsia="仿宋_GB2312" w:hAnsi="Times New Roman" w:cs="Times New Roman"/>
                <w:kern w:val="0"/>
                <w:szCs w:val="21"/>
              </w:rPr>
            </w:pPr>
          </w:p>
        </w:tc>
        <w:tc>
          <w:tcPr>
            <w:tcW w:w="132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c>
          <w:tcPr>
            <w:tcW w:w="2000" w:type="dxa"/>
            <w:vMerge/>
            <w:vAlign w:val="center"/>
          </w:tcPr>
          <w:p w:rsidR="00227E2C" w:rsidRDefault="00227E2C">
            <w:pPr>
              <w:widowControl/>
              <w:jc w:val="left"/>
              <w:rPr>
                <w:rFonts w:ascii="Times New Roman" w:eastAsia="仿宋_GB2312" w:hAnsi="Times New Roman" w:cs="Times New Roman"/>
                <w:kern w:val="0"/>
                <w:szCs w:val="21"/>
              </w:rPr>
            </w:pPr>
          </w:p>
        </w:tc>
      </w:tr>
      <w:tr w:rsidR="00227E2C">
        <w:trPr>
          <w:trHeight w:val="454"/>
          <w:jc w:val="center"/>
        </w:trPr>
        <w:tc>
          <w:tcPr>
            <w:tcW w:w="2440" w:type="dxa"/>
            <w:gridSpan w:val="2"/>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227E2C">
        <w:trPr>
          <w:trHeight w:val="454"/>
          <w:jc w:val="center"/>
        </w:trPr>
        <w:tc>
          <w:tcPr>
            <w:tcW w:w="2440" w:type="dxa"/>
            <w:gridSpan w:val="2"/>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2000" w:type="dxa"/>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2000" w:type="dxa"/>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7126B3" w:rsidTr="002626E3">
        <w:trPr>
          <w:trHeight w:val="454"/>
          <w:jc w:val="center"/>
        </w:trPr>
        <w:tc>
          <w:tcPr>
            <w:tcW w:w="14440" w:type="dxa"/>
            <w:gridSpan w:val="8"/>
            <w:shd w:val="clear" w:color="auto" w:fill="auto"/>
            <w:vAlign w:val="center"/>
          </w:tcPr>
          <w:p w:rsidR="007126B3" w:rsidRDefault="007126B3">
            <w:pPr>
              <w:widowControl/>
              <w:jc w:val="left"/>
              <w:rPr>
                <w:rFonts w:ascii="Times New Roman" w:eastAsia="仿宋_GB2312" w:hAnsi="Times New Roman" w:cs="Times New Roman"/>
                <w:kern w:val="0"/>
                <w:szCs w:val="21"/>
              </w:rPr>
            </w:pPr>
          </w:p>
          <w:p w:rsidR="007126B3" w:rsidRDefault="007126B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sidRPr="007126B3">
              <w:rPr>
                <w:rFonts w:ascii="Times New Roman" w:eastAsia="仿宋_GB2312" w:hAnsi="Times New Roman" w:cs="Times New Roman" w:hint="eastAsia"/>
                <w:kern w:val="0"/>
                <w:szCs w:val="21"/>
              </w:rPr>
              <w:t>单位没有政府性基金收入，也没有使用政府性基金安排的支出，故本表无数据。</w:t>
            </w:r>
          </w:p>
        </w:tc>
      </w:tr>
      <w:tr w:rsidR="00227E2C">
        <w:trPr>
          <w:trHeight w:val="454"/>
          <w:jc w:val="center"/>
        </w:trPr>
        <w:tc>
          <w:tcPr>
            <w:tcW w:w="112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27E2C">
        <w:trPr>
          <w:trHeight w:val="454"/>
          <w:jc w:val="center"/>
        </w:trPr>
        <w:tc>
          <w:tcPr>
            <w:tcW w:w="112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27E2C">
        <w:trPr>
          <w:trHeight w:val="454"/>
          <w:jc w:val="center"/>
        </w:trPr>
        <w:tc>
          <w:tcPr>
            <w:tcW w:w="112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27E2C">
        <w:trPr>
          <w:trHeight w:val="454"/>
          <w:jc w:val="center"/>
        </w:trPr>
        <w:tc>
          <w:tcPr>
            <w:tcW w:w="112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227E2C">
        <w:trPr>
          <w:trHeight w:val="454"/>
          <w:jc w:val="center"/>
        </w:trPr>
        <w:tc>
          <w:tcPr>
            <w:tcW w:w="1120" w:type="dxa"/>
            <w:shd w:val="clear" w:color="auto" w:fill="auto"/>
            <w:vAlign w:val="center"/>
          </w:tcPr>
          <w:p w:rsidR="00227E2C" w:rsidRDefault="00DC6F8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227E2C" w:rsidRDefault="00DC6F8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227E2C" w:rsidRDefault="00DC6F88">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227E2C">
        <w:trPr>
          <w:trHeight w:val="720"/>
        </w:trPr>
        <w:tc>
          <w:tcPr>
            <w:tcW w:w="14190" w:type="dxa"/>
            <w:gridSpan w:val="9"/>
            <w:tcBorders>
              <w:top w:val="nil"/>
              <w:left w:val="nil"/>
              <w:bottom w:val="nil"/>
              <w:right w:val="nil"/>
            </w:tcBorders>
            <w:shd w:val="clear" w:color="000000" w:fill="FFFFFF"/>
            <w:vAlign w:val="center"/>
          </w:tcPr>
          <w:p w:rsidR="00227E2C" w:rsidRDefault="00DC6F88">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227E2C">
        <w:trPr>
          <w:trHeight w:val="285"/>
        </w:trPr>
        <w:tc>
          <w:tcPr>
            <w:tcW w:w="1060" w:type="dxa"/>
            <w:tcBorders>
              <w:top w:val="nil"/>
              <w:left w:val="nil"/>
              <w:bottom w:val="nil"/>
              <w:right w:val="nil"/>
            </w:tcBorders>
            <w:shd w:val="clear" w:color="000000" w:fill="FFFFFF"/>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227E2C" w:rsidRDefault="00DC6F8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227E2C" w:rsidRDefault="00DC6F8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227E2C">
        <w:trPr>
          <w:trHeight w:val="285"/>
        </w:trPr>
        <w:tc>
          <w:tcPr>
            <w:tcW w:w="1060" w:type="dxa"/>
            <w:tcBorders>
              <w:top w:val="nil"/>
              <w:left w:val="nil"/>
              <w:bottom w:val="nil"/>
              <w:right w:val="nil"/>
            </w:tcBorders>
            <w:shd w:val="clear" w:color="000000" w:fill="FFFFFF"/>
            <w:noWrap/>
            <w:vAlign w:val="center"/>
          </w:tcPr>
          <w:p w:rsidR="00227E2C" w:rsidRDefault="00DC6F88">
            <w:pPr>
              <w:widowControl/>
              <w:jc w:val="left"/>
              <w:rPr>
                <w:rFonts w:ascii="宋体" w:eastAsia="仿宋_GB2312" w:hAnsi="宋体" w:cs="宋体"/>
                <w:color w:val="000000"/>
                <w:kern w:val="0"/>
                <w:sz w:val="20"/>
                <w:szCs w:val="20"/>
              </w:rPr>
            </w:pPr>
            <w:r>
              <w:rPr>
                <w:rFonts w:ascii="宋体" w:eastAsia="宋体" w:hAnsi="宋体" w:cs="宋体" w:hint="eastAsia"/>
                <w:color w:val="000000"/>
                <w:kern w:val="0"/>
                <w:sz w:val="20"/>
                <w:szCs w:val="20"/>
              </w:rPr>
              <w:t>部门：</w:t>
            </w:r>
            <w:r>
              <w:rPr>
                <w:rFonts w:ascii="Times New Roman" w:eastAsia="仿宋_GB2312" w:hAnsi="Times New Roman" w:cs="Times New Roman"/>
                <w:kern w:val="0"/>
                <w:szCs w:val="21"/>
              </w:rPr>
              <w:t xml:space="preserve">　</w:t>
            </w:r>
          </w:p>
        </w:tc>
        <w:tc>
          <w:tcPr>
            <w:tcW w:w="560" w:type="dxa"/>
            <w:tcBorders>
              <w:top w:val="nil"/>
              <w:left w:val="nil"/>
              <w:bottom w:val="nil"/>
              <w:right w:val="nil"/>
            </w:tcBorders>
            <w:shd w:val="clear" w:color="000000" w:fill="FFFFFF"/>
            <w:vAlign w:val="center"/>
          </w:tcPr>
          <w:p w:rsidR="00227E2C" w:rsidRDefault="00DC6F88">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227E2C" w:rsidRDefault="00DC6F88">
            <w:pPr>
              <w:widowControl/>
              <w:jc w:val="left"/>
              <w:rPr>
                <w:rFonts w:ascii="宋体" w:eastAsia="宋体" w:hAnsi="宋体" w:cs="宋体"/>
                <w:kern w:val="0"/>
                <w:sz w:val="20"/>
                <w:szCs w:val="20"/>
              </w:rPr>
            </w:pPr>
            <w:r>
              <w:rPr>
                <w:rFonts w:ascii="宋体" w:eastAsia="宋体" w:hAnsi="宋体" w:cs="宋体" w:hint="eastAsia"/>
                <w:kern w:val="0"/>
                <w:sz w:val="20"/>
                <w:szCs w:val="20"/>
              </w:rPr>
              <w:t>岳阳市民主党派机关</w:t>
            </w: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227E2C" w:rsidRDefault="00DC6F8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227E2C" w:rsidRDefault="00DC6F8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227E2C" w:rsidRDefault="00DC6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227E2C">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color w:val="000000"/>
                <w:kern w:val="0"/>
                <w:sz w:val="22"/>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227E2C">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227E2C">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宋体" w:eastAsia="宋体" w:hAnsi="宋体" w:cs="宋体"/>
                <w:kern w:val="0"/>
                <w:sz w:val="24"/>
                <w:szCs w:val="24"/>
              </w:rPr>
            </w:pPr>
          </w:p>
        </w:tc>
      </w:tr>
      <w:tr w:rsidR="00227E2C">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227E2C" w:rsidRDefault="00227E2C">
            <w:pPr>
              <w:widowControl/>
              <w:jc w:val="left"/>
              <w:rPr>
                <w:rFonts w:ascii="宋体" w:eastAsia="宋体" w:hAnsi="宋体" w:cs="宋体"/>
                <w:kern w:val="0"/>
                <w:sz w:val="24"/>
                <w:szCs w:val="24"/>
              </w:rPr>
            </w:pPr>
          </w:p>
        </w:tc>
      </w:tr>
      <w:tr w:rsidR="00227E2C">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227E2C">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4"/>
                <w:szCs w:val="24"/>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3827" w:type="dxa"/>
            <w:tcBorders>
              <w:top w:val="nil"/>
              <w:left w:val="nil"/>
              <w:bottom w:val="single" w:sz="4" w:space="0" w:color="auto"/>
              <w:right w:val="single" w:sz="4" w:space="0" w:color="auto"/>
            </w:tcBorders>
            <w:shd w:val="clear" w:color="auto" w:fill="auto"/>
            <w:vAlign w:val="center"/>
          </w:tcPr>
          <w:p w:rsidR="00227E2C" w:rsidRDefault="00DC6F88">
            <w:pPr>
              <w:widowControl/>
              <w:jc w:val="right"/>
              <w:rPr>
                <w:rFonts w:ascii="宋体" w:eastAsia="宋体" w:hAnsi="宋体" w:cs="宋体"/>
                <w:kern w:val="0"/>
                <w:sz w:val="24"/>
                <w:szCs w:val="24"/>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r>
              <w:rPr>
                <w:rFonts w:ascii="宋体" w:eastAsia="宋体" w:hAnsi="宋体" w:cs="宋体" w:hint="eastAsia"/>
                <w:kern w:val="0"/>
                <w:sz w:val="24"/>
                <w:szCs w:val="24"/>
              </w:rPr>
              <w:t xml:space="preserve">　</w:t>
            </w:r>
          </w:p>
        </w:tc>
      </w:tr>
      <w:tr w:rsidR="007126B3" w:rsidTr="00B223F8">
        <w:trPr>
          <w:trHeight w:val="402"/>
        </w:trPr>
        <w:tc>
          <w:tcPr>
            <w:tcW w:w="1419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7126B3" w:rsidRDefault="007126B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p w:rsidR="007126B3" w:rsidRDefault="007126B3">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本</w:t>
            </w:r>
            <w:r w:rsidRPr="007126B3">
              <w:rPr>
                <w:rFonts w:ascii="宋体" w:eastAsia="宋体" w:hAnsi="宋体" w:cs="宋体" w:hint="eastAsia"/>
                <w:kern w:val="0"/>
                <w:sz w:val="20"/>
                <w:szCs w:val="20"/>
              </w:rPr>
              <w:t>单位</w:t>
            </w:r>
            <w:r w:rsidRPr="007126B3">
              <w:rPr>
                <w:rFonts w:ascii="宋体" w:eastAsia="宋体" w:hAnsi="宋体" w:cs="宋体"/>
                <w:kern w:val="0"/>
                <w:sz w:val="20"/>
                <w:szCs w:val="20"/>
              </w:rPr>
              <w:t>没有使用国有资本经营预算安排的支出，故本表无数据</w:t>
            </w:r>
            <w:r w:rsidRPr="007126B3">
              <w:rPr>
                <w:rFonts w:ascii="宋体" w:eastAsia="宋体" w:hAnsi="宋体" w:cs="宋体" w:hint="eastAsia"/>
                <w:kern w:val="0"/>
                <w:sz w:val="20"/>
                <w:szCs w:val="20"/>
              </w:rPr>
              <w:t>。</w:t>
            </w:r>
          </w:p>
          <w:p w:rsidR="007126B3" w:rsidRPr="007126B3" w:rsidRDefault="007126B3">
            <w:pPr>
              <w:widowControl/>
              <w:jc w:val="left"/>
              <w:rPr>
                <w:rFonts w:ascii="宋体" w:eastAsia="宋体" w:hAnsi="宋体" w:cs="宋体"/>
                <w:kern w:val="0"/>
                <w:sz w:val="24"/>
                <w:szCs w:val="24"/>
              </w:rPr>
            </w:pPr>
          </w:p>
        </w:tc>
      </w:tr>
      <w:tr w:rsidR="00227E2C">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27E2C">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27E2C">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27E2C">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27E2C">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227E2C" w:rsidRDefault="00DC6F8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27E2C">
        <w:trPr>
          <w:trHeight w:val="720"/>
        </w:trPr>
        <w:tc>
          <w:tcPr>
            <w:tcW w:w="14190" w:type="dxa"/>
            <w:gridSpan w:val="9"/>
            <w:tcBorders>
              <w:top w:val="single" w:sz="8" w:space="0" w:color="auto"/>
              <w:left w:val="nil"/>
              <w:bottom w:val="nil"/>
              <w:right w:val="nil"/>
            </w:tcBorders>
            <w:shd w:val="clear" w:color="auto" w:fill="auto"/>
            <w:vAlign w:val="center"/>
          </w:tcPr>
          <w:p w:rsidR="00227E2C" w:rsidRDefault="00DC6F88">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p w:rsidR="00227E2C" w:rsidRDefault="00227E2C" w:rsidP="007126B3">
            <w:pPr>
              <w:widowControl/>
              <w:jc w:val="left"/>
              <w:rPr>
                <w:rFonts w:ascii="宋体" w:eastAsia="宋体" w:hAnsi="宋体" w:cs="宋体"/>
                <w:kern w:val="0"/>
                <w:sz w:val="24"/>
                <w:szCs w:val="24"/>
              </w:rPr>
            </w:pPr>
          </w:p>
        </w:tc>
      </w:tr>
    </w:tbl>
    <w:p w:rsidR="00227E2C" w:rsidRDefault="00227E2C">
      <w:pPr>
        <w:pStyle w:val="Default"/>
        <w:rPr>
          <w:sz w:val="72"/>
          <w:szCs w:val="72"/>
        </w:rPr>
        <w:sectPr w:rsidR="00227E2C">
          <w:pgSz w:w="16838" w:h="11906" w:orient="landscape"/>
          <w:pgMar w:top="720" w:right="720" w:bottom="720" w:left="720" w:header="851" w:footer="992" w:gutter="0"/>
          <w:cols w:space="425"/>
          <w:docGrid w:type="lines" w:linePitch="312"/>
        </w:sect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DC6F88">
      <w:pPr>
        <w:pStyle w:val="Default"/>
        <w:jc w:val="center"/>
        <w:rPr>
          <w:sz w:val="72"/>
          <w:szCs w:val="72"/>
        </w:rPr>
      </w:pPr>
      <w:r>
        <w:rPr>
          <w:rFonts w:hint="eastAsia"/>
          <w:sz w:val="72"/>
          <w:szCs w:val="72"/>
        </w:rPr>
        <w:t>第三部分</w:t>
      </w:r>
    </w:p>
    <w:p w:rsidR="00227E2C" w:rsidRDefault="00227E2C">
      <w:pPr>
        <w:pStyle w:val="Default"/>
        <w:jc w:val="center"/>
        <w:rPr>
          <w:sz w:val="70"/>
          <w:szCs w:val="70"/>
        </w:rPr>
      </w:pPr>
    </w:p>
    <w:p w:rsidR="00227E2C" w:rsidRDefault="00DC6F88">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227E2C" w:rsidRDefault="00DC6F88">
      <w:pPr>
        <w:widowControl/>
        <w:jc w:val="left"/>
        <w:rPr>
          <w:rFonts w:ascii="黑体" w:eastAsia="黑体" w:cs="黑体"/>
          <w:color w:val="000000"/>
          <w:kern w:val="0"/>
          <w:sz w:val="70"/>
          <w:szCs w:val="70"/>
        </w:rPr>
      </w:pPr>
      <w:r>
        <w:rPr>
          <w:sz w:val="70"/>
          <w:szCs w:val="70"/>
        </w:rPr>
        <w:br w:type="page"/>
      </w:r>
    </w:p>
    <w:p w:rsidR="00227E2C" w:rsidRDefault="00DC6F88">
      <w:pPr>
        <w:pStyle w:val="Default"/>
        <w:rPr>
          <w:rFonts w:hAnsi="黑体"/>
          <w:b/>
          <w:sz w:val="32"/>
          <w:szCs w:val="32"/>
        </w:rPr>
      </w:pPr>
      <w:r>
        <w:rPr>
          <w:rFonts w:hAnsi="黑体" w:hint="eastAsia"/>
          <w:b/>
          <w:sz w:val="32"/>
          <w:szCs w:val="32"/>
        </w:rPr>
        <w:lastRenderedPageBreak/>
        <w:t>一、收入支出决算总体情况说明</w:t>
      </w:r>
    </w:p>
    <w:p w:rsidR="00227E2C" w:rsidRDefault="00DC6F88" w:rsidP="007126B3">
      <w:pPr>
        <w:pStyle w:val="Default"/>
        <w:ind w:firstLineChars="200" w:firstLine="632"/>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w:t>
      </w:r>
      <w:r>
        <w:rPr>
          <w:rFonts w:asciiTheme="minorEastAsia" w:eastAsiaTheme="minorEastAsia" w:hAnsiTheme="minorEastAsia" w:hint="eastAsia"/>
          <w:sz w:val="32"/>
          <w:szCs w:val="32"/>
        </w:rPr>
        <w:t>入</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911.82</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24.46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2.75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主要是因为</w:t>
      </w:r>
      <w:r>
        <w:rPr>
          <w:rFonts w:asciiTheme="minorEastAsia" w:eastAsiaTheme="minorEastAsia" w:hAnsiTheme="minorEastAsia" w:hint="eastAsia"/>
          <w:color w:val="auto"/>
          <w:sz w:val="32"/>
          <w:szCs w:val="32"/>
        </w:rPr>
        <w:t>其他社会保障费用及医疗费用增加</w:t>
      </w:r>
      <w:r>
        <w:rPr>
          <w:rFonts w:asciiTheme="minorEastAsia" w:eastAsiaTheme="minorEastAsia" w:hAnsiTheme="minorEastAsia" w:hint="eastAsia"/>
          <w:color w:val="auto"/>
          <w:sz w:val="32"/>
          <w:szCs w:val="32"/>
        </w:rPr>
        <w:t>。</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911.82</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24.46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2.75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主要是因为</w:t>
      </w:r>
      <w:r>
        <w:rPr>
          <w:rFonts w:asciiTheme="minorEastAsia" w:eastAsiaTheme="minorEastAsia" w:hAnsiTheme="minorEastAsia" w:hint="eastAsia"/>
          <w:color w:val="auto"/>
          <w:sz w:val="32"/>
          <w:szCs w:val="32"/>
        </w:rPr>
        <w:t>其他社会保障费用及医疗费用增加</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二、收入决算情况说明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781.46</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781.46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三、支出决算情况说明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782.47</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504.35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64.5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278.12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35.5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四、财政拨款收入支出决算总体情况说明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w:t>
      </w:r>
      <w:r>
        <w:rPr>
          <w:rFonts w:asciiTheme="minorEastAsia" w:eastAsiaTheme="minorEastAsia" w:hAnsiTheme="minorEastAsia" w:hint="eastAsia"/>
          <w:sz w:val="32"/>
          <w:szCs w:val="32"/>
        </w:rPr>
        <w:t>收入</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911.82</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24.46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2.75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主要是因为</w:t>
      </w:r>
      <w:r>
        <w:rPr>
          <w:rFonts w:asciiTheme="minorEastAsia" w:eastAsiaTheme="minorEastAsia" w:hAnsiTheme="minorEastAsia" w:hint="eastAsia"/>
          <w:color w:val="auto"/>
          <w:sz w:val="32"/>
          <w:szCs w:val="32"/>
        </w:rPr>
        <w:t>其他社会保障费用及医疗费用增加</w:t>
      </w:r>
      <w:r>
        <w:rPr>
          <w:rFonts w:asciiTheme="minorEastAsia" w:eastAsiaTheme="minorEastAsia" w:hAnsiTheme="minorEastAsia" w:hint="eastAsia"/>
          <w:sz w:val="32"/>
          <w:szCs w:val="32"/>
        </w:rPr>
        <w:t>。</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911.82</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24.46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2.75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主要是因为</w:t>
      </w:r>
      <w:r>
        <w:rPr>
          <w:rFonts w:asciiTheme="minorEastAsia" w:eastAsiaTheme="minorEastAsia" w:hAnsiTheme="minorEastAsia" w:hint="eastAsia"/>
          <w:color w:val="auto"/>
          <w:sz w:val="32"/>
          <w:szCs w:val="32"/>
        </w:rPr>
        <w:t>其他社会保障费用及医疗费用增加</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五、一般公共预算财政拨款支出决算情况说明</w:t>
      </w:r>
    </w:p>
    <w:p w:rsidR="00227E2C" w:rsidRDefault="00DC6F88" w:rsidP="007126B3">
      <w:pPr>
        <w:pStyle w:val="Default"/>
        <w:ind w:firstLineChars="200" w:firstLine="635"/>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782.47</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41.97</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5.67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因为</w:t>
      </w:r>
      <w:r>
        <w:rPr>
          <w:rFonts w:asciiTheme="minorEastAsia" w:eastAsiaTheme="minorEastAsia" w:hAnsiTheme="minorEastAsia" w:hint="eastAsia"/>
          <w:color w:val="auto"/>
          <w:sz w:val="32"/>
          <w:szCs w:val="32"/>
        </w:rPr>
        <w:t>其他社会保障费用及医疗费用增加。</w:t>
      </w:r>
    </w:p>
    <w:p w:rsidR="00227E2C" w:rsidRDefault="00DC6F88">
      <w:pPr>
        <w:pStyle w:val="Default"/>
        <w:ind w:firstLineChars="150" w:firstLine="476"/>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782.47</w:t>
      </w:r>
      <w:r>
        <w:rPr>
          <w:rFonts w:asciiTheme="minorEastAsia" w:eastAsiaTheme="minorEastAsia" w:hAnsiTheme="minorEastAsia" w:hint="eastAsia"/>
          <w:sz w:val="32"/>
          <w:szCs w:val="32"/>
        </w:rPr>
        <w:t>万元，主要用于以下方面：一般公共服务支出</w:t>
      </w:r>
      <w:r>
        <w:rPr>
          <w:rFonts w:asciiTheme="minorEastAsia" w:eastAsiaTheme="minorEastAsia" w:hAnsiTheme="minorEastAsia" w:hint="eastAsia"/>
          <w:sz w:val="32"/>
          <w:szCs w:val="32"/>
        </w:rPr>
        <w:t>684.10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87.42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77.57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15.80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；其他支出</w:t>
      </w:r>
      <w:r>
        <w:rPr>
          <w:rFonts w:asciiTheme="minorEastAsia" w:eastAsiaTheme="minorEastAsia" w:hAnsiTheme="minorEastAsia" w:hint="eastAsia"/>
          <w:sz w:val="32"/>
          <w:szCs w:val="32"/>
        </w:rPr>
        <w:t>5.00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0.64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7E2C" w:rsidRDefault="00DC6F88" w:rsidP="007126B3">
      <w:pPr>
        <w:pStyle w:val="Default"/>
        <w:ind w:firstLineChars="250" w:firstLine="794"/>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781.46</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782.47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民主党派及工商联</w:t>
      </w:r>
      <w:r>
        <w:rPr>
          <w:rFonts w:asciiTheme="minorEastAsia" w:eastAsiaTheme="minorEastAsia" w:hAnsiTheme="minorEastAsia" w:hint="eastAsia"/>
          <w:sz w:val="32"/>
          <w:szCs w:val="32"/>
        </w:rPr>
        <w:t>事务（款）行政运行（项）。</w:t>
      </w:r>
    </w:p>
    <w:p w:rsidR="00227E2C" w:rsidRDefault="00DC6F88" w:rsidP="007126B3">
      <w:pPr>
        <w:pStyle w:val="Default"/>
        <w:ind w:firstLineChars="250" w:firstLine="79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325.41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351.68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决算数大于年初预算数的主要原因是：</w:t>
      </w:r>
      <w:r>
        <w:rPr>
          <w:rFonts w:asciiTheme="minorEastAsia" w:eastAsiaTheme="minorEastAsia" w:hAnsiTheme="minorEastAsia" w:hint="eastAsia"/>
          <w:color w:val="auto"/>
          <w:sz w:val="32"/>
          <w:szCs w:val="32"/>
        </w:rPr>
        <w:t>工资福利的增加。</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民主党派及工商联</w:t>
      </w:r>
      <w:r>
        <w:rPr>
          <w:rFonts w:asciiTheme="minorEastAsia" w:eastAsiaTheme="minorEastAsia" w:hAnsiTheme="minorEastAsia" w:hint="eastAsia"/>
          <w:sz w:val="32"/>
          <w:szCs w:val="32"/>
        </w:rPr>
        <w:t>事务（款）</w:t>
      </w:r>
      <w:r>
        <w:rPr>
          <w:rFonts w:asciiTheme="minorEastAsia" w:eastAsiaTheme="minorEastAsia" w:hAnsiTheme="minorEastAsia" w:hint="eastAsia"/>
          <w:sz w:val="32"/>
          <w:szCs w:val="32"/>
        </w:rPr>
        <w:t>一般</w:t>
      </w:r>
      <w:r>
        <w:rPr>
          <w:rFonts w:asciiTheme="minorEastAsia" w:eastAsiaTheme="minorEastAsia" w:hAnsiTheme="minorEastAsia" w:hint="eastAsia"/>
          <w:sz w:val="32"/>
          <w:szCs w:val="32"/>
        </w:rPr>
        <w:t>行政</w:t>
      </w:r>
      <w:r>
        <w:rPr>
          <w:rFonts w:asciiTheme="minorEastAsia" w:eastAsiaTheme="minorEastAsia" w:hAnsiTheme="minorEastAsia" w:hint="eastAsia"/>
          <w:sz w:val="32"/>
          <w:szCs w:val="32"/>
        </w:rPr>
        <w:t>管理事务</w:t>
      </w:r>
      <w:r>
        <w:rPr>
          <w:rFonts w:asciiTheme="minorEastAsia" w:eastAsiaTheme="minorEastAsia" w:hAnsiTheme="minorEastAsia" w:hint="eastAsia"/>
          <w:sz w:val="32"/>
          <w:szCs w:val="32"/>
        </w:rPr>
        <w:t>（项）。</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226.77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210.02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92.61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决算数</w:t>
      </w:r>
      <w:r>
        <w:rPr>
          <w:rFonts w:asciiTheme="minorEastAsia" w:eastAsiaTheme="minorEastAsia" w:hAnsiTheme="minorEastAsia" w:hint="eastAsia"/>
          <w:color w:val="auto"/>
          <w:sz w:val="32"/>
          <w:szCs w:val="32"/>
        </w:rPr>
        <w:t>小于</w:t>
      </w:r>
      <w:r>
        <w:rPr>
          <w:rFonts w:asciiTheme="minorEastAsia" w:eastAsiaTheme="minorEastAsia" w:hAnsiTheme="minorEastAsia" w:hint="eastAsia"/>
          <w:color w:val="auto"/>
          <w:sz w:val="32"/>
          <w:szCs w:val="32"/>
        </w:rPr>
        <w:t>年初预算数的主要原因是：</w:t>
      </w:r>
      <w:r>
        <w:rPr>
          <w:rFonts w:asciiTheme="minorEastAsia" w:eastAsiaTheme="minorEastAsia" w:hAnsiTheme="minorEastAsia" w:hint="eastAsia"/>
          <w:color w:val="auto"/>
          <w:sz w:val="32"/>
          <w:szCs w:val="32"/>
        </w:rPr>
        <w:t>树立过“紧日子”思想，厉行节约反对浪费，严控一般性支出。</w:t>
      </w:r>
    </w:p>
    <w:p w:rsidR="00227E2C" w:rsidRDefault="00DC6F88" w:rsidP="007126B3">
      <w:pPr>
        <w:pStyle w:val="Default"/>
        <w:numPr>
          <w:ilvl w:val="0"/>
          <w:numId w:val="2"/>
        </w:numPr>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民主党派及工商联</w:t>
      </w:r>
      <w:r>
        <w:rPr>
          <w:rFonts w:asciiTheme="minorEastAsia" w:eastAsiaTheme="minorEastAsia" w:hAnsiTheme="minorEastAsia" w:hint="eastAsia"/>
          <w:sz w:val="32"/>
          <w:szCs w:val="32"/>
        </w:rPr>
        <w:t>事务（款）</w:t>
      </w:r>
      <w:r>
        <w:rPr>
          <w:rFonts w:asciiTheme="minorEastAsia" w:eastAsiaTheme="minorEastAsia" w:hAnsiTheme="minorEastAsia" w:hint="eastAsia"/>
          <w:sz w:val="32"/>
          <w:szCs w:val="32"/>
        </w:rPr>
        <w:t>参政议政</w:t>
      </w:r>
      <w:r>
        <w:rPr>
          <w:rFonts w:asciiTheme="minorEastAsia" w:eastAsiaTheme="minorEastAsia" w:hAnsiTheme="minorEastAsia" w:hint="eastAsia"/>
          <w:sz w:val="32"/>
          <w:szCs w:val="32"/>
        </w:rPr>
        <w:t>（项）。</w:t>
      </w:r>
    </w:p>
    <w:p w:rsidR="00227E2C" w:rsidRDefault="00DC6F88" w:rsidP="007126B3">
      <w:pPr>
        <w:pStyle w:val="Default"/>
        <w:ind w:firstLineChars="200" w:firstLine="632"/>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lastRenderedPageBreak/>
        <w:t>年初预算为</w:t>
      </w:r>
      <w:r>
        <w:rPr>
          <w:rFonts w:asciiTheme="minorEastAsia" w:eastAsiaTheme="minorEastAsia" w:hAnsiTheme="minorEastAsia" w:hint="eastAsia"/>
          <w:sz w:val="32"/>
          <w:szCs w:val="32"/>
        </w:rPr>
        <w:t>122.4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122.4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color w:val="auto"/>
          <w:sz w:val="32"/>
          <w:szCs w:val="32"/>
        </w:rPr>
        <w:t>4</w:t>
      </w:r>
      <w:r>
        <w:rPr>
          <w:rFonts w:asciiTheme="minorEastAsia" w:eastAsiaTheme="minorEastAsia" w:hAnsiTheme="minorEastAsia" w:hint="eastAsia"/>
          <w:color w:val="auto"/>
          <w:sz w:val="32"/>
          <w:szCs w:val="32"/>
        </w:rPr>
        <w:t>、</w:t>
      </w:r>
      <w:r>
        <w:rPr>
          <w:rFonts w:asciiTheme="minorEastAsia" w:eastAsiaTheme="minorEastAsia" w:hAnsiTheme="minorEastAsia" w:hint="eastAsia"/>
          <w:sz w:val="32"/>
          <w:szCs w:val="32"/>
        </w:rPr>
        <w:t>教育费支出（类）</w:t>
      </w:r>
      <w:r>
        <w:rPr>
          <w:rFonts w:asciiTheme="minorEastAsia" w:eastAsiaTheme="minorEastAsia" w:hAnsiTheme="minorEastAsia" w:hint="eastAsia"/>
          <w:sz w:val="32"/>
          <w:szCs w:val="32"/>
        </w:rPr>
        <w:t>教育费附加安排的支出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其他教育费附加安排的支出</w:t>
      </w:r>
      <w:r>
        <w:rPr>
          <w:rFonts w:asciiTheme="minorEastAsia" w:eastAsiaTheme="minorEastAsia" w:hAnsiTheme="minorEastAsia" w:hint="eastAsia"/>
          <w:sz w:val="32"/>
          <w:szCs w:val="32"/>
        </w:rPr>
        <w:t>（项）。</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，决算数小于年初预算数的主要原因是：</w:t>
      </w:r>
      <w:r>
        <w:rPr>
          <w:rFonts w:asciiTheme="minorEastAsia" w:eastAsiaTheme="minorEastAsia" w:hAnsiTheme="minorEastAsia" w:hint="eastAsia"/>
          <w:sz w:val="32"/>
          <w:szCs w:val="32"/>
        </w:rPr>
        <w:t>因教育费支出未报账，结转至下年度支付。</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227E2C" w:rsidRDefault="00DC6F88" w:rsidP="007126B3">
      <w:pPr>
        <w:pStyle w:val="Default"/>
        <w:ind w:firstLineChars="250" w:firstLine="79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37.19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33.1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89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决算数小于年初预算数的主要原因是：</w:t>
      </w:r>
      <w:r>
        <w:rPr>
          <w:rFonts w:asciiTheme="minorEastAsia" w:eastAsiaTheme="minorEastAsia" w:hAnsiTheme="minorEastAsia" w:hint="eastAsia"/>
          <w:color w:val="auto"/>
          <w:sz w:val="32"/>
          <w:szCs w:val="32"/>
        </w:rPr>
        <w:t>新增</w:t>
      </w:r>
      <w:r>
        <w:rPr>
          <w:rFonts w:asciiTheme="minorEastAsia" w:eastAsiaTheme="minorEastAsia" w:hAnsiTheme="minorEastAsia" w:hint="eastAsia"/>
          <w:color w:val="auto"/>
          <w:sz w:val="32"/>
          <w:szCs w:val="32"/>
        </w:rPr>
        <w:t>2</w:t>
      </w:r>
      <w:r>
        <w:rPr>
          <w:rFonts w:asciiTheme="minorEastAsia" w:eastAsiaTheme="minorEastAsia" w:hAnsiTheme="minorEastAsia" w:hint="eastAsia"/>
          <w:color w:val="auto"/>
          <w:sz w:val="32"/>
          <w:szCs w:val="32"/>
        </w:rPr>
        <w:t>名退休</w:t>
      </w:r>
      <w:r>
        <w:rPr>
          <w:rFonts w:asciiTheme="minorEastAsia" w:eastAsiaTheme="minorEastAsia" w:hAnsiTheme="minorEastAsia" w:hint="eastAsia"/>
          <w:color w:val="auto"/>
          <w:sz w:val="32"/>
          <w:szCs w:val="32"/>
        </w:rPr>
        <w:t>人员。</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其他行政事业单位养老支出</w:t>
      </w:r>
      <w:r>
        <w:rPr>
          <w:rFonts w:asciiTheme="minorEastAsia" w:eastAsiaTheme="minorEastAsia" w:hAnsiTheme="minorEastAsia" w:hint="eastAsia"/>
          <w:sz w:val="32"/>
          <w:szCs w:val="32"/>
        </w:rPr>
        <w:t>（项）。</w:t>
      </w:r>
    </w:p>
    <w:p w:rsidR="00227E2C" w:rsidRDefault="00DC6F88" w:rsidP="007126B3">
      <w:pPr>
        <w:pStyle w:val="Default"/>
        <w:ind w:firstLineChars="250" w:firstLine="79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44.47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44.47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、卫生健康支出（类）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行政单位医疗</w:t>
      </w:r>
      <w:r>
        <w:rPr>
          <w:rFonts w:asciiTheme="minorEastAsia" w:eastAsiaTheme="minorEastAsia" w:hAnsiTheme="minorEastAsia" w:hint="eastAsia"/>
          <w:sz w:val="32"/>
          <w:szCs w:val="32"/>
        </w:rPr>
        <w:t>（项）。</w:t>
      </w:r>
    </w:p>
    <w:p w:rsidR="00227E2C" w:rsidRDefault="00DC6F88" w:rsidP="007126B3">
      <w:pPr>
        <w:pStyle w:val="Default"/>
        <w:ind w:firstLineChars="250" w:firstLine="79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17.22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15.80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91.75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决算数小于年初预算数的主要原因是：</w:t>
      </w:r>
      <w:r>
        <w:rPr>
          <w:rFonts w:asciiTheme="minorEastAsia" w:eastAsiaTheme="minorEastAsia" w:hAnsiTheme="minorEastAsia" w:hint="eastAsia"/>
          <w:color w:val="auto"/>
          <w:sz w:val="32"/>
          <w:szCs w:val="32"/>
        </w:rPr>
        <w:t>新增</w:t>
      </w:r>
      <w:r>
        <w:rPr>
          <w:rFonts w:asciiTheme="minorEastAsia" w:eastAsiaTheme="minorEastAsia" w:hAnsiTheme="minorEastAsia" w:hint="eastAsia"/>
          <w:color w:val="auto"/>
          <w:sz w:val="32"/>
          <w:szCs w:val="32"/>
        </w:rPr>
        <w:t>2</w:t>
      </w:r>
      <w:r>
        <w:rPr>
          <w:rFonts w:asciiTheme="minorEastAsia" w:eastAsiaTheme="minorEastAsia" w:hAnsiTheme="minorEastAsia" w:hint="eastAsia"/>
          <w:color w:val="auto"/>
          <w:sz w:val="32"/>
          <w:szCs w:val="32"/>
        </w:rPr>
        <w:t>名退休</w:t>
      </w:r>
      <w:r>
        <w:rPr>
          <w:rFonts w:asciiTheme="minorEastAsia" w:eastAsiaTheme="minorEastAsia" w:hAnsiTheme="minorEastAsia" w:hint="eastAsia"/>
          <w:color w:val="auto"/>
          <w:sz w:val="32"/>
          <w:szCs w:val="32"/>
        </w:rPr>
        <w:t>人员。</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、其他支出（类）其他支出（款）其他支出（项）。</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lastRenderedPageBreak/>
        <w:t>六、一般公共预算财政拨款基本支出决算情况说明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782.47</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504.35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64.46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hint="eastAsia"/>
          <w:sz w:val="32"/>
          <w:szCs w:val="32"/>
        </w:rPr>
        <w:t>、机关事业单位基本养老保险缴费、职工基本医疗保险缴费、其他社会保障缴费、住房公积金、其</w:t>
      </w:r>
      <w:bookmarkStart w:id="3" w:name="_GoBack"/>
      <w:bookmarkEnd w:id="3"/>
      <w:r>
        <w:rPr>
          <w:rFonts w:asciiTheme="minorEastAsia" w:eastAsiaTheme="minorEastAsia" w:hAnsiTheme="minorEastAsia" w:hint="eastAsia"/>
          <w:sz w:val="32"/>
          <w:szCs w:val="32"/>
        </w:rPr>
        <w:t>他工资福利支出</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278.12</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35.54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w:t>
      </w:r>
      <w:r>
        <w:rPr>
          <w:rFonts w:asciiTheme="minorEastAsia" w:eastAsiaTheme="minorEastAsia" w:hAnsiTheme="minorEastAsia" w:hint="eastAsia"/>
          <w:sz w:val="32"/>
          <w:szCs w:val="32"/>
        </w:rPr>
        <w:t>水费、电费、邮电费、物业管理费</w:t>
      </w:r>
      <w:r>
        <w:rPr>
          <w:rFonts w:asciiTheme="minorEastAsia" w:eastAsiaTheme="minorEastAsia" w:hAnsiTheme="minorEastAsia" w:hint="eastAsia"/>
          <w:sz w:val="32"/>
          <w:szCs w:val="32"/>
        </w:rPr>
        <w:t>、差旅费、维修费、会议费、培训费、公务接待费、劳务费、工会经费、公务用车运行维护费、其他交通费用、其他商品和服务支出</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七、一般公共预算财政拨款三公经费支出决算情况说明</w:t>
      </w:r>
    </w:p>
    <w:p w:rsidR="00227E2C" w:rsidRDefault="00DC6F8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28.77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10.33</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35.9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color w:val="auto"/>
          <w:sz w:val="32"/>
          <w:szCs w:val="32"/>
        </w:rPr>
        <w:t>上</w:t>
      </w:r>
      <w:r>
        <w:rPr>
          <w:rFonts w:asciiTheme="minorEastAsia" w:eastAsiaTheme="minorEastAsia" w:hAnsiTheme="minorEastAsia" w:hint="eastAsia"/>
          <w:color w:val="auto"/>
          <w:sz w:val="32"/>
          <w:szCs w:val="32"/>
        </w:rPr>
        <w:t>年度</w:t>
      </w:r>
      <w:r>
        <w:rPr>
          <w:rFonts w:asciiTheme="minorEastAsia" w:eastAsiaTheme="minorEastAsia" w:hAnsiTheme="minorEastAsia" w:hint="eastAsia"/>
          <w:color w:val="auto"/>
          <w:sz w:val="32"/>
          <w:szCs w:val="32"/>
        </w:rPr>
        <w:t>无</w:t>
      </w:r>
      <w:r>
        <w:rPr>
          <w:rFonts w:asciiTheme="minorEastAsia" w:eastAsiaTheme="minorEastAsia" w:hAnsiTheme="minorEastAsia" w:hint="eastAsia"/>
          <w:sz w:val="32"/>
          <w:szCs w:val="32"/>
        </w:rPr>
        <w:t>因公出国（境）费支出预算</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因工作需要致公党湖南省委选派</w:t>
      </w:r>
      <w:r>
        <w:rPr>
          <w:rFonts w:asciiTheme="minorEastAsia" w:eastAsiaTheme="minorEastAsia" w:hAnsiTheme="minorEastAsia" w:hint="eastAsia"/>
          <w:color w:val="auto"/>
          <w:sz w:val="32"/>
          <w:szCs w:val="32"/>
        </w:rPr>
        <w:t>岳阳市致公党</w:t>
      </w:r>
      <w:r>
        <w:rPr>
          <w:rFonts w:asciiTheme="minorEastAsia" w:eastAsiaTheme="minorEastAsia" w:hAnsiTheme="minorEastAsia" w:hint="eastAsia"/>
          <w:color w:val="auto"/>
          <w:sz w:val="32"/>
          <w:szCs w:val="32"/>
        </w:rPr>
        <w:t>同志赴俄罗斯出访</w:t>
      </w:r>
      <w:r>
        <w:rPr>
          <w:rFonts w:asciiTheme="minorEastAsia" w:eastAsiaTheme="minorEastAsia" w:hAnsiTheme="minorEastAsia" w:hint="eastAsia"/>
          <w:color w:val="auto"/>
          <w:sz w:val="32"/>
          <w:szCs w:val="32"/>
        </w:rPr>
        <w:t>，导致上年度</w:t>
      </w:r>
      <w:r>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为</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万元，本年度无因公</w:t>
      </w:r>
      <w:r>
        <w:rPr>
          <w:rFonts w:asciiTheme="minorEastAsia" w:eastAsiaTheme="minorEastAsia" w:hAnsiTheme="minorEastAsia" w:hint="eastAsia"/>
          <w:sz w:val="32"/>
          <w:szCs w:val="32"/>
        </w:rPr>
        <w:t>出国（境）费支出。</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21.93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7.58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34.56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按照过紧日子要求严控公务接待支出</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0.54</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按照过紧日子要求严控公务接待支出</w:t>
      </w:r>
      <w:r>
        <w:rPr>
          <w:rFonts w:asciiTheme="minorEastAsia" w:eastAsiaTheme="minorEastAsia" w:hAnsiTheme="minorEastAsia" w:hint="eastAsia"/>
          <w:sz w:val="32"/>
          <w:szCs w:val="32"/>
        </w:rPr>
        <w:t>。</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6.84</w:t>
      </w:r>
      <w:r>
        <w:rPr>
          <w:rFonts w:asciiTheme="minorEastAsia" w:eastAsiaTheme="minorEastAsia" w:hAnsiTheme="minorEastAsia" w:hint="eastAsia"/>
          <w:sz w:val="32"/>
          <w:szCs w:val="32"/>
        </w:rPr>
        <w:t>万元，支出决</w:t>
      </w:r>
      <w:r>
        <w:rPr>
          <w:rFonts w:asciiTheme="minorEastAsia" w:eastAsiaTheme="minorEastAsia" w:hAnsiTheme="minorEastAsia" w:hint="eastAsia"/>
          <w:sz w:val="32"/>
          <w:szCs w:val="32"/>
        </w:rPr>
        <w:lastRenderedPageBreak/>
        <w:t>算为</w:t>
      </w:r>
      <w:r>
        <w:rPr>
          <w:rFonts w:asciiTheme="minorEastAsia" w:eastAsiaTheme="minorEastAsia" w:hAnsiTheme="minorEastAsia" w:hint="eastAsia"/>
          <w:sz w:val="32"/>
          <w:szCs w:val="32"/>
        </w:rPr>
        <w:t>2.75</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40.2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按照过紧日子要求严控一般性支出</w:t>
      </w:r>
      <w:r>
        <w:rPr>
          <w:rFonts w:asciiTheme="minorEastAsia" w:eastAsiaTheme="minorEastAsia" w:hAnsiTheme="minorEastAsia" w:hint="eastAsia"/>
          <w:sz w:val="32"/>
          <w:szCs w:val="32"/>
        </w:rPr>
        <w:t>，与上年相比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0.75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27.3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按照过紧日子要求严控一般性支出</w:t>
      </w:r>
      <w:r>
        <w:rPr>
          <w:rFonts w:asciiTheme="minorEastAsia" w:eastAsiaTheme="minorEastAsia" w:hAnsiTheme="minorEastAsia" w:hint="eastAsia"/>
          <w:sz w:val="32"/>
          <w:szCs w:val="32"/>
        </w:rPr>
        <w:t>。</w:t>
      </w:r>
    </w:p>
    <w:p w:rsidR="00227E2C" w:rsidRDefault="00DC6F8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7.58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73.38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2.75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26.62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227E2C" w:rsidRDefault="00DC6F88" w:rsidP="007126B3">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7.58</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53</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655</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调研、会议接待</w:t>
      </w:r>
      <w:r>
        <w:rPr>
          <w:rFonts w:asciiTheme="minorEastAsia" w:eastAsiaTheme="minorEastAsia" w:hAnsiTheme="minorEastAsia" w:hint="eastAsia"/>
          <w:sz w:val="32"/>
          <w:szCs w:val="32"/>
        </w:rPr>
        <w:t>发生的接待支出。</w:t>
      </w:r>
    </w:p>
    <w:p w:rsidR="00227E2C" w:rsidRDefault="00DC6F88" w:rsidP="007126B3">
      <w:pPr>
        <w:ind w:firstLineChars="250" w:firstLine="79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2.75</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2.75</w:t>
      </w:r>
      <w:r>
        <w:rPr>
          <w:rFonts w:asciiTheme="minorEastAsia" w:hAnsiTheme="minorEastAsia" w:hint="eastAsia"/>
          <w:sz w:val="32"/>
          <w:szCs w:val="32"/>
        </w:rPr>
        <w:t>万元，主要是</w:t>
      </w:r>
      <w:r>
        <w:rPr>
          <w:rFonts w:asciiTheme="minorEastAsia" w:hAnsiTheme="minorEastAsia" w:hint="eastAsia"/>
          <w:sz w:val="32"/>
          <w:szCs w:val="32"/>
        </w:rPr>
        <w:t>公务车燃油费及车辆维修费</w:t>
      </w:r>
      <w:r>
        <w:rPr>
          <w:rFonts w:asciiTheme="minorEastAsia" w:hAnsiTheme="minorEastAsia" w:hint="eastAsia"/>
          <w:sz w:val="32"/>
          <w:szCs w:val="32"/>
        </w:rPr>
        <w:t>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r>
        <w:rPr>
          <w:rFonts w:asciiTheme="minorEastAsia" w:hAnsiTheme="minorEastAsia" w:hint="eastAsia"/>
          <w:sz w:val="32"/>
          <w:szCs w:val="32"/>
        </w:rPr>
        <w:t>，当年没有购置公务用车</w:t>
      </w:r>
      <w:r>
        <w:rPr>
          <w:rFonts w:ascii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八、政府性基金预算收入支出决算情况</w:t>
      </w:r>
    </w:p>
    <w:p w:rsidR="00227E2C" w:rsidRDefault="00DC6F88">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岳阳市民主党派机关无</w:t>
      </w:r>
      <w:r>
        <w:rPr>
          <w:rFonts w:asciiTheme="minorEastAsia" w:eastAsiaTheme="minorEastAsia" w:hAnsiTheme="minorEastAsia" w:hint="eastAsia"/>
          <w:sz w:val="32"/>
          <w:szCs w:val="32"/>
        </w:rPr>
        <w:t>政府性基金</w:t>
      </w:r>
      <w:r>
        <w:rPr>
          <w:rFonts w:asciiTheme="minorEastAsia" w:eastAsiaTheme="minorEastAsia" w:hAnsiTheme="minorEastAsia" w:hint="eastAsia"/>
          <w:sz w:val="32"/>
          <w:szCs w:val="32"/>
        </w:rPr>
        <w:t>收支</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九、国有资本经营预算财政拨款支出决算情况</w:t>
      </w:r>
    </w:p>
    <w:p w:rsidR="00227E2C" w:rsidRDefault="00DC6F88">
      <w:pPr>
        <w:pStyle w:val="Default"/>
        <w:rPr>
          <w:rFonts w:hAnsi="黑体"/>
          <w:b/>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岳阳市民主党派机关</w:t>
      </w:r>
      <w:r>
        <w:rPr>
          <w:rFonts w:asciiTheme="minorEastAsia" w:eastAsiaTheme="minorEastAsia" w:hAnsiTheme="minorEastAsia" w:hint="eastAsia"/>
          <w:sz w:val="32"/>
          <w:szCs w:val="32"/>
        </w:rPr>
        <w:t>无国有资本经营预算财政拨款支出</w:t>
      </w:r>
      <w:r>
        <w:rPr>
          <w:rFonts w:asciiTheme="minorEastAsia" w:eastAsiaTheme="minorEastAsia" w:hAnsiTheme="minorEastAsia"/>
          <w:sz w:val="32"/>
          <w:szCs w:val="32"/>
        </w:rPr>
        <w:t>。</w:t>
      </w:r>
    </w:p>
    <w:p w:rsidR="00227E2C" w:rsidRDefault="00DC6F88">
      <w:pPr>
        <w:pStyle w:val="Default"/>
        <w:rPr>
          <w:rFonts w:hAnsi="黑体"/>
          <w:b/>
          <w:sz w:val="32"/>
          <w:szCs w:val="32"/>
        </w:rPr>
      </w:pPr>
      <w:r>
        <w:rPr>
          <w:rFonts w:hAnsi="黑体" w:hint="eastAsia"/>
          <w:b/>
          <w:sz w:val="32"/>
          <w:szCs w:val="32"/>
        </w:rPr>
        <w:lastRenderedPageBreak/>
        <w:t>十、关于机关运行经费支出说明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20.91</w:t>
      </w:r>
      <w:r>
        <w:rPr>
          <w:rFonts w:asciiTheme="minorEastAsia" w:eastAsiaTheme="minorEastAsia" w:hAnsiTheme="minorEastAsia" w:hint="eastAsia"/>
          <w:sz w:val="32"/>
          <w:szCs w:val="32"/>
        </w:rPr>
        <w:t>万元，比上年决算数增加</w:t>
      </w:r>
      <w:r>
        <w:rPr>
          <w:rFonts w:asciiTheme="minorEastAsia" w:eastAsiaTheme="minorEastAsia" w:hAnsiTheme="minorEastAsia" w:hint="eastAsia"/>
          <w:sz w:val="32"/>
          <w:szCs w:val="32"/>
        </w:rPr>
        <w:t>15.74</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304.45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根据岳阳市政务服务中心《关于各单位在内部拓展岳阳市协同办公系统有关事宜的函》（岳政务函〔</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号</w:t>
      </w:r>
      <w:r>
        <w:rPr>
          <w:rFonts w:asciiTheme="minorEastAsia" w:eastAsiaTheme="minorEastAsia" w:hAnsiTheme="minorEastAsia" w:hint="eastAsia"/>
          <w:sz w:val="32"/>
          <w:szCs w:val="32"/>
        </w:rPr>
        <w:t>）要求采购协同办公系统及平板电脑</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十一、一般性支出情况</w:t>
      </w:r>
    </w:p>
    <w:p w:rsidR="00227E2C" w:rsidRDefault="00DC6F88" w:rsidP="007126B3">
      <w:pPr>
        <w:pStyle w:val="Default"/>
        <w:ind w:firstLineChars="200" w:firstLine="632"/>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30.68</w:t>
      </w:r>
      <w:r>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各党派</w:t>
      </w:r>
      <w:r>
        <w:rPr>
          <w:rFonts w:asciiTheme="minorEastAsia" w:eastAsiaTheme="minorEastAsia" w:hAnsiTheme="minorEastAsia" w:hint="eastAsia"/>
          <w:sz w:val="32"/>
          <w:szCs w:val="32"/>
        </w:rPr>
        <w:t>市委会议、主委会议、调研课题协商会</w:t>
      </w:r>
      <w:r>
        <w:rPr>
          <w:rFonts w:asciiTheme="minorEastAsia" w:eastAsiaTheme="minorEastAsia" w:hAnsiTheme="minorEastAsia" w:hint="eastAsia"/>
          <w:sz w:val="32"/>
          <w:szCs w:val="32"/>
        </w:rPr>
        <w:t>及年终大会等</w:t>
      </w:r>
      <w:r>
        <w:rPr>
          <w:rFonts w:asciiTheme="minorEastAsia" w:eastAsiaTheme="minorEastAsia" w:hAnsiTheme="minorEastAsia" w:hint="eastAsia"/>
          <w:sz w:val="32"/>
          <w:szCs w:val="32"/>
        </w:rPr>
        <w:t>会议，人数</w:t>
      </w:r>
      <w:r>
        <w:rPr>
          <w:rFonts w:asciiTheme="minorEastAsia" w:eastAsiaTheme="minorEastAsia" w:hAnsiTheme="minorEastAsia" w:hint="eastAsia"/>
          <w:sz w:val="32"/>
          <w:szCs w:val="32"/>
        </w:rPr>
        <w:t>1866</w:t>
      </w:r>
      <w:r>
        <w:rPr>
          <w:rFonts w:asciiTheme="minorEastAsia" w:eastAsiaTheme="minorEastAsia" w:hAnsiTheme="minorEastAsia" w:hint="eastAsia"/>
          <w:sz w:val="32"/>
          <w:szCs w:val="32"/>
        </w:rPr>
        <w:t>人，内容为</w:t>
      </w:r>
      <w:r>
        <w:rPr>
          <w:rFonts w:asciiTheme="minorEastAsia" w:eastAsiaTheme="minorEastAsia" w:hAnsiTheme="minorEastAsia" w:hint="eastAsia"/>
          <w:color w:val="auto"/>
          <w:sz w:val="32"/>
          <w:szCs w:val="32"/>
        </w:rPr>
        <w:t>民革民主生活会、民革领导班子考察评估会、民革市委扩大会；民盟</w:t>
      </w:r>
      <w:r>
        <w:rPr>
          <w:rFonts w:asciiTheme="minorEastAsia" w:eastAsiaTheme="minorEastAsia" w:hAnsiTheme="minorEastAsia" w:hint="eastAsia"/>
          <w:color w:val="auto"/>
          <w:sz w:val="32"/>
          <w:szCs w:val="32"/>
        </w:rPr>
        <w:t>提案议案征集会、民盟盟员大讲堂</w:t>
      </w:r>
      <w:r>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民建</w:t>
      </w:r>
      <w:r>
        <w:rPr>
          <w:rFonts w:asciiTheme="minorEastAsia" w:eastAsiaTheme="minorEastAsia" w:hAnsiTheme="minorEastAsia" w:hint="eastAsia"/>
          <w:color w:val="auto"/>
          <w:sz w:val="32"/>
          <w:szCs w:val="32"/>
        </w:rPr>
        <w:t>政协提案征集会、</w:t>
      </w:r>
      <w:r>
        <w:rPr>
          <w:rFonts w:asciiTheme="minorEastAsia" w:eastAsiaTheme="minorEastAsia" w:hAnsiTheme="minorEastAsia" w:hint="eastAsia"/>
          <w:color w:val="auto"/>
          <w:sz w:val="32"/>
          <w:szCs w:val="32"/>
        </w:rPr>
        <w:t>民建市委扩大会议</w:t>
      </w:r>
      <w:r>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民建企业家联谊会；民进</w:t>
      </w:r>
      <w:r>
        <w:rPr>
          <w:rFonts w:asciiTheme="minorEastAsia" w:eastAsiaTheme="minorEastAsia" w:hAnsiTheme="minorEastAsia" w:hint="eastAsia"/>
          <w:color w:val="auto"/>
          <w:sz w:val="32"/>
          <w:szCs w:val="32"/>
        </w:rPr>
        <w:t>参政履职座谈会、民进社情民意工作推进会、民进基层组织换届动员会；农工党市委会、农工“爱心送医”活动；致公党主委会、致公党支部换届会、致公党年中总结部署会；九三基层组织工作座谈会</w:t>
      </w:r>
      <w:r>
        <w:rPr>
          <w:rFonts w:asciiTheme="minorEastAsia" w:eastAsiaTheme="minorEastAsia" w:hAnsiTheme="minorEastAsia" w:hint="eastAsia"/>
          <w:color w:val="auto"/>
          <w:sz w:val="32"/>
          <w:szCs w:val="32"/>
        </w:rPr>
        <w:t>；开支培训费</w:t>
      </w:r>
      <w:r>
        <w:rPr>
          <w:rFonts w:asciiTheme="minorEastAsia" w:eastAsiaTheme="minorEastAsia" w:hAnsiTheme="minorEastAsia" w:hint="eastAsia"/>
          <w:color w:val="auto"/>
          <w:sz w:val="32"/>
          <w:szCs w:val="32"/>
        </w:rPr>
        <w:t>7.58</w:t>
      </w:r>
      <w:r>
        <w:rPr>
          <w:rFonts w:asciiTheme="minorEastAsia" w:eastAsiaTheme="minorEastAsia" w:hAnsiTheme="minorEastAsia" w:hint="eastAsia"/>
          <w:color w:val="auto"/>
          <w:sz w:val="32"/>
          <w:szCs w:val="32"/>
        </w:rPr>
        <w:t>万元，用于开展</w:t>
      </w:r>
      <w:r>
        <w:rPr>
          <w:rFonts w:asciiTheme="minorEastAsia" w:eastAsiaTheme="minorEastAsia" w:hAnsiTheme="minorEastAsia" w:hint="eastAsia"/>
          <w:color w:val="auto"/>
          <w:sz w:val="32"/>
          <w:szCs w:val="32"/>
        </w:rPr>
        <w:t>党史教育及新党员</w:t>
      </w:r>
      <w:r>
        <w:rPr>
          <w:rFonts w:asciiTheme="minorEastAsia" w:eastAsiaTheme="minorEastAsia" w:hAnsiTheme="minorEastAsia" w:hint="eastAsia"/>
          <w:color w:val="auto"/>
          <w:sz w:val="32"/>
          <w:szCs w:val="32"/>
        </w:rPr>
        <w:t>培训，人数</w:t>
      </w:r>
      <w:r>
        <w:rPr>
          <w:rFonts w:asciiTheme="minorEastAsia" w:eastAsiaTheme="minorEastAsia" w:hAnsiTheme="minorEastAsia" w:hint="eastAsia"/>
          <w:color w:val="auto"/>
          <w:sz w:val="32"/>
          <w:szCs w:val="32"/>
        </w:rPr>
        <w:t>576</w:t>
      </w:r>
      <w:r>
        <w:rPr>
          <w:rFonts w:asciiTheme="minorEastAsia" w:eastAsiaTheme="minorEastAsia" w:hAnsiTheme="minorEastAsia" w:hint="eastAsia"/>
          <w:color w:val="auto"/>
          <w:sz w:val="32"/>
          <w:szCs w:val="32"/>
        </w:rPr>
        <w:t>人，内容为</w:t>
      </w:r>
      <w:r>
        <w:rPr>
          <w:rFonts w:asciiTheme="minorEastAsia" w:eastAsiaTheme="minorEastAsia" w:hAnsiTheme="minorEastAsia" w:hint="eastAsia"/>
          <w:color w:val="auto"/>
          <w:sz w:val="32"/>
          <w:szCs w:val="32"/>
        </w:rPr>
        <w:t>“半条被子”党性教育培训、民盟大讲堂、新会员培训、党史教育集中学习</w:t>
      </w:r>
      <w:r>
        <w:rPr>
          <w:rFonts w:asciiTheme="minorEastAsia" w:eastAsiaTheme="minorEastAsia" w:hAnsiTheme="minorEastAsia" w:hint="eastAsia"/>
          <w:color w:val="auto"/>
          <w:sz w:val="32"/>
          <w:szCs w:val="32"/>
        </w:rPr>
        <w:t>；举办</w:t>
      </w:r>
      <w:r>
        <w:rPr>
          <w:rFonts w:asciiTheme="minorEastAsia" w:eastAsiaTheme="minorEastAsia" w:hAnsiTheme="minorEastAsia" w:hint="eastAsia"/>
          <w:color w:val="auto"/>
          <w:sz w:val="32"/>
          <w:szCs w:val="32"/>
        </w:rPr>
        <w:t>三八妇女节、重阳节</w:t>
      </w:r>
      <w:r>
        <w:rPr>
          <w:rFonts w:asciiTheme="minorEastAsia" w:eastAsiaTheme="minorEastAsia" w:hAnsiTheme="minorEastAsia" w:hint="eastAsia"/>
          <w:color w:val="auto"/>
          <w:sz w:val="32"/>
          <w:szCs w:val="32"/>
        </w:rPr>
        <w:t>等节庆活动，开支</w:t>
      </w:r>
      <w:r>
        <w:rPr>
          <w:rFonts w:asciiTheme="minorEastAsia" w:eastAsiaTheme="minorEastAsia" w:hAnsiTheme="minorEastAsia" w:hint="eastAsia"/>
          <w:color w:val="auto"/>
          <w:sz w:val="32"/>
          <w:szCs w:val="32"/>
        </w:rPr>
        <w:t>36000</w:t>
      </w:r>
      <w:r>
        <w:rPr>
          <w:rFonts w:asciiTheme="minorEastAsia" w:eastAsiaTheme="minorEastAsia" w:hAnsiTheme="minorEastAsia" w:hint="eastAsia"/>
          <w:color w:val="auto"/>
          <w:sz w:val="32"/>
          <w:szCs w:val="32"/>
        </w:rPr>
        <w:t>万元，主要是</w:t>
      </w:r>
      <w:r>
        <w:rPr>
          <w:rFonts w:asciiTheme="minorEastAsia" w:eastAsiaTheme="minorEastAsia" w:hAnsiTheme="minorEastAsia" w:hint="eastAsia"/>
          <w:color w:val="auto"/>
          <w:sz w:val="32"/>
          <w:szCs w:val="32"/>
        </w:rPr>
        <w:t>开展三八妇女节、重阳节活动</w:t>
      </w:r>
      <w:r>
        <w:rPr>
          <w:rFonts w:asciiTheme="minorEastAsia" w:eastAsiaTheme="minorEastAsia" w:hAnsiTheme="minorEastAsia" w:hint="eastAsia"/>
          <w:color w:val="auto"/>
          <w:sz w:val="32"/>
          <w:szCs w:val="32"/>
        </w:rPr>
        <w:t>。</w:t>
      </w:r>
    </w:p>
    <w:p w:rsidR="00227E2C" w:rsidRDefault="00DC6F88">
      <w:pPr>
        <w:pStyle w:val="Default"/>
        <w:rPr>
          <w:rFonts w:hAnsi="黑体"/>
          <w:b/>
          <w:sz w:val="32"/>
          <w:szCs w:val="32"/>
        </w:rPr>
      </w:pPr>
      <w:r>
        <w:rPr>
          <w:rFonts w:hAnsi="黑体" w:hint="eastAsia"/>
          <w:b/>
          <w:sz w:val="32"/>
          <w:szCs w:val="32"/>
        </w:rPr>
        <w:t>十二、关于</w:t>
      </w:r>
      <w:r>
        <w:rPr>
          <w:rFonts w:hAnsi="黑体" w:hint="eastAsia"/>
          <w:b/>
          <w:sz w:val="32"/>
          <w:szCs w:val="32"/>
        </w:rPr>
        <w:t>政府采购支出说明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20.91</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20.91</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20.91</w:t>
      </w:r>
      <w:r>
        <w:rPr>
          <w:rFonts w:asciiTheme="minorEastAsia" w:eastAsiaTheme="minorEastAsia" w:hAnsiTheme="minorEastAsia" w:hint="eastAsia"/>
          <w:sz w:val="32"/>
          <w:szCs w:val="32"/>
        </w:rPr>
        <w:t>万元，占政府采购支</w:t>
      </w:r>
      <w:r>
        <w:rPr>
          <w:rFonts w:asciiTheme="minorEastAsia" w:eastAsiaTheme="minorEastAsia" w:hAnsiTheme="minorEastAsia" w:hint="eastAsia"/>
          <w:sz w:val="32"/>
          <w:szCs w:val="32"/>
        </w:rPr>
        <w:lastRenderedPageBreak/>
        <w:t>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20.91</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7E2C" w:rsidRDefault="00DC6F88">
      <w:pPr>
        <w:pStyle w:val="Default"/>
        <w:rPr>
          <w:rFonts w:hAnsi="黑体"/>
          <w:b/>
          <w:sz w:val="32"/>
          <w:szCs w:val="32"/>
        </w:rPr>
      </w:pPr>
      <w:r>
        <w:rPr>
          <w:rFonts w:hAnsi="黑体" w:hint="eastAsia"/>
          <w:b/>
          <w:sz w:val="32"/>
          <w:szCs w:val="32"/>
        </w:rPr>
        <w:t>十三、关于国有资产占用情况说明</w:t>
      </w:r>
    </w:p>
    <w:p w:rsidR="00227E2C" w:rsidRDefault="00DC6F88" w:rsidP="007126B3">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辆，其中，应急保障用车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227E2C" w:rsidRDefault="00DC6F88">
      <w:pPr>
        <w:pStyle w:val="Default"/>
        <w:rPr>
          <w:rFonts w:hAnsi="黑体"/>
          <w:b/>
          <w:sz w:val="32"/>
          <w:szCs w:val="32"/>
        </w:rPr>
      </w:pPr>
      <w:r>
        <w:rPr>
          <w:rFonts w:hAnsi="黑体" w:hint="eastAsia"/>
          <w:b/>
          <w:sz w:val="32"/>
          <w:szCs w:val="32"/>
        </w:rPr>
        <w:t>十四、关于</w:t>
      </w:r>
      <w:r>
        <w:rPr>
          <w:rFonts w:hAnsi="黑体" w:hint="eastAsia"/>
          <w:b/>
          <w:sz w:val="32"/>
          <w:szCs w:val="32"/>
        </w:rPr>
        <w:t>2020</w:t>
      </w:r>
      <w:r>
        <w:rPr>
          <w:rFonts w:hAnsi="黑体" w:hint="eastAsia"/>
          <w:b/>
          <w:sz w:val="32"/>
          <w:szCs w:val="32"/>
        </w:rPr>
        <w:t>年度预算绩效情况的说明</w:t>
      </w:r>
    </w:p>
    <w:p w:rsidR="00227E2C" w:rsidRDefault="00DC6F88">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按照财政绩效部门要求已公开绩效评价报告</w:t>
      </w:r>
      <w:r>
        <w:rPr>
          <w:rFonts w:asciiTheme="minorEastAsia" w:eastAsiaTheme="minorEastAsia" w:hAnsiTheme="minorEastAsia" w:hint="eastAsia"/>
          <w:sz w:val="32"/>
          <w:szCs w:val="32"/>
        </w:rPr>
        <w:t>，详情见</w:t>
      </w:r>
      <w:r>
        <w:rPr>
          <w:rFonts w:asciiTheme="minorEastAsia" w:eastAsiaTheme="minorEastAsia" w:hAnsiTheme="minorEastAsia" w:hint="eastAsia"/>
          <w:sz w:val="32"/>
          <w:szCs w:val="32"/>
        </w:rPr>
        <w:t>附件</w:t>
      </w:r>
      <w:r>
        <w:rPr>
          <w:rFonts w:asciiTheme="minorEastAsia" w:eastAsiaTheme="minorEastAsia" w:hAnsiTheme="minorEastAsia" w:hint="eastAsia"/>
          <w:sz w:val="32"/>
          <w:szCs w:val="32"/>
        </w:rPr>
        <w:t>。</w:t>
      </w:r>
    </w:p>
    <w:p w:rsidR="00227E2C" w:rsidRDefault="00227E2C">
      <w:pPr>
        <w:pStyle w:val="Default"/>
        <w:rPr>
          <w:rFonts w:hAnsi="黑体"/>
          <w:b/>
          <w:sz w:val="32"/>
          <w:szCs w:val="3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both"/>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both"/>
        <w:rPr>
          <w:sz w:val="72"/>
          <w:szCs w:val="72"/>
        </w:rPr>
      </w:pPr>
    </w:p>
    <w:p w:rsidR="00227E2C" w:rsidRDefault="00227E2C">
      <w:pPr>
        <w:pStyle w:val="Default"/>
        <w:jc w:val="center"/>
        <w:rPr>
          <w:sz w:val="72"/>
          <w:szCs w:val="72"/>
        </w:rPr>
      </w:pPr>
    </w:p>
    <w:p w:rsidR="00227E2C" w:rsidRDefault="00DC6F88">
      <w:pPr>
        <w:pStyle w:val="Default"/>
        <w:jc w:val="center"/>
        <w:rPr>
          <w:sz w:val="72"/>
          <w:szCs w:val="72"/>
        </w:rPr>
      </w:pPr>
      <w:r>
        <w:rPr>
          <w:rFonts w:hint="eastAsia"/>
          <w:sz w:val="72"/>
          <w:szCs w:val="72"/>
        </w:rPr>
        <w:t>第四部分</w:t>
      </w:r>
    </w:p>
    <w:p w:rsidR="00227E2C" w:rsidRDefault="00227E2C">
      <w:pPr>
        <w:jc w:val="center"/>
        <w:rPr>
          <w:rFonts w:ascii="黑体" w:eastAsia="黑体" w:cs="黑体"/>
          <w:color w:val="000000"/>
          <w:kern w:val="0"/>
          <w:sz w:val="70"/>
          <w:szCs w:val="70"/>
        </w:rPr>
      </w:pPr>
    </w:p>
    <w:p w:rsidR="00227E2C" w:rsidRDefault="00DC6F88">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227E2C" w:rsidRDefault="00DC6F8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27E2C" w:rsidRDefault="00227E2C" w:rsidP="007126B3">
      <w:pPr>
        <w:ind w:firstLineChars="200" w:firstLine="632"/>
        <w:jc w:val="left"/>
        <w:rPr>
          <w:rFonts w:asciiTheme="minorEastAsia" w:hAnsiTheme="minorEastAsia" w:cs="黑体"/>
          <w:color w:val="000000"/>
          <w:kern w:val="0"/>
          <w:sz w:val="32"/>
          <w:szCs w:val="32"/>
        </w:rPr>
      </w:pPr>
    </w:p>
    <w:p w:rsidR="00227E2C" w:rsidRDefault="00DC6F88">
      <w:pPr>
        <w:pStyle w:val="a8"/>
        <w:widowControl/>
        <w:spacing w:before="0" w:beforeAutospacing="0" w:after="0" w:afterAutospacing="0" w:line="33" w:lineRule="atLeast"/>
        <w:ind w:firstLine="420"/>
        <w:jc w:val="both"/>
        <w:rPr>
          <w:sz w:val="28"/>
          <w:szCs w:val="28"/>
        </w:rPr>
      </w:pPr>
      <w:r>
        <w:rPr>
          <w:rFonts w:asciiTheme="minorEastAsia" w:hAnsiTheme="minorEastAsia" w:cs="黑体" w:hint="eastAsia"/>
          <w:color w:val="000000"/>
          <w:sz w:val="32"/>
          <w:szCs w:val="32"/>
        </w:rPr>
        <w:t>一、</w:t>
      </w:r>
      <w:r>
        <w:rPr>
          <w:sz w:val="28"/>
          <w:szCs w:val="28"/>
        </w:rPr>
        <w:t>财政拨款收入：指本级财政当年拨付的资金。</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二、</w:t>
      </w:r>
      <w:r>
        <w:rPr>
          <w:sz w:val="28"/>
          <w:szCs w:val="28"/>
        </w:rPr>
        <w:t>上年结转和结余：指以前年度尚未完成、结转到本年按有关规定继续使用的资金。</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三、</w:t>
      </w:r>
      <w:r>
        <w:rPr>
          <w:sz w:val="28"/>
          <w:szCs w:val="28"/>
        </w:rPr>
        <w:t>年末结转和结余资金：指本年度或以前年度预算安排、因客观条件发生变化无法按原计划实施，需要延迟到以后年度按有关规定继续使用的资金。</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四、</w:t>
      </w:r>
      <w:r>
        <w:rPr>
          <w:sz w:val="28"/>
          <w:szCs w:val="28"/>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五、</w:t>
      </w:r>
      <w:r>
        <w:rPr>
          <w:sz w:val="28"/>
          <w:szCs w:val="28"/>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六、</w:t>
      </w:r>
      <w:r>
        <w:rPr>
          <w:sz w:val="28"/>
          <w:szCs w:val="28"/>
        </w:rPr>
        <w:t>基本支出：指保障机构正常运转、完成支</w:t>
      </w:r>
      <w:r>
        <w:rPr>
          <w:sz w:val="28"/>
          <w:szCs w:val="28"/>
        </w:rPr>
        <w:t>日常工作任务而发生的人员支出和公用支出。</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七、</w:t>
      </w:r>
      <w:r>
        <w:rPr>
          <w:sz w:val="28"/>
          <w:szCs w:val="28"/>
        </w:rPr>
        <w:t>项目支出：指在基本支出之外为完成特定行政任务和事业发展目标所发生的支出。</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八、</w:t>
      </w:r>
      <w:r>
        <w:rPr>
          <w:sz w:val="28"/>
          <w:szCs w:val="28"/>
        </w:rPr>
        <w:t>“</w:t>
      </w:r>
      <w:r>
        <w:rPr>
          <w:sz w:val="28"/>
          <w:szCs w:val="28"/>
        </w:rPr>
        <w:t>三公</w:t>
      </w:r>
      <w:r>
        <w:rPr>
          <w:sz w:val="28"/>
          <w:szCs w:val="28"/>
        </w:rPr>
        <w:t>”</w:t>
      </w:r>
      <w:r>
        <w:rPr>
          <w:sz w:val="28"/>
          <w:szCs w:val="28"/>
        </w:rPr>
        <w:t>经费：指用财政拨款安排的因公出国（境）费、公务用车购置及运行费和公务接待费。其中，因公出国（境）费反映出国（境）的住宿费、旅费、伙食补助费、杂费、培训费等支出；公务用车购置及</w:t>
      </w:r>
      <w:r>
        <w:rPr>
          <w:sz w:val="28"/>
          <w:szCs w:val="28"/>
        </w:rPr>
        <w:lastRenderedPageBreak/>
        <w:t>运行费反映单位公务用车购置费及租用费、燃料费、维修费、过路过桥费、保险费</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九、</w:t>
      </w:r>
      <w:r>
        <w:rPr>
          <w:sz w:val="28"/>
          <w:szCs w:val="28"/>
        </w:rPr>
        <w:t>工资福利支出：反映单位开支的在职职工和编制外长期聘用人员的各类劳动报酬，以及为上述人员缴纳的各项社会保险费等。</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w:t>
      </w:r>
      <w:r>
        <w:rPr>
          <w:sz w:val="28"/>
          <w:szCs w:val="28"/>
        </w:rPr>
        <w:t>基本工资：反映按规定发放的基本工资，包括公务员的职务工资、级别工资；机关工人的岗位工资、技术等级工资；事业单位工作人员的岗位工资、薪级工资；各类学校毕业生试用期</w:t>
      </w:r>
      <w:r>
        <w:rPr>
          <w:sz w:val="28"/>
          <w:szCs w:val="28"/>
        </w:rPr>
        <w:t>(</w:t>
      </w:r>
      <w:r>
        <w:rPr>
          <w:sz w:val="28"/>
          <w:szCs w:val="28"/>
        </w:rPr>
        <w:t>见习期</w:t>
      </w:r>
      <w:r>
        <w:rPr>
          <w:sz w:val="28"/>
          <w:szCs w:val="28"/>
        </w:rPr>
        <w:t>)</w:t>
      </w:r>
      <w:r>
        <w:rPr>
          <w:sz w:val="28"/>
          <w:szCs w:val="28"/>
        </w:rPr>
        <w:t>工资、新参加工作工人学徒期、熟练期工资；军队（武警）军官、文职干部的职务（专业技术等级</w:t>
      </w:r>
      <w:r>
        <w:rPr>
          <w:rFonts w:hint="eastAsia"/>
          <w:sz w:val="28"/>
          <w:szCs w:val="28"/>
        </w:rPr>
        <w:t>）</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十一、</w:t>
      </w:r>
      <w:r>
        <w:rPr>
          <w:sz w:val="28"/>
          <w:szCs w:val="28"/>
        </w:rPr>
        <w:t>津贴补贴：反映经国家批准建立的机关事业单位艰苦边远地区津贴、机关工作人员地区附加津贴、机关工作人员岗位津贴、事业单位工作人员特殊岗位津贴补贴等。</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十二、</w:t>
      </w:r>
      <w:r>
        <w:rPr>
          <w:sz w:val="28"/>
          <w:szCs w:val="28"/>
        </w:rPr>
        <w:t>奖金：反映机关工作人员年终一次性奖金。</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十三、</w:t>
      </w:r>
      <w:r>
        <w:rPr>
          <w:sz w:val="28"/>
          <w:szCs w:val="28"/>
        </w:rPr>
        <w:t>伙食补助费：反映单位发给职工的伙食补助费，如误餐</w:t>
      </w:r>
      <w:r>
        <w:rPr>
          <w:sz w:val="28"/>
          <w:szCs w:val="28"/>
        </w:rPr>
        <w:t>补助等。</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十四、</w:t>
      </w:r>
      <w:r>
        <w:rPr>
          <w:sz w:val="28"/>
          <w:szCs w:val="28"/>
        </w:rPr>
        <w:t>机关事业单位基本养老保险缴费：反映机关事业单位缴纳的基本养老保险费。由单位代扣的工作人员基本养老保险缴费，不在此科目反映。</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十五、</w:t>
      </w:r>
      <w:r>
        <w:rPr>
          <w:sz w:val="28"/>
          <w:szCs w:val="28"/>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十六、</w:t>
      </w:r>
      <w:r>
        <w:rPr>
          <w:sz w:val="28"/>
          <w:szCs w:val="28"/>
        </w:rPr>
        <w:t>对个人和家庭的补助：反映政府用于对个人和家庭的补助支出。</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lastRenderedPageBreak/>
        <w:t>十七、</w:t>
      </w:r>
      <w:r>
        <w:rPr>
          <w:sz w:val="28"/>
          <w:szCs w:val="28"/>
        </w:rPr>
        <w:t>抚恤金：反映按规定开支的烈士遗属、牺牲病故人员遗属的一次性和定期抚恤</w:t>
      </w:r>
      <w:r>
        <w:rPr>
          <w:sz w:val="28"/>
          <w:szCs w:val="28"/>
        </w:rPr>
        <w:t>金，伤残人员的抚恤金，离退休人员等其他人员的各项抚恤金。</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十八、</w:t>
      </w:r>
      <w:r>
        <w:rPr>
          <w:sz w:val="28"/>
          <w:szCs w:val="28"/>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r>
        <w:rPr>
          <w:rFonts w:hint="eastAsia"/>
          <w:sz w:val="28"/>
          <w:szCs w:val="28"/>
        </w:rPr>
        <w:t>。</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十九、</w:t>
      </w:r>
      <w:r>
        <w:rPr>
          <w:sz w:val="28"/>
          <w:szCs w:val="28"/>
        </w:rPr>
        <w:t>其他资本性支出：反映发展与改革部门以外的其他部门安排的用于购置固定资产、战略性和应急性储备、土地和无形资产，以及购建基础设施、大型修缮和财政支持企业更新改造所发生的支出。</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二十、</w:t>
      </w:r>
      <w:r>
        <w:rPr>
          <w:sz w:val="28"/>
          <w:szCs w:val="28"/>
        </w:rPr>
        <w:t>办公设</w:t>
      </w:r>
      <w:r>
        <w:rPr>
          <w:sz w:val="28"/>
          <w:szCs w:val="28"/>
        </w:rPr>
        <w:t>备购置：反映用于购置并按财务会计制度规定纳入固定资产核算范围的办公家具和办公设备的支出，以及按规定提取的修购基金。</w:t>
      </w:r>
    </w:p>
    <w:p w:rsidR="00227E2C" w:rsidRDefault="00DC6F88">
      <w:pPr>
        <w:pStyle w:val="a8"/>
        <w:widowControl/>
        <w:spacing w:before="0" w:beforeAutospacing="0" w:after="0" w:afterAutospacing="0" w:line="33" w:lineRule="atLeast"/>
        <w:ind w:firstLine="420"/>
        <w:jc w:val="both"/>
        <w:rPr>
          <w:sz w:val="28"/>
          <w:szCs w:val="28"/>
        </w:rPr>
      </w:pPr>
      <w:r>
        <w:rPr>
          <w:rFonts w:hint="eastAsia"/>
          <w:sz w:val="28"/>
          <w:szCs w:val="28"/>
        </w:rPr>
        <w:t>二十一、</w:t>
      </w:r>
      <w:r>
        <w:rPr>
          <w:sz w:val="28"/>
          <w:szCs w:val="28"/>
        </w:rPr>
        <w:t>信息网络及软件购置更新：反映政府用于信息网络方面的支出。如计算机硬件、软件购置、开发、应用支出等，如果购建的计算机硬件、软件等不符合财务会计制度规定的固定资产确认标准的，不在此科目反映。</w:t>
      </w:r>
    </w:p>
    <w:p w:rsidR="00227E2C" w:rsidRDefault="00DC6F88" w:rsidP="007126B3">
      <w:pPr>
        <w:widowControl/>
        <w:spacing w:line="600" w:lineRule="exact"/>
        <w:ind w:firstLineChars="200" w:firstLine="552"/>
        <w:rPr>
          <w:kern w:val="0"/>
          <w:sz w:val="28"/>
          <w:szCs w:val="28"/>
          <w:lang/>
        </w:rPr>
      </w:pPr>
      <w:r>
        <w:rPr>
          <w:rFonts w:hint="eastAsia"/>
          <w:sz w:val="28"/>
          <w:szCs w:val="28"/>
        </w:rPr>
        <w:t>二十二、</w:t>
      </w:r>
      <w:r>
        <w:rPr>
          <w:rFonts w:hint="eastAsia"/>
          <w:kern w:val="0"/>
          <w:sz w:val="28"/>
          <w:szCs w:val="28"/>
          <w:lang/>
        </w:rPr>
        <w:t>机关运行经费：是指各单位的公用经费，包括办公及印刷费、邮电费、差旅费、会议费、福利费、日常维修费、专用资料及一般设备购置费、办公用房水电费、办公用房取暖费、办公用房物业管理费、公务用车运行维护</w:t>
      </w:r>
      <w:r>
        <w:rPr>
          <w:rFonts w:hint="eastAsia"/>
          <w:kern w:val="0"/>
          <w:sz w:val="28"/>
          <w:szCs w:val="28"/>
          <w:lang/>
        </w:rPr>
        <w:t>费以及其他费用。</w:t>
      </w:r>
    </w:p>
    <w:p w:rsidR="00227E2C" w:rsidRDefault="00227E2C">
      <w:pPr>
        <w:pStyle w:val="Default"/>
        <w:jc w:val="both"/>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227E2C">
      <w:pPr>
        <w:pStyle w:val="Default"/>
        <w:jc w:val="center"/>
        <w:rPr>
          <w:sz w:val="72"/>
          <w:szCs w:val="72"/>
        </w:rPr>
      </w:pPr>
    </w:p>
    <w:p w:rsidR="00227E2C" w:rsidRDefault="00DC6F88">
      <w:pPr>
        <w:pStyle w:val="Default"/>
        <w:jc w:val="center"/>
        <w:rPr>
          <w:sz w:val="72"/>
          <w:szCs w:val="72"/>
        </w:rPr>
      </w:pPr>
      <w:r>
        <w:rPr>
          <w:rFonts w:hint="eastAsia"/>
          <w:sz w:val="72"/>
          <w:szCs w:val="72"/>
        </w:rPr>
        <w:t>第五部分</w:t>
      </w:r>
    </w:p>
    <w:p w:rsidR="00227E2C" w:rsidRDefault="00227E2C">
      <w:pPr>
        <w:jc w:val="center"/>
        <w:rPr>
          <w:rFonts w:ascii="黑体" w:eastAsia="黑体" w:cs="黑体"/>
          <w:color w:val="000000"/>
          <w:kern w:val="0"/>
          <w:sz w:val="70"/>
          <w:szCs w:val="70"/>
        </w:rPr>
      </w:pPr>
    </w:p>
    <w:p w:rsidR="00227E2C" w:rsidRDefault="00DC6F88">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227E2C" w:rsidRDefault="00DC6F8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27E2C" w:rsidRDefault="00227E2C">
      <w:pPr>
        <w:jc w:val="center"/>
        <w:rPr>
          <w:rFonts w:ascii="黑体" w:eastAsia="黑体" w:cs="黑体"/>
          <w:color w:val="000000"/>
          <w:kern w:val="0"/>
          <w:sz w:val="70"/>
          <w:szCs w:val="70"/>
        </w:rPr>
      </w:pPr>
    </w:p>
    <w:p w:rsidR="00227E2C" w:rsidRDefault="00DC6F88">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2020</w:t>
      </w:r>
      <w:r>
        <w:rPr>
          <w:rFonts w:eastAsia="方正小标宋简体" w:hint="eastAsia"/>
          <w:bCs/>
          <w:sz w:val="46"/>
          <w:szCs w:val="46"/>
        </w:rPr>
        <w:t>年度部门整体支出</w:t>
      </w:r>
    </w:p>
    <w:p w:rsidR="00227E2C" w:rsidRDefault="00DC6F88">
      <w:pPr>
        <w:spacing w:line="800" w:lineRule="exact"/>
        <w:jc w:val="center"/>
        <w:rPr>
          <w:rFonts w:eastAsia="方正小标宋简体"/>
          <w:bCs/>
          <w:sz w:val="46"/>
          <w:szCs w:val="46"/>
        </w:rPr>
      </w:pPr>
      <w:r>
        <w:rPr>
          <w:rFonts w:eastAsia="方正小标宋简体" w:hint="eastAsia"/>
          <w:bCs/>
          <w:sz w:val="46"/>
          <w:szCs w:val="46"/>
        </w:rPr>
        <w:t>绩效评价自评报告</w:t>
      </w:r>
    </w:p>
    <w:p w:rsidR="00227E2C" w:rsidRDefault="00227E2C">
      <w:pPr>
        <w:rPr>
          <w:rFonts w:eastAsia="仿宋_GB2312"/>
          <w:b/>
          <w:sz w:val="32"/>
        </w:rPr>
      </w:pPr>
    </w:p>
    <w:p w:rsidR="00227E2C" w:rsidRDefault="00227E2C">
      <w:pPr>
        <w:rPr>
          <w:rFonts w:eastAsia="仿宋_GB2312"/>
          <w:b/>
          <w:sz w:val="32"/>
        </w:rPr>
      </w:pPr>
    </w:p>
    <w:p w:rsidR="00227E2C" w:rsidRDefault="00227E2C">
      <w:pPr>
        <w:rPr>
          <w:rFonts w:eastAsia="仿宋_GB2312"/>
          <w:b/>
          <w:sz w:val="32"/>
        </w:rPr>
      </w:pPr>
    </w:p>
    <w:p w:rsidR="00227E2C" w:rsidRDefault="00DC6F88" w:rsidP="007126B3">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岳阳市民主党派机关</w:t>
      </w:r>
      <w:r>
        <w:rPr>
          <w:rFonts w:eastAsia="仿宋_GB2312" w:hint="eastAsia"/>
          <w:sz w:val="32"/>
          <w:szCs w:val="32"/>
          <w:u w:val="single"/>
        </w:rPr>
        <w:t xml:space="preserve">        </w:t>
      </w:r>
    </w:p>
    <w:p w:rsidR="00227E2C" w:rsidRDefault="00DC6F88" w:rsidP="007126B3">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Pr>
          <w:rFonts w:eastAsia="仿宋_GB2312" w:hint="eastAsia"/>
          <w:spacing w:val="20"/>
          <w:sz w:val="32"/>
          <w:szCs w:val="32"/>
          <w:u w:val="single"/>
        </w:rPr>
        <w:t>051</w:t>
      </w:r>
      <w:r>
        <w:rPr>
          <w:rFonts w:eastAsia="仿宋_GB2312" w:hint="eastAsia"/>
          <w:spacing w:val="20"/>
          <w:sz w:val="32"/>
          <w:szCs w:val="32"/>
          <w:u w:val="single"/>
        </w:rPr>
        <w:t xml:space="preserve">             </w:t>
      </w:r>
    </w:p>
    <w:p w:rsidR="00227E2C" w:rsidRDefault="00DC6F88" w:rsidP="007126B3">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227E2C" w:rsidRDefault="00DC6F88" w:rsidP="007126B3">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227E2C" w:rsidRDefault="00227E2C" w:rsidP="007126B3">
      <w:pPr>
        <w:spacing w:line="720" w:lineRule="exact"/>
        <w:ind w:firstLineChars="690" w:firstLine="2182"/>
        <w:rPr>
          <w:rFonts w:eastAsia="仿宋_GB2312"/>
          <w:sz w:val="32"/>
        </w:rPr>
      </w:pPr>
    </w:p>
    <w:p w:rsidR="00227E2C" w:rsidRDefault="00227E2C" w:rsidP="007126B3">
      <w:pPr>
        <w:spacing w:line="720" w:lineRule="exact"/>
        <w:ind w:firstLineChars="690" w:firstLine="2182"/>
        <w:rPr>
          <w:rFonts w:eastAsia="仿宋_GB2312"/>
          <w:sz w:val="32"/>
        </w:rPr>
      </w:pPr>
    </w:p>
    <w:p w:rsidR="00227E2C" w:rsidRDefault="00227E2C" w:rsidP="007126B3">
      <w:pPr>
        <w:spacing w:line="720" w:lineRule="exact"/>
        <w:ind w:firstLineChars="690" w:firstLine="2182"/>
        <w:rPr>
          <w:rFonts w:eastAsia="仿宋_GB2312"/>
          <w:sz w:val="32"/>
        </w:rPr>
      </w:pPr>
    </w:p>
    <w:p w:rsidR="00227E2C" w:rsidRDefault="00DC6F88">
      <w:pPr>
        <w:spacing w:line="348" w:lineRule="auto"/>
        <w:jc w:val="center"/>
        <w:rPr>
          <w:rFonts w:eastAsia="仿宋_GB2312"/>
          <w:sz w:val="32"/>
        </w:rPr>
      </w:pPr>
      <w:r>
        <w:rPr>
          <w:rFonts w:eastAsia="仿宋_GB2312" w:hint="eastAsia"/>
          <w:sz w:val="32"/>
        </w:rPr>
        <w:t>报告日期：</w:t>
      </w:r>
      <w:r>
        <w:rPr>
          <w:rFonts w:eastAsia="仿宋_GB2312" w:hint="eastAsia"/>
          <w:sz w:val="32"/>
        </w:rPr>
        <w:t>2021</w:t>
      </w:r>
      <w:r>
        <w:rPr>
          <w:rFonts w:eastAsia="仿宋_GB2312" w:hint="eastAsia"/>
          <w:sz w:val="32"/>
        </w:rPr>
        <w:t>年</w:t>
      </w:r>
      <w:r>
        <w:rPr>
          <w:rFonts w:eastAsia="仿宋_GB2312" w:hint="eastAsia"/>
          <w:sz w:val="32"/>
        </w:rPr>
        <w:t xml:space="preserve"> </w:t>
      </w:r>
      <w:r>
        <w:rPr>
          <w:rFonts w:eastAsia="仿宋_GB2312" w:hint="eastAsia"/>
          <w:sz w:val="32"/>
        </w:rPr>
        <w:t>6</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15</w:t>
      </w:r>
      <w:r>
        <w:rPr>
          <w:rFonts w:eastAsia="仿宋_GB2312" w:hint="eastAsia"/>
          <w:sz w:val="32"/>
        </w:rPr>
        <w:t xml:space="preserve"> </w:t>
      </w:r>
      <w:r>
        <w:rPr>
          <w:rFonts w:eastAsia="仿宋_GB2312" w:hint="eastAsia"/>
          <w:sz w:val="32"/>
        </w:rPr>
        <w:t>日</w:t>
      </w:r>
    </w:p>
    <w:p w:rsidR="00227E2C" w:rsidRDefault="00DC6F88">
      <w:pPr>
        <w:autoSpaceDN w:val="0"/>
        <w:jc w:val="center"/>
        <w:textAlignment w:val="center"/>
        <w:rPr>
          <w:rFonts w:eastAsia="仿宋_GB2312"/>
          <w:sz w:val="32"/>
          <w:szCs w:val="32"/>
        </w:rPr>
        <w:sectPr w:rsidR="00227E2C">
          <w:headerReference w:type="even" r:id="rId9"/>
          <w:headerReference w:type="default" r:id="rId10"/>
          <w:footerReference w:type="even" r:id="rId11"/>
          <w:footerReference w:type="default" r:id="rId12"/>
          <w:headerReference w:type="first" r:id="rId13"/>
          <w:footerReference w:type="first" r:id="rId14"/>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479"/>
        <w:gridCol w:w="226"/>
        <w:gridCol w:w="196"/>
        <w:gridCol w:w="34"/>
        <w:gridCol w:w="1035"/>
        <w:gridCol w:w="535"/>
        <w:gridCol w:w="139"/>
        <w:gridCol w:w="136"/>
        <w:gridCol w:w="805"/>
      </w:tblGrid>
      <w:tr w:rsidR="00227E2C">
        <w:trPr>
          <w:trHeight w:val="567"/>
          <w:jc w:val="center"/>
        </w:trPr>
        <w:tc>
          <w:tcPr>
            <w:tcW w:w="9800" w:type="dxa"/>
            <w:gridSpan w:val="17"/>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227E2C">
        <w:trPr>
          <w:trHeight w:val="567"/>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徐巧</w:t>
            </w:r>
          </w:p>
        </w:tc>
        <w:tc>
          <w:tcPr>
            <w:tcW w:w="1479" w:type="dxa"/>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0730-8603516</w:t>
            </w:r>
          </w:p>
        </w:tc>
      </w:tr>
      <w:tr w:rsidR="00227E2C">
        <w:trPr>
          <w:trHeight w:val="567"/>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w:t>
            </w:r>
          </w:p>
        </w:tc>
        <w:tc>
          <w:tcPr>
            <w:tcW w:w="1479" w:type="dxa"/>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w:t>
            </w:r>
          </w:p>
        </w:tc>
      </w:tr>
      <w:tr w:rsidR="00227E2C">
        <w:trPr>
          <w:trHeight w:val="1500"/>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 w:eastAsia="仿宋" w:hAnsi="仿宋" w:cs="仿宋" w:hint="eastAsia"/>
                <w:color w:val="000000"/>
                <w:sz w:val="24"/>
                <w:szCs w:val="24"/>
              </w:rPr>
              <w:t>参政议政、政治协商、民主监督、自身建设</w:t>
            </w:r>
          </w:p>
        </w:tc>
      </w:tr>
      <w:tr w:rsidR="00227E2C">
        <w:trPr>
          <w:trHeight w:val="2464"/>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加强自身建设</w:t>
            </w: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提高参政议政、民主监督水平</w:t>
            </w: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搞好社会服务工作</w:t>
            </w:r>
          </w:p>
          <w:p w:rsidR="00227E2C" w:rsidRDefault="00227E2C">
            <w:pPr>
              <w:autoSpaceDN w:val="0"/>
              <w:spacing w:line="320" w:lineRule="exact"/>
              <w:jc w:val="left"/>
              <w:textAlignment w:val="center"/>
              <w:rPr>
                <w:rFonts w:ascii="仿宋_GB2312" w:eastAsia="仿宋_GB2312" w:hAnsi="仿宋_GB2312" w:cs="仿宋_GB2312"/>
                <w:color w:val="000000"/>
                <w:sz w:val="24"/>
              </w:rPr>
            </w:pPr>
          </w:p>
        </w:tc>
      </w:tr>
      <w:tr w:rsidR="00227E2C">
        <w:trPr>
          <w:trHeight w:val="2260"/>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各党派市委在自身建设、参政议政和社会服务等方面都开展了扎实有效的工作，也取得了较好的成绩，得到了民主党派中央、省委和</w:t>
            </w:r>
            <w:r>
              <w:rPr>
                <w:rFonts w:ascii="仿宋_GB2312" w:eastAsia="仿宋_GB2312" w:hAnsi="仿宋_GB2312" w:cs="仿宋_GB2312" w:hint="eastAsia"/>
                <w:color w:val="000000"/>
                <w:sz w:val="24"/>
              </w:rPr>
              <w:t>中共市委及</w:t>
            </w:r>
            <w:r>
              <w:rPr>
                <w:rFonts w:ascii="仿宋_GB2312" w:eastAsia="仿宋_GB2312" w:hAnsi="仿宋_GB2312" w:cs="仿宋_GB2312" w:hint="eastAsia"/>
                <w:color w:val="000000"/>
                <w:sz w:val="24"/>
              </w:rPr>
              <w:t>社会</w:t>
            </w:r>
            <w:r>
              <w:rPr>
                <w:rFonts w:ascii="仿宋_GB2312" w:eastAsia="仿宋_GB2312" w:hAnsi="仿宋_GB2312" w:cs="仿宋_GB2312" w:hint="eastAsia"/>
                <w:color w:val="000000"/>
                <w:sz w:val="24"/>
              </w:rPr>
              <w:t>各界</w:t>
            </w:r>
            <w:r>
              <w:rPr>
                <w:rFonts w:ascii="仿宋_GB2312" w:eastAsia="仿宋_GB2312" w:hAnsi="仿宋_GB2312" w:cs="仿宋_GB2312" w:hint="eastAsia"/>
                <w:color w:val="000000"/>
                <w:sz w:val="24"/>
              </w:rPr>
              <w:t>的肯定。</w:t>
            </w:r>
          </w:p>
        </w:tc>
      </w:tr>
      <w:tr w:rsidR="00227E2C">
        <w:trPr>
          <w:trHeight w:val="567"/>
          <w:jc w:val="center"/>
        </w:trPr>
        <w:tc>
          <w:tcPr>
            <w:tcW w:w="9800" w:type="dxa"/>
            <w:gridSpan w:val="17"/>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227E2C">
        <w:trPr>
          <w:trHeight w:val="567"/>
          <w:jc w:val="center"/>
        </w:trPr>
        <w:tc>
          <w:tcPr>
            <w:tcW w:w="9800" w:type="dxa"/>
            <w:gridSpan w:val="17"/>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227E2C">
        <w:trPr>
          <w:trHeight w:val="567"/>
          <w:jc w:val="center"/>
        </w:trPr>
        <w:tc>
          <w:tcPr>
            <w:tcW w:w="1700" w:type="dxa"/>
            <w:gridSpan w:val="3"/>
            <w:vMerge w:val="restart"/>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227E2C">
        <w:trPr>
          <w:trHeight w:val="1014"/>
          <w:jc w:val="center"/>
        </w:trPr>
        <w:tc>
          <w:tcPr>
            <w:tcW w:w="1700" w:type="dxa"/>
            <w:gridSpan w:val="3"/>
            <w:vMerge/>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227E2C">
        <w:trPr>
          <w:trHeight w:val="772"/>
          <w:jc w:val="center"/>
        </w:trPr>
        <w:tc>
          <w:tcPr>
            <w:tcW w:w="1700" w:type="dxa"/>
            <w:gridSpan w:val="3"/>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911.82</w:t>
            </w:r>
          </w:p>
        </w:tc>
        <w:tc>
          <w:tcPr>
            <w:tcW w:w="1355" w:type="dxa"/>
            <w:gridSpan w:val="2"/>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130.36</w:t>
            </w:r>
          </w:p>
        </w:tc>
        <w:tc>
          <w:tcPr>
            <w:tcW w:w="1080"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781.46</w:t>
            </w:r>
          </w:p>
        </w:tc>
        <w:tc>
          <w:tcPr>
            <w:tcW w:w="1705"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800" w:type="dxa"/>
            <w:gridSpan w:val="4"/>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3"/>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227E2C">
        <w:trPr>
          <w:trHeight w:val="567"/>
          <w:jc w:val="center"/>
        </w:trPr>
        <w:tc>
          <w:tcPr>
            <w:tcW w:w="1700" w:type="dxa"/>
            <w:gridSpan w:val="3"/>
            <w:vAlign w:val="center"/>
          </w:tcPr>
          <w:p w:rsidR="00227E2C" w:rsidRDefault="00DC6F88">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911.82</w:t>
            </w:r>
          </w:p>
        </w:tc>
        <w:tc>
          <w:tcPr>
            <w:tcW w:w="1355" w:type="dxa"/>
            <w:gridSpan w:val="2"/>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130.36</w:t>
            </w:r>
          </w:p>
        </w:tc>
        <w:tc>
          <w:tcPr>
            <w:tcW w:w="1080"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781.46</w:t>
            </w:r>
          </w:p>
        </w:tc>
        <w:tc>
          <w:tcPr>
            <w:tcW w:w="1705"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1800" w:type="dxa"/>
            <w:gridSpan w:val="4"/>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1080" w:type="dxa"/>
            <w:gridSpan w:val="3"/>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r>
      <w:tr w:rsidR="00227E2C">
        <w:trPr>
          <w:trHeight w:val="567"/>
          <w:jc w:val="center"/>
        </w:trPr>
        <w:tc>
          <w:tcPr>
            <w:tcW w:w="1700" w:type="dxa"/>
            <w:gridSpan w:val="3"/>
            <w:vAlign w:val="center"/>
          </w:tcPr>
          <w:p w:rsidR="00227E2C" w:rsidRDefault="00DC6F88">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080" w:type="dxa"/>
            <w:gridSpan w:val="2"/>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705" w:type="dxa"/>
            <w:gridSpan w:val="2"/>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800" w:type="dxa"/>
            <w:gridSpan w:val="4"/>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080" w:type="dxa"/>
            <w:gridSpan w:val="3"/>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r>
      <w:tr w:rsidR="00227E2C">
        <w:trPr>
          <w:trHeight w:val="567"/>
          <w:jc w:val="center"/>
        </w:trPr>
        <w:tc>
          <w:tcPr>
            <w:tcW w:w="1700" w:type="dxa"/>
            <w:gridSpan w:val="3"/>
            <w:vAlign w:val="center"/>
          </w:tcPr>
          <w:p w:rsidR="00227E2C" w:rsidRDefault="00DC6F88">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080" w:type="dxa"/>
            <w:gridSpan w:val="2"/>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705" w:type="dxa"/>
            <w:gridSpan w:val="2"/>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800" w:type="dxa"/>
            <w:gridSpan w:val="4"/>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c>
          <w:tcPr>
            <w:tcW w:w="1080" w:type="dxa"/>
            <w:gridSpan w:val="3"/>
            <w:vAlign w:val="center"/>
          </w:tcPr>
          <w:p w:rsidR="00227E2C" w:rsidRDefault="00227E2C">
            <w:pPr>
              <w:autoSpaceDN w:val="0"/>
              <w:spacing w:line="320" w:lineRule="exact"/>
              <w:jc w:val="right"/>
              <w:textAlignment w:val="center"/>
              <w:rPr>
                <w:rFonts w:ascii="仿宋_GB2312" w:eastAsia="仿宋_GB2312" w:hAnsi="仿宋_GB2312" w:cs="仿宋_GB2312"/>
                <w:color w:val="000000"/>
                <w:sz w:val="24"/>
              </w:rPr>
            </w:pPr>
          </w:p>
        </w:tc>
      </w:tr>
      <w:tr w:rsidR="00227E2C">
        <w:trPr>
          <w:trHeight w:val="624"/>
          <w:jc w:val="center"/>
        </w:trPr>
        <w:tc>
          <w:tcPr>
            <w:tcW w:w="9800" w:type="dxa"/>
            <w:gridSpan w:val="17"/>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227E2C">
        <w:trPr>
          <w:trHeight w:val="624"/>
          <w:jc w:val="center"/>
        </w:trPr>
        <w:tc>
          <w:tcPr>
            <w:tcW w:w="1700" w:type="dxa"/>
            <w:gridSpan w:val="3"/>
            <w:vMerge w:val="restart"/>
            <w:vAlign w:val="center"/>
          </w:tcPr>
          <w:p w:rsidR="00227E2C" w:rsidRDefault="00DC6F88">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机构名称</w:t>
            </w:r>
          </w:p>
        </w:tc>
        <w:tc>
          <w:tcPr>
            <w:tcW w:w="1080" w:type="dxa"/>
            <w:vMerge w:val="restart"/>
            <w:tcBorders>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405" w:type="dxa"/>
            <w:gridSpan w:val="9"/>
            <w:tcBorders>
              <w:left w:val="single" w:sz="4" w:space="0" w:color="auto"/>
              <w:bottom w:val="single" w:sz="4" w:space="0" w:color="auto"/>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615" w:type="dxa"/>
            <w:gridSpan w:val="4"/>
            <w:tcBorders>
              <w:left w:val="single" w:sz="4" w:space="0" w:color="auto"/>
              <w:bottom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227E2C">
        <w:trPr>
          <w:trHeight w:val="624"/>
          <w:jc w:val="center"/>
        </w:trPr>
        <w:tc>
          <w:tcPr>
            <w:tcW w:w="1700" w:type="dxa"/>
            <w:gridSpan w:val="3"/>
            <w:vMerge/>
            <w:vAlign w:val="center"/>
          </w:tcPr>
          <w:p w:rsidR="00227E2C" w:rsidRDefault="00227E2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015" w:type="dxa"/>
            <w:gridSpan w:val="6"/>
            <w:tcBorders>
              <w:top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35" w:type="dxa"/>
            <w:vMerge w:val="restart"/>
            <w:tcBorders>
              <w:top w:val="single" w:sz="4" w:space="0" w:color="auto"/>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810" w:type="dxa"/>
            <w:gridSpan w:val="3"/>
            <w:vMerge w:val="restart"/>
            <w:tcBorders>
              <w:top w:val="single" w:sz="4" w:space="0" w:color="auto"/>
              <w:left w:val="single" w:sz="4" w:space="0" w:color="auto"/>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805" w:type="dxa"/>
            <w:vMerge w:val="restart"/>
            <w:tcBorders>
              <w:top w:val="single" w:sz="4" w:space="0" w:color="auto"/>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227E2C">
        <w:trPr>
          <w:trHeight w:val="624"/>
          <w:jc w:val="center"/>
        </w:trPr>
        <w:tc>
          <w:tcPr>
            <w:tcW w:w="1700" w:type="dxa"/>
            <w:gridSpan w:val="3"/>
            <w:vMerge/>
            <w:vAlign w:val="center"/>
          </w:tcPr>
          <w:p w:rsidR="00227E2C" w:rsidRDefault="00227E2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935" w:type="dxa"/>
            <w:gridSpan w:val="4"/>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35" w:type="dxa"/>
            <w:vMerge/>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810" w:type="dxa"/>
            <w:gridSpan w:val="3"/>
            <w:vMerge/>
            <w:tcBorders>
              <w:left w:val="single" w:sz="4" w:space="0" w:color="auto"/>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805" w:type="dxa"/>
            <w:vMerge/>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877"/>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782.46</w:t>
            </w:r>
          </w:p>
        </w:tc>
        <w:tc>
          <w:tcPr>
            <w:tcW w:w="1355" w:type="dxa"/>
            <w:gridSpan w:val="2"/>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504.35</w:t>
            </w:r>
          </w:p>
        </w:tc>
        <w:tc>
          <w:tcPr>
            <w:tcW w:w="1080"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483.44</w:t>
            </w:r>
          </w:p>
        </w:tc>
        <w:tc>
          <w:tcPr>
            <w:tcW w:w="1935" w:type="dxa"/>
            <w:gridSpan w:val="4"/>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20.91</w:t>
            </w:r>
          </w:p>
        </w:tc>
        <w:tc>
          <w:tcPr>
            <w:tcW w:w="1035" w:type="dxa"/>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278.11</w:t>
            </w:r>
          </w:p>
        </w:tc>
        <w:tc>
          <w:tcPr>
            <w:tcW w:w="810" w:type="dxa"/>
            <w:gridSpan w:val="3"/>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129.35</w:t>
            </w:r>
          </w:p>
        </w:tc>
        <w:tc>
          <w:tcPr>
            <w:tcW w:w="805" w:type="dxa"/>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129.35</w:t>
            </w: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782.46</w:t>
            </w:r>
          </w:p>
        </w:tc>
        <w:tc>
          <w:tcPr>
            <w:tcW w:w="1355" w:type="dxa"/>
            <w:gridSpan w:val="2"/>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504.35</w:t>
            </w:r>
          </w:p>
        </w:tc>
        <w:tc>
          <w:tcPr>
            <w:tcW w:w="1080"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483.44</w:t>
            </w:r>
          </w:p>
        </w:tc>
        <w:tc>
          <w:tcPr>
            <w:tcW w:w="1935" w:type="dxa"/>
            <w:gridSpan w:val="4"/>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20.91</w:t>
            </w:r>
          </w:p>
        </w:tc>
        <w:tc>
          <w:tcPr>
            <w:tcW w:w="1035" w:type="dxa"/>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278.11</w:t>
            </w:r>
          </w:p>
        </w:tc>
        <w:tc>
          <w:tcPr>
            <w:tcW w:w="810" w:type="dxa"/>
            <w:gridSpan w:val="3"/>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129.35</w:t>
            </w:r>
          </w:p>
        </w:tc>
        <w:tc>
          <w:tcPr>
            <w:tcW w:w="805" w:type="dxa"/>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129.35</w:t>
            </w: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935" w:type="dxa"/>
            <w:gridSpan w:val="4"/>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35" w:type="dxa"/>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810" w:type="dxa"/>
            <w:gridSpan w:val="3"/>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805" w:type="dxa"/>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935" w:type="dxa"/>
            <w:gridSpan w:val="4"/>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35" w:type="dxa"/>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810" w:type="dxa"/>
            <w:gridSpan w:val="3"/>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805" w:type="dxa"/>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624"/>
          <w:jc w:val="center"/>
        </w:trPr>
        <w:tc>
          <w:tcPr>
            <w:tcW w:w="1700" w:type="dxa"/>
            <w:gridSpan w:val="3"/>
            <w:vMerge w:val="restart"/>
            <w:vAlign w:val="center"/>
          </w:tcPr>
          <w:p w:rsidR="00227E2C" w:rsidRDefault="00DC6F8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227E2C">
        <w:trPr>
          <w:trHeight w:val="624"/>
          <w:jc w:val="center"/>
        </w:trPr>
        <w:tc>
          <w:tcPr>
            <w:tcW w:w="1700" w:type="dxa"/>
            <w:gridSpan w:val="3"/>
            <w:vMerge/>
            <w:vAlign w:val="center"/>
          </w:tcPr>
          <w:p w:rsidR="00227E2C" w:rsidRDefault="00227E2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935" w:type="dxa"/>
            <w:gridSpan w:val="4"/>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650" w:type="dxa"/>
            <w:gridSpan w:val="5"/>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227E2C">
        <w:trPr>
          <w:trHeight w:val="858"/>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10.33</w:t>
            </w:r>
          </w:p>
        </w:tc>
        <w:tc>
          <w:tcPr>
            <w:tcW w:w="1355" w:type="dxa"/>
            <w:gridSpan w:val="2"/>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7.58</w:t>
            </w:r>
          </w:p>
        </w:tc>
        <w:tc>
          <w:tcPr>
            <w:tcW w:w="1080"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2.75</w:t>
            </w:r>
          </w:p>
        </w:tc>
        <w:tc>
          <w:tcPr>
            <w:tcW w:w="1935" w:type="dxa"/>
            <w:gridSpan w:val="4"/>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650" w:type="dxa"/>
            <w:gridSpan w:val="5"/>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10.33</w:t>
            </w:r>
          </w:p>
        </w:tc>
        <w:tc>
          <w:tcPr>
            <w:tcW w:w="1355" w:type="dxa"/>
            <w:gridSpan w:val="2"/>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7.58</w:t>
            </w:r>
          </w:p>
        </w:tc>
        <w:tc>
          <w:tcPr>
            <w:tcW w:w="1080"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2.75</w:t>
            </w:r>
          </w:p>
        </w:tc>
        <w:tc>
          <w:tcPr>
            <w:tcW w:w="1935" w:type="dxa"/>
            <w:gridSpan w:val="4"/>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2650" w:type="dxa"/>
            <w:gridSpan w:val="5"/>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935" w:type="dxa"/>
            <w:gridSpan w:val="4"/>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2650" w:type="dxa"/>
            <w:gridSpan w:val="5"/>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935" w:type="dxa"/>
            <w:gridSpan w:val="4"/>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2650" w:type="dxa"/>
            <w:gridSpan w:val="5"/>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624"/>
          <w:jc w:val="center"/>
        </w:trPr>
        <w:tc>
          <w:tcPr>
            <w:tcW w:w="1700" w:type="dxa"/>
            <w:gridSpan w:val="3"/>
            <w:vMerge w:val="restart"/>
            <w:vAlign w:val="center"/>
          </w:tcPr>
          <w:p w:rsidR="00227E2C" w:rsidRDefault="00DC6F88">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227E2C">
        <w:trPr>
          <w:trHeight w:val="624"/>
          <w:jc w:val="center"/>
        </w:trPr>
        <w:tc>
          <w:tcPr>
            <w:tcW w:w="1700" w:type="dxa"/>
            <w:gridSpan w:val="3"/>
            <w:vMerge/>
            <w:vAlign w:val="center"/>
          </w:tcPr>
          <w:p w:rsidR="00227E2C" w:rsidRDefault="00227E2C">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855"/>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125.65</w:t>
            </w:r>
          </w:p>
        </w:tc>
        <w:tc>
          <w:tcPr>
            <w:tcW w:w="2435" w:type="dxa"/>
            <w:gridSpan w:val="4"/>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125.65</w:t>
            </w:r>
          </w:p>
        </w:tc>
        <w:tc>
          <w:tcPr>
            <w:tcW w:w="3644" w:type="dxa"/>
            <w:gridSpan w:val="7"/>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941"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125.65</w:t>
            </w:r>
          </w:p>
        </w:tc>
        <w:tc>
          <w:tcPr>
            <w:tcW w:w="2435" w:type="dxa"/>
            <w:gridSpan w:val="4"/>
            <w:tcBorders>
              <w:left w:val="single" w:sz="4" w:space="0" w:color="auto"/>
            </w:tcBorders>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125.65</w:t>
            </w:r>
          </w:p>
        </w:tc>
        <w:tc>
          <w:tcPr>
            <w:tcW w:w="3644" w:type="dxa"/>
            <w:gridSpan w:val="7"/>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941" w:type="dxa"/>
            <w:gridSpan w:val="2"/>
            <w:vAlign w:val="center"/>
          </w:tcPr>
          <w:p w:rsidR="00227E2C" w:rsidRDefault="00DC6F88">
            <w:pPr>
              <w:autoSpaceDN w:val="0"/>
              <w:spacing w:line="320" w:lineRule="exact"/>
              <w:jc w:val="righ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624"/>
          <w:jc w:val="center"/>
        </w:trPr>
        <w:tc>
          <w:tcPr>
            <w:tcW w:w="1700" w:type="dxa"/>
            <w:gridSpan w:val="3"/>
            <w:vAlign w:val="center"/>
          </w:tcPr>
          <w:p w:rsidR="00227E2C" w:rsidRDefault="00DC6F88">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567"/>
          <w:jc w:val="center"/>
        </w:trPr>
        <w:tc>
          <w:tcPr>
            <w:tcW w:w="9800" w:type="dxa"/>
            <w:gridSpan w:val="17"/>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227E2C">
        <w:trPr>
          <w:trHeight w:val="567"/>
          <w:jc w:val="center"/>
        </w:trPr>
        <w:tc>
          <w:tcPr>
            <w:tcW w:w="1441" w:type="dxa"/>
            <w:vMerge w:val="restart"/>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w:t>
            </w:r>
            <w:r>
              <w:rPr>
                <w:rFonts w:ascii="仿宋_GB2312" w:eastAsia="仿宋_GB2312" w:hAnsi="仿宋_GB2312" w:cs="仿宋_GB2312" w:hint="eastAsia"/>
                <w:color w:val="000000"/>
                <w:sz w:val="24"/>
              </w:rPr>
              <w:lastRenderedPageBreak/>
              <w:t>效定性目标及实施计划完成情况</w:t>
            </w:r>
          </w:p>
        </w:tc>
        <w:tc>
          <w:tcPr>
            <w:tcW w:w="3774" w:type="dxa"/>
            <w:gridSpan w:val="7"/>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预期目标</w:t>
            </w:r>
          </w:p>
        </w:tc>
        <w:tc>
          <w:tcPr>
            <w:tcW w:w="4585" w:type="dxa"/>
            <w:gridSpan w:val="9"/>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227E2C">
        <w:trPr>
          <w:trHeight w:val="1172"/>
          <w:jc w:val="center"/>
        </w:trPr>
        <w:tc>
          <w:tcPr>
            <w:tcW w:w="1441" w:type="dxa"/>
            <w:vMerge/>
            <w:vAlign w:val="center"/>
          </w:tcPr>
          <w:p w:rsidR="00227E2C" w:rsidRDefault="00227E2C">
            <w:pPr>
              <w:spacing w:line="320" w:lineRule="exact"/>
              <w:rPr>
                <w:rFonts w:ascii="仿宋_GB2312" w:eastAsia="仿宋_GB2312" w:hAnsi="仿宋_GB2312" w:cs="仿宋_GB2312"/>
                <w:sz w:val="24"/>
              </w:rPr>
            </w:pPr>
          </w:p>
        </w:tc>
        <w:tc>
          <w:tcPr>
            <w:tcW w:w="3774" w:type="dxa"/>
            <w:gridSpan w:val="7"/>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加强思想建设</w:t>
            </w: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开展参政议政</w:t>
            </w: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推进政治协商</w:t>
            </w: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：开展社会服务</w:t>
            </w:r>
          </w:p>
        </w:tc>
        <w:tc>
          <w:tcPr>
            <w:tcW w:w="4585" w:type="dxa"/>
            <w:gridSpan w:val="9"/>
            <w:vAlign w:val="center"/>
          </w:tcPr>
          <w:p w:rsidR="00227E2C" w:rsidRDefault="00DC6F88">
            <w:pPr>
              <w:numPr>
                <w:ilvl w:val="0"/>
                <w:numId w:val="3"/>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各民主党派市委认真组织学习</w:t>
            </w:r>
            <w:r>
              <w:rPr>
                <w:rFonts w:ascii="仿宋_GB2312" w:eastAsia="仿宋_GB2312" w:hAnsi="宋体" w:cs="仿宋_GB2312" w:hint="eastAsia"/>
                <w:color w:val="000000"/>
                <w:kern w:val="0"/>
                <w:sz w:val="24"/>
                <w:szCs w:val="24"/>
                <w:lang/>
              </w:rPr>
              <w:t>中共十九届五中全会精神、习近平在湖南考察调研时的重要讲话精神及习近平总书记关于疫情防控重要讲话精神</w:t>
            </w:r>
            <w:r>
              <w:rPr>
                <w:rFonts w:ascii="仿宋_GB2312" w:eastAsia="仿宋_GB2312" w:hAnsi="宋体" w:cs="仿宋_GB2312" w:hint="eastAsia"/>
                <w:color w:val="000000"/>
                <w:kern w:val="0"/>
                <w:sz w:val="24"/>
                <w:szCs w:val="24"/>
                <w:lang/>
              </w:rPr>
              <w:t>，及时掌握和领会</w:t>
            </w:r>
            <w:r>
              <w:rPr>
                <w:rFonts w:ascii="仿宋_GB2312" w:eastAsia="仿宋_GB2312" w:hAnsi="宋体" w:cs="仿宋_GB2312" w:hint="eastAsia"/>
                <w:color w:val="000000"/>
                <w:kern w:val="0"/>
                <w:sz w:val="24"/>
                <w:szCs w:val="24"/>
                <w:lang/>
              </w:rPr>
              <w:t>核心要义，不断加强思想建设</w:t>
            </w:r>
            <w:r>
              <w:rPr>
                <w:rFonts w:ascii="仿宋_GB2312" w:eastAsia="仿宋_GB2312" w:hAnsi="仿宋_GB2312" w:cs="仿宋_GB2312" w:hint="eastAsia"/>
                <w:color w:val="000000"/>
                <w:sz w:val="24"/>
              </w:rPr>
              <w:t>。</w:t>
            </w:r>
          </w:p>
          <w:p w:rsidR="00227E2C" w:rsidRDefault="00DC6F88">
            <w:pPr>
              <w:numPr>
                <w:ilvl w:val="0"/>
                <w:numId w:val="3"/>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各党派市委按照中共市委出题，党派调研，政府采纳，部门落实的模式调研，共计完成调研成果</w:t>
            </w:r>
            <w:r>
              <w:rPr>
                <w:rFonts w:ascii="仿宋_GB2312" w:eastAsia="仿宋_GB2312" w:hAnsi="仿宋_GB2312" w:cs="仿宋_GB2312" w:hint="eastAsia"/>
                <w:sz w:val="24"/>
              </w:rPr>
              <w:t>20</w:t>
            </w:r>
            <w:r>
              <w:rPr>
                <w:rFonts w:ascii="仿宋_GB2312" w:eastAsia="仿宋_GB2312" w:hAnsi="仿宋_GB2312" w:cs="仿宋_GB2312" w:hint="eastAsia"/>
                <w:sz w:val="24"/>
              </w:rPr>
              <w:t>余个</w:t>
            </w:r>
            <w:r>
              <w:rPr>
                <w:rFonts w:ascii="仿宋_GB2312" w:eastAsia="仿宋_GB2312" w:hAnsi="仿宋_GB2312" w:cs="仿宋_GB2312" w:hint="eastAsia"/>
                <w:color w:val="0000FF"/>
                <w:sz w:val="24"/>
              </w:rPr>
              <w:t>。</w:t>
            </w:r>
            <w:r>
              <w:rPr>
                <w:rFonts w:ascii="仿宋_GB2312" w:eastAsia="仿宋_GB2312" w:hAnsi="仿宋_GB2312" w:cs="仿宋_GB2312" w:hint="eastAsia"/>
                <w:sz w:val="24"/>
              </w:rPr>
              <w:t>其中《关于推进湘台农业交流建设湘台农业合作交流基地的建议》获民革湖南省委调研报告评比二等奖、《关于岳阳创建长江经济带绿色示范区的研究》获民盟省委参政议政课题二等奖。</w:t>
            </w:r>
          </w:p>
          <w:p w:rsidR="00227E2C" w:rsidRDefault="00DC6F88">
            <w:pPr>
              <w:numPr>
                <w:ilvl w:val="0"/>
                <w:numId w:val="3"/>
              </w:num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各党派向人大会议、政协会议提交人大建议案、政协提案共</w:t>
            </w:r>
            <w:r>
              <w:rPr>
                <w:rFonts w:ascii="仿宋_GB2312" w:eastAsia="仿宋_GB2312" w:hAnsi="仿宋_GB2312" w:cs="仿宋_GB2312" w:hint="eastAsia"/>
                <w:sz w:val="24"/>
              </w:rPr>
              <w:t>200</w:t>
            </w:r>
            <w:r>
              <w:rPr>
                <w:rFonts w:ascii="仿宋_GB2312" w:eastAsia="仿宋_GB2312" w:hAnsi="仿宋_GB2312" w:cs="仿宋_GB2312" w:hint="eastAsia"/>
                <w:sz w:val="24"/>
              </w:rPr>
              <w:t>多条，其中民建岳阳市委关于“发挥交通枢纽优势，发展千亿物流产业”的提案获市委书记王一鸥亲自批示</w:t>
            </w:r>
            <w:r>
              <w:rPr>
                <w:rFonts w:ascii="仿宋_GB2312" w:eastAsia="仿宋_GB2312" w:hAnsi="宋体" w:cs="仿宋_GB2312" w:hint="eastAsia"/>
                <w:color w:val="000000"/>
                <w:kern w:val="0"/>
                <w:sz w:val="24"/>
                <w:szCs w:val="24"/>
                <w:lang/>
              </w:rPr>
              <w:t>。</w:t>
            </w:r>
          </w:p>
          <w:p w:rsidR="00227E2C" w:rsidRDefault="00DC6F88">
            <w:pPr>
              <w:numPr>
                <w:ilvl w:val="0"/>
                <w:numId w:val="3"/>
              </w:numPr>
              <w:autoSpaceDN w:val="0"/>
              <w:spacing w:line="320" w:lineRule="exact"/>
              <w:jc w:val="left"/>
              <w:textAlignment w:val="center"/>
              <w:rPr>
                <w:rFonts w:ascii="仿宋_GB2312" w:eastAsia="仿宋_GB2312" w:hAnsi="仿宋_GB2312" w:cs="仿宋_GB2312"/>
                <w:color w:val="000000"/>
                <w:sz w:val="24"/>
              </w:rPr>
            </w:pPr>
            <w:r>
              <w:rPr>
                <w:rFonts w:ascii="仿宋" w:eastAsia="仿宋" w:hAnsi="仿宋" w:cs="仿宋" w:hint="eastAsia"/>
                <w:sz w:val="24"/>
                <w:szCs w:val="24"/>
              </w:rPr>
              <w:t>各民主党派市委通过挖掘自身的资源优势，结合中共省、市统战工作要求，</w:t>
            </w:r>
            <w:r>
              <w:rPr>
                <w:rFonts w:ascii="仿宋" w:eastAsia="仿宋" w:hAnsi="仿宋" w:cs="仿宋" w:hint="eastAsia"/>
                <w:sz w:val="24"/>
                <w:szCs w:val="24"/>
              </w:rPr>
              <w:t>通过</w:t>
            </w:r>
            <w:r>
              <w:rPr>
                <w:rFonts w:ascii="仿宋" w:eastAsia="仿宋" w:hAnsi="仿宋" w:cs="仿宋" w:hint="eastAsia"/>
                <w:sz w:val="24"/>
                <w:szCs w:val="24"/>
              </w:rPr>
              <w:t>开展“爱读书·读好书”活动、“同心•法律服务室”、“联合国糖尿病日”授课义诊活动、通过捐赠抗疫物资、参与“三个一”扶贫行动</w:t>
            </w:r>
            <w:r>
              <w:rPr>
                <w:rFonts w:ascii="仿宋_GB2312" w:eastAsia="仿宋_GB2312" w:hAnsi="宋体" w:cs="仿宋_GB2312" w:hint="eastAsia"/>
                <w:color w:val="000000"/>
                <w:kern w:val="0"/>
                <w:sz w:val="24"/>
                <w:szCs w:val="24"/>
                <w:lang/>
              </w:rPr>
              <w:t>等社会服务</w:t>
            </w:r>
            <w:r>
              <w:rPr>
                <w:rFonts w:ascii="仿宋" w:eastAsia="仿宋" w:hAnsi="仿宋" w:cs="仿宋" w:hint="eastAsia"/>
                <w:sz w:val="24"/>
                <w:szCs w:val="24"/>
              </w:rPr>
              <w:t>活动</w:t>
            </w:r>
            <w:r>
              <w:rPr>
                <w:rFonts w:ascii="仿宋" w:eastAsia="仿宋" w:hAnsi="仿宋" w:cs="仿宋" w:hint="eastAsia"/>
                <w:sz w:val="24"/>
                <w:szCs w:val="24"/>
              </w:rPr>
              <w:t>，</w:t>
            </w:r>
            <w:r>
              <w:rPr>
                <w:rFonts w:ascii="仿宋" w:eastAsia="仿宋" w:hAnsi="仿宋" w:cs="仿宋" w:hint="eastAsia"/>
                <w:sz w:val="24"/>
                <w:szCs w:val="24"/>
              </w:rPr>
              <w:t>为</w:t>
            </w:r>
            <w:r>
              <w:rPr>
                <w:rFonts w:ascii="仿宋_GB2312" w:eastAsia="仿宋_GB2312" w:hAnsi="仿宋_GB2312" w:cs="仿宋_GB2312" w:hint="eastAsia"/>
                <w:color w:val="000000"/>
                <w:sz w:val="24"/>
              </w:rPr>
              <w:t>社会服务创建新品牌</w:t>
            </w:r>
            <w:r>
              <w:rPr>
                <w:rFonts w:ascii="仿宋_GB2312" w:eastAsia="仿宋_GB2312" w:hAnsi="仿宋_GB2312" w:cs="仿宋_GB2312" w:hint="eastAsia"/>
                <w:color w:val="000000"/>
                <w:sz w:val="24"/>
              </w:rPr>
              <w:t>。</w:t>
            </w:r>
          </w:p>
        </w:tc>
      </w:tr>
      <w:tr w:rsidR="00227E2C">
        <w:trPr>
          <w:trHeight w:val="567"/>
          <w:jc w:val="center"/>
        </w:trPr>
        <w:tc>
          <w:tcPr>
            <w:tcW w:w="1441" w:type="dxa"/>
            <w:vMerge w:val="restart"/>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227E2C">
        <w:trPr>
          <w:trHeight w:val="454"/>
          <w:jc w:val="center"/>
        </w:trPr>
        <w:tc>
          <w:tcPr>
            <w:tcW w:w="1441" w:type="dxa"/>
            <w:vMerge/>
            <w:vAlign w:val="center"/>
          </w:tcPr>
          <w:p w:rsidR="00227E2C" w:rsidRDefault="00227E2C">
            <w:pPr>
              <w:spacing w:line="320" w:lineRule="exact"/>
              <w:rPr>
                <w:rFonts w:ascii="仿宋_GB2312" w:eastAsia="仿宋_GB2312" w:hAnsi="仿宋_GB2312" w:cs="仿宋_GB2312"/>
                <w:sz w:val="24"/>
              </w:rPr>
            </w:pPr>
          </w:p>
        </w:tc>
        <w:tc>
          <w:tcPr>
            <w:tcW w:w="1549" w:type="dxa"/>
            <w:gridSpan w:val="4"/>
            <w:vMerge w:val="restart"/>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 w:eastAsia="仿宋" w:hAnsi="仿宋" w:cs="仿宋" w:hint="eastAsia"/>
                <w:sz w:val="24"/>
                <w:szCs w:val="24"/>
              </w:rPr>
              <w:t>筑牢思想政治基础，凝聚广泛共识，思想共识达到新高度</w:t>
            </w:r>
          </w:p>
        </w:tc>
        <w:tc>
          <w:tcPr>
            <w:tcW w:w="2684"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各民主党派市委深入开展学习中共十九届二中、三中、四中、五中全会精神。组织支部主委、机关干部深入学习习近平总书记关于疫情防控重要讲话精神，调动各条战线的党员支持防疫抗疫工作，为岳阳打赢疫情防控阻击战贡献了力量。</w:t>
            </w:r>
          </w:p>
        </w:tc>
      </w:tr>
      <w:tr w:rsidR="00227E2C">
        <w:trPr>
          <w:trHeight w:val="454"/>
          <w:jc w:val="center"/>
        </w:trPr>
        <w:tc>
          <w:tcPr>
            <w:tcW w:w="1441" w:type="dxa"/>
            <w:vMerge/>
            <w:vAlign w:val="center"/>
          </w:tcPr>
          <w:p w:rsidR="00227E2C" w:rsidRDefault="00227E2C">
            <w:pPr>
              <w:spacing w:line="320" w:lineRule="exact"/>
              <w:rPr>
                <w:rFonts w:ascii="仿宋_GB2312" w:eastAsia="仿宋_GB2312" w:hAnsi="仿宋_GB2312" w:cs="仿宋_GB2312"/>
                <w:sz w:val="24"/>
              </w:rPr>
            </w:pPr>
          </w:p>
        </w:tc>
        <w:tc>
          <w:tcPr>
            <w:tcW w:w="1549" w:type="dxa"/>
            <w:gridSpan w:val="4"/>
            <w:vMerge/>
            <w:vAlign w:val="center"/>
          </w:tcPr>
          <w:p w:rsidR="00227E2C" w:rsidRDefault="00227E2C">
            <w:pPr>
              <w:autoSpaceDN w:val="0"/>
              <w:spacing w:line="320" w:lineRule="exact"/>
              <w:rPr>
                <w:rFonts w:ascii="仿宋_GB2312" w:eastAsia="仿宋_GB2312" w:hAnsi="仿宋_GB2312" w:cs="仿宋_GB2312"/>
                <w:sz w:val="24"/>
              </w:rPr>
            </w:pPr>
          </w:p>
        </w:tc>
        <w:tc>
          <w:tcPr>
            <w:tcW w:w="1417" w:type="dxa"/>
            <w:gridSpan w:val="2"/>
            <w:vMerge/>
            <w:vAlign w:val="center"/>
          </w:tcPr>
          <w:p w:rsidR="00227E2C" w:rsidRDefault="00227E2C">
            <w:pPr>
              <w:spacing w:line="320" w:lineRule="exact"/>
              <w:rPr>
                <w:rFonts w:ascii="仿宋_GB2312" w:eastAsia="仿宋_GB2312" w:hAnsi="仿宋_GB2312" w:cs="仿宋_GB2312"/>
                <w:sz w:val="24"/>
              </w:rPr>
            </w:pPr>
          </w:p>
        </w:tc>
        <w:tc>
          <w:tcPr>
            <w:tcW w:w="2709" w:type="dxa"/>
            <w:gridSpan w:val="4"/>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：围绕经济高质量发展建设目标，积极履行党派职能，参政议政推行新模式</w:t>
            </w:r>
          </w:p>
        </w:tc>
        <w:tc>
          <w:tcPr>
            <w:tcW w:w="2684" w:type="dxa"/>
            <w:gridSpan w:val="6"/>
            <w:vAlign w:val="center"/>
          </w:tcPr>
          <w:p w:rsidR="00227E2C" w:rsidRDefault="00DC6F88">
            <w:pPr>
              <w:autoSpaceDN w:val="0"/>
              <w:spacing w:line="320" w:lineRule="exact"/>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sz w:val="24"/>
              </w:rPr>
              <w:t>各党派市委按照中共市委出题，党派调研，政府采纳，部门落实的模式调研，共计完成调研成果</w:t>
            </w:r>
            <w:r>
              <w:rPr>
                <w:rFonts w:ascii="仿宋_GB2312" w:eastAsia="仿宋_GB2312" w:hAnsi="仿宋_GB2312" w:cs="仿宋_GB2312" w:hint="eastAsia"/>
                <w:sz w:val="24"/>
              </w:rPr>
              <w:t>20</w:t>
            </w:r>
            <w:r>
              <w:rPr>
                <w:rFonts w:ascii="仿宋_GB2312" w:eastAsia="仿宋_GB2312" w:hAnsi="仿宋_GB2312" w:cs="仿宋_GB2312" w:hint="eastAsia"/>
                <w:sz w:val="24"/>
              </w:rPr>
              <w:t>余个。其中《关于推进湘台农业交流建设湘台农业合作交流基地的建议》获民革湖南省委调研报告评比二等奖、《关于岳阳创建</w:t>
            </w:r>
            <w:r>
              <w:rPr>
                <w:rFonts w:ascii="仿宋_GB2312" w:eastAsia="仿宋_GB2312" w:hAnsi="仿宋_GB2312" w:cs="仿宋_GB2312" w:hint="eastAsia"/>
                <w:sz w:val="24"/>
              </w:rPr>
              <w:lastRenderedPageBreak/>
              <w:t>长江经济带绿色示范区的研究》获民盟省委参政议政课题二等奖。</w:t>
            </w:r>
          </w:p>
        </w:tc>
      </w:tr>
      <w:tr w:rsidR="00227E2C">
        <w:trPr>
          <w:trHeight w:val="454"/>
          <w:jc w:val="center"/>
        </w:trPr>
        <w:tc>
          <w:tcPr>
            <w:tcW w:w="1441" w:type="dxa"/>
            <w:vMerge/>
            <w:vAlign w:val="center"/>
          </w:tcPr>
          <w:p w:rsidR="00227E2C" w:rsidRDefault="00227E2C">
            <w:pPr>
              <w:spacing w:line="320" w:lineRule="exact"/>
              <w:rPr>
                <w:rFonts w:ascii="仿宋_GB2312" w:eastAsia="仿宋_GB2312" w:hAnsi="仿宋_GB2312" w:cs="仿宋_GB2312"/>
                <w:sz w:val="24"/>
              </w:rPr>
            </w:pPr>
          </w:p>
        </w:tc>
        <w:tc>
          <w:tcPr>
            <w:tcW w:w="1549" w:type="dxa"/>
            <w:gridSpan w:val="4"/>
            <w:vMerge/>
            <w:vAlign w:val="center"/>
          </w:tcPr>
          <w:p w:rsidR="00227E2C" w:rsidRDefault="00227E2C">
            <w:pPr>
              <w:autoSpaceDN w:val="0"/>
              <w:spacing w:line="320" w:lineRule="exact"/>
              <w:rPr>
                <w:rFonts w:ascii="仿宋_GB2312" w:eastAsia="仿宋_GB2312" w:hAnsi="仿宋_GB2312" w:cs="仿宋_GB2312"/>
                <w:sz w:val="24"/>
              </w:rPr>
            </w:pPr>
          </w:p>
        </w:tc>
        <w:tc>
          <w:tcPr>
            <w:tcW w:w="1417" w:type="dxa"/>
            <w:gridSpan w:val="2"/>
            <w:vMerge/>
            <w:vAlign w:val="center"/>
          </w:tcPr>
          <w:p w:rsidR="00227E2C" w:rsidRDefault="00227E2C">
            <w:pPr>
              <w:spacing w:line="320" w:lineRule="exact"/>
              <w:rPr>
                <w:rFonts w:ascii="仿宋_GB2312" w:eastAsia="仿宋_GB2312" w:hAnsi="仿宋_GB2312" w:cs="仿宋_GB2312"/>
                <w:sz w:val="24"/>
              </w:rPr>
            </w:pPr>
          </w:p>
        </w:tc>
        <w:tc>
          <w:tcPr>
            <w:tcW w:w="2709" w:type="dxa"/>
            <w:gridSpan w:val="4"/>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：把握政治协商新平台</w:t>
            </w:r>
          </w:p>
        </w:tc>
        <w:tc>
          <w:tcPr>
            <w:tcW w:w="2684" w:type="dxa"/>
            <w:gridSpan w:val="6"/>
            <w:vAlign w:val="center"/>
          </w:tcPr>
          <w:p w:rsidR="00227E2C" w:rsidRDefault="00DC6F88">
            <w:pPr>
              <w:autoSpaceDN w:val="0"/>
              <w:spacing w:line="320" w:lineRule="exact"/>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sz w:val="24"/>
              </w:rPr>
              <w:t>各党派向人大会议、政协会议提交人大建议案、政协提案共</w:t>
            </w:r>
            <w:r>
              <w:rPr>
                <w:rFonts w:ascii="仿宋_GB2312" w:eastAsia="仿宋_GB2312" w:hAnsi="仿宋_GB2312" w:cs="仿宋_GB2312" w:hint="eastAsia"/>
                <w:sz w:val="24"/>
              </w:rPr>
              <w:t>200</w:t>
            </w:r>
            <w:r>
              <w:rPr>
                <w:rFonts w:ascii="仿宋_GB2312" w:eastAsia="仿宋_GB2312" w:hAnsi="仿宋_GB2312" w:cs="仿宋_GB2312" w:hint="eastAsia"/>
                <w:sz w:val="24"/>
              </w:rPr>
              <w:t>多条，其中民建岳阳市委关于“发挥交通枢纽优势，发展千亿物流产业”的提案获市委书记王一鸥亲自批示、农工党《关于举全市之力把岳阳打造长江经济带绿色发展示范区的建议</w:t>
            </w:r>
            <w:r>
              <w:rPr>
                <w:rFonts w:ascii="仿宋_GB2312" w:eastAsia="仿宋_GB2312" w:hAnsi="仿宋_GB2312" w:cs="仿宋_GB2312" w:hint="eastAsia"/>
                <w:sz w:val="24"/>
              </w:rPr>
              <w:t>》、《关于打通乡村“断头路”，方便村民出行</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“最后一公里”的建议》被评为年度优秀提案、九三学社岳阳市委《关于改善农村人居环境的建议》被市政协评为优秀提案。各党派为实现科学民主决策，凝聚全社会力量，协调各方利益，发挥了重要作用。</w:t>
            </w:r>
            <w:r>
              <w:rPr>
                <w:rFonts w:ascii="仿宋_GB2312" w:eastAsia="仿宋_GB2312" w:hAnsi="仿宋_GB2312" w:cs="仿宋_GB2312" w:hint="eastAsia"/>
                <w:sz w:val="24"/>
              </w:rPr>
              <w:t xml:space="preserve">     </w:t>
            </w:r>
          </w:p>
        </w:tc>
      </w:tr>
      <w:tr w:rsidR="00227E2C">
        <w:trPr>
          <w:trHeight w:val="454"/>
          <w:jc w:val="center"/>
        </w:trPr>
        <w:tc>
          <w:tcPr>
            <w:tcW w:w="1441" w:type="dxa"/>
            <w:vMerge/>
            <w:vAlign w:val="center"/>
          </w:tcPr>
          <w:p w:rsidR="00227E2C" w:rsidRDefault="00227E2C">
            <w:pPr>
              <w:spacing w:line="320" w:lineRule="exact"/>
              <w:rPr>
                <w:rFonts w:ascii="仿宋_GB2312" w:eastAsia="仿宋_GB2312" w:hAnsi="仿宋_GB2312" w:cs="仿宋_GB2312"/>
                <w:sz w:val="24"/>
              </w:rPr>
            </w:pPr>
          </w:p>
        </w:tc>
        <w:tc>
          <w:tcPr>
            <w:tcW w:w="1549" w:type="dxa"/>
            <w:gridSpan w:val="4"/>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：主动发挥党派优势特色，深入推进同心工程，社会服务创建新品牌</w:t>
            </w:r>
          </w:p>
          <w:p w:rsidR="00227E2C" w:rsidRDefault="00227E2C">
            <w:pPr>
              <w:autoSpaceDN w:val="0"/>
              <w:spacing w:line="320" w:lineRule="exact"/>
              <w:jc w:val="left"/>
              <w:textAlignment w:val="center"/>
              <w:rPr>
                <w:rFonts w:ascii="仿宋_GB2312" w:eastAsia="仿宋_GB2312" w:hAnsi="仿宋_GB2312" w:cs="仿宋_GB2312"/>
                <w:color w:val="000000"/>
                <w:sz w:val="24"/>
              </w:rPr>
            </w:pPr>
          </w:p>
        </w:tc>
        <w:tc>
          <w:tcPr>
            <w:tcW w:w="2684"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Cs/>
                <w:color w:val="000000"/>
                <w:sz w:val="24"/>
              </w:rPr>
              <w:t>各民主党派市委通过挖掘自身的资源优势，结合中共省、市统战工作要求，</w:t>
            </w:r>
            <w:r>
              <w:rPr>
                <w:rFonts w:ascii="仿宋" w:eastAsia="仿宋" w:hAnsi="仿宋" w:cs="仿宋" w:hint="eastAsia"/>
                <w:sz w:val="24"/>
                <w:szCs w:val="24"/>
              </w:rPr>
              <w:t>通过开展</w:t>
            </w:r>
            <w:r>
              <w:rPr>
                <w:rFonts w:ascii="仿宋" w:eastAsia="仿宋" w:hAnsi="仿宋" w:cs="仿宋" w:hint="eastAsia"/>
                <w:sz w:val="24"/>
                <w:szCs w:val="24"/>
              </w:rPr>
              <w:t>“爱读书·读好书”活动、“同心•法律服务室”、“联合国糖尿病日”授课义诊活动</w:t>
            </w:r>
            <w:r>
              <w:rPr>
                <w:rFonts w:ascii="仿宋_GB2312" w:eastAsia="仿宋_GB2312" w:hAnsi="宋体" w:cs="仿宋_GB2312" w:hint="eastAsia"/>
                <w:color w:val="000000"/>
                <w:kern w:val="0"/>
                <w:sz w:val="24"/>
                <w:szCs w:val="24"/>
                <w:lang/>
              </w:rPr>
              <w:t>等社会服务</w:t>
            </w:r>
            <w:r>
              <w:rPr>
                <w:rFonts w:ascii="仿宋" w:eastAsia="仿宋" w:hAnsi="仿宋" w:cs="仿宋" w:hint="eastAsia"/>
                <w:sz w:val="24"/>
                <w:szCs w:val="24"/>
              </w:rPr>
              <w:t>活动</w:t>
            </w:r>
            <w:r>
              <w:rPr>
                <w:rFonts w:ascii="仿宋" w:eastAsia="仿宋" w:hAnsi="仿宋" w:cs="仿宋" w:hint="eastAsia"/>
                <w:sz w:val="24"/>
                <w:szCs w:val="24"/>
              </w:rPr>
              <w:t>，</w:t>
            </w:r>
            <w:r>
              <w:rPr>
                <w:rFonts w:ascii="仿宋" w:eastAsia="仿宋" w:hAnsi="仿宋" w:cs="仿宋" w:hint="eastAsia"/>
                <w:sz w:val="24"/>
                <w:szCs w:val="24"/>
              </w:rPr>
              <w:t>为</w:t>
            </w:r>
            <w:r>
              <w:rPr>
                <w:rFonts w:ascii="仿宋_GB2312" w:eastAsia="仿宋_GB2312" w:hAnsi="仿宋_GB2312" w:cs="仿宋_GB2312" w:hint="eastAsia"/>
                <w:color w:val="000000"/>
                <w:sz w:val="24"/>
              </w:rPr>
              <w:t>社会服务创建新品牌</w:t>
            </w:r>
            <w:r>
              <w:rPr>
                <w:rFonts w:ascii="仿宋_GB2312" w:eastAsia="仿宋_GB2312" w:hAnsi="仿宋_GB2312" w:cs="仿宋_GB2312" w:hint="eastAsia"/>
                <w:color w:val="000000"/>
                <w:sz w:val="24"/>
              </w:rPr>
              <w:t>。</w:t>
            </w:r>
            <w:r>
              <w:rPr>
                <w:rFonts w:ascii="仿宋_GB2312" w:eastAsia="仿宋_GB2312" w:hAnsi="仿宋_GB2312" w:cs="仿宋_GB2312" w:hint="eastAsia"/>
                <w:bCs/>
                <w:color w:val="000000"/>
                <w:sz w:val="24"/>
              </w:rPr>
              <w:t>同时</w:t>
            </w:r>
            <w:r>
              <w:rPr>
                <w:rFonts w:ascii="仿宋" w:eastAsia="仿宋" w:hAnsi="仿宋" w:cs="仿宋" w:hint="eastAsia"/>
                <w:sz w:val="24"/>
                <w:szCs w:val="24"/>
              </w:rPr>
              <w:t>通过捐赠抗疫物资，整合各方资源，服务企业复工复产，班子成员更是注重身体力行，强化垂范引领</w:t>
            </w:r>
            <w:r>
              <w:rPr>
                <w:rFonts w:ascii="仿宋" w:eastAsia="仿宋" w:hAnsi="仿宋" w:cs="仿宋" w:hint="eastAsia"/>
                <w:sz w:val="24"/>
                <w:szCs w:val="24"/>
              </w:rPr>
              <w:t>,</w:t>
            </w:r>
            <w:r>
              <w:rPr>
                <w:rFonts w:ascii="仿宋" w:eastAsia="仿宋" w:hAnsi="仿宋" w:cs="仿宋" w:hint="eastAsia"/>
                <w:sz w:val="24"/>
                <w:szCs w:val="24"/>
              </w:rPr>
              <w:t>奔波在疫情一线，为抗疫凝聚了共识、凝聚了力量。</w:t>
            </w:r>
          </w:p>
        </w:tc>
      </w:tr>
      <w:tr w:rsidR="00227E2C">
        <w:trPr>
          <w:trHeight w:val="567"/>
          <w:jc w:val="center"/>
        </w:trPr>
        <w:tc>
          <w:tcPr>
            <w:tcW w:w="2990" w:type="dxa"/>
            <w:gridSpan w:val="5"/>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p>
        </w:tc>
      </w:tr>
      <w:tr w:rsidR="00227E2C">
        <w:trPr>
          <w:trHeight w:val="567"/>
          <w:jc w:val="center"/>
        </w:trPr>
        <w:tc>
          <w:tcPr>
            <w:tcW w:w="2990" w:type="dxa"/>
            <w:gridSpan w:val="5"/>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w:t>
            </w:r>
          </w:p>
        </w:tc>
      </w:tr>
      <w:tr w:rsidR="00227E2C">
        <w:trPr>
          <w:trHeight w:val="680"/>
          <w:jc w:val="center"/>
        </w:trPr>
        <w:tc>
          <w:tcPr>
            <w:tcW w:w="9800" w:type="dxa"/>
            <w:gridSpan w:val="17"/>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227E2C">
        <w:trPr>
          <w:trHeight w:val="567"/>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561"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1479" w:type="dxa"/>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3106" w:type="dxa"/>
            <w:gridSpan w:val="8"/>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227E2C">
        <w:trPr>
          <w:trHeight w:val="755"/>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黎雄兵</w:t>
            </w:r>
          </w:p>
        </w:tc>
        <w:tc>
          <w:tcPr>
            <w:tcW w:w="3561"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民盟岳阳市委专职副主委</w:t>
            </w:r>
          </w:p>
        </w:tc>
        <w:tc>
          <w:tcPr>
            <w:tcW w:w="1479" w:type="dxa"/>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民主党派机关</w:t>
            </w:r>
          </w:p>
        </w:tc>
        <w:tc>
          <w:tcPr>
            <w:tcW w:w="3106" w:type="dxa"/>
            <w:gridSpan w:val="8"/>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735"/>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谢晓群</w:t>
            </w:r>
          </w:p>
        </w:tc>
        <w:tc>
          <w:tcPr>
            <w:tcW w:w="3561"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机关事务办主任</w:t>
            </w:r>
          </w:p>
        </w:tc>
        <w:tc>
          <w:tcPr>
            <w:tcW w:w="1479" w:type="dxa"/>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民主党派机关</w:t>
            </w:r>
          </w:p>
        </w:tc>
        <w:tc>
          <w:tcPr>
            <w:tcW w:w="3106" w:type="dxa"/>
            <w:gridSpan w:val="8"/>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705"/>
          <w:jc w:val="center"/>
        </w:trPr>
        <w:tc>
          <w:tcPr>
            <w:tcW w:w="1654" w:type="dxa"/>
            <w:gridSpan w:val="2"/>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聂卫</w:t>
            </w:r>
          </w:p>
        </w:tc>
        <w:tc>
          <w:tcPr>
            <w:tcW w:w="3561" w:type="dxa"/>
            <w:gridSpan w:val="6"/>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机关事务办副主任</w:t>
            </w:r>
          </w:p>
        </w:tc>
        <w:tc>
          <w:tcPr>
            <w:tcW w:w="1479" w:type="dxa"/>
            <w:vAlign w:val="center"/>
          </w:tcPr>
          <w:p w:rsidR="00227E2C" w:rsidRDefault="00DC6F88">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民主党派机关</w:t>
            </w:r>
          </w:p>
        </w:tc>
        <w:tc>
          <w:tcPr>
            <w:tcW w:w="3106" w:type="dxa"/>
            <w:gridSpan w:val="8"/>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680"/>
          <w:jc w:val="center"/>
        </w:trPr>
        <w:tc>
          <w:tcPr>
            <w:tcW w:w="1654" w:type="dxa"/>
            <w:gridSpan w:val="2"/>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227E2C" w:rsidRDefault="00227E2C">
            <w:pPr>
              <w:autoSpaceDN w:val="0"/>
              <w:spacing w:line="320" w:lineRule="exact"/>
              <w:jc w:val="center"/>
              <w:textAlignment w:val="center"/>
              <w:rPr>
                <w:rFonts w:ascii="仿宋_GB2312" w:eastAsia="仿宋_GB2312" w:hAnsi="仿宋_GB2312" w:cs="仿宋_GB2312"/>
                <w:color w:val="000000"/>
                <w:sz w:val="24"/>
              </w:rPr>
            </w:pPr>
          </w:p>
        </w:tc>
      </w:tr>
      <w:tr w:rsidR="00227E2C">
        <w:trPr>
          <w:trHeight w:val="2862"/>
          <w:jc w:val="center"/>
        </w:trPr>
        <w:tc>
          <w:tcPr>
            <w:tcW w:w="9800" w:type="dxa"/>
            <w:gridSpan w:val="17"/>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227E2C">
        <w:trPr>
          <w:trHeight w:val="2722"/>
          <w:jc w:val="center"/>
        </w:trPr>
        <w:tc>
          <w:tcPr>
            <w:tcW w:w="9800" w:type="dxa"/>
            <w:gridSpan w:val="17"/>
            <w:vAlign w:val="center"/>
          </w:tcPr>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227E2C">
            <w:pPr>
              <w:autoSpaceDN w:val="0"/>
              <w:spacing w:line="320" w:lineRule="exact"/>
              <w:jc w:val="left"/>
              <w:textAlignment w:val="center"/>
              <w:rPr>
                <w:rFonts w:ascii="仿宋_GB2312" w:eastAsia="仿宋_GB2312" w:hAnsi="仿宋_GB2312" w:cs="仿宋_GB2312"/>
                <w:color w:val="000000"/>
                <w:sz w:val="24"/>
              </w:rPr>
            </w:pP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227E2C">
        <w:trPr>
          <w:trHeight w:val="2794"/>
          <w:jc w:val="center"/>
        </w:trPr>
        <w:tc>
          <w:tcPr>
            <w:tcW w:w="9800" w:type="dxa"/>
            <w:gridSpan w:val="17"/>
            <w:vAlign w:val="center"/>
          </w:tcPr>
          <w:p w:rsidR="00227E2C" w:rsidRDefault="00DC6F88">
            <w:pPr>
              <w:spacing w:line="320" w:lineRule="exact"/>
              <w:rPr>
                <w:rFonts w:eastAsia="仿宋_GB2312"/>
                <w:sz w:val="24"/>
              </w:rPr>
            </w:pPr>
            <w:r>
              <w:rPr>
                <w:rFonts w:eastAsia="仿宋_GB2312" w:hint="eastAsia"/>
                <w:sz w:val="24"/>
              </w:rPr>
              <w:t>财政部门归口业务科室意见：</w:t>
            </w:r>
          </w:p>
          <w:p w:rsidR="00227E2C" w:rsidRDefault="00227E2C">
            <w:pPr>
              <w:spacing w:line="320" w:lineRule="exact"/>
              <w:rPr>
                <w:rFonts w:eastAsia="仿宋_GB2312"/>
                <w:sz w:val="24"/>
              </w:rPr>
            </w:pPr>
          </w:p>
          <w:p w:rsidR="00227E2C" w:rsidRDefault="00227E2C">
            <w:pPr>
              <w:spacing w:line="320" w:lineRule="exact"/>
              <w:rPr>
                <w:rFonts w:eastAsia="仿宋_GB2312"/>
                <w:sz w:val="24"/>
              </w:rPr>
            </w:pPr>
          </w:p>
          <w:p w:rsidR="00227E2C" w:rsidRDefault="00227E2C">
            <w:pPr>
              <w:spacing w:line="320" w:lineRule="exact"/>
              <w:rPr>
                <w:rFonts w:eastAsia="仿宋_GB2312"/>
                <w:sz w:val="24"/>
              </w:rPr>
            </w:pPr>
          </w:p>
          <w:p w:rsidR="00227E2C" w:rsidRDefault="00227E2C">
            <w:pPr>
              <w:spacing w:line="320" w:lineRule="exact"/>
              <w:rPr>
                <w:rFonts w:eastAsia="仿宋_GB2312"/>
                <w:sz w:val="24"/>
              </w:rPr>
            </w:pPr>
          </w:p>
          <w:p w:rsidR="00227E2C" w:rsidRDefault="00DC6F88">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227E2C" w:rsidRDefault="00DC6F88">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227E2C" w:rsidRDefault="00DC6F88">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徐巧</w:t>
      </w: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0730-8603516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227E2C">
        <w:trPr>
          <w:trHeight w:val="12998"/>
          <w:jc w:val="center"/>
        </w:trPr>
        <w:tc>
          <w:tcPr>
            <w:tcW w:w="9558" w:type="dxa"/>
          </w:tcPr>
          <w:p w:rsidR="00227E2C" w:rsidRDefault="00DC6F88">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227E2C" w:rsidRDefault="00227E2C">
            <w:pPr>
              <w:spacing w:line="440" w:lineRule="exact"/>
              <w:ind w:firstLineChars="200" w:firstLine="640"/>
              <w:rPr>
                <w:rFonts w:eastAsia="仿宋_GB2312"/>
                <w:sz w:val="32"/>
                <w:szCs w:val="32"/>
              </w:rPr>
            </w:pPr>
          </w:p>
          <w:p w:rsidR="00227E2C" w:rsidRDefault="00DC6F88">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227E2C" w:rsidRDefault="00DC6F8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227E2C" w:rsidRDefault="00DC6F8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我市现有民革、民盟、民建、民进、农工党、致公党、九三学社</w:t>
            </w:r>
            <w:r>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t>个民主党派市级组织，是全省党派齐全，建立组织较早的地级市。截至目前，全市共有民主党派成员</w:t>
            </w:r>
            <w:r>
              <w:rPr>
                <w:rFonts w:ascii="仿宋_GB2312" w:eastAsia="仿宋_GB2312" w:hAnsi="仿宋_GB2312" w:cs="仿宋_GB2312" w:hint="eastAsia"/>
                <w:bCs/>
                <w:sz w:val="28"/>
                <w:szCs w:val="28"/>
              </w:rPr>
              <w:t>3188</w:t>
            </w:r>
            <w:r>
              <w:rPr>
                <w:rFonts w:ascii="仿宋_GB2312" w:eastAsia="仿宋_GB2312" w:hAnsi="仿宋_GB2312" w:cs="仿宋_GB2312" w:hint="eastAsia"/>
                <w:bCs/>
                <w:sz w:val="28"/>
                <w:szCs w:val="28"/>
              </w:rPr>
              <w:t>人。</w:t>
            </w:r>
            <w:r>
              <w:rPr>
                <w:rFonts w:ascii="仿宋_GB2312" w:eastAsia="仿宋_GB2312" w:hAnsi="仿宋_GB2312" w:cs="仿宋_GB2312" w:hint="eastAsia"/>
                <w:bCs/>
                <w:sz w:val="28"/>
                <w:szCs w:val="28"/>
              </w:rPr>
              <w:t>其中民革</w:t>
            </w:r>
            <w:r>
              <w:rPr>
                <w:rFonts w:ascii="仿宋_GB2312" w:eastAsia="仿宋_GB2312" w:hAnsi="仿宋_GB2312" w:cs="仿宋_GB2312" w:hint="eastAsia"/>
                <w:bCs/>
                <w:sz w:val="28"/>
                <w:szCs w:val="28"/>
              </w:rPr>
              <w:t>483</w:t>
            </w:r>
            <w:r>
              <w:rPr>
                <w:rFonts w:ascii="仿宋_GB2312" w:eastAsia="仿宋_GB2312" w:hAnsi="仿宋_GB2312" w:cs="仿宋_GB2312" w:hint="eastAsia"/>
                <w:bCs/>
                <w:sz w:val="28"/>
                <w:szCs w:val="28"/>
              </w:rPr>
              <w:t>人，民盟</w:t>
            </w:r>
            <w:r>
              <w:rPr>
                <w:rFonts w:ascii="仿宋_GB2312" w:eastAsia="仿宋_GB2312" w:hAnsi="仿宋_GB2312" w:cs="仿宋_GB2312" w:hint="eastAsia"/>
                <w:bCs/>
                <w:sz w:val="28"/>
                <w:szCs w:val="28"/>
              </w:rPr>
              <w:t>550</w:t>
            </w:r>
            <w:r>
              <w:rPr>
                <w:rFonts w:ascii="仿宋_GB2312" w:eastAsia="仿宋_GB2312" w:hAnsi="仿宋_GB2312" w:cs="仿宋_GB2312" w:hint="eastAsia"/>
                <w:bCs/>
                <w:sz w:val="28"/>
                <w:szCs w:val="28"/>
              </w:rPr>
              <w:t>人，民建</w:t>
            </w:r>
            <w:r>
              <w:rPr>
                <w:rFonts w:ascii="仿宋_GB2312" w:eastAsia="仿宋_GB2312" w:hAnsi="仿宋_GB2312" w:cs="仿宋_GB2312" w:hint="eastAsia"/>
                <w:bCs/>
                <w:sz w:val="28"/>
                <w:szCs w:val="28"/>
              </w:rPr>
              <w:t>338</w:t>
            </w:r>
            <w:r>
              <w:rPr>
                <w:rFonts w:ascii="仿宋_GB2312" w:eastAsia="仿宋_GB2312" w:hAnsi="仿宋_GB2312" w:cs="仿宋_GB2312" w:hint="eastAsia"/>
                <w:bCs/>
                <w:sz w:val="28"/>
                <w:szCs w:val="28"/>
              </w:rPr>
              <w:t>人，民进</w:t>
            </w:r>
            <w:r>
              <w:rPr>
                <w:rFonts w:ascii="仿宋_GB2312" w:eastAsia="仿宋_GB2312" w:hAnsi="仿宋_GB2312" w:cs="仿宋_GB2312" w:hint="eastAsia"/>
                <w:bCs/>
                <w:sz w:val="28"/>
                <w:szCs w:val="28"/>
              </w:rPr>
              <w:t>584</w:t>
            </w:r>
            <w:r>
              <w:rPr>
                <w:rFonts w:ascii="仿宋_GB2312" w:eastAsia="仿宋_GB2312" w:hAnsi="仿宋_GB2312" w:cs="仿宋_GB2312" w:hint="eastAsia"/>
                <w:bCs/>
                <w:sz w:val="28"/>
                <w:szCs w:val="28"/>
              </w:rPr>
              <w:t>人，农工党</w:t>
            </w:r>
            <w:r>
              <w:rPr>
                <w:rFonts w:ascii="仿宋_GB2312" w:eastAsia="仿宋_GB2312" w:hAnsi="仿宋_GB2312" w:cs="仿宋_GB2312" w:hint="eastAsia"/>
                <w:bCs/>
                <w:sz w:val="28"/>
                <w:szCs w:val="28"/>
              </w:rPr>
              <w:t>430</w:t>
            </w:r>
            <w:r>
              <w:rPr>
                <w:rFonts w:ascii="仿宋_GB2312" w:eastAsia="仿宋_GB2312" w:hAnsi="仿宋_GB2312" w:cs="仿宋_GB2312" w:hint="eastAsia"/>
                <w:bCs/>
                <w:sz w:val="28"/>
                <w:szCs w:val="28"/>
              </w:rPr>
              <w:t>人，致公党</w:t>
            </w:r>
            <w:r>
              <w:rPr>
                <w:rFonts w:ascii="仿宋_GB2312" w:eastAsia="仿宋_GB2312" w:hAnsi="仿宋_GB2312" w:cs="仿宋_GB2312" w:hint="eastAsia"/>
                <w:bCs/>
                <w:sz w:val="28"/>
                <w:szCs w:val="28"/>
              </w:rPr>
              <w:t>323</w:t>
            </w:r>
            <w:r>
              <w:rPr>
                <w:rFonts w:ascii="仿宋_GB2312" w:eastAsia="仿宋_GB2312" w:hAnsi="仿宋_GB2312" w:cs="仿宋_GB2312" w:hint="eastAsia"/>
                <w:bCs/>
                <w:sz w:val="28"/>
                <w:szCs w:val="28"/>
              </w:rPr>
              <w:t>人，九三学社</w:t>
            </w:r>
            <w:r>
              <w:rPr>
                <w:rFonts w:ascii="仿宋_GB2312" w:eastAsia="仿宋_GB2312" w:hAnsi="仿宋_GB2312" w:cs="仿宋_GB2312" w:hint="eastAsia"/>
                <w:bCs/>
                <w:sz w:val="28"/>
                <w:szCs w:val="28"/>
              </w:rPr>
              <w:t>480</w:t>
            </w:r>
            <w:r>
              <w:rPr>
                <w:rFonts w:ascii="仿宋_GB2312" w:eastAsia="仿宋_GB2312" w:hAnsi="仿宋_GB2312" w:cs="仿宋_GB2312" w:hint="eastAsia"/>
                <w:bCs/>
                <w:sz w:val="28"/>
                <w:szCs w:val="28"/>
              </w:rPr>
              <w:t>人。民主党派机关由</w:t>
            </w:r>
            <w:r>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t>个民主党派市委和机关事务办公室组成，党派机关工作人员共</w:t>
            </w:r>
            <w:r>
              <w:rPr>
                <w:rFonts w:ascii="仿宋_GB2312" w:eastAsia="仿宋_GB2312" w:hAnsi="仿宋_GB2312" w:cs="仿宋_GB2312" w:hint="eastAsia"/>
                <w:bCs/>
                <w:sz w:val="28"/>
                <w:szCs w:val="28"/>
              </w:rPr>
              <w:t>55</w:t>
            </w:r>
            <w:r>
              <w:rPr>
                <w:rFonts w:ascii="仿宋_GB2312" w:eastAsia="仿宋_GB2312" w:hAnsi="仿宋_GB2312" w:cs="仿宋_GB2312" w:hint="eastAsia"/>
                <w:bCs/>
                <w:sz w:val="28"/>
                <w:szCs w:val="28"/>
              </w:rPr>
              <w:t>人，其中在职</w:t>
            </w:r>
            <w:r>
              <w:rPr>
                <w:rFonts w:ascii="仿宋_GB2312" w:eastAsia="仿宋_GB2312" w:hAnsi="仿宋_GB2312" w:cs="仿宋_GB2312" w:hint="eastAsia"/>
                <w:bCs/>
                <w:sz w:val="28"/>
                <w:szCs w:val="28"/>
              </w:rPr>
              <w:t>32</w:t>
            </w:r>
            <w:r>
              <w:rPr>
                <w:rFonts w:ascii="仿宋_GB2312" w:eastAsia="仿宋_GB2312" w:hAnsi="仿宋_GB2312" w:cs="仿宋_GB2312" w:hint="eastAsia"/>
                <w:bCs/>
                <w:sz w:val="28"/>
                <w:szCs w:val="28"/>
              </w:rPr>
              <w:t>人，退休</w:t>
            </w:r>
            <w:r>
              <w:rPr>
                <w:rFonts w:ascii="仿宋_GB2312" w:eastAsia="仿宋_GB2312" w:hAnsi="仿宋_GB2312" w:cs="仿宋_GB2312" w:hint="eastAsia"/>
                <w:bCs/>
                <w:sz w:val="28"/>
                <w:szCs w:val="28"/>
              </w:rPr>
              <w:t>23</w:t>
            </w:r>
            <w:r>
              <w:rPr>
                <w:rFonts w:ascii="仿宋_GB2312" w:eastAsia="仿宋_GB2312" w:hAnsi="仿宋_GB2312" w:cs="仿宋_GB2312" w:hint="eastAsia"/>
                <w:bCs/>
                <w:sz w:val="28"/>
                <w:szCs w:val="28"/>
              </w:rPr>
              <w:t>人。</w:t>
            </w:r>
          </w:p>
          <w:p w:rsidR="00227E2C" w:rsidRDefault="00DC6F88">
            <w:pPr>
              <w:numPr>
                <w:ilvl w:val="0"/>
                <w:numId w:val="4"/>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部门（单位）整体支出规模、使用方向和主要内容、涉及范围等</w:t>
            </w:r>
          </w:p>
          <w:p w:rsidR="00227E2C" w:rsidRDefault="00DC6F88">
            <w:pPr>
              <w:spacing w:line="56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我单位收入预算</w:t>
            </w:r>
            <w:r>
              <w:rPr>
                <w:rFonts w:ascii="仿宋_GB2312" w:eastAsia="仿宋_GB2312" w:hAnsi="仿宋_GB2312" w:cs="仿宋_GB2312" w:hint="eastAsia"/>
                <w:bCs/>
                <w:sz w:val="28"/>
                <w:szCs w:val="28"/>
              </w:rPr>
              <w:t>911.82</w:t>
            </w:r>
            <w:r>
              <w:rPr>
                <w:rFonts w:ascii="仿宋_GB2312" w:eastAsia="仿宋_GB2312" w:hAnsi="仿宋_GB2312" w:cs="仿宋_GB2312" w:hint="eastAsia"/>
                <w:bCs/>
                <w:sz w:val="28"/>
                <w:szCs w:val="28"/>
              </w:rPr>
              <w:t>万元，全部为财政拨款。支出预算为</w:t>
            </w:r>
            <w:r>
              <w:rPr>
                <w:rFonts w:ascii="仿宋_GB2312" w:eastAsia="仿宋_GB2312" w:hAnsi="仿宋_GB2312" w:cs="仿宋_GB2312" w:hint="eastAsia"/>
                <w:bCs/>
                <w:sz w:val="28"/>
                <w:szCs w:val="28"/>
              </w:rPr>
              <w:t>782.46</w:t>
            </w:r>
            <w:r>
              <w:rPr>
                <w:rFonts w:ascii="仿宋_GB2312" w:eastAsia="仿宋_GB2312" w:hAnsi="仿宋_GB2312" w:cs="仿宋_GB2312" w:hint="eastAsia"/>
                <w:bCs/>
                <w:sz w:val="28"/>
                <w:szCs w:val="28"/>
              </w:rPr>
              <w:t>万元，其中基本支出</w:t>
            </w:r>
            <w:r>
              <w:rPr>
                <w:rFonts w:ascii="仿宋_GB2312" w:eastAsia="仿宋_GB2312" w:hAnsi="仿宋_GB2312" w:cs="仿宋_GB2312" w:hint="eastAsia"/>
                <w:bCs/>
                <w:sz w:val="28"/>
                <w:szCs w:val="28"/>
              </w:rPr>
              <w:t>504.35</w:t>
            </w:r>
            <w:r>
              <w:rPr>
                <w:rFonts w:ascii="仿宋_GB2312" w:eastAsia="仿宋_GB2312" w:hAnsi="仿宋_GB2312" w:cs="仿宋_GB2312" w:hint="eastAsia"/>
                <w:bCs/>
                <w:sz w:val="28"/>
                <w:szCs w:val="28"/>
              </w:rPr>
              <w:t>万元，专项商品和服务支出</w:t>
            </w:r>
            <w:r>
              <w:rPr>
                <w:rFonts w:ascii="仿宋_GB2312" w:eastAsia="仿宋_GB2312" w:hAnsi="仿宋_GB2312" w:cs="仿宋_GB2312" w:hint="eastAsia"/>
                <w:bCs/>
                <w:sz w:val="28"/>
                <w:szCs w:val="28"/>
              </w:rPr>
              <w:t>278.11</w:t>
            </w:r>
            <w:r>
              <w:rPr>
                <w:rFonts w:ascii="仿宋_GB2312" w:eastAsia="仿宋_GB2312" w:hAnsi="仿宋_GB2312" w:cs="仿宋_GB2312" w:hint="eastAsia"/>
                <w:bCs/>
                <w:sz w:val="28"/>
                <w:szCs w:val="28"/>
              </w:rPr>
              <w:t>万元。</w:t>
            </w:r>
          </w:p>
          <w:p w:rsidR="00227E2C" w:rsidRDefault="00DC6F88">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227E2C" w:rsidRDefault="00DC6F8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227E2C" w:rsidRDefault="00DC6F88">
            <w:pPr>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本年基本支出</w:t>
            </w:r>
            <w:r>
              <w:rPr>
                <w:rFonts w:ascii="仿宋_GB2312" w:eastAsia="仿宋_GB2312" w:hAnsi="仿宋_GB2312" w:cs="仿宋_GB2312" w:hint="eastAsia"/>
                <w:bCs/>
                <w:sz w:val="28"/>
                <w:szCs w:val="28"/>
              </w:rPr>
              <w:t>504.35</w:t>
            </w:r>
            <w:r>
              <w:rPr>
                <w:rFonts w:ascii="仿宋_GB2312" w:eastAsia="仿宋_GB2312" w:hAnsi="仿宋_GB2312" w:cs="仿宋_GB2312" w:hint="eastAsia"/>
                <w:bCs/>
                <w:sz w:val="28"/>
                <w:szCs w:val="28"/>
              </w:rPr>
              <w:t>万元；其中工资福利支出</w:t>
            </w:r>
            <w:r>
              <w:rPr>
                <w:rFonts w:ascii="仿宋_GB2312" w:eastAsia="仿宋_GB2312" w:hAnsi="仿宋_GB2312" w:cs="仿宋_GB2312" w:hint="eastAsia"/>
                <w:bCs/>
                <w:sz w:val="28"/>
                <w:szCs w:val="28"/>
              </w:rPr>
              <w:t>483.44</w:t>
            </w:r>
            <w:r>
              <w:rPr>
                <w:rFonts w:ascii="仿宋_GB2312" w:eastAsia="仿宋_GB2312" w:hAnsi="仿宋_GB2312" w:cs="仿宋_GB2312" w:hint="eastAsia"/>
                <w:bCs/>
                <w:sz w:val="28"/>
                <w:szCs w:val="28"/>
              </w:rPr>
              <w:t>万元，主要用于发放行政人员工资及津补贴；资本性支出</w:t>
            </w:r>
            <w:r>
              <w:rPr>
                <w:rFonts w:ascii="仿宋_GB2312" w:eastAsia="仿宋_GB2312" w:hAnsi="仿宋_GB2312" w:cs="仿宋_GB2312" w:hint="eastAsia"/>
                <w:bCs/>
                <w:sz w:val="28"/>
                <w:szCs w:val="28"/>
              </w:rPr>
              <w:t>20.91</w:t>
            </w:r>
            <w:r>
              <w:rPr>
                <w:rFonts w:ascii="仿宋_GB2312" w:eastAsia="仿宋_GB2312" w:hAnsi="仿宋_GB2312" w:cs="仿宋_GB2312" w:hint="eastAsia"/>
                <w:bCs/>
                <w:sz w:val="28"/>
                <w:szCs w:val="28"/>
              </w:rPr>
              <w:t>万元，主要用于更新办公用固定资产。</w:t>
            </w:r>
            <w:r>
              <w:rPr>
                <w:rFonts w:ascii="仿宋_GB2312" w:eastAsia="仿宋_GB2312" w:hAnsi="仿宋_GB2312" w:cs="仿宋_GB2312" w:hint="eastAsia"/>
                <w:bCs/>
                <w:sz w:val="28"/>
                <w:szCs w:val="28"/>
              </w:rPr>
              <w:t xml:space="preserve"> </w:t>
            </w:r>
          </w:p>
          <w:p w:rsidR="00227E2C" w:rsidRDefault="00DC6F8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227E2C" w:rsidRDefault="00DC6F8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本年一般商品和服务支出</w:t>
            </w:r>
            <w:r>
              <w:rPr>
                <w:rFonts w:ascii="仿宋_GB2312" w:eastAsia="仿宋_GB2312" w:hAnsi="仿宋_GB2312" w:cs="仿宋_GB2312" w:hint="eastAsia"/>
                <w:bCs/>
                <w:sz w:val="28"/>
                <w:szCs w:val="28"/>
              </w:rPr>
              <w:t>278.11</w:t>
            </w:r>
            <w:r>
              <w:rPr>
                <w:rFonts w:ascii="仿宋_GB2312" w:eastAsia="仿宋_GB2312" w:hAnsi="仿宋_GB2312" w:cs="仿宋_GB2312" w:hint="eastAsia"/>
                <w:bCs/>
                <w:sz w:val="28"/>
                <w:szCs w:val="28"/>
              </w:rPr>
              <w:t>万元，主要用于保障机关正常运转所需开支的办公费、差旅费、招待费、会议费、公务用车运行维护费、物业管理费等。专项资金实现统一管理，支出严格按照财务制度执行，无挤占挪用或套取资金等现象。</w:t>
            </w:r>
          </w:p>
          <w:p w:rsidR="00227E2C" w:rsidRDefault="00DC6F88">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227E2C" w:rsidRDefault="00DC6F88">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227E2C" w:rsidRDefault="00DC6F88">
            <w:pPr>
              <w:spacing w:line="560" w:lineRule="exact"/>
              <w:ind w:firstLineChars="200" w:firstLine="560"/>
              <w:rPr>
                <w:rFonts w:ascii="仿宋_GB2312" w:eastAsia="仿宋_GB2312" w:hAnsi="仿宋_GB2312" w:cs="仿宋_GB2312"/>
                <w:bCs/>
                <w:sz w:val="28"/>
                <w:szCs w:val="28"/>
              </w:rPr>
            </w:pPr>
            <w:r>
              <w:rPr>
                <w:rFonts w:eastAsia="仿宋_GB2312" w:hint="eastAsia"/>
                <w:sz w:val="28"/>
                <w:szCs w:val="28"/>
              </w:rPr>
              <w:lastRenderedPageBreak/>
              <w:t>专项资金</w:t>
            </w:r>
            <w:r>
              <w:rPr>
                <w:rFonts w:eastAsia="仿宋_GB2312"/>
                <w:sz w:val="28"/>
                <w:szCs w:val="28"/>
              </w:rPr>
              <w:t>由财政局严格审核下拨</w:t>
            </w:r>
            <w:r>
              <w:rPr>
                <w:rFonts w:eastAsia="仿宋_GB2312" w:hint="eastAsia"/>
                <w:sz w:val="30"/>
                <w:szCs w:val="30"/>
              </w:rPr>
              <w:t>，</w:t>
            </w:r>
            <w:r>
              <w:rPr>
                <w:rFonts w:ascii="仿宋_GB2312" w:eastAsia="仿宋_GB2312" w:hAnsi="仿宋_GB2312" w:cs="仿宋_GB2312" w:hint="eastAsia"/>
                <w:bCs/>
                <w:sz w:val="28"/>
                <w:szCs w:val="28"/>
              </w:rPr>
              <w:t>支出严格按照财务制度执行。</w:t>
            </w:r>
          </w:p>
          <w:p w:rsidR="00227E2C" w:rsidRDefault="00DC6F88">
            <w:pPr>
              <w:numPr>
                <w:ilvl w:val="0"/>
                <w:numId w:val="4"/>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专项管理情况分析</w:t>
            </w:r>
          </w:p>
          <w:p w:rsidR="00227E2C" w:rsidRDefault="00DC6F88" w:rsidP="007126B3">
            <w:pPr>
              <w:spacing w:line="560" w:lineRule="exact"/>
              <w:ind w:leftChars="200" w:left="42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专项资金实现统一管理，支出严格把关，手续完整，程序规范；原始凭证经手人签字、证明人签字、领导签字后由财务人员初审，分管财务领导核定方可报账，无挤占挪用或套取资</w:t>
            </w:r>
            <w:r>
              <w:rPr>
                <w:rFonts w:ascii="仿宋_GB2312" w:eastAsia="仿宋_GB2312" w:hAnsi="仿宋_GB2312" w:cs="仿宋_GB2312" w:hint="eastAsia"/>
                <w:bCs/>
                <w:sz w:val="28"/>
                <w:szCs w:val="28"/>
              </w:rPr>
              <w:t>金等现象。</w:t>
            </w:r>
          </w:p>
          <w:p w:rsidR="00227E2C" w:rsidRDefault="00DC6F88">
            <w:pPr>
              <w:numPr>
                <w:ilvl w:val="0"/>
                <w:numId w:val="5"/>
              </w:num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部门（单位）整体支出绩效情况</w:t>
            </w:r>
          </w:p>
          <w:p w:rsidR="00227E2C" w:rsidRDefault="00DC6F88">
            <w:pPr>
              <w:spacing w:line="560" w:lineRule="exact"/>
              <w:ind w:firstLineChars="200" w:firstLine="560"/>
              <w:rPr>
                <w:rFonts w:ascii="仿宋" w:eastAsia="仿宋" w:hAnsi="仿宋" w:cs="仿宋"/>
                <w:bCs/>
                <w:sz w:val="28"/>
                <w:szCs w:val="28"/>
              </w:rPr>
            </w:pPr>
            <w:r>
              <w:rPr>
                <w:rFonts w:ascii="黑体" w:eastAsia="黑体" w:hAnsi="黑体" w:cs="黑体" w:hint="eastAsia"/>
                <w:bCs/>
                <w:sz w:val="28"/>
                <w:szCs w:val="28"/>
              </w:rPr>
              <w:t xml:space="preserve">    </w:t>
            </w:r>
            <w:r>
              <w:rPr>
                <w:rFonts w:ascii="仿宋" w:eastAsia="仿宋" w:hAnsi="仿宋" w:cs="仿宋" w:hint="eastAsia"/>
                <w:bCs/>
                <w:sz w:val="28"/>
                <w:szCs w:val="28"/>
              </w:rPr>
              <w:t>我单位</w:t>
            </w:r>
            <w:r>
              <w:rPr>
                <w:rFonts w:ascii="仿宋" w:eastAsia="仿宋" w:hAnsi="仿宋" w:cs="仿宋" w:hint="eastAsia"/>
                <w:bCs/>
                <w:sz w:val="28"/>
                <w:szCs w:val="28"/>
              </w:rPr>
              <w:t>通过加强预算收支的管理，不断建立健全内部管理制度，梳理内部管理流程，部门整体支出管理情况得到了提升。根据前面对</w:t>
            </w:r>
            <w:r>
              <w:rPr>
                <w:rFonts w:ascii="仿宋" w:eastAsia="仿宋" w:hAnsi="仿宋" w:cs="仿宋" w:hint="eastAsia"/>
                <w:bCs/>
                <w:sz w:val="28"/>
                <w:szCs w:val="28"/>
              </w:rPr>
              <w:t>2020</w:t>
            </w:r>
            <w:r>
              <w:rPr>
                <w:rFonts w:ascii="仿宋" w:eastAsia="仿宋" w:hAnsi="仿宋" w:cs="仿宋" w:hint="eastAsia"/>
                <w:bCs/>
                <w:sz w:val="28"/>
                <w:szCs w:val="28"/>
              </w:rPr>
              <w:t>年度部门整体支出状况的概述和分析，部门整体支出绩效情况如下：</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（一）经济性评价方面</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、本年预算控制较好，财政供养人员控制在预算编制以内，编制内在职人员控制在预算编制以内；三公经费预算总额较上年</w:t>
            </w:r>
            <w:r>
              <w:rPr>
                <w:rFonts w:ascii="仿宋" w:eastAsia="仿宋" w:hAnsi="仿宋" w:cs="仿宋" w:hint="eastAsia"/>
                <w:bCs/>
                <w:sz w:val="28"/>
                <w:szCs w:val="28"/>
              </w:rPr>
              <w:t>增加，主要原因为公务用车运行维护费增加</w:t>
            </w:r>
            <w:r>
              <w:rPr>
                <w:rFonts w:ascii="仿宋" w:eastAsia="仿宋" w:hAnsi="仿宋" w:cs="仿宋" w:hint="eastAsia"/>
                <w:bCs/>
                <w:sz w:val="28"/>
                <w:szCs w:val="28"/>
              </w:rPr>
              <w:t>。</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、预算执行方面，支出总额控制在预算总额以内；不存在截留或滞留专项资金情况；三公经费总额和财政拨款支出三公经费总体控制较好。</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rPr>
              <w:t>预算管理方面，制度执行总体较为有效，仍需进一步强化；资金使用管理需进一步加强。</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w:t>
            </w:r>
            <w:r>
              <w:rPr>
                <w:rFonts w:ascii="仿宋" w:eastAsia="仿宋" w:hAnsi="仿宋" w:cs="仿宋" w:hint="eastAsia"/>
                <w:bCs/>
                <w:sz w:val="28"/>
                <w:szCs w:val="28"/>
              </w:rPr>
              <w:t>资产管理方面建立了资产管理制度，定期进行了盘点和资产清理，总体执行较好。</w:t>
            </w:r>
          </w:p>
          <w:p w:rsidR="00227E2C" w:rsidRDefault="00DC6F88">
            <w:pPr>
              <w:spacing w:line="560" w:lineRule="exact"/>
              <w:ind w:firstLineChars="200" w:firstLine="560"/>
              <w:rPr>
                <w:rFonts w:ascii="仿宋" w:eastAsia="仿宋" w:hAnsi="仿宋" w:cs="仿宋"/>
                <w:bCs/>
                <w:color w:val="0000FF"/>
                <w:sz w:val="28"/>
                <w:szCs w:val="28"/>
              </w:rPr>
            </w:pPr>
            <w:r>
              <w:rPr>
                <w:rFonts w:ascii="仿宋" w:eastAsia="仿宋" w:hAnsi="仿宋" w:cs="仿宋" w:hint="eastAsia"/>
                <w:bCs/>
                <w:sz w:val="28"/>
                <w:szCs w:val="28"/>
              </w:rPr>
              <w:t>根据部门整体支出绩效评价指标体系，本单位</w:t>
            </w:r>
            <w:r>
              <w:rPr>
                <w:rFonts w:ascii="仿宋" w:eastAsia="仿宋" w:hAnsi="仿宋" w:cs="仿宋" w:hint="eastAsia"/>
                <w:bCs/>
                <w:sz w:val="28"/>
                <w:szCs w:val="28"/>
              </w:rPr>
              <w:t>2020</w:t>
            </w:r>
            <w:r>
              <w:rPr>
                <w:rFonts w:ascii="仿宋" w:eastAsia="仿宋" w:hAnsi="仿宋" w:cs="仿宋" w:hint="eastAsia"/>
                <w:bCs/>
                <w:sz w:val="28"/>
                <w:szCs w:val="28"/>
              </w:rPr>
              <w:t>年度评价得分</w:t>
            </w:r>
            <w:r>
              <w:rPr>
                <w:rFonts w:ascii="仿宋" w:eastAsia="仿宋" w:hAnsi="仿宋" w:cs="仿宋" w:hint="eastAsia"/>
                <w:bCs/>
                <w:sz w:val="28"/>
                <w:szCs w:val="28"/>
              </w:rPr>
              <w:t>9</w:t>
            </w:r>
            <w:r>
              <w:rPr>
                <w:rFonts w:ascii="仿宋" w:eastAsia="仿宋" w:hAnsi="仿宋" w:cs="仿宋" w:hint="eastAsia"/>
                <w:bCs/>
                <w:sz w:val="28"/>
                <w:szCs w:val="28"/>
              </w:rPr>
              <w:t>8</w:t>
            </w:r>
            <w:r>
              <w:rPr>
                <w:rFonts w:ascii="仿宋" w:eastAsia="仿宋" w:hAnsi="仿宋" w:cs="仿宋" w:hint="eastAsia"/>
                <w:bCs/>
                <w:sz w:val="28"/>
                <w:szCs w:val="28"/>
              </w:rPr>
              <w:t>分。</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（二）效率性评价和有效性评价</w:t>
            </w:r>
          </w:p>
          <w:p w:rsidR="00227E2C" w:rsidRDefault="00DC6F88">
            <w:pPr>
              <w:spacing w:line="560" w:lineRule="exact"/>
              <w:ind w:firstLineChars="200" w:firstLine="560"/>
              <w:rPr>
                <w:rFonts w:ascii="仿宋" w:eastAsia="仿宋" w:hAnsi="仿宋" w:cs="仿宋"/>
                <w:bCs/>
                <w:color w:val="0000FF"/>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）、组织建设稳步推进。一是高标准发展新党员。二是</w:t>
            </w:r>
            <w:r>
              <w:rPr>
                <w:rFonts w:ascii="仿宋" w:eastAsia="仿宋" w:hAnsi="仿宋" w:cs="仿宋" w:hint="eastAsia"/>
                <w:bCs/>
                <w:sz w:val="28"/>
                <w:szCs w:val="28"/>
              </w:rPr>
              <w:t>认真组织开展三八、五四、重阳节等活动</w:t>
            </w:r>
            <w:r>
              <w:rPr>
                <w:rFonts w:ascii="仿宋" w:eastAsia="仿宋" w:hAnsi="仿宋" w:cs="仿宋" w:hint="eastAsia"/>
                <w:bCs/>
                <w:sz w:val="28"/>
                <w:szCs w:val="28"/>
              </w:rPr>
              <w:t>，增强了认同感和归属感。</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）、信</w:t>
            </w:r>
            <w:r>
              <w:rPr>
                <w:rFonts w:ascii="仿宋" w:eastAsia="仿宋" w:hAnsi="仿宋" w:cs="仿宋" w:hint="eastAsia"/>
                <w:bCs/>
                <w:sz w:val="28"/>
                <w:szCs w:val="28"/>
              </w:rPr>
              <w:t>息宣传成效明显。市委会认真组织机关干部学习</w:t>
            </w:r>
            <w:r>
              <w:rPr>
                <w:rFonts w:ascii="仿宋" w:eastAsia="仿宋" w:hAnsi="仿宋" w:cs="仿宋" w:hint="eastAsia"/>
                <w:bCs/>
                <w:sz w:val="28"/>
                <w:szCs w:val="28"/>
              </w:rPr>
              <w:t>中共十九届五中全会精神、习近平在湖南考察调研时的重要讲话精神及习近平总书记关于</w:t>
            </w:r>
            <w:r>
              <w:rPr>
                <w:rFonts w:ascii="仿宋" w:eastAsia="仿宋" w:hAnsi="仿宋" w:cs="仿宋" w:hint="eastAsia"/>
                <w:bCs/>
                <w:sz w:val="28"/>
                <w:szCs w:val="28"/>
              </w:rPr>
              <w:lastRenderedPageBreak/>
              <w:t>疫情防控重要讲话精神</w:t>
            </w:r>
            <w:r>
              <w:rPr>
                <w:rFonts w:ascii="仿宋" w:eastAsia="仿宋" w:hAnsi="仿宋" w:cs="仿宋" w:hint="eastAsia"/>
                <w:bCs/>
                <w:sz w:val="28"/>
                <w:szCs w:val="28"/>
              </w:rPr>
              <w:t>，及时掌握和领会</w:t>
            </w:r>
            <w:r>
              <w:rPr>
                <w:rFonts w:ascii="仿宋" w:eastAsia="仿宋" w:hAnsi="仿宋" w:cs="仿宋" w:hint="eastAsia"/>
                <w:bCs/>
                <w:sz w:val="28"/>
                <w:szCs w:val="28"/>
              </w:rPr>
              <w:t>核心要义，不断加强思想建设</w:t>
            </w:r>
            <w:r>
              <w:rPr>
                <w:rFonts w:ascii="仿宋" w:eastAsia="仿宋" w:hAnsi="仿宋" w:cs="仿宋" w:hint="eastAsia"/>
                <w:bCs/>
                <w:sz w:val="28"/>
                <w:szCs w:val="28"/>
              </w:rPr>
              <w:t>。</w:t>
            </w:r>
            <w:r>
              <w:rPr>
                <w:rFonts w:ascii="仿宋" w:eastAsia="仿宋" w:hAnsi="仿宋" w:cs="仿宋" w:hint="eastAsia"/>
                <w:bCs/>
                <w:sz w:val="28"/>
                <w:szCs w:val="28"/>
              </w:rPr>
              <w:t>。</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）、专题调研出成果。</w:t>
            </w:r>
            <w:r>
              <w:rPr>
                <w:rFonts w:ascii="仿宋" w:eastAsia="仿宋" w:hAnsi="仿宋" w:cs="仿宋" w:hint="eastAsia"/>
                <w:bCs/>
                <w:sz w:val="28"/>
                <w:szCs w:val="28"/>
              </w:rPr>
              <w:t>各党派市委按照中共市委出题，党派调研，政府采纳，部门落实的模式调研，完成调研成果</w:t>
            </w:r>
            <w:r>
              <w:rPr>
                <w:rFonts w:ascii="仿宋" w:eastAsia="仿宋" w:hAnsi="仿宋" w:cs="仿宋" w:hint="eastAsia"/>
                <w:bCs/>
                <w:sz w:val="28"/>
                <w:szCs w:val="28"/>
              </w:rPr>
              <w:t>20</w:t>
            </w:r>
            <w:r>
              <w:rPr>
                <w:rFonts w:ascii="仿宋" w:eastAsia="仿宋" w:hAnsi="仿宋" w:cs="仿宋" w:hint="eastAsia"/>
                <w:bCs/>
                <w:sz w:val="28"/>
                <w:szCs w:val="28"/>
              </w:rPr>
              <w:t>余个。在保证调研报告质量的前提下，调研成果的数量上也大有提升。</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民革</w:t>
            </w:r>
            <w:r>
              <w:rPr>
                <w:rFonts w:ascii="仿宋" w:eastAsia="仿宋" w:hAnsi="仿宋" w:cs="仿宋" w:hint="eastAsia"/>
                <w:bCs/>
                <w:sz w:val="28"/>
                <w:szCs w:val="28"/>
              </w:rPr>
              <w:t>市委会</w:t>
            </w:r>
            <w:r>
              <w:rPr>
                <w:rFonts w:ascii="仿宋" w:eastAsia="仿宋" w:hAnsi="仿宋" w:cs="仿宋" w:hint="eastAsia"/>
                <w:bCs/>
                <w:sz w:val="28"/>
                <w:szCs w:val="28"/>
              </w:rPr>
              <w:t>《关于推进湘台农业交流建设湘台农业合作交流基地的建议》获民革湖南省委调研报告评比二等奖。《突出特色</w:t>
            </w:r>
            <w:r>
              <w:rPr>
                <w:rFonts w:ascii="仿宋" w:eastAsia="仿宋" w:hAnsi="仿宋" w:cs="仿宋" w:hint="eastAsia"/>
                <w:bCs/>
                <w:sz w:val="28"/>
                <w:szCs w:val="28"/>
              </w:rPr>
              <w:t xml:space="preserve"> </w:t>
            </w:r>
            <w:r>
              <w:rPr>
                <w:rFonts w:ascii="仿宋" w:eastAsia="仿宋" w:hAnsi="仿宋" w:cs="仿宋" w:hint="eastAsia"/>
                <w:bCs/>
                <w:sz w:val="28"/>
                <w:szCs w:val="28"/>
              </w:rPr>
              <w:t>融合发展</w:t>
            </w:r>
            <w:r>
              <w:rPr>
                <w:rFonts w:ascii="仿宋" w:eastAsia="仿宋" w:hAnsi="仿宋" w:cs="仿宋" w:hint="eastAsia"/>
                <w:bCs/>
                <w:sz w:val="28"/>
                <w:szCs w:val="28"/>
              </w:rPr>
              <w:t xml:space="preserve"> </w:t>
            </w:r>
            <w:r>
              <w:rPr>
                <w:rFonts w:ascii="仿宋" w:eastAsia="仿宋" w:hAnsi="仿宋" w:cs="仿宋" w:hint="eastAsia"/>
                <w:bCs/>
                <w:sz w:val="28"/>
                <w:szCs w:val="28"/>
              </w:rPr>
              <w:t>打造滨湖食品之都》的调研报告参加</w:t>
            </w:r>
            <w:r>
              <w:rPr>
                <w:rFonts w:ascii="仿宋" w:eastAsia="仿宋" w:hAnsi="仿宋" w:cs="仿宋" w:hint="eastAsia"/>
                <w:bCs/>
                <w:sz w:val="28"/>
                <w:szCs w:val="28"/>
              </w:rPr>
              <w:t>了中共岳阳市委调研报告成果汇报会。三篇调研报告将分别转化为省、市两级政协提案。关于开展精准招商，提高产品项目投资质效的建议》获分管副市长批示。</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民盟岳阳市委</w:t>
            </w:r>
            <w:r>
              <w:rPr>
                <w:rFonts w:ascii="仿宋" w:eastAsia="仿宋" w:hAnsi="仿宋" w:cs="仿宋" w:hint="eastAsia"/>
                <w:bCs/>
                <w:sz w:val="28"/>
                <w:szCs w:val="28"/>
              </w:rPr>
              <w:t>全年中标完成上级调研课题</w:t>
            </w:r>
            <w:r>
              <w:rPr>
                <w:rFonts w:ascii="仿宋" w:eastAsia="仿宋" w:hAnsi="仿宋" w:cs="仿宋" w:hint="eastAsia"/>
                <w:bCs/>
                <w:sz w:val="28"/>
                <w:szCs w:val="28"/>
              </w:rPr>
              <w:t>11</w:t>
            </w:r>
            <w:r>
              <w:rPr>
                <w:rFonts w:ascii="仿宋" w:eastAsia="仿宋" w:hAnsi="仿宋" w:cs="仿宋" w:hint="eastAsia"/>
                <w:bCs/>
                <w:sz w:val="28"/>
                <w:szCs w:val="28"/>
              </w:rPr>
              <w:t>个，其中</w:t>
            </w:r>
            <w:r>
              <w:rPr>
                <w:rFonts w:ascii="仿宋" w:eastAsia="仿宋" w:hAnsi="仿宋" w:cs="仿宋" w:hint="eastAsia"/>
                <w:bCs/>
                <w:sz w:val="28"/>
                <w:szCs w:val="28"/>
              </w:rPr>
              <w:t>《关于岳阳创建长江经济带绿色示范区的研究》获民盟省委参政议政课题</w:t>
            </w:r>
            <w:r>
              <w:rPr>
                <w:rFonts w:ascii="仿宋" w:eastAsia="仿宋" w:hAnsi="仿宋" w:cs="仿宋" w:hint="eastAsia"/>
                <w:bCs/>
                <w:sz w:val="28"/>
                <w:szCs w:val="28"/>
              </w:rPr>
              <w:t>2</w:t>
            </w:r>
            <w:r>
              <w:rPr>
                <w:rFonts w:ascii="仿宋" w:eastAsia="仿宋" w:hAnsi="仿宋" w:cs="仿宋" w:hint="eastAsia"/>
                <w:bCs/>
                <w:sz w:val="28"/>
                <w:szCs w:val="28"/>
              </w:rPr>
              <w:t>等奖，《关于人民法院书记员队伍职业化建设的研究》获盟省委参政议政课题</w:t>
            </w:r>
            <w:r>
              <w:rPr>
                <w:rFonts w:ascii="仿宋" w:eastAsia="仿宋" w:hAnsi="仿宋" w:cs="仿宋" w:hint="eastAsia"/>
                <w:bCs/>
                <w:sz w:val="28"/>
                <w:szCs w:val="28"/>
              </w:rPr>
              <w:t>3</w:t>
            </w:r>
            <w:r>
              <w:rPr>
                <w:rFonts w:ascii="仿宋" w:eastAsia="仿宋" w:hAnsi="仿宋" w:cs="仿宋" w:hint="eastAsia"/>
                <w:bCs/>
                <w:sz w:val="28"/>
                <w:szCs w:val="28"/>
              </w:rPr>
              <w:t>等奖，盟市委已连续三次就长江经济带这一国家战略部署深入调研，为岳阳、湖南在长江经济带建设中的高质量发展提出了一系列建议；完成省委统战部课题《新社会阶层参与基层社会治理工作研究》《世界百</w:t>
            </w:r>
            <w:r>
              <w:rPr>
                <w:rFonts w:ascii="仿宋" w:eastAsia="仿宋" w:hAnsi="仿宋" w:cs="仿宋" w:hint="eastAsia"/>
                <w:bCs/>
                <w:sz w:val="28"/>
                <w:szCs w:val="28"/>
              </w:rPr>
              <w:t>年未有之大变局包括新冠肺炎疫情对统一战线的影响及应对之策》；《关于我市千亿能源电力产业发展的研究》通过深入相关企业实地走访，调研成果获得市委市政府主要领导高度肯定</w:t>
            </w:r>
            <w:r>
              <w:rPr>
                <w:rFonts w:ascii="仿宋" w:eastAsia="仿宋" w:hAnsi="仿宋" w:cs="仿宋" w:hint="eastAsia"/>
                <w:bCs/>
                <w:sz w:val="28"/>
                <w:szCs w:val="28"/>
              </w:rPr>
              <w:t>。</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民建岳阳市委</w:t>
            </w:r>
            <w:r>
              <w:rPr>
                <w:rFonts w:ascii="仿宋" w:eastAsia="仿宋" w:hAnsi="仿宋" w:cs="仿宋" w:hint="eastAsia"/>
                <w:bCs/>
                <w:sz w:val="28"/>
                <w:szCs w:val="28"/>
              </w:rPr>
              <w:t>围绕党委政府中心工作和人民群众普遍关心的热点难点问题，结合自身实际，确定了</w:t>
            </w:r>
            <w:r>
              <w:rPr>
                <w:rFonts w:ascii="仿宋" w:eastAsia="仿宋" w:hAnsi="仿宋" w:cs="仿宋" w:hint="eastAsia"/>
                <w:bCs/>
                <w:sz w:val="28"/>
                <w:szCs w:val="28"/>
              </w:rPr>
              <w:t>6</w:t>
            </w:r>
            <w:r>
              <w:rPr>
                <w:rFonts w:ascii="仿宋" w:eastAsia="仿宋" w:hAnsi="仿宋" w:cs="仿宋" w:hint="eastAsia"/>
                <w:bCs/>
                <w:sz w:val="28"/>
                <w:szCs w:val="28"/>
              </w:rPr>
              <w:t>个专题调研课题，每个课题都有一名主委班子成员牵头，经过</w:t>
            </w:r>
            <w:r>
              <w:rPr>
                <w:rFonts w:ascii="仿宋" w:eastAsia="仿宋" w:hAnsi="仿宋" w:cs="仿宋" w:hint="eastAsia"/>
                <w:bCs/>
                <w:sz w:val="28"/>
                <w:szCs w:val="28"/>
              </w:rPr>
              <w:t>市委会和机关专干的不断</w:t>
            </w:r>
            <w:r>
              <w:rPr>
                <w:rFonts w:ascii="仿宋" w:eastAsia="仿宋" w:hAnsi="仿宋" w:cs="仿宋" w:hint="eastAsia"/>
                <w:bCs/>
                <w:sz w:val="28"/>
                <w:szCs w:val="28"/>
              </w:rPr>
              <w:t>推进，这些课题都已结题。其中，中共市委出题的</w:t>
            </w:r>
            <w:r>
              <w:rPr>
                <w:rFonts w:ascii="仿宋" w:eastAsia="仿宋" w:hAnsi="仿宋" w:cs="仿宋" w:hint="eastAsia"/>
                <w:bCs/>
                <w:sz w:val="28"/>
                <w:szCs w:val="28"/>
              </w:rPr>
              <w:t>《</w:t>
            </w:r>
            <w:r>
              <w:rPr>
                <w:rFonts w:ascii="仿宋" w:eastAsia="仿宋" w:hAnsi="仿宋" w:cs="仿宋" w:hint="eastAsia"/>
                <w:bCs/>
                <w:sz w:val="28"/>
                <w:szCs w:val="28"/>
              </w:rPr>
              <w:t>关于加快我市千亿物流产业发展</w:t>
            </w:r>
            <w:r>
              <w:rPr>
                <w:rFonts w:ascii="仿宋" w:eastAsia="仿宋" w:hAnsi="仿宋" w:cs="仿宋" w:hint="eastAsia"/>
                <w:bCs/>
                <w:sz w:val="28"/>
                <w:szCs w:val="28"/>
              </w:rPr>
              <w:t>》</w:t>
            </w:r>
            <w:r>
              <w:rPr>
                <w:rFonts w:ascii="仿宋" w:eastAsia="仿宋" w:hAnsi="仿宋" w:cs="仿宋" w:hint="eastAsia"/>
                <w:bCs/>
                <w:sz w:val="28"/>
                <w:szCs w:val="28"/>
              </w:rPr>
              <w:t>的调研，</w:t>
            </w:r>
            <w:r>
              <w:rPr>
                <w:rFonts w:ascii="仿宋" w:eastAsia="仿宋" w:hAnsi="仿宋" w:cs="仿宋" w:hint="eastAsia"/>
                <w:bCs/>
                <w:sz w:val="28"/>
                <w:szCs w:val="28"/>
              </w:rPr>
              <w:t>由</w:t>
            </w:r>
            <w:r>
              <w:rPr>
                <w:rFonts w:ascii="仿宋" w:eastAsia="仿宋" w:hAnsi="仿宋" w:cs="仿宋" w:hint="eastAsia"/>
                <w:bCs/>
                <w:sz w:val="28"/>
                <w:szCs w:val="28"/>
              </w:rPr>
              <w:t>主委</w:t>
            </w:r>
            <w:r>
              <w:rPr>
                <w:rFonts w:ascii="仿宋" w:eastAsia="仿宋" w:hAnsi="仿宋" w:cs="仿宋" w:hint="eastAsia"/>
                <w:bCs/>
                <w:sz w:val="28"/>
                <w:szCs w:val="28"/>
              </w:rPr>
              <w:t>方争奇</w:t>
            </w:r>
            <w:r>
              <w:rPr>
                <w:rFonts w:ascii="仿宋" w:eastAsia="仿宋" w:hAnsi="仿宋" w:cs="仿宋" w:hint="eastAsia"/>
                <w:bCs/>
                <w:sz w:val="28"/>
                <w:szCs w:val="28"/>
              </w:rPr>
              <w:t>亲自</w:t>
            </w:r>
            <w:r>
              <w:rPr>
                <w:rFonts w:ascii="仿宋" w:eastAsia="仿宋" w:hAnsi="仿宋" w:cs="仿宋" w:hint="eastAsia"/>
                <w:bCs/>
                <w:sz w:val="28"/>
                <w:szCs w:val="28"/>
              </w:rPr>
              <w:t>任组长</w:t>
            </w:r>
            <w:r>
              <w:rPr>
                <w:rFonts w:ascii="仿宋" w:eastAsia="仿宋" w:hAnsi="仿宋" w:cs="仿宋" w:hint="eastAsia"/>
                <w:bCs/>
                <w:sz w:val="28"/>
                <w:szCs w:val="28"/>
              </w:rPr>
              <w:t>，</w:t>
            </w:r>
            <w:r>
              <w:rPr>
                <w:rFonts w:ascii="仿宋" w:eastAsia="仿宋" w:hAnsi="仿宋" w:cs="仿宋" w:hint="eastAsia"/>
                <w:bCs/>
                <w:sz w:val="28"/>
                <w:szCs w:val="28"/>
              </w:rPr>
              <w:t>带队开展调研工作，已全面完成调研撰写工作</w:t>
            </w:r>
            <w:r>
              <w:rPr>
                <w:rFonts w:ascii="仿宋" w:eastAsia="仿宋" w:hAnsi="仿宋" w:cs="仿宋" w:hint="eastAsia"/>
                <w:bCs/>
                <w:sz w:val="28"/>
                <w:szCs w:val="28"/>
              </w:rPr>
              <w:t>。</w:t>
            </w:r>
          </w:p>
          <w:p w:rsidR="00227E2C" w:rsidRDefault="00227E2C">
            <w:pPr>
              <w:spacing w:line="560" w:lineRule="exact"/>
              <w:ind w:firstLineChars="200" w:firstLine="560"/>
              <w:rPr>
                <w:rFonts w:ascii="仿宋" w:eastAsia="仿宋" w:hAnsi="仿宋" w:cs="仿宋"/>
                <w:bCs/>
                <w:color w:val="1F497D" w:themeColor="text2"/>
                <w:sz w:val="28"/>
                <w:szCs w:val="28"/>
              </w:rPr>
            </w:pPr>
          </w:p>
          <w:p w:rsidR="00227E2C" w:rsidRDefault="00DC6F88">
            <w:pPr>
              <w:ind w:firstLineChars="200" w:firstLine="560"/>
              <w:rPr>
                <w:rFonts w:ascii="仿宋" w:eastAsia="仿宋" w:hAnsi="仿宋" w:cs="仿宋"/>
                <w:bCs/>
                <w:sz w:val="28"/>
                <w:szCs w:val="28"/>
              </w:rPr>
            </w:pPr>
            <w:r>
              <w:rPr>
                <w:rFonts w:ascii="仿宋" w:eastAsia="仿宋" w:hAnsi="仿宋" w:cs="仿宋" w:hint="eastAsia"/>
                <w:bCs/>
                <w:sz w:val="28"/>
                <w:szCs w:val="28"/>
              </w:rPr>
              <w:t>民进岳阳市委</w:t>
            </w:r>
            <w:r>
              <w:rPr>
                <w:rFonts w:ascii="仿宋" w:eastAsia="仿宋" w:hAnsi="仿宋" w:cs="仿宋" w:hint="eastAsia"/>
                <w:sz w:val="28"/>
                <w:szCs w:val="28"/>
              </w:rPr>
              <w:t>围绕提质千亿石化产业链、助推乡村振兴、完善教育体系</w:t>
            </w:r>
            <w:r>
              <w:rPr>
                <w:rFonts w:ascii="仿宋" w:eastAsia="仿宋" w:hAnsi="仿宋" w:cs="仿宋" w:hint="eastAsia"/>
                <w:sz w:val="28"/>
                <w:szCs w:val="28"/>
              </w:rPr>
              <w:lastRenderedPageBreak/>
              <w:t>等重大问题深入调查研究，查实情、建诤言、献良策。</w:t>
            </w:r>
            <w:r>
              <w:rPr>
                <w:rFonts w:ascii="仿宋" w:eastAsia="仿宋" w:hAnsi="仿宋" w:cs="仿宋" w:hint="eastAsia"/>
                <w:sz w:val="28"/>
                <w:szCs w:val="28"/>
              </w:rPr>
              <w:t>立项重点课题</w:t>
            </w:r>
            <w:r>
              <w:rPr>
                <w:rFonts w:ascii="仿宋" w:eastAsia="仿宋" w:hAnsi="仿宋" w:cs="仿宋" w:hint="eastAsia"/>
                <w:sz w:val="28"/>
                <w:szCs w:val="28"/>
              </w:rPr>
              <w:t>5</w:t>
            </w:r>
            <w:r>
              <w:rPr>
                <w:rFonts w:ascii="仿宋" w:eastAsia="仿宋" w:hAnsi="仿宋" w:cs="仿宋" w:hint="eastAsia"/>
                <w:sz w:val="28"/>
                <w:szCs w:val="28"/>
              </w:rPr>
              <w:t>个，一般课题</w:t>
            </w:r>
            <w:r>
              <w:rPr>
                <w:rFonts w:ascii="仿宋" w:eastAsia="仿宋" w:hAnsi="仿宋" w:cs="仿宋" w:hint="eastAsia"/>
                <w:sz w:val="28"/>
                <w:szCs w:val="28"/>
              </w:rPr>
              <w:t>8</w:t>
            </w:r>
            <w:r>
              <w:rPr>
                <w:rFonts w:ascii="仿宋" w:eastAsia="仿宋" w:hAnsi="仿宋" w:cs="仿宋" w:hint="eastAsia"/>
                <w:sz w:val="28"/>
                <w:szCs w:val="28"/>
              </w:rPr>
              <w:t>个，</w:t>
            </w:r>
            <w:r>
              <w:rPr>
                <w:rFonts w:ascii="仿宋" w:eastAsia="仿宋" w:hAnsi="仿宋" w:cs="仿宋" w:hint="eastAsia"/>
                <w:sz w:val="28"/>
                <w:szCs w:val="28"/>
              </w:rPr>
              <w:t>13</w:t>
            </w:r>
            <w:r>
              <w:rPr>
                <w:rFonts w:ascii="仿宋" w:eastAsia="仿宋" w:hAnsi="仿宋" w:cs="仿宋" w:hint="eastAsia"/>
                <w:sz w:val="28"/>
                <w:szCs w:val="28"/>
              </w:rPr>
              <w:t>个课题组顺利结题。调研报告《保护一江碧水，助理高质量发展》已作为会省委议政性常委会口头发言材料。</w:t>
            </w:r>
          </w:p>
          <w:p w:rsidR="00227E2C" w:rsidRDefault="00DC6F88">
            <w:pPr>
              <w:spacing w:line="640" w:lineRule="exact"/>
              <w:ind w:firstLineChars="200" w:firstLine="560"/>
              <w:rPr>
                <w:rFonts w:ascii="仿宋" w:eastAsia="仿宋" w:hAnsi="仿宋" w:cs="仿宋"/>
                <w:bCs/>
                <w:color w:val="1F497D" w:themeColor="text2"/>
                <w:sz w:val="28"/>
                <w:szCs w:val="28"/>
              </w:rPr>
            </w:pPr>
            <w:r>
              <w:rPr>
                <w:rFonts w:ascii="仿宋" w:eastAsia="仿宋" w:hAnsi="仿宋" w:cs="仿宋" w:hint="eastAsia"/>
                <w:bCs/>
                <w:sz w:val="28"/>
                <w:szCs w:val="28"/>
              </w:rPr>
              <w:t>农工党岳阳市委参与了农工党湖南省委“完善我省城市低收入群体困境救助机制调研”，撰写了农工党省委立项课题《新冠疫情下野生动物保护立法和执法情况调研报告》；另外《实施</w:t>
            </w:r>
            <w:r>
              <w:rPr>
                <w:rFonts w:ascii="仿宋" w:eastAsia="仿宋" w:hAnsi="仿宋" w:cs="仿宋" w:hint="eastAsia"/>
                <w:bCs/>
                <w:sz w:val="28"/>
                <w:szCs w:val="28"/>
              </w:rPr>
              <w:t>1+3+6</w:t>
            </w:r>
            <w:r>
              <w:rPr>
                <w:rFonts w:ascii="仿宋" w:eastAsia="仿宋" w:hAnsi="仿宋" w:cs="仿宋" w:hint="eastAsia"/>
                <w:bCs/>
                <w:sz w:val="28"/>
                <w:szCs w:val="28"/>
              </w:rPr>
              <w:t>战略，壮大我市千亿文旅产业链》调研报告为市委、市政府的决策提供参考和依据。还开展了终端公卫人才队伍建设、基层</w:t>
            </w:r>
            <w:r>
              <w:rPr>
                <w:rFonts w:ascii="仿宋" w:eastAsia="仿宋" w:hAnsi="仿宋" w:cs="仿宋" w:hint="eastAsia"/>
                <w:bCs/>
                <w:sz w:val="28"/>
                <w:szCs w:val="28"/>
              </w:rPr>
              <w:t>生殖健康人才调研、独生子女家庭现状调研等调研。</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致公党岳阳市委会全年立项课题</w:t>
            </w:r>
            <w:r>
              <w:rPr>
                <w:rFonts w:ascii="仿宋" w:eastAsia="仿宋" w:hAnsi="仿宋" w:cs="仿宋" w:hint="eastAsia"/>
                <w:bCs/>
                <w:sz w:val="28"/>
                <w:szCs w:val="28"/>
              </w:rPr>
              <w:t>4</w:t>
            </w:r>
            <w:r>
              <w:rPr>
                <w:rFonts w:ascii="仿宋" w:eastAsia="仿宋" w:hAnsi="仿宋" w:cs="仿宋" w:hint="eastAsia"/>
                <w:bCs/>
                <w:sz w:val="28"/>
                <w:szCs w:val="28"/>
              </w:rPr>
              <w:t>个，完成调研报告</w:t>
            </w:r>
            <w:r>
              <w:rPr>
                <w:rFonts w:ascii="仿宋" w:eastAsia="仿宋" w:hAnsi="仿宋" w:cs="仿宋" w:hint="eastAsia"/>
                <w:bCs/>
                <w:sz w:val="28"/>
                <w:szCs w:val="28"/>
              </w:rPr>
              <w:t>4</w:t>
            </w:r>
            <w:r>
              <w:rPr>
                <w:rFonts w:ascii="仿宋" w:eastAsia="仿宋" w:hAnsi="仿宋" w:cs="仿宋" w:hint="eastAsia"/>
                <w:bCs/>
                <w:sz w:val="28"/>
                <w:szCs w:val="28"/>
              </w:rPr>
              <w:t>篇，</w:t>
            </w:r>
            <w:r>
              <w:rPr>
                <w:rFonts w:ascii="仿宋" w:eastAsia="仿宋" w:hAnsi="仿宋" w:cs="仿宋" w:hint="eastAsia"/>
                <w:bCs/>
                <w:sz w:val="28"/>
                <w:szCs w:val="28"/>
              </w:rPr>
              <w:t>1</w:t>
            </w:r>
            <w:r>
              <w:rPr>
                <w:rFonts w:ascii="仿宋" w:eastAsia="仿宋" w:hAnsi="仿宋" w:cs="仿宋" w:hint="eastAsia"/>
                <w:bCs/>
                <w:sz w:val="28"/>
                <w:szCs w:val="28"/>
              </w:rPr>
              <w:t>篇调研报告转化为全国政协大会个人提案，</w:t>
            </w:r>
            <w:r>
              <w:rPr>
                <w:rFonts w:ascii="仿宋" w:eastAsia="仿宋" w:hAnsi="仿宋" w:cs="仿宋" w:hint="eastAsia"/>
                <w:bCs/>
                <w:sz w:val="28"/>
                <w:szCs w:val="28"/>
              </w:rPr>
              <w:t>1</w:t>
            </w:r>
            <w:r>
              <w:rPr>
                <w:rFonts w:ascii="仿宋" w:eastAsia="仿宋" w:hAnsi="仿宋" w:cs="仿宋" w:hint="eastAsia"/>
                <w:bCs/>
                <w:sz w:val="28"/>
                <w:szCs w:val="28"/>
              </w:rPr>
              <w:t>篇成为省政协团体提案；全年组织参与致公助学、同心社区、同心致福村、疫情防控、防汛救灾、爱心妈妈等社会服务活动</w:t>
            </w:r>
            <w:r>
              <w:rPr>
                <w:rFonts w:ascii="仿宋" w:eastAsia="仿宋" w:hAnsi="仿宋" w:cs="仿宋" w:hint="eastAsia"/>
                <w:bCs/>
                <w:sz w:val="28"/>
                <w:szCs w:val="28"/>
              </w:rPr>
              <w:t>40</w:t>
            </w:r>
            <w:r>
              <w:rPr>
                <w:rFonts w:ascii="仿宋" w:eastAsia="仿宋" w:hAnsi="仿宋" w:cs="仿宋" w:hint="eastAsia"/>
                <w:bCs/>
                <w:sz w:val="28"/>
                <w:szCs w:val="28"/>
              </w:rPr>
              <w:t>余次，服务范围涵盖岳阳楼区、君山区、岳阳县、平江县等，共计上千人次。致公党岳阳市委会获评致公党全省组织工作特等奖，参政议政工作、侨海工作、机关工作一等奖。</w:t>
            </w:r>
          </w:p>
          <w:p w:rsidR="00227E2C" w:rsidRDefault="00DC6F88">
            <w:pPr>
              <w:spacing w:line="720" w:lineRule="exact"/>
              <w:ind w:firstLine="602"/>
              <w:rPr>
                <w:rFonts w:ascii="仿宋" w:eastAsia="仿宋" w:hAnsi="仿宋" w:cs="仿宋"/>
                <w:bCs/>
                <w:sz w:val="28"/>
                <w:szCs w:val="28"/>
              </w:rPr>
            </w:pPr>
            <w:r>
              <w:rPr>
                <w:rFonts w:ascii="仿宋" w:eastAsia="仿宋" w:hAnsi="仿宋" w:cs="仿宋" w:hint="eastAsia"/>
                <w:bCs/>
                <w:sz w:val="28"/>
                <w:szCs w:val="28"/>
              </w:rPr>
              <w:t>九三学社</w:t>
            </w:r>
            <w:r>
              <w:rPr>
                <w:rFonts w:ascii="仿宋" w:eastAsia="仿宋" w:hAnsi="仿宋" w:cs="仿宋" w:hint="eastAsia"/>
                <w:bCs/>
                <w:sz w:val="28"/>
                <w:szCs w:val="28"/>
              </w:rPr>
              <w:t>岳阳</w:t>
            </w:r>
            <w:r>
              <w:rPr>
                <w:rFonts w:ascii="仿宋" w:eastAsia="仿宋" w:hAnsi="仿宋" w:cs="仿宋" w:hint="eastAsia"/>
                <w:bCs/>
                <w:sz w:val="28"/>
                <w:szCs w:val="28"/>
              </w:rPr>
              <w:t>市委</w:t>
            </w:r>
            <w:r>
              <w:rPr>
                <w:rFonts w:ascii="仿宋" w:eastAsia="仿宋" w:hAnsi="仿宋" w:cs="仿宋" w:hint="eastAsia"/>
                <w:bCs/>
                <w:sz w:val="28"/>
                <w:szCs w:val="28"/>
              </w:rPr>
              <w:t>共</w:t>
            </w:r>
            <w:r>
              <w:rPr>
                <w:rFonts w:ascii="仿宋" w:eastAsia="仿宋" w:hAnsi="仿宋" w:cs="仿宋" w:hint="eastAsia"/>
                <w:bCs/>
                <w:sz w:val="28"/>
                <w:szCs w:val="28"/>
              </w:rPr>
              <w:t>形成了《以科技创新和产业集聚为主线</w:t>
            </w:r>
            <w:r>
              <w:rPr>
                <w:rFonts w:ascii="仿宋" w:eastAsia="仿宋" w:hAnsi="仿宋" w:cs="仿宋" w:hint="eastAsia"/>
                <w:bCs/>
                <w:sz w:val="28"/>
                <w:szCs w:val="28"/>
              </w:rPr>
              <w:t xml:space="preserve"> </w:t>
            </w:r>
            <w:r>
              <w:rPr>
                <w:rFonts w:ascii="仿宋" w:eastAsia="仿宋" w:hAnsi="仿宋" w:cs="仿宋" w:hint="eastAsia"/>
                <w:bCs/>
                <w:sz w:val="28"/>
                <w:szCs w:val="28"/>
              </w:rPr>
              <w:t>培育电子信息千亿产业》、《提质生态休闲农业助推文</w:t>
            </w:r>
            <w:r>
              <w:rPr>
                <w:rFonts w:ascii="仿宋" w:eastAsia="仿宋" w:hAnsi="仿宋" w:cs="仿宋" w:hint="eastAsia"/>
                <w:bCs/>
                <w:sz w:val="28"/>
                <w:szCs w:val="28"/>
              </w:rPr>
              <w:t>旅融合发展》、《精准施策</w:t>
            </w:r>
            <w:r>
              <w:rPr>
                <w:rFonts w:ascii="仿宋" w:eastAsia="仿宋" w:hAnsi="仿宋" w:cs="仿宋" w:hint="eastAsia"/>
                <w:bCs/>
                <w:sz w:val="28"/>
                <w:szCs w:val="28"/>
              </w:rPr>
              <w:t xml:space="preserve"> </w:t>
            </w:r>
            <w:r>
              <w:rPr>
                <w:rFonts w:ascii="仿宋" w:eastAsia="仿宋" w:hAnsi="仿宋" w:cs="仿宋" w:hint="eastAsia"/>
                <w:bCs/>
                <w:sz w:val="28"/>
                <w:szCs w:val="28"/>
              </w:rPr>
              <w:t>确保捕捞退得出渔民稳得住》等调研报告，为市委、市政府决策提供了</w:t>
            </w:r>
            <w:r>
              <w:rPr>
                <w:rFonts w:ascii="仿宋" w:eastAsia="仿宋" w:hAnsi="仿宋" w:cs="仿宋" w:hint="eastAsia"/>
                <w:bCs/>
                <w:sz w:val="28"/>
                <w:szCs w:val="28"/>
              </w:rPr>
              <w:t>重要</w:t>
            </w:r>
            <w:r>
              <w:rPr>
                <w:rFonts w:ascii="仿宋" w:eastAsia="仿宋" w:hAnsi="仿宋" w:cs="仿宋" w:hint="eastAsia"/>
                <w:bCs/>
                <w:sz w:val="28"/>
                <w:szCs w:val="28"/>
              </w:rPr>
              <w:t>参考，得到了市委、市政府的充分肯定</w:t>
            </w:r>
            <w:r>
              <w:rPr>
                <w:rFonts w:ascii="仿宋" w:eastAsia="仿宋" w:hAnsi="仿宋" w:cs="仿宋" w:hint="eastAsia"/>
                <w:bCs/>
                <w:sz w:val="28"/>
                <w:szCs w:val="28"/>
              </w:rPr>
              <w:t>和高度赞扬</w:t>
            </w:r>
            <w:r>
              <w:rPr>
                <w:rFonts w:ascii="仿宋" w:eastAsia="仿宋" w:hAnsi="仿宋" w:cs="仿宋" w:hint="eastAsia"/>
                <w:bCs/>
                <w:sz w:val="28"/>
                <w:szCs w:val="28"/>
              </w:rPr>
              <w:t>。</w:t>
            </w:r>
          </w:p>
          <w:p w:rsidR="00227E2C" w:rsidRDefault="00DC6F88">
            <w:pPr>
              <w:numPr>
                <w:ilvl w:val="0"/>
                <w:numId w:val="5"/>
              </w:num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存在的主要问题</w:t>
            </w:r>
          </w:p>
          <w:p w:rsidR="00227E2C" w:rsidRDefault="00DC6F88">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通过前述对我机关整体支出情况的分析，反映出目前在整体支出的预算编制、执行和管理过程中，依然存在一些问题和不足；针对这些不足，我单位将积极采取改进措施，持续改进，不断规范和强化管理。</w:t>
            </w:r>
          </w:p>
          <w:p w:rsidR="00227E2C" w:rsidRDefault="00DC6F88">
            <w:pPr>
              <w:spacing w:line="560" w:lineRule="exact"/>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、年初未作预算安排，但本年实际发生了支出的现象，预算的执行有待进一</w:t>
            </w:r>
            <w:r>
              <w:rPr>
                <w:rFonts w:ascii="仿宋" w:eastAsia="仿宋" w:hAnsi="仿宋" w:cs="仿宋" w:hint="eastAsia"/>
                <w:bCs/>
                <w:sz w:val="28"/>
                <w:szCs w:val="28"/>
              </w:rPr>
              <w:lastRenderedPageBreak/>
              <w:t>步加强。</w:t>
            </w:r>
          </w:p>
          <w:p w:rsidR="00227E2C" w:rsidRDefault="00DC6F88" w:rsidP="007126B3">
            <w:pPr>
              <w:spacing w:line="560" w:lineRule="exact"/>
              <w:ind w:leftChars="200" w:left="420"/>
              <w:rPr>
                <w:rFonts w:ascii="黑体" w:eastAsia="黑体" w:hAnsi="黑体" w:cs="黑体"/>
                <w:bCs/>
                <w:sz w:val="28"/>
                <w:szCs w:val="28"/>
              </w:rPr>
            </w:pPr>
            <w:r>
              <w:rPr>
                <w:rFonts w:ascii="黑体" w:eastAsia="黑体" w:hAnsi="黑体" w:cs="黑体" w:hint="eastAsia"/>
                <w:bCs/>
                <w:sz w:val="28"/>
                <w:szCs w:val="28"/>
              </w:rPr>
              <w:t>2</w:t>
            </w:r>
            <w:r>
              <w:rPr>
                <w:rFonts w:ascii="黑体" w:eastAsia="黑体" w:hAnsi="黑体" w:cs="黑体" w:hint="eastAsia"/>
                <w:bCs/>
                <w:sz w:val="28"/>
                <w:szCs w:val="28"/>
              </w:rPr>
              <w:t>、</w:t>
            </w:r>
            <w:r>
              <w:rPr>
                <w:rFonts w:ascii="仿宋" w:eastAsia="仿宋" w:hAnsi="仿宋" w:cs="仿宋" w:hint="eastAsia"/>
                <w:bCs/>
                <w:sz w:val="28"/>
                <w:szCs w:val="28"/>
              </w:rPr>
              <w:t>资金使用管理需进一步强化</w:t>
            </w:r>
          </w:p>
          <w:p w:rsidR="00227E2C" w:rsidRDefault="00DC6F88">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227E2C" w:rsidRDefault="00DC6F88">
            <w:pPr>
              <w:ind w:firstLineChars="200" w:firstLine="560"/>
              <w:rPr>
                <w:rFonts w:ascii="仿宋" w:eastAsia="仿宋" w:hAnsi="仿宋" w:cs="仿宋"/>
                <w:bCs/>
                <w:sz w:val="28"/>
                <w:szCs w:val="28"/>
              </w:rPr>
            </w:pPr>
            <w:r>
              <w:rPr>
                <w:rFonts w:ascii="仿宋" w:eastAsia="仿宋" w:hAnsi="仿宋" w:cs="仿宋" w:hint="eastAsia"/>
                <w:bCs/>
                <w:sz w:val="28"/>
                <w:szCs w:val="28"/>
              </w:rPr>
              <w:t>针对上述存在的问题及我单位整体支出管理工作的需要，拟实施的改进措施如下：</w:t>
            </w:r>
          </w:p>
          <w:p w:rsidR="00227E2C" w:rsidRDefault="00DC6F88">
            <w:pPr>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细化预算编制工作，认真做好预算的编制。进一步加强预算管理意识，严格按照预算编制的相关制度和要求，公用经费根据单位的年度工作重点和项目专项工作规划，本着“勤俭节约、保障运转”的原则进行预算的编制，进一步提高预算编制的科学性、合理性、严谨性和可控性。</w:t>
            </w:r>
          </w:p>
          <w:p w:rsidR="00227E2C" w:rsidRDefault="00DC6F88">
            <w:pPr>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、进一步严控三公经费支出，严格控制三公经费的规模和比例，严格三公经费支出的审核审批流程；进一步细化三公经费的管理，抓好公车的节能降耗工作。</w:t>
            </w:r>
          </w:p>
          <w:p w:rsidR="00227E2C" w:rsidRDefault="00227E2C">
            <w:pPr>
              <w:spacing w:line="560" w:lineRule="exact"/>
              <w:ind w:firstLineChars="200" w:firstLine="560"/>
              <w:rPr>
                <w:rFonts w:ascii="黑体" w:eastAsia="黑体" w:hAnsi="黑体" w:cs="黑体"/>
                <w:bCs/>
                <w:sz w:val="28"/>
                <w:szCs w:val="28"/>
              </w:rPr>
            </w:pPr>
          </w:p>
          <w:p w:rsidR="00227E2C" w:rsidRDefault="00227E2C">
            <w:pPr>
              <w:rPr>
                <w:rFonts w:eastAsia="楷体_GB2312"/>
                <w:bCs/>
                <w:sz w:val="28"/>
                <w:szCs w:val="28"/>
              </w:rPr>
            </w:pPr>
          </w:p>
        </w:tc>
      </w:tr>
    </w:tbl>
    <w:p w:rsidR="00227E2C" w:rsidRDefault="00227E2C">
      <w:pPr>
        <w:ind w:firstLineChars="200" w:firstLine="640"/>
        <w:jc w:val="left"/>
        <w:rPr>
          <w:rFonts w:asciiTheme="minorEastAsia" w:hAnsiTheme="minorEastAsia" w:cs="黑体"/>
          <w:color w:val="000000"/>
          <w:kern w:val="0"/>
          <w:sz w:val="32"/>
          <w:szCs w:val="32"/>
        </w:rPr>
      </w:pPr>
    </w:p>
    <w:sectPr w:rsidR="00227E2C" w:rsidSect="00227E2C">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88" w:rsidRDefault="00DC6F88" w:rsidP="00227E2C">
      <w:r>
        <w:separator/>
      </w:r>
    </w:p>
  </w:endnote>
  <w:endnote w:type="continuationSeparator" w:id="0">
    <w:p w:rsidR="00DC6F88" w:rsidRDefault="00DC6F88" w:rsidP="00227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2C" w:rsidRDefault="00227E2C">
    <w:pPr>
      <w:framePr w:wrap="around" w:vAnchor="text" w:hAnchor="margin" w:xAlign="outside" w:y="1"/>
    </w:pPr>
    <w:r>
      <w:fldChar w:fldCharType="begin"/>
    </w:r>
    <w:r w:rsidR="00DC6F88">
      <w:instrText xml:space="preserve">PAGE  </w:instrText>
    </w:r>
    <w:r>
      <w:fldChar w:fldCharType="separate"/>
    </w:r>
    <w:r w:rsidR="00DC6F88">
      <w:t>- 15 -</w:t>
    </w:r>
    <w:r>
      <w:fldChar w:fldCharType="end"/>
    </w:r>
  </w:p>
  <w:p w:rsidR="00227E2C" w:rsidRDefault="00227E2C">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2C" w:rsidRDefault="00DC6F88">
    <w:pPr>
      <w:pStyle w:val="a6"/>
      <w:framePr w:wrap="around" w:vAnchor="text" w:hAnchor="margin" w:xAlign="outside" w:y="1"/>
      <w:rPr>
        <w:rStyle w:val="a9"/>
        <w:sz w:val="24"/>
        <w:szCs w:val="24"/>
      </w:rPr>
    </w:pPr>
    <w:r>
      <w:rPr>
        <w:rStyle w:val="a9"/>
        <w:rFonts w:hint="eastAsia"/>
        <w:sz w:val="24"/>
        <w:szCs w:val="24"/>
      </w:rPr>
      <w:t>—</w:t>
    </w:r>
    <w:r>
      <w:rPr>
        <w:rStyle w:val="a9"/>
        <w:rFonts w:hint="eastAsia"/>
        <w:sz w:val="24"/>
        <w:szCs w:val="24"/>
      </w:rPr>
      <w:t xml:space="preserve"> </w:t>
    </w:r>
    <w:r w:rsidR="00227E2C">
      <w:rPr>
        <w:sz w:val="24"/>
        <w:szCs w:val="24"/>
      </w:rPr>
      <w:fldChar w:fldCharType="begin"/>
    </w:r>
    <w:r>
      <w:rPr>
        <w:rStyle w:val="a9"/>
        <w:sz w:val="24"/>
        <w:szCs w:val="24"/>
      </w:rPr>
      <w:instrText xml:space="preserve">PAGE  </w:instrText>
    </w:r>
    <w:r w:rsidR="00227E2C">
      <w:rPr>
        <w:sz w:val="24"/>
        <w:szCs w:val="24"/>
      </w:rPr>
      <w:fldChar w:fldCharType="separate"/>
    </w:r>
    <w:r w:rsidR="007126B3">
      <w:rPr>
        <w:rStyle w:val="a9"/>
        <w:noProof/>
        <w:sz w:val="24"/>
        <w:szCs w:val="24"/>
      </w:rPr>
      <w:t>14</w:t>
    </w:r>
    <w:r w:rsidR="00227E2C">
      <w:rPr>
        <w:sz w:val="24"/>
        <w:szCs w:val="24"/>
      </w:rPr>
      <w:fldChar w:fldCharType="end"/>
    </w:r>
    <w:r>
      <w:rPr>
        <w:rStyle w:val="a9"/>
        <w:rFonts w:hint="eastAsia"/>
        <w:sz w:val="24"/>
        <w:szCs w:val="24"/>
      </w:rPr>
      <w:t xml:space="preserve"> </w:t>
    </w:r>
    <w:r>
      <w:rPr>
        <w:rStyle w:val="a9"/>
        <w:rFonts w:hint="eastAsia"/>
        <w:sz w:val="24"/>
        <w:szCs w:val="24"/>
      </w:rPr>
      <w:t>—</w:t>
    </w:r>
  </w:p>
  <w:p w:rsidR="00227E2C" w:rsidRDefault="00227E2C">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2C" w:rsidRDefault="00227E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88" w:rsidRDefault="00DC6F88" w:rsidP="00227E2C">
      <w:r>
        <w:separator/>
      </w:r>
    </w:p>
  </w:footnote>
  <w:footnote w:type="continuationSeparator" w:id="0">
    <w:p w:rsidR="00DC6F88" w:rsidRDefault="00DC6F88" w:rsidP="00227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2C" w:rsidRDefault="00227E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2C" w:rsidRDefault="00227E2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2C" w:rsidRDefault="00227E2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D864E3"/>
    <w:multiLevelType w:val="singleLevel"/>
    <w:tmpl w:val="CDD864E3"/>
    <w:lvl w:ilvl="0">
      <w:start w:val="1"/>
      <w:numFmt w:val="decimal"/>
      <w:suff w:val="nothing"/>
      <w:lvlText w:val="%1、"/>
      <w:lvlJc w:val="left"/>
    </w:lvl>
  </w:abstractNum>
  <w:abstractNum w:abstractNumId="1">
    <w:nsid w:val="D6023A51"/>
    <w:multiLevelType w:val="singleLevel"/>
    <w:tmpl w:val="D6023A51"/>
    <w:lvl w:ilvl="0">
      <w:start w:val="4"/>
      <w:numFmt w:val="chineseCounting"/>
      <w:suff w:val="nothing"/>
      <w:lvlText w:val="%1、"/>
      <w:lvlJc w:val="left"/>
      <w:rPr>
        <w:rFonts w:hint="eastAsia"/>
      </w:rPr>
    </w:lvl>
  </w:abstractNum>
  <w:abstractNum w:abstractNumId="2">
    <w:nsid w:val="EF51A1B6"/>
    <w:multiLevelType w:val="singleLevel"/>
    <w:tmpl w:val="EF51A1B6"/>
    <w:lvl w:ilvl="0">
      <w:start w:val="2"/>
      <w:numFmt w:val="chineseCounting"/>
      <w:suff w:val="nothing"/>
      <w:lvlText w:val="（%1）"/>
      <w:lvlJc w:val="left"/>
      <w:rPr>
        <w:rFonts w:hint="eastAsia"/>
      </w:rPr>
    </w:lvl>
  </w:abstractNum>
  <w:abstractNum w:abstractNumId="3">
    <w:nsid w:val="366B7886"/>
    <w:multiLevelType w:val="singleLevel"/>
    <w:tmpl w:val="366B7886"/>
    <w:lvl w:ilvl="0">
      <w:start w:val="3"/>
      <w:numFmt w:val="decimal"/>
      <w:suff w:val="nothing"/>
      <w:lvlText w:val="%1、"/>
      <w:lvlJc w:val="left"/>
    </w:lvl>
  </w:abstractNum>
  <w:abstractNum w:abstractNumId="4">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27E2C"/>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26B3"/>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C6F88"/>
    <w:rsid w:val="00DD06FF"/>
    <w:rsid w:val="00DD5FE9"/>
    <w:rsid w:val="00E00C7A"/>
    <w:rsid w:val="00E37D6C"/>
    <w:rsid w:val="00E55B68"/>
    <w:rsid w:val="00E67BE6"/>
    <w:rsid w:val="00E8683C"/>
    <w:rsid w:val="00EA2B72"/>
    <w:rsid w:val="00F74360"/>
    <w:rsid w:val="00FB462F"/>
    <w:rsid w:val="00FE16FA"/>
    <w:rsid w:val="00FE328A"/>
    <w:rsid w:val="00FE6269"/>
    <w:rsid w:val="0850255A"/>
    <w:rsid w:val="1240035E"/>
    <w:rsid w:val="129B1959"/>
    <w:rsid w:val="17EA6D3D"/>
    <w:rsid w:val="20C306F2"/>
    <w:rsid w:val="22D648E1"/>
    <w:rsid w:val="254D1F2C"/>
    <w:rsid w:val="2B95695D"/>
    <w:rsid w:val="33E4332A"/>
    <w:rsid w:val="38C1632A"/>
    <w:rsid w:val="39B26DC4"/>
    <w:rsid w:val="3ED10BEA"/>
    <w:rsid w:val="44DF4742"/>
    <w:rsid w:val="49CC16E9"/>
    <w:rsid w:val="515F77F3"/>
    <w:rsid w:val="53075127"/>
    <w:rsid w:val="5AA12BDF"/>
    <w:rsid w:val="5E641D71"/>
    <w:rsid w:val="66961D37"/>
    <w:rsid w:val="6A6D488B"/>
    <w:rsid w:val="6B913BEB"/>
    <w:rsid w:val="6CE37211"/>
    <w:rsid w:val="7C707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semiHidden="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7E2C"/>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rsid w:val="00227E2C"/>
    <w:pPr>
      <w:spacing w:before="120" w:after="200" w:line="276" w:lineRule="auto"/>
    </w:pPr>
    <w:rPr>
      <w:rFonts w:ascii="Arial" w:hAnsi="Arial"/>
      <w:sz w:val="24"/>
    </w:rPr>
  </w:style>
  <w:style w:type="paragraph" w:styleId="a4">
    <w:name w:val="Body Text"/>
    <w:basedOn w:val="a"/>
    <w:uiPriority w:val="99"/>
    <w:qFormat/>
    <w:rsid w:val="00227E2C"/>
    <w:pPr>
      <w:spacing w:after="120"/>
    </w:pPr>
  </w:style>
  <w:style w:type="paragraph" w:styleId="a5">
    <w:name w:val="Balloon Text"/>
    <w:basedOn w:val="a"/>
    <w:link w:val="Char"/>
    <w:uiPriority w:val="99"/>
    <w:semiHidden/>
    <w:unhideWhenUsed/>
    <w:qFormat/>
    <w:rsid w:val="00227E2C"/>
    <w:rPr>
      <w:sz w:val="18"/>
      <w:szCs w:val="18"/>
    </w:rPr>
  </w:style>
  <w:style w:type="paragraph" w:styleId="a6">
    <w:name w:val="footer"/>
    <w:basedOn w:val="a"/>
    <w:link w:val="Char0"/>
    <w:uiPriority w:val="99"/>
    <w:unhideWhenUsed/>
    <w:qFormat/>
    <w:rsid w:val="00227E2C"/>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227E2C"/>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27E2C"/>
    <w:pPr>
      <w:spacing w:before="100" w:beforeAutospacing="1" w:after="100" w:afterAutospacing="1"/>
      <w:jc w:val="left"/>
    </w:pPr>
    <w:rPr>
      <w:rFonts w:cs="Times New Roman"/>
      <w:kern w:val="0"/>
      <w:sz w:val="24"/>
    </w:rPr>
  </w:style>
  <w:style w:type="character" w:styleId="a9">
    <w:name w:val="page number"/>
    <w:qFormat/>
    <w:rsid w:val="00227E2C"/>
  </w:style>
  <w:style w:type="character" w:customStyle="1" w:styleId="Char1">
    <w:name w:val="页眉 Char"/>
    <w:basedOn w:val="a1"/>
    <w:link w:val="a7"/>
    <w:uiPriority w:val="99"/>
    <w:qFormat/>
    <w:rsid w:val="00227E2C"/>
    <w:rPr>
      <w:sz w:val="18"/>
      <w:szCs w:val="18"/>
    </w:rPr>
  </w:style>
  <w:style w:type="character" w:customStyle="1" w:styleId="Char0">
    <w:name w:val="页脚 Char"/>
    <w:basedOn w:val="a1"/>
    <w:link w:val="a6"/>
    <w:uiPriority w:val="99"/>
    <w:qFormat/>
    <w:rsid w:val="00227E2C"/>
    <w:rPr>
      <w:sz w:val="18"/>
      <w:szCs w:val="18"/>
    </w:rPr>
  </w:style>
  <w:style w:type="paragraph" w:customStyle="1" w:styleId="Default">
    <w:name w:val="Default"/>
    <w:qFormat/>
    <w:rsid w:val="00227E2C"/>
    <w:pPr>
      <w:widowControl w:val="0"/>
      <w:autoSpaceDE w:val="0"/>
      <w:autoSpaceDN w:val="0"/>
      <w:adjustRightInd w:val="0"/>
    </w:pPr>
    <w:rPr>
      <w:rFonts w:ascii="黑体" w:eastAsia="黑体" w:hAnsiTheme="minorHAnsi" w:cs="黑体"/>
      <w:color w:val="000000"/>
      <w:sz w:val="24"/>
      <w:szCs w:val="24"/>
    </w:rPr>
  </w:style>
  <w:style w:type="paragraph" w:styleId="aa">
    <w:name w:val="List Paragraph"/>
    <w:basedOn w:val="a"/>
    <w:uiPriority w:val="34"/>
    <w:qFormat/>
    <w:rsid w:val="00227E2C"/>
    <w:pPr>
      <w:ind w:firstLineChars="200" w:firstLine="420"/>
    </w:pPr>
  </w:style>
  <w:style w:type="character" w:customStyle="1" w:styleId="Char">
    <w:name w:val="批注框文本 Char"/>
    <w:basedOn w:val="a1"/>
    <w:link w:val="a5"/>
    <w:uiPriority w:val="99"/>
    <w:semiHidden/>
    <w:qFormat/>
    <w:rsid w:val="00227E2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D6F7F-8359-46C8-939D-A2A2B9E6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3197</Words>
  <Characters>18223</Characters>
  <Application>Microsoft Office Word</Application>
  <DocSecurity>0</DocSecurity>
  <Lines>151</Lines>
  <Paragraphs>42</Paragraphs>
  <ScaleCrop>false</ScaleCrop>
  <Company>Microsoft</Company>
  <LinksUpToDate>false</LinksUpToDate>
  <CharactersWithSpaces>21378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6</cp:revision>
  <cp:lastPrinted>2021-07-28T00:12:00Z</cp:lastPrinted>
  <dcterms:created xsi:type="dcterms:W3CDTF">2021-09-08T01:50:00Z</dcterms:created>
  <dcterms:modified xsi:type="dcterms:W3CDTF">2022-04-18T09:11:00Z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CBAAD663B5944E6196A1D5C16B87EA78</vt:lpwstr>
  </property>
</Properties>
</file>