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905" w:type="dxa"/>
        <w:tblInd w:w="91" w:type="dxa"/>
        <w:tblLayout w:type="fixed"/>
        <w:tblCellMar>
          <w:top w:w="0" w:type="dxa"/>
          <w:left w:w="108" w:type="dxa"/>
          <w:bottom w:w="0" w:type="dxa"/>
          <w:right w:w="108" w:type="dxa"/>
        </w:tblCellMar>
      </w:tblPr>
      <w:tblGrid>
        <w:gridCol w:w="3825"/>
        <w:gridCol w:w="762"/>
        <w:gridCol w:w="633"/>
        <w:gridCol w:w="698"/>
        <w:gridCol w:w="232"/>
        <w:gridCol w:w="1110"/>
        <w:gridCol w:w="2369"/>
        <w:gridCol w:w="847"/>
        <w:gridCol w:w="1462"/>
        <w:gridCol w:w="658"/>
        <w:gridCol w:w="1309"/>
      </w:tblGrid>
      <w:tr>
        <w:tblPrEx>
          <w:tblCellMar>
            <w:top w:w="0" w:type="dxa"/>
            <w:left w:w="108" w:type="dxa"/>
            <w:bottom w:w="0" w:type="dxa"/>
            <w:right w:w="108" w:type="dxa"/>
          </w:tblCellMar>
        </w:tblPrEx>
        <w:trPr>
          <w:trHeight w:val="90" w:hRule="atLeast"/>
        </w:trPr>
        <w:tc>
          <w:tcPr>
            <w:tcW w:w="13905" w:type="dxa"/>
            <w:gridSpan w:val="11"/>
            <w:tcBorders>
              <w:top w:val="nil"/>
              <w:left w:val="nil"/>
              <w:bottom w:val="nil"/>
              <w:right w:val="nil"/>
            </w:tcBorders>
            <w:shd w:val="clear" w:color="auto" w:fill="auto"/>
            <w:noWrap/>
            <w:vAlign w:val="center"/>
          </w:tcPr>
          <w:p>
            <w:pPr>
              <w:keepNext w:val="0"/>
              <w:keepLines w:val="0"/>
              <w:pageBreakBefore w:val="0"/>
              <w:widowControl/>
              <w:tabs>
                <w:tab w:val="left" w:pos="5616"/>
                <w:tab w:val="center" w:pos="7012"/>
              </w:tabs>
              <w:kinsoku/>
              <w:wordWrap/>
              <w:overflowPunct/>
              <w:topLinePunct w:val="0"/>
              <w:autoSpaceDE/>
              <w:autoSpaceDN/>
              <w:bidi w:val="0"/>
              <w:adjustRightInd/>
              <w:snapToGrid/>
              <w:spacing w:before="159" w:beforeLines="50" w:beforeAutospacing="0" w:after="159" w:afterLines="50" w:afterAutospacing="0" w:line="2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30"/>
                <w:szCs w:val="30"/>
                <w:lang w:eastAsia="zh-CN"/>
              </w:rPr>
              <w:tab/>
            </w:r>
            <w:r>
              <w:rPr>
                <w:rFonts w:hint="eastAsia" w:ascii="仿宋" w:hAnsi="仿宋" w:eastAsia="仿宋" w:cs="仿宋"/>
                <w:color w:val="000000"/>
                <w:kern w:val="0"/>
                <w:sz w:val="32"/>
                <w:szCs w:val="32"/>
                <w:lang w:eastAsia="zh-CN"/>
              </w:rPr>
              <w:tab/>
            </w:r>
            <w:r>
              <w:rPr>
                <w:rFonts w:hint="eastAsia" w:ascii="仿宋" w:hAnsi="仿宋" w:eastAsia="仿宋" w:cs="仿宋"/>
                <w:color w:val="000000"/>
                <w:kern w:val="0"/>
                <w:sz w:val="32"/>
                <w:szCs w:val="32"/>
              </w:rPr>
              <w:t>收入支出决算总表</w:t>
            </w:r>
          </w:p>
        </w:tc>
      </w:tr>
      <w:tr>
        <w:tblPrEx>
          <w:tblCellMar>
            <w:top w:w="0" w:type="dxa"/>
            <w:left w:w="108" w:type="dxa"/>
            <w:bottom w:w="0" w:type="dxa"/>
            <w:right w:w="108" w:type="dxa"/>
          </w:tblCellMar>
        </w:tblPrEx>
        <w:trPr>
          <w:trHeight w:val="203" w:hRule="atLeast"/>
        </w:trPr>
        <w:tc>
          <w:tcPr>
            <w:tcW w:w="5220"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698"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232"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5788" w:type="dxa"/>
            <w:gridSpan w:val="4"/>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658"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1309"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3"/>
                <w:szCs w:val="13"/>
              </w:rPr>
            </w:pPr>
            <w:r>
              <w:rPr>
                <w:rFonts w:hint="eastAsia" w:ascii="仿宋" w:hAnsi="仿宋" w:eastAsia="仿宋" w:cs="仿宋"/>
                <w:color w:val="000000"/>
                <w:kern w:val="0"/>
                <w:sz w:val="13"/>
                <w:szCs w:val="13"/>
              </w:rPr>
              <w:t>公开01表</w:t>
            </w:r>
          </w:p>
        </w:tc>
      </w:tr>
      <w:tr>
        <w:tblPrEx>
          <w:tblCellMar>
            <w:top w:w="0" w:type="dxa"/>
            <w:left w:w="108" w:type="dxa"/>
            <w:bottom w:w="0" w:type="dxa"/>
            <w:right w:w="108" w:type="dxa"/>
          </w:tblCellMar>
        </w:tblPrEx>
        <w:trPr>
          <w:trHeight w:val="245" w:hRule="atLeast"/>
        </w:trPr>
        <w:tc>
          <w:tcPr>
            <w:tcW w:w="5220"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3"/>
                <w:szCs w:val="13"/>
              </w:rPr>
            </w:pPr>
            <w:r>
              <w:rPr>
                <w:rFonts w:hint="eastAsia" w:ascii="仿宋" w:hAnsi="仿宋" w:eastAsia="仿宋" w:cs="仿宋"/>
                <w:kern w:val="0"/>
                <w:sz w:val="18"/>
                <w:szCs w:val="18"/>
              </w:rPr>
              <w:t xml:space="preserve">部门： </w:t>
            </w:r>
            <w:r>
              <w:rPr>
                <w:rFonts w:hint="eastAsia" w:ascii="仿宋" w:hAnsi="仿宋" w:eastAsia="仿宋" w:cs="仿宋"/>
                <w:kern w:val="0"/>
                <w:sz w:val="18"/>
                <w:szCs w:val="18"/>
                <w:lang w:val="en-US" w:eastAsia="zh-CN"/>
              </w:rPr>
              <w:t>岳阳市住房公积金管理中心</w:t>
            </w:r>
          </w:p>
        </w:tc>
        <w:tc>
          <w:tcPr>
            <w:tcW w:w="698"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232"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5788" w:type="dxa"/>
            <w:gridSpan w:val="4"/>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658"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1309"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3"/>
                <w:szCs w:val="13"/>
              </w:rPr>
            </w:pPr>
            <w:r>
              <w:rPr>
                <w:rFonts w:hint="eastAsia" w:ascii="仿宋" w:hAnsi="仿宋" w:eastAsia="仿宋" w:cs="仿宋"/>
                <w:color w:val="000000"/>
                <w:kern w:val="0"/>
                <w:sz w:val="13"/>
                <w:szCs w:val="13"/>
              </w:rPr>
              <w:t>单位：万元</w:t>
            </w:r>
          </w:p>
        </w:tc>
      </w:tr>
      <w:tr>
        <w:tblPrEx>
          <w:tblCellMar>
            <w:top w:w="0" w:type="dxa"/>
            <w:left w:w="108" w:type="dxa"/>
            <w:bottom w:w="0" w:type="dxa"/>
            <w:right w:w="108" w:type="dxa"/>
          </w:tblCellMar>
        </w:tblPrEx>
        <w:trPr>
          <w:trHeight w:val="213" w:hRule="atLeast"/>
        </w:trPr>
        <w:tc>
          <w:tcPr>
            <w:tcW w:w="7260"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收入</w:t>
            </w:r>
          </w:p>
        </w:tc>
        <w:tc>
          <w:tcPr>
            <w:tcW w:w="6645" w:type="dxa"/>
            <w:gridSpan w:val="5"/>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支出</w:t>
            </w:r>
          </w:p>
        </w:tc>
      </w:tr>
      <w:tr>
        <w:tblPrEx>
          <w:tblCellMar>
            <w:top w:w="0" w:type="dxa"/>
            <w:left w:w="108" w:type="dxa"/>
            <w:bottom w:w="0" w:type="dxa"/>
            <w:right w:w="108" w:type="dxa"/>
          </w:tblCellMar>
        </w:tblPrEx>
        <w:trPr>
          <w:trHeight w:val="282" w:hRule="atLeast"/>
        </w:trPr>
        <w:tc>
          <w:tcPr>
            <w:tcW w:w="3825"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仿宋" w:hAnsi="仿宋" w:eastAsia="仿宋" w:cs="仿宋"/>
                <w:kern w:val="0"/>
                <w:sz w:val="13"/>
                <w:szCs w:val="13"/>
              </w:rPr>
            </w:pPr>
            <w:r>
              <w:rPr>
                <w:rFonts w:hint="eastAsia" w:ascii="仿宋" w:hAnsi="仿宋" w:eastAsia="仿宋" w:cs="仿宋"/>
                <w:kern w:val="0"/>
                <w:sz w:val="13"/>
                <w:szCs w:val="13"/>
              </w:rPr>
              <w:t>项    目</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行次</w:t>
            </w:r>
          </w:p>
        </w:tc>
        <w:tc>
          <w:tcPr>
            <w:tcW w:w="2673" w:type="dxa"/>
            <w:gridSpan w:val="4"/>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决算数</w:t>
            </w:r>
          </w:p>
        </w:tc>
        <w:tc>
          <w:tcPr>
            <w:tcW w:w="236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项    目</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行次</w:t>
            </w:r>
          </w:p>
        </w:tc>
        <w:tc>
          <w:tcPr>
            <w:tcW w:w="3429"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决算数</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栏    次</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2673" w:type="dxa"/>
            <w:gridSpan w:val="4"/>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1</w:t>
            </w:r>
          </w:p>
        </w:tc>
        <w:tc>
          <w:tcPr>
            <w:tcW w:w="236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栏    次</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3429"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2</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一、一般公共预算财政拨款收入</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1</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5659.50</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一、一般公共服务支出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28</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4184.41</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二、政府性基金预算财政拨款收入</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2</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二、外交支出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29</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三、国有资本经营预算财政拨款收入</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3</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三、国防支出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30</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四、上级补助收入</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4</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四、公共安全支出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31</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五、事业收入</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5</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五、教育支出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32</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六、经营收入</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6</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六、科学技术支出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33</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七、附属单位上缴收入</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7</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七、文化旅游体育与传媒支出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34</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八、其他收入</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rPr>
            </w:pPr>
            <w:r>
              <w:rPr>
                <w:rFonts w:hint="eastAsia" w:ascii="仿宋" w:hAnsi="仿宋" w:eastAsia="仿宋" w:cs="仿宋"/>
                <w:kern w:val="0"/>
                <w:sz w:val="13"/>
                <w:szCs w:val="13"/>
              </w:rPr>
              <w:t>8</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八、社会保障和就业支出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35</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9</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九、卫生健康支出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36</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10</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十、节能环保支出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37</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11</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十一、城乡社区支出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38</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12</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十二、农林水支出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39</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13</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十三、交通运输支出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40</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168"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14</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十四、资源勘探信息等支出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41</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15</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十五、商业服务业等支出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42</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16</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十六、金融支出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43</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17</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十七、援助其他地区支出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44</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18</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十八、自然资源海洋气象等支出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45</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19</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十九、住房保障支出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46</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20</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二十、粮油物资储备支出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47</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21</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二十一、灾害防治及应急管理支出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48</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bidi="ar-SA"/>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22</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二十二、其他支出</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49</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b/>
                <w:bCs/>
                <w:kern w:val="0"/>
                <w:sz w:val="13"/>
                <w:szCs w:val="13"/>
                <w:lang w:val="en-US" w:eastAsia="zh-CN"/>
              </w:rPr>
            </w:pPr>
            <w:r>
              <w:rPr>
                <w:rFonts w:hint="eastAsia" w:ascii="仿宋" w:hAnsi="仿宋" w:eastAsia="仿宋" w:cs="仿宋"/>
                <w:b w:val="0"/>
                <w:bCs w:val="0"/>
                <w:kern w:val="0"/>
                <w:sz w:val="13"/>
                <w:szCs w:val="13"/>
                <w:lang w:val="en-US" w:eastAsia="zh-CN"/>
              </w:rPr>
              <w:t>1075.77</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23</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50</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b/>
                <w:bCs/>
                <w:kern w:val="0"/>
                <w:sz w:val="13"/>
                <w:szCs w:val="13"/>
              </w:rPr>
            </w:pP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kern w:val="0"/>
                <w:sz w:val="13"/>
                <w:szCs w:val="13"/>
              </w:rPr>
            </w:pPr>
            <w:r>
              <w:rPr>
                <w:rFonts w:hint="eastAsia" w:ascii="仿宋" w:hAnsi="仿宋" w:eastAsia="仿宋" w:cs="仿宋"/>
                <w:b/>
                <w:bCs/>
                <w:kern w:val="0"/>
                <w:sz w:val="13"/>
                <w:szCs w:val="13"/>
              </w:rPr>
              <w:t>本年收入合计</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24</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b/>
                <w:bCs/>
                <w:kern w:val="0"/>
                <w:sz w:val="13"/>
                <w:szCs w:val="13"/>
                <w:lang w:val="en-US" w:eastAsia="zh-CN"/>
              </w:rPr>
              <w:t>5659.50</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kern w:val="0"/>
                <w:sz w:val="13"/>
                <w:szCs w:val="13"/>
              </w:rPr>
            </w:pPr>
            <w:r>
              <w:rPr>
                <w:rFonts w:hint="eastAsia" w:ascii="仿宋" w:hAnsi="仿宋" w:eastAsia="仿宋" w:cs="仿宋"/>
                <w:b/>
                <w:bCs/>
                <w:kern w:val="0"/>
                <w:sz w:val="13"/>
                <w:szCs w:val="13"/>
              </w:rPr>
              <w:t>本年支出合计</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51</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rPr>
            </w:pPr>
            <w:r>
              <w:rPr>
                <w:rFonts w:hint="eastAsia" w:ascii="仿宋" w:hAnsi="仿宋" w:eastAsia="仿宋" w:cs="仿宋"/>
                <w:b/>
                <w:bCs/>
                <w:kern w:val="0"/>
                <w:sz w:val="13"/>
                <w:szCs w:val="13"/>
              </w:rPr>
              <w:t>　</w:t>
            </w:r>
            <w:r>
              <w:rPr>
                <w:rFonts w:hint="eastAsia" w:ascii="仿宋" w:hAnsi="仿宋" w:eastAsia="仿宋" w:cs="仿宋"/>
                <w:b/>
                <w:bCs/>
                <w:kern w:val="0"/>
                <w:sz w:val="13"/>
                <w:szCs w:val="13"/>
                <w:lang w:val="en-US" w:eastAsia="zh-CN"/>
              </w:rPr>
              <w:t>5260.18</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 xml:space="preserve">         使用非财政拨款结余</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25</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0.00</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 xml:space="preserve">                结余分配</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52</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rPr>
              <w:t>　</w:t>
            </w:r>
            <w:r>
              <w:rPr>
                <w:rFonts w:hint="eastAsia" w:ascii="仿宋" w:hAnsi="仿宋" w:eastAsia="仿宋" w:cs="仿宋"/>
                <w:kern w:val="0"/>
                <w:sz w:val="13"/>
                <w:szCs w:val="13"/>
                <w:lang w:val="en-US" w:eastAsia="zh-CN"/>
              </w:rPr>
              <w:t>0.00</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 xml:space="preserve">         年初结转和结余</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26</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1075.77</w:t>
            </w:r>
            <w:r>
              <w:rPr>
                <w:rFonts w:hint="eastAsia" w:ascii="仿宋" w:hAnsi="仿宋" w:eastAsia="仿宋" w:cs="仿宋"/>
                <w:kern w:val="0"/>
                <w:sz w:val="13"/>
                <w:szCs w:val="13"/>
              </w:rPr>
              <w:t>　</w:t>
            </w:r>
          </w:p>
        </w:tc>
        <w:tc>
          <w:tcPr>
            <w:tcW w:w="2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 xml:space="preserve">                年末结转和结余</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53</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kern w:val="0"/>
                <w:sz w:val="13"/>
                <w:szCs w:val="13"/>
                <w:lang w:val="en-US" w:eastAsia="zh-CN"/>
              </w:rPr>
              <w:t>1475.09</w:t>
            </w:r>
            <w:r>
              <w:rPr>
                <w:rFonts w:hint="eastAsia" w:ascii="仿宋" w:hAnsi="仿宋" w:eastAsia="仿宋" w:cs="仿宋"/>
                <w:kern w:val="0"/>
                <w:sz w:val="13"/>
                <w:szCs w:val="13"/>
              </w:rPr>
              <w:t>　</w:t>
            </w:r>
          </w:p>
        </w:tc>
      </w:tr>
      <w:tr>
        <w:tblPrEx>
          <w:tblCellMar>
            <w:top w:w="0" w:type="dxa"/>
            <w:left w:w="108" w:type="dxa"/>
            <w:bottom w:w="0" w:type="dxa"/>
            <w:right w:w="108" w:type="dxa"/>
          </w:tblCellMar>
        </w:tblPrEx>
        <w:trPr>
          <w:trHeight w:val="213" w:hRule="atLeast"/>
        </w:trPr>
        <w:tc>
          <w:tcPr>
            <w:tcW w:w="382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kern w:val="0"/>
                <w:sz w:val="13"/>
                <w:szCs w:val="13"/>
              </w:rPr>
            </w:pPr>
            <w:r>
              <w:rPr>
                <w:rFonts w:hint="eastAsia" w:ascii="仿宋" w:hAnsi="仿宋" w:eastAsia="仿宋" w:cs="仿宋"/>
                <w:b/>
                <w:bCs/>
                <w:kern w:val="0"/>
                <w:sz w:val="13"/>
                <w:szCs w:val="13"/>
              </w:rPr>
              <w:t>总计</w:t>
            </w:r>
          </w:p>
        </w:tc>
        <w:tc>
          <w:tcPr>
            <w:tcW w:w="76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27</w:t>
            </w:r>
          </w:p>
        </w:tc>
        <w:tc>
          <w:tcPr>
            <w:tcW w:w="2673"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kern w:val="0"/>
                <w:sz w:val="13"/>
                <w:szCs w:val="13"/>
              </w:rPr>
            </w:pPr>
            <w:r>
              <w:rPr>
                <w:rFonts w:hint="eastAsia" w:ascii="仿宋" w:hAnsi="仿宋" w:eastAsia="仿宋" w:cs="仿宋"/>
                <w:b/>
                <w:bCs/>
                <w:kern w:val="0"/>
                <w:sz w:val="13"/>
                <w:szCs w:val="13"/>
                <w:lang w:val="en-US" w:eastAsia="zh-CN"/>
              </w:rPr>
              <w:t>6735.27</w:t>
            </w:r>
            <w:r>
              <w:rPr>
                <w:rFonts w:hint="eastAsia" w:ascii="仿宋" w:hAnsi="仿宋" w:eastAsia="仿宋" w:cs="仿宋"/>
                <w:b/>
                <w:bCs/>
                <w:kern w:val="0"/>
                <w:sz w:val="13"/>
                <w:szCs w:val="13"/>
              </w:rPr>
              <w:t>　</w:t>
            </w:r>
          </w:p>
        </w:tc>
        <w:tc>
          <w:tcPr>
            <w:tcW w:w="236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kern w:val="0"/>
                <w:sz w:val="13"/>
                <w:szCs w:val="13"/>
              </w:rPr>
            </w:pPr>
            <w:r>
              <w:rPr>
                <w:rFonts w:hint="eastAsia" w:ascii="仿宋" w:hAnsi="仿宋" w:eastAsia="仿宋" w:cs="仿宋"/>
                <w:b/>
                <w:bCs/>
                <w:kern w:val="0"/>
                <w:sz w:val="13"/>
                <w:szCs w:val="13"/>
              </w:rPr>
              <w:t>总计</w:t>
            </w:r>
          </w:p>
        </w:tc>
        <w:tc>
          <w:tcPr>
            <w:tcW w:w="847"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kern w:val="0"/>
                <w:sz w:val="13"/>
                <w:szCs w:val="13"/>
                <w:lang w:val="en-US" w:eastAsia="zh-CN"/>
              </w:rPr>
            </w:pPr>
            <w:r>
              <w:rPr>
                <w:rFonts w:hint="eastAsia" w:ascii="仿宋" w:hAnsi="仿宋" w:eastAsia="仿宋" w:cs="仿宋"/>
                <w:kern w:val="0"/>
                <w:sz w:val="13"/>
                <w:szCs w:val="13"/>
                <w:lang w:val="en-US" w:eastAsia="zh-CN"/>
              </w:rPr>
              <w:t>54</w:t>
            </w:r>
          </w:p>
        </w:tc>
        <w:tc>
          <w:tcPr>
            <w:tcW w:w="342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b/>
                <w:bCs/>
                <w:kern w:val="0"/>
                <w:sz w:val="13"/>
                <w:szCs w:val="13"/>
              </w:rPr>
            </w:pPr>
            <w:r>
              <w:rPr>
                <w:rFonts w:hint="eastAsia" w:ascii="仿宋" w:hAnsi="仿宋" w:eastAsia="仿宋" w:cs="仿宋"/>
                <w:b/>
                <w:bCs/>
                <w:kern w:val="0"/>
                <w:sz w:val="13"/>
                <w:szCs w:val="13"/>
                <w:lang w:val="en-US" w:eastAsia="zh-CN"/>
              </w:rPr>
              <w:t>6735.27</w:t>
            </w:r>
            <w:r>
              <w:rPr>
                <w:rFonts w:hint="eastAsia" w:ascii="仿宋" w:hAnsi="仿宋" w:eastAsia="仿宋" w:cs="仿宋"/>
                <w:b/>
                <w:bCs/>
                <w:kern w:val="0"/>
                <w:sz w:val="13"/>
                <w:szCs w:val="13"/>
              </w:rPr>
              <w:t>　</w:t>
            </w:r>
          </w:p>
        </w:tc>
      </w:tr>
      <w:tr>
        <w:tblPrEx>
          <w:tblCellMar>
            <w:top w:w="0" w:type="dxa"/>
            <w:left w:w="108" w:type="dxa"/>
            <w:bottom w:w="0" w:type="dxa"/>
            <w:right w:w="108" w:type="dxa"/>
          </w:tblCellMar>
        </w:tblPrEx>
        <w:trPr>
          <w:trHeight w:val="392" w:hRule="atLeast"/>
        </w:trPr>
        <w:tc>
          <w:tcPr>
            <w:tcW w:w="13905" w:type="dxa"/>
            <w:gridSpan w:val="11"/>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kern w:val="0"/>
                <w:sz w:val="13"/>
                <w:szCs w:val="13"/>
              </w:rPr>
            </w:pPr>
            <w:r>
              <w:rPr>
                <w:rFonts w:hint="eastAsia" w:ascii="仿宋" w:hAnsi="仿宋" w:eastAsia="仿宋" w:cs="仿宋"/>
                <w:kern w:val="0"/>
                <w:sz w:val="13"/>
                <w:szCs w:val="13"/>
              </w:rPr>
              <w:t>注：1.本表反映部门本年度的总收支和年末结转结余情况。</w:t>
            </w:r>
            <w:r>
              <w:rPr>
                <w:rFonts w:hint="eastAsia" w:ascii="仿宋" w:hAnsi="仿宋" w:eastAsia="仿宋" w:cs="仿宋"/>
                <w:kern w:val="0"/>
                <w:sz w:val="13"/>
                <w:szCs w:val="13"/>
              </w:rPr>
              <w:br w:type="textWrapping"/>
            </w:r>
            <w:r>
              <w:rPr>
                <w:rFonts w:hint="eastAsia" w:ascii="仿宋" w:hAnsi="仿宋" w:eastAsia="仿宋" w:cs="仿宋"/>
                <w:kern w:val="0"/>
                <w:sz w:val="13"/>
                <w:szCs w:val="13"/>
              </w:rPr>
              <w:t xml:space="preserve"> 2.本套报表金额单位转换时可能存在尾数误差。</w:t>
            </w:r>
          </w:p>
        </w:tc>
      </w:tr>
    </w:tbl>
    <w:p>
      <w:pPr>
        <w:jc w:val="both"/>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3"/>
        <w:tblW w:w="15000" w:type="dxa"/>
        <w:tblInd w:w="0" w:type="dxa"/>
        <w:tblLayout w:type="fixed"/>
        <w:tblCellMar>
          <w:top w:w="0" w:type="dxa"/>
          <w:left w:w="0" w:type="dxa"/>
          <w:bottom w:w="0" w:type="dxa"/>
          <w:right w:w="0" w:type="dxa"/>
        </w:tblCellMar>
      </w:tblPr>
      <w:tblGrid>
        <w:gridCol w:w="350"/>
        <w:gridCol w:w="1266"/>
        <w:gridCol w:w="1223"/>
        <w:gridCol w:w="1616"/>
        <w:gridCol w:w="1667"/>
        <w:gridCol w:w="1670"/>
        <w:gridCol w:w="1858"/>
        <w:gridCol w:w="1858"/>
        <w:gridCol w:w="1858"/>
        <w:gridCol w:w="1634"/>
      </w:tblGrid>
      <w:tr>
        <w:tblPrEx>
          <w:tblCellMar>
            <w:top w:w="0" w:type="dxa"/>
            <w:left w:w="0" w:type="dxa"/>
            <w:bottom w:w="0" w:type="dxa"/>
            <w:right w:w="0" w:type="dxa"/>
          </w:tblCellMar>
        </w:tblPrEx>
        <w:trPr>
          <w:trHeight w:val="891" w:hRule="atLeast"/>
        </w:trPr>
        <w:tc>
          <w:tcPr>
            <w:tcW w:w="1500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收入决算表</w:t>
            </w:r>
          </w:p>
        </w:tc>
      </w:tr>
      <w:tr>
        <w:tblPrEx>
          <w:tblCellMar>
            <w:top w:w="0" w:type="dxa"/>
            <w:left w:w="0" w:type="dxa"/>
            <w:bottom w:w="0" w:type="dxa"/>
            <w:right w:w="0" w:type="dxa"/>
          </w:tblCellMar>
        </w:tblPrEx>
        <w:trPr>
          <w:trHeight w:val="463" w:hRule="atLeast"/>
        </w:trPr>
        <w:tc>
          <w:tcPr>
            <w:tcW w:w="3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2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22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6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6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85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85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85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6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仿宋" w:hAnsi="仿宋" w:eastAsia="仿宋" w:cs="仿宋"/>
                <w:color w:val="000000"/>
                <w:sz w:val="20"/>
                <w:szCs w:val="20"/>
              </w:rPr>
            </w:pPr>
            <w:r>
              <w:rPr>
                <w:rFonts w:hint="eastAsia" w:ascii="仿宋" w:hAnsi="仿宋" w:eastAsia="仿宋" w:cs="仿宋"/>
                <w:color w:val="000000"/>
                <w:sz w:val="20"/>
                <w:szCs w:val="20"/>
              </w:rPr>
              <w:t>公开02表</w:t>
            </w:r>
          </w:p>
        </w:tc>
      </w:tr>
    </w:tbl>
    <w:tbl>
      <w:tblPr>
        <w:tblStyle w:val="3"/>
        <w:tblpPr w:leftFromText="180" w:rightFromText="180" w:vertAnchor="text" w:horzAnchor="page" w:tblpX="1054" w:tblpY="814"/>
        <w:tblOverlap w:val="never"/>
        <w:tblW w:w="14974" w:type="dxa"/>
        <w:tblInd w:w="0" w:type="dxa"/>
        <w:tblLayout w:type="fixed"/>
        <w:tblCellMar>
          <w:top w:w="0" w:type="dxa"/>
          <w:left w:w="0" w:type="dxa"/>
          <w:bottom w:w="0" w:type="dxa"/>
          <w:right w:w="0" w:type="dxa"/>
        </w:tblCellMar>
      </w:tblPr>
      <w:tblGrid>
        <w:gridCol w:w="1614"/>
        <w:gridCol w:w="2363"/>
        <w:gridCol w:w="1770"/>
        <w:gridCol w:w="1635"/>
        <w:gridCol w:w="1485"/>
        <w:gridCol w:w="1530"/>
        <w:gridCol w:w="1560"/>
        <w:gridCol w:w="1740"/>
        <w:gridCol w:w="1277"/>
      </w:tblGrid>
      <w:tr>
        <w:tblPrEx>
          <w:tblCellMar>
            <w:top w:w="0" w:type="dxa"/>
            <w:left w:w="0" w:type="dxa"/>
            <w:bottom w:w="0" w:type="dxa"/>
            <w:right w:w="0" w:type="dxa"/>
          </w:tblCellMar>
        </w:tblPrEx>
        <w:trPr>
          <w:trHeight w:val="531" w:hRule="atLeast"/>
        </w:trPr>
        <w:tc>
          <w:tcPr>
            <w:tcW w:w="397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项    目</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本年收入合计</w:t>
            </w:r>
          </w:p>
        </w:tc>
        <w:tc>
          <w:tcPr>
            <w:tcW w:w="16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财政拨款收入</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上级补助收入</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事业收入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经营收入</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附属单位上缴收入</w:t>
            </w:r>
          </w:p>
        </w:tc>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其他收入</w:t>
            </w:r>
          </w:p>
        </w:tc>
      </w:tr>
      <w:tr>
        <w:tblPrEx>
          <w:tblCellMar>
            <w:top w:w="0" w:type="dxa"/>
            <w:left w:w="0" w:type="dxa"/>
            <w:bottom w:w="0" w:type="dxa"/>
            <w:right w:w="0" w:type="dxa"/>
          </w:tblCellMar>
        </w:tblPrEx>
        <w:trPr>
          <w:trHeight w:val="531" w:hRule="atLeast"/>
        </w:trPr>
        <w:tc>
          <w:tcPr>
            <w:tcW w:w="16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功能分类科目编码</w:t>
            </w:r>
          </w:p>
        </w:tc>
        <w:tc>
          <w:tcPr>
            <w:tcW w:w="236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科目名称</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r>
      <w:tr>
        <w:tblPrEx>
          <w:tblCellMar>
            <w:top w:w="0" w:type="dxa"/>
            <w:left w:w="0" w:type="dxa"/>
            <w:bottom w:w="0" w:type="dxa"/>
            <w:right w:w="0" w:type="dxa"/>
          </w:tblCellMar>
        </w:tblPrEx>
        <w:trPr>
          <w:trHeight w:val="500" w:hRule="atLeast"/>
        </w:trPr>
        <w:tc>
          <w:tcPr>
            <w:tcW w:w="16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2363" w:type="dxa"/>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0"/>
                <w:szCs w:val="21"/>
                <w:highlight w:val="none"/>
                <w:lang w:val="en-US" w:eastAsia="zh-CN"/>
              </w:rPr>
            </w:pPr>
          </w:p>
        </w:tc>
      </w:tr>
      <w:tr>
        <w:tblPrEx>
          <w:tblCellMar>
            <w:top w:w="0" w:type="dxa"/>
            <w:left w:w="0" w:type="dxa"/>
            <w:bottom w:w="0" w:type="dxa"/>
            <w:right w:w="0" w:type="dxa"/>
          </w:tblCellMar>
        </w:tblPrEx>
        <w:trPr>
          <w:trHeight w:val="531" w:hRule="atLeast"/>
        </w:trPr>
        <w:tc>
          <w:tcPr>
            <w:tcW w:w="397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栏次</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6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w:t>
            </w:r>
          </w:p>
        </w:tc>
        <w:tc>
          <w:tcPr>
            <w:tcW w:w="14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w:t>
            </w:r>
          </w:p>
        </w:tc>
        <w:tc>
          <w:tcPr>
            <w:tcW w:w="1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4</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5</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6</w:t>
            </w:r>
          </w:p>
        </w:tc>
        <w:tc>
          <w:tcPr>
            <w:tcW w:w="12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7</w:t>
            </w:r>
          </w:p>
        </w:tc>
      </w:tr>
      <w:tr>
        <w:tblPrEx>
          <w:tblCellMar>
            <w:top w:w="0" w:type="dxa"/>
            <w:left w:w="0" w:type="dxa"/>
            <w:bottom w:w="0" w:type="dxa"/>
            <w:right w:w="0" w:type="dxa"/>
          </w:tblCellMar>
        </w:tblPrEx>
        <w:trPr>
          <w:trHeight w:val="531" w:hRule="atLeast"/>
        </w:trPr>
        <w:tc>
          <w:tcPr>
            <w:tcW w:w="397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 w:hAnsi="仿宋" w:eastAsia="仿宋" w:cs="仿宋"/>
                <w:sz w:val="24"/>
                <w:szCs w:val="24"/>
              </w:rPr>
            </w:pPr>
            <w:r>
              <w:rPr>
                <w:rFonts w:hint="eastAsia" w:ascii="仿宋" w:hAnsi="仿宋" w:eastAsia="仿宋" w:cs="仿宋"/>
              </w:rPr>
              <w:t>合计</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5659.50</w:t>
            </w:r>
            <w:r>
              <w:rPr>
                <w:rFonts w:hint="eastAsia" w:ascii="仿宋" w:hAnsi="仿宋" w:eastAsia="仿宋" w:cs="仿宋"/>
                <w:kern w:val="0"/>
                <w:szCs w:val="21"/>
              </w:rPr>
              <w:t>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5659.50</w:t>
            </w:r>
            <w:r>
              <w:rPr>
                <w:rFonts w:hint="eastAsia" w:ascii="仿宋" w:hAnsi="仿宋" w:eastAsia="仿宋" w:cs="仿宋"/>
                <w:kern w:val="0"/>
                <w:szCs w:val="21"/>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r>
      <w:tr>
        <w:tblPrEx>
          <w:tblCellMar>
            <w:top w:w="0" w:type="dxa"/>
            <w:left w:w="0" w:type="dxa"/>
            <w:bottom w:w="0" w:type="dxa"/>
            <w:right w:w="0" w:type="dxa"/>
          </w:tblCellMar>
        </w:tblPrEx>
        <w:trPr>
          <w:trHeight w:val="716" w:hRule="atLeast"/>
        </w:trPr>
        <w:tc>
          <w:tcPr>
            <w:tcW w:w="16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w:t>
            </w:r>
            <w:r>
              <w:rPr>
                <w:rFonts w:hint="eastAsia" w:ascii="仿宋" w:hAnsi="仿宋" w:eastAsia="仿宋" w:cs="仿宋"/>
                <w:kern w:val="0"/>
                <w:szCs w:val="21"/>
                <w:highlight w:val="none"/>
                <w:lang w:val="en-US" w:eastAsia="zh-CN"/>
              </w:rPr>
              <w:t>2010399</w:t>
            </w:r>
          </w:p>
        </w:tc>
        <w:tc>
          <w:tcPr>
            <w:tcW w:w="23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其他政府办公厅（室）及相关机构事务支出</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5659.50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5659.50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　</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　</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　</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r>
      <w:tr>
        <w:tblPrEx>
          <w:tblCellMar>
            <w:top w:w="0" w:type="dxa"/>
            <w:left w:w="0" w:type="dxa"/>
            <w:bottom w:w="0" w:type="dxa"/>
            <w:right w:w="0" w:type="dxa"/>
          </w:tblCellMar>
        </w:tblPrEx>
        <w:trPr>
          <w:trHeight w:val="531" w:hRule="atLeast"/>
        </w:trPr>
        <w:tc>
          <w:tcPr>
            <w:tcW w:w="16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 w:hAnsi="仿宋" w:eastAsia="仿宋" w:cs="仿宋"/>
                <w:sz w:val="24"/>
                <w:szCs w:val="24"/>
              </w:rPr>
            </w:pPr>
            <w:r>
              <w:rPr>
                <w:rFonts w:hint="eastAsia" w:ascii="仿宋" w:hAnsi="仿宋" w:eastAsia="仿宋" w:cs="仿宋"/>
              </w:rPr>
              <w:t>　</w:t>
            </w:r>
          </w:p>
        </w:tc>
        <w:tc>
          <w:tcPr>
            <w:tcW w:w="23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 w:hAnsi="仿宋" w:eastAsia="仿宋" w:cs="仿宋"/>
                <w:sz w:val="24"/>
                <w:szCs w:val="24"/>
              </w:rPr>
            </w:pPr>
            <w:r>
              <w:rPr>
                <w:rFonts w:hint="eastAsia" w:ascii="仿宋" w:hAnsi="仿宋" w:eastAsia="仿宋" w:cs="仿宋"/>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仿宋" w:hAnsi="仿宋" w:eastAsia="仿宋" w:cs="仿宋"/>
                <w:sz w:val="24"/>
                <w:szCs w:val="24"/>
              </w:rPr>
            </w:pPr>
            <w:r>
              <w:rPr>
                <w:rFonts w:hint="eastAsia" w:ascii="仿宋" w:hAnsi="仿宋" w:eastAsia="仿宋" w:cs="仿宋"/>
              </w:rPr>
              <w:t>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kern w:val="2"/>
                <w:sz w:val="21"/>
                <w:szCs w:val="22"/>
                <w:lang w:val="en-US" w:eastAsia="zh-CN" w:bidi="ar-SA"/>
              </w:rPr>
            </w:pP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kern w:val="2"/>
                <w:sz w:val="21"/>
                <w:szCs w:val="22"/>
                <w:lang w:val="en-US" w:eastAsia="zh-CN" w:bidi="ar-SA"/>
              </w:rPr>
            </w:pP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kern w:val="2"/>
                <w:sz w:val="21"/>
                <w:szCs w:val="22"/>
                <w:lang w:val="en-US" w:eastAsia="zh-CN" w:bidi="ar-SA"/>
              </w:rPr>
            </w:pPr>
          </w:p>
        </w:tc>
      </w:tr>
      <w:tr>
        <w:tblPrEx>
          <w:tblCellMar>
            <w:top w:w="0" w:type="dxa"/>
            <w:left w:w="0" w:type="dxa"/>
            <w:bottom w:w="0" w:type="dxa"/>
            <w:right w:w="0" w:type="dxa"/>
          </w:tblCellMar>
        </w:tblPrEx>
        <w:trPr>
          <w:trHeight w:val="531" w:hRule="atLeast"/>
        </w:trPr>
        <w:tc>
          <w:tcPr>
            <w:tcW w:w="16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 w:hAnsi="仿宋" w:eastAsia="仿宋" w:cs="仿宋"/>
                <w:sz w:val="24"/>
                <w:szCs w:val="24"/>
              </w:rPr>
            </w:pPr>
            <w:r>
              <w:rPr>
                <w:rFonts w:hint="eastAsia" w:ascii="仿宋" w:hAnsi="仿宋" w:eastAsia="仿宋" w:cs="仿宋"/>
              </w:rPr>
              <w:t>　</w:t>
            </w:r>
          </w:p>
        </w:tc>
        <w:tc>
          <w:tcPr>
            <w:tcW w:w="23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 w:hAnsi="仿宋" w:eastAsia="仿宋" w:cs="仿宋"/>
                <w:sz w:val="24"/>
                <w:szCs w:val="24"/>
              </w:rPr>
            </w:pPr>
            <w:r>
              <w:rPr>
                <w:rFonts w:hint="eastAsia" w:ascii="仿宋" w:hAnsi="仿宋" w:eastAsia="仿宋" w:cs="仿宋"/>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r>
      <w:tr>
        <w:tblPrEx>
          <w:tblCellMar>
            <w:top w:w="0" w:type="dxa"/>
            <w:left w:w="0" w:type="dxa"/>
            <w:bottom w:w="0" w:type="dxa"/>
            <w:right w:w="0" w:type="dxa"/>
          </w:tblCellMar>
        </w:tblPrEx>
        <w:trPr>
          <w:trHeight w:val="531" w:hRule="atLeast"/>
        </w:trPr>
        <w:tc>
          <w:tcPr>
            <w:tcW w:w="16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 w:hAnsi="仿宋" w:eastAsia="仿宋" w:cs="仿宋"/>
                <w:sz w:val="24"/>
                <w:szCs w:val="24"/>
              </w:rPr>
            </w:pPr>
            <w:r>
              <w:rPr>
                <w:rFonts w:hint="eastAsia" w:ascii="仿宋" w:hAnsi="仿宋" w:eastAsia="仿宋" w:cs="仿宋"/>
              </w:rPr>
              <w:t>　</w:t>
            </w:r>
          </w:p>
        </w:tc>
        <w:tc>
          <w:tcPr>
            <w:tcW w:w="23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 w:hAnsi="仿宋" w:eastAsia="仿宋" w:cs="仿宋"/>
                <w:sz w:val="24"/>
                <w:szCs w:val="24"/>
              </w:rPr>
            </w:pPr>
            <w:r>
              <w:rPr>
                <w:rFonts w:hint="eastAsia" w:ascii="仿宋" w:hAnsi="仿宋" w:eastAsia="仿宋" w:cs="仿宋"/>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r>
      <w:tr>
        <w:tblPrEx>
          <w:tblCellMar>
            <w:top w:w="0" w:type="dxa"/>
            <w:left w:w="0" w:type="dxa"/>
            <w:bottom w:w="0" w:type="dxa"/>
            <w:right w:w="0" w:type="dxa"/>
          </w:tblCellMar>
        </w:tblPrEx>
        <w:trPr>
          <w:trHeight w:val="531" w:hRule="atLeast"/>
        </w:trPr>
        <w:tc>
          <w:tcPr>
            <w:tcW w:w="161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 w:hAnsi="仿宋" w:eastAsia="仿宋" w:cs="仿宋"/>
                <w:sz w:val="24"/>
                <w:szCs w:val="24"/>
              </w:rPr>
            </w:pPr>
            <w:r>
              <w:rPr>
                <w:rFonts w:hint="eastAsia" w:ascii="仿宋" w:hAnsi="仿宋" w:eastAsia="仿宋" w:cs="仿宋"/>
              </w:rPr>
              <w:t>　</w:t>
            </w:r>
          </w:p>
        </w:tc>
        <w:tc>
          <w:tcPr>
            <w:tcW w:w="23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 w:hAnsi="仿宋" w:eastAsia="仿宋" w:cs="仿宋"/>
                <w:sz w:val="24"/>
                <w:szCs w:val="24"/>
              </w:rPr>
            </w:pPr>
            <w:r>
              <w:rPr>
                <w:rFonts w:hint="eastAsia" w:ascii="仿宋" w:hAnsi="仿宋" w:eastAsia="仿宋" w:cs="仿宋"/>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 w:hAnsi="仿宋" w:eastAsia="仿宋" w:cs="仿宋"/>
                <w:sz w:val="24"/>
                <w:szCs w:val="24"/>
              </w:rPr>
            </w:pPr>
            <w:r>
              <w:rPr>
                <w:rFonts w:hint="eastAsia" w:ascii="仿宋" w:hAnsi="仿宋" w:eastAsia="仿宋" w:cs="仿宋"/>
              </w:rPr>
              <w:t>　</w:t>
            </w:r>
          </w:p>
        </w:tc>
      </w:tr>
      <w:tr>
        <w:tblPrEx>
          <w:tblCellMar>
            <w:top w:w="0" w:type="dxa"/>
            <w:left w:w="0" w:type="dxa"/>
            <w:bottom w:w="0" w:type="dxa"/>
            <w:right w:w="0" w:type="dxa"/>
          </w:tblCellMar>
        </w:tblPrEx>
        <w:trPr>
          <w:trHeight w:val="706" w:hRule="atLeast"/>
        </w:trPr>
        <w:tc>
          <w:tcPr>
            <w:tcW w:w="14974" w:type="dxa"/>
            <w:gridSpan w:val="9"/>
            <w:tcBorders>
              <w:top w:val="nil"/>
              <w:left w:val="nil"/>
              <w:bottom w:val="nil"/>
              <w:right w:val="nil"/>
            </w:tcBorders>
            <w:shd w:val="clear" w:color="auto" w:fill="auto"/>
            <w:tcMar>
              <w:top w:w="15" w:type="dxa"/>
              <w:left w:w="15" w:type="dxa"/>
              <w:bottom w:w="0" w:type="dxa"/>
              <w:right w:w="15" w:type="dxa"/>
            </w:tcMar>
            <w:vAlign w:val="center"/>
          </w:tcPr>
          <w:p>
            <w:pPr>
              <w:rPr>
                <w:rFonts w:hint="eastAsia" w:ascii="仿宋" w:hAnsi="仿宋" w:eastAsia="仿宋" w:cs="仿宋"/>
                <w:sz w:val="24"/>
                <w:szCs w:val="24"/>
              </w:rPr>
            </w:pPr>
            <w:r>
              <w:rPr>
                <w:rFonts w:hint="eastAsia" w:ascii="仿宋" w:hAnsi="仿宋" w:eastAsia="仿宋" w:cs="仿宋"/>
              </w:rPr>
              <w:t>注：本表反映部门本年度取得的各项收入情况。</w:t>
            </w:r>
          </w:p>
        </w:tc>
      </w:tr>
    </w:tbl>
    <w:p>
      <w:pPr>
        <w:rPr>
          <w:rFonts w:hint="eastAsia" w:ascii="仿宋" w:hAnsi="仿宋" w:eastAsia="仿宋" w:cs="仿宋"/>
        </w:rPr>
      </w:pPr>
      <w:r>
        <w:rPr>
          <w:rFonts w:hint="eastAsia" w:ascii="仿宋" w:hAnsi="仿宋" w:eastAsia="仿宋" w:cs="仿宋"/>
          <w:kern w:val="0"/>
          <w:sz w:val="18"/>
          <w:szCs w:val="18"/>
        </w:rPr>
        <w:t>部门：</w:t>
      </w:r>
      <w:r>
        <w:rPr>
          <w:rFonts w:hint="eastAsia" w:ascii="仿宋" w:hAnsi="仿宋" w:eastAsia="仿宋" w:cs="仿宋"/>
          <w:kern w:val="0"/>
          <w:sz w:val="18"/>
          <w:szCs w:val="18"/>
          <w:lang w:val="en-US" w:eastAsia="zh-CN"/>
        </w:rPr>
        <w:t xml:space="preserve">岳阳市住房公积金管理中心 </w:t>
      </w:r>
      <w:r>
        <w:rPr>
          <w:rFonts w:hint="eastAsia" w:ascii="仿宋" w:hAnsi="仿宋" w:eastAsia="仿宋" w:cs="仿宋"/>
          <w:kern w:val="0"/>
          <w:szCs w:val="21"/>
          <w:highlight w:val="none"/>
          <w:lang w:val="en-US" w:eastAsia="zh-CN"/>
        </w:rPr>
        <w:t xml:space="preserve">                                                                                                           </w:t>
      </w:r>
      <w:r>
        <w:rPr>
          <w:rFonts w:hint="eastAsia" w:ascii="仿宋" w:hAnsi="仿宋" w:eastAsia="仿宋" w:cs="仿宋"/>
          <w:color w:val="000000"/>
          <w:sz w:val="20"/>
          <w:szCs w:val="20"/>
        </w:rPr>
        <w:t>单位：万元</w:t>
      </w:r>
    </w:p>
    <w:tbl>
      <w:tblPr>
        <w:tblStyle w:val="3"/>
        <w:tblpPr w:leftFromText="180" w:rightFromText="180" w:vertAnchor="text" w:horzAnchor="page" w:tblpX="1222" w:tblpY="639"/>
        <w:tblOverlap w:val="never"/>
        <w:tblW w:w="14440" w:type="dxa"/>
        <w:tblInd w:w="0" w:type="dxa"/>
        <w:tblLayout w:type="fixed"/>
        <w:tblCellMar>
          <w:top w:w="0" w:type="dxa"/>
          <w:left w:w="108" w:type="dxa"/>
          <w:bottom w:w="0" w:type="dxa"/>
          <w:right w:w="108" w:type="dxa"/>
        </w:tblCellMar>
      </w:tblPr>
      <w:tblGrid>
        <w:gridCol w:w="1113"/>
        <w:gridCol w:w="453"/>
        <w:gridCol w:w="3430"/>
        <w:gridCol w:w="1651"/>
        <w:gridCol w:w="1492"/>
        <w:gridCol w:w="1540"/>
        <w:gridCol w:w="1651"/>
        <w:gridCol w:w="1683"/>
        <w:gridCol w:w="1427"/>
      </w:tblGrid>
      <w:tr>
        <w:tblPrEx>
          <w:tblCellMar>
            <w:top w:w="0" w:type="dxa"/>
            <w:left w:w="108" w:type="dxa"/>
            <w:bottom w:w="0" w:type="dxa"/>
            <w:right w:w="108" w:type="dxa"/>
          </w:tblCellMar>
        </w:tblPrEx>
        <w:trPr>
          <w:trHeight w:val="684" w:hRule="atLeast"/>
        </w:trPr>
        <w:tc>
          <w:tcPr>
            <w:tcW w:w="14440" w:type="dxa"/>
            <w:gridSpan w:val="9"/>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2"/>
                <w:szCs w:val="32"/>
              </w:rPr>
            </w:pPr>
            <w:r>
              <w:rPr>
                <w:rFonts w:ascii="Times New Roman" w:hAnsi="Times New Roman" w:eastAsia="黑体" w:cs="Times New Roman"/>
                <w:bCs/>
                <w:kern w:val="0"/>
                <w:sz w:val="32"/>
                <w:szCs w:val="32"/>
              </w:rPr>
              <w:br w:type="page"/>
            </w:r>
            <w:r>
              <w:rPr>
                <w:rFonts w:hint="eastAsia" w:ascii="仿宋" w:hAnsi="仿宋" w:eastAsia="仿宋" w:cs="仿宋"/>
                <w:color w:val="000000"/>
                <w:kern w:val="0"/>
                <w:sz w:val="32"/>
                <w:szCs w:val="32"/>
              </w:rPr>
              <w:t>支出决算表</w:t>
            </w:r>
          </w:p>
        </w:tc>
      </w:tr>
      <w:tr>
        <w:tblPrEx>
          <w:tblCellMar>
            <w:top w:w="0" w:type="dxa"/>
            <w:left w:w="108" w:type="dxa"/>
            <w:bottom w:w="0" w:type="dxa"/>
            <w:right w:w="108" w:type="dxa"/>
          </w:tblCellMar>
        </w:tblPrEx>
        <w:trPr>
          <w:trHeight w:val="459" w:hRule="atLeast"/>
        </w:trPr>
        <w:tc>
          <w:tcPr>
            <w:tcW w:w="1113" w:type="dxa"/>
            <w:tcBorders>
              <w:top w:val="nil"/>
              <w:left w:val="nil"/>
              <w:bottom w:val="nil"/>
              <w:right w:val="nil"/>
            </w:tcBorders>
            <w:shd w:val="clear" w:color="000000" w:fill="FFFFFF"/>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453" w:type="dxa"/>
            <w:tcBorders>
              <w:top w:val="nil"/>
              <w:left w:val="nil"/>
              <w:bottom w:val="nil"/>
              <w:right w:val="nil"/>
            </w:tcBorders>
            <w:shd w:val="clear" w:color="000000" w:fill="FFFFFF"/>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430" w:type="dxa"/>
            <w:tcBorders>
              <w:top w:val="nil"/>
              <w:left w:val="nil"/>
              <w:bottom w:val="nil"/>
              <w:right w:val="nil"/>
            </w:tcBorders>
            <w:shd w:val="clear" w:color="000000" w:fill="FFFFFF"/>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nil"/>
              <w:right w:val="nil"/>
            </w:tcBorders>
            <w:shd w:val="clear" w:color="000000" w:fill="FFFFFF"/>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92" w:type="dxa"/>
            <w:tcBorders>
              <w:top w:val="nil"/>
              <w:left w:val="nil"/>
              <w:bottom w:val="nil"/>
              <w:right w:val="nil"/>
            </w:tcBorders>
            <w:shd w:val="clear" w:color="000000" w:fill="FFFFFF"/>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540" w:type="dxa"/>
            <w:tcBorders>
              <w:top w:val="nil"/>
              <w:left w:val="nil"/>
              <w:bottom w:val="nil"/>
              <w:right w:val="nil"/>
            </w:tcBorders>
            <w:shd w:val="clear" w:color="000000" w:fill="FFFFFF"/>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nil"/>
              <w:right w:val="nil"/>
            </w:tcBorders>
            <w:shd w:val="clear" w:color="000000" w:fill="FFFFFF"/>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83" w:type="dxa"/>
            <w:tcBorders>
              <w:top w:val="nil"/>
              <w:left w:val="nil"/>
              <w:bottom w:val="nil"/>
              <w:right w:val="nil"/>
            </w:tcBorders>
            <w:shd w:val="clear" w:color="000000" w:fill="FFFFFF"/>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27" w:type="dxa"/>
            <w:tcBorders>
              <w:top w:val="nil"/>
              <w:left w:val="nil"/>
              <w:bottom w:val="nil"/>
              <w:right w:val="nil"/>
            </w:tcBorders>
            <w:shd w:val="clear" w:color="000000" w:fill="FFFFFF"/>
            <w:noWrap/>
            <w:vAlign w:val="center"/>
          </w:tcPr>
          <w:p>
            <w:pPr>
              <w:widowControl/>
              <w:jc w:val="right"/>
              <w:rPr>
                <w:rFonts w:hint="eastAsia" w:ascii="仿宋" w:hAnsi="仿宋" w:eastAsia="仿宋" w:cs="仿宋"/>
                <w:color w:val="000000"/>
                <w:kern w:val="0"/>
                <w:sz w:val="20"/>
                <w:szCs w:val="20"/>
              </w:rPr>
            </w:pPr>
            <w:r>
              <w:rPr>
                <w:rFonts w:hint="eastAsia" w:ascii="仿宋" w:hAnsi="仿宋" w:eastAsia="仿宋" w:cs="仿宋"/>
                <w:kern w:val="0"/>
                <w:szCs w:val="21"/>
                <w:highlight w:val="none"/>
                <w:lang w:val="en-US" w:eastAsia="zh-CN"/>
              </w:rPr>
              <w:t>公开03表</w:t>
            </w:r>
          </w:p>
        </w:tc>
      </w:tr>
      <w:tr>
        <w:tblPrEx>
          <w:tblCellMar>
            <w:top w:w="0" w:type="dxa"/>
            <w:left w:w="108" w:type="dxa"/>
            <w:bottom w:w="0" w:type="dxa"/>
            <w:right w:w="108" w:type="dxa"/>
          </w:tblCellMar>
        </w:tblPrEx>
        <w:trPr>
          <w:trHeight w:val="607" w:hRule="atLeast"/>
        </w:trPr>
        <w:tc>
          <w:tcPr>
            <w:tcW w:w="13013" w:type="dxa"/>
            <w:gridSpan w:val="8"/>
            <w:tcBorders>
              <w:top w:val="nil"/>
              <w:left w:val="nil"/>
              <w:bottom w:val="nil"/>
              <w:right w:val="nil"/>
            </w:tcBorders>
            <w:shd w:val="clear" w:color="000000" w:fill="FFFFFF"/>
            <w:noWrap/>
            <w:vAlign w:val="top"/>
          </w:tcPr>
          <w:p>
            <w:pPr>
              <w:widowControl/>
              <w:jc w:val="both"/>
              <w:rPr>
                <w:rFonts w:hint="eastAsia" w:ascii="仿宋" w:hAnsi="仿宋" w:eastAsia="仿宋" w:cs="仿宋"/>
                <w:kern w:val="0"/>
                <w:szCs w:val="21"/>
                <w:highlight w:val="none"/>
                <w:lang w:val="en-US" w:eastAsia="zh-CN"/>
              </w:rPr>
            </w:pPr>
            <w:r>
              <w:rPr>
                <w:rFonts w:hint="eastAsia" w:ascii="仿宋" w:hAnsi="仿宋" w:eastAsia="仿宋" w:cs="仿宋"/>
                <w:kern w:val="0"/>
                <w:sz w:val="21"/>
                <w:szCs w:val="21"/>
                <w:lang w:val="en-US" w:eastAsia="zh-CN"/>
              </w:rPr>
              <w:t>部门：岳阳市住房公积金管理中心</w:t>
            </w:r>
          </w:p>
        </w:tc>
        <w:tc>
          <w:tcPr>
            <w:tcW w:w="1427" w:type="dxa"/>
            <w:tcBorders>
              <w:top w:val="nil"/>
              <w:left w:val="nil"/>
              <w:bottom w:val="nil"/>
              <w:right w:val="nil"/>
            </w:tcBorders>
            <w:shd w:val="clear" w:color="000000" w:fill="FFFFFF"/>
            <w:noWrap/>
            <w:vAlign w:val="center"/>
          </w:tcPr>
          <w:p>
            <w:pPr>
              <w:widowControl/>
              <w:ind w:left="420" w:hanging="420" w:hangingChars="200"/>
              <w:jc w:val="both"/>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xml:space="preserve">  单位：万元</w:t>
            </w:r>
          </w:p>
        </w:tc>
      </w:tr>
      <w:tr>
        <w:tblPrEx>
          <w:tblCellMar>
            <w:top w:w="0" w:type="dxa"/>
            <w:left w:w="108" w:type="dxa"/>
            <w:bottom w:w="0" w:type="dxa"/>
            <w:right w:w="108" w:type="dxa"/>
          </w:tblCellMar>
        </w:tblPrEx>
        <w:trPr>
          <w:trHeight w:val="373" w:hRule="atLeast"/>
        </w:trPr>
        <w:tc>
          <w:tcPr>
            <w:tcW w:w="499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项    目</w:t>
            </w:r>
          </w:p>
        </w:tc>
        <w:tc>
          <w:tcPr>
            <w:tcW w:w="16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本年支出合计</w:t>
            </w:r>
          </w:p>
        </w:tc>
        <w:tc>
          <w:tcPr>
            <w:tcW w:w="14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基本支出</w:t>
            </w:r>
          </w:p>
        </w:tc>
        <w:tc>
          <w:tcPr>
            <w:tcW w:w="1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项目支出</w:t>
            </w:r>
          </w:p>
        </w:tc>
        <w:tc>
          <w:tcPr>
            <w:tcW w:w="16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上缴上级支出</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经营支出</w:t>
            </w:r>
          </w:p>
        </w:tc>
        <w:tc>
          <w:tcPr>
            <w:tcW w:w="14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对附属单位补助支出</w:t>
            </w:r>
          </w:p>
        </w:tc>
      </w:tr>
      <w:tr>
        <w:tblPrEx>
          <w:tblCellMar>
            <w:top w:w="0" w:type="dxa"/>
            <w:left w:w="108" w:type="dxa"/>
            <w:bottom w:w="0" w:type="dxa"/>
            <w:right w:w="108" w:type="dxa"/>
          </w:tblCellMar>
        </w:tblPrEx>
        <w:trPr>
          <w:trHeight w:val="373" w:hRule="atLeast"/>
        </w:trPr>
        <w:tc>
          <w:tcPr>
            <w:tcW w:w="156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功能分类科目编码</w:t>
            </w:r>
          </w:p>
        </w:tc>
        <w:tc>
          <w:tcPr>
            <w:tcW w:w="343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科目名称</w:t>
            </w:r>
          </w:p>
        </w:tc>
        <w:tc>
          <w:tcPr>
            <w:tcW w:w="16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6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42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r>
      <w:tr>
        <w:tblPrEx>
          <w:tblCellMar>
            <w:top w:w="0" w:type="dxa"/>
            <w:left w:w="108" w:type="dxa"/>
            <w:bottom w:w="0" w:type="dxa"/>
            <w:right w:w="108" w:type="dxa"/>
          </w:tblCellMar>
        </w:tblPrEx>
        <w:trPr>
          <w:trHeight w:val="373" w:hRule="atLeast"/>
        </w:trPr>
        <w:tc>
          <w:tcPr>
            <w:tcW w:w="15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343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6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6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c>
          <w:tcPr>
            <w:tcW w:w="142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Cs w:val="21"/>
                <w:highlight w:val="none"/>
                <w:lang w:val="en-US" w:eastAsia="zh-CN"/>
              </w:rPr>
            </w:pPr>
          </w:p>
        </w:tc>
      </w:tr>
      <w:tr>
        <w:tblPrEx>
          <w:tblCellMar>
            <w:top w:w="0" w:type="dxa"/>
            <w:left w:w="108" w:type="dxa"/>
            <w:bottom w:w="0" w:type="dxa"/>
            <w:right w:w="108" w:type="dxa"/>
          </w:tblCellMar>
        </w:tblPrEx>
        <w:trPr>
          <w:trHeight w:val="373" w:hRule="atLeast"/>
        </w:trPr>
        <w:tc>
          <w:tcPr>
            <w:tcW w:w="49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栏次</w:t>
            </w:r>
          </w:p>
        </w:tc>
        <w:tc>
          <w:tcPr>
            <w:tcW w:w="165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w:t>
            </w:r>
          </w:p>
        </w:tc>
        <w:tc>
          <w:tcPr>
            <w:tcW w:w="149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w:t>
            </w:r>
          </w:p>
        </w:tc>
        <w:tc>
          <w:tcPr>
            <w:tcW w:w="154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w:t>
            </w:r>
          </w:p>
        </w:tc>
        <w:tc>
          <w:tcPr>
            <w:tcW w:w="165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4</w:t>
            </w:r>
          </w:p>
        </w:tc>
        <w:tc>
          <w:tcPr>
            <w:tcW w:w="168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5</w:t>
            </w:r>
          </w:p>
        </w:tc>
        <w:tc>
          <w:tcPr>
            <w:tcW w:w="1427"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6</w:t>
            </w:r>
          </w:p>
        </w:tc>
      </w:tr>
      <w:tr>
        <w:tblPrEx>
          <w:tblCellMar>
            <w:top w:w="0" w:type="dxa"/>
            <w:left w:w="108" w:type="dxa"/>
            <w:bottom w:w="0" w:type="dxa"/>
            <w:right w:w="108" w:type="dxa"/>
          </w:tblCellMar>
        </w:tblPrEx>
        <w:trPr>
          <w:trHeight w:val="373" w:hRule="atLeast"/>
        </w:trPr>
        <w:tc>
          <w:tcPr>
            <w:tcW w:w="49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合计</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5260.18　</w:t>
            </w:r>
          </w:p>
        </w:tc>
        <w:tc>
          <w:tcPr>
            <w:tcW w:w="14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5260.18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0.00</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c>
          <w:tcPr>
            <w:tcW w:w="14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r>
      <w:tr>
        <w:tblPrEx>
          <w:tblCellMar>
            <w:top w:w="0" w:type="dxa"/>
            <w:left w:w="108" w:type="dxa"/>
            <w:bottom w:w="0" w:type="dxa"/>
            <w:right w:w="108" w:type="dxa"/>
          </w:tblCellMar>
        </w:tblPrEx>
        <w:trPr>
          <w:trHeight w:val="824" w:hRule="atLeast"/>
        </w:trPr>
        <w:tc>
          <w:tcPr>
            <w:tcW w:w="156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both"/>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2010399</w:t>
            </w:r>
          </w:p>
        </w:tc>
        <w:tc>
          <w:tcPr>
            <w:tcW w:w="3430" w:type="dxa"/>
            <w:tcBorders>
              <w:top w:val="nil"/>
              <w:left w:val="nil"/>
              <w:bottom w:val="single" w:color="auto" w:sz="4" w:space="0"/>
              <w:right w:val="single" w:color="auto" w:sz="4" w:space="0"/>
            </w:tcBorders>
            <w:shd w:val="clear" w:color="000000" w:fill="FFFFFF"/>
            <w:noWrap/>
            <w:vAlign w:val="center"/>
          </w:tcPr>
          <w:p>
            <w:pPr>
              <w:widowControl/>
              <w:jc w:val="both"/>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其他政府办公厅（室）及相关机构事务支出</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4184.41　</w:t>
            </w:r>
          </w:p>
        </w:tc>
        <w:tc>
          <w:tcPr>
            <w:tcW w:w="14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4184.41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c>
          <w:tcPr>
            <w:tcW w:w="14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r>
      <w:tr>
        <w:tblPrEx>
          <w:tblCellMar>
            <w:top w:w="0" w:type="dxa"/>
            <w:left w:w="108" w:type="dxa"/>
            <w:bottom w:w="0" w:type="dxa"/>
            <w:right w:w="108" w:type="dxa"/>
          </w:tblCellMar>
        </w:tblPrEx>
        <w:trPr>
          <w:trHeight w:val="373" w:hRule="atLeast"/>
        </w:trPr>
        <w:tc>
          <w:tcPr>
            <w:tcW w:w="156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both"/>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2299901</w:t>
            </w:r>
          </w:p>
        </w:tc>
        <w:tc>
          <w:tcPr>
            <w:tcW w:w="3430" w:type="dxa"/>
            <w:tcBorders>
              <w:top w:val="nil"/>
              <w:left w:val="nil"/>
              <w:bottom w:val="single" w:color="auto" w:sz="4" w:space="0"/>
              <w:right w:val="single" w:color="auto" w:sz="4" w:space="0"/>
            </w:tcBorders>
            <w:shd w:val="clear" w:color="000000" w:fill="FFFFFF"/>
            <w:noWrap/>
            <w:vAlign w:val="center"/>
          </w:tcPr>
          <w:p>
            <w:pPr>
              <w:widowControl/>
              <w:jc w:val="both"/>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其他支出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1075.77　</w:t>
            </w:r>
          </w:p>
        </w:tc>
        <w:tc>
          <w:tcPr>
            <w:tcW w:w="14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1075.77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c>
          <w:tcPr>
            <w:tcW w:w="14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0.00　</w:t>
            </w:r>
          </w:p>
        </w:tc>
      </w:tr>
      <w:tr>
        <w:tblPrEx>
          <w:tblCellMar>
            <w:top w:w="0" w:type="dxa"/>
            <w:left w:w="108" w:type="dxa"/>
            <w:bottom w:w="0" w:type="dxa"/>
            <w:right w:w="108" w:type="dxa"/>
          </w:tblCellMar>
        </w:tblPrEx>
        <w:trPr>
          <w:trHeight w:val="373" w:hRule="atLeast"/>
        </w:trPr>
        <w:tc>
          <w:tcPr>
            <w:tcW w:w="156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430"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373" w:hRule="atLeast"/>
        </w:trPr>
        <w:tc>
          <w:tcPr>
            <w:tcW w:w="156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430"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373" w:hRule="atLeast"/>
        </w:trPr>
        <w:tc>
          <w:tcPr>
            <w:tcW w:w="156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430"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373" w:hRule="atLeast"/>
        </w:trPr>
        <w:tc>
          <w:tcPr>
            <w:tcW w:w="156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430"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9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4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1829" w:hRule="atLeast"/>
        </w:trPr>
        <w:tc>
          <w:tcPr>
            <w:tcW w:w="14440" w:type="dxa"/>
            <w:gridSpan w:val="9"/>
            <w:tcBorders>
              <w:top w:val="nil"/>
              <w:left w:val="nil"/>
              <w:bottom w:val="nil"/>
              <w:right w:val="nil"/>
            </w:tcBorders>
            <w:shd w:val="clear" w:color="auto" w:fill="auto"/>
            <w:vAlign w:val="center"/>
          </w:tcPr>
          <w:p>
            <w:pPr>
              <w:widowControl/>
              <w:jc w:val="both"/>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注：本表反映部门本年度各项支出情况。</w:t>
            </w:r>
          </w:p>
          <w:p>
            <w:pPr>
              <w:widowControl/>
              <w:jc w:val="both"/>
              <w:rPr>
                <w:rFonts w:hint="eastAsia" w:ascii="仿宋" w:hAnsi="仿宋" w:eastAsia="仿宋" w:cs="仿宋"/>
                <w:kern w:val="0"/>
                <w:szCs w:val="21"/>
                <w:highlight w:val="none"/>
                <w:lang w:val="en-US" w:eastAsia="zh-CN"/>
              </w:rPr>
            </w:pPr>
          </w:p>
          <w:p>
            <w:pPr>
              <w:widowControl/>
              <w:jc w:val="left"/>
              <w:rPr>
                <w:rFonts w:hint="eastAsia" w:ascii="仿宋" w:hAnsi="仿宋" w:eastAsia="仿宋" w:cs="仿宋"/>
                <w:kern w:val="0"/>
                <w:sz w:val="24"/>
                <w:szCs w:val="24"/>
              </w:rPr>
            </w:pPr>
          </w:p>
          <w:p>
            <w:pPr>
              <w:widowControl/>
              <w:jc w:val="left"/>
              <w:rPr>
                <w:rFonts w:hint="eastAsia" w:ascii="仿宋" w:hAnsi="仿宋" w:eastAsia="仿宋" w:cs="仿宋"/>
                <w:kern w:val="0"/>
                <w:sz w:val="24"/>
                <w:szCs w:val="24"/>
              </w:rPr>
            </w:pPr>
          </w:p>
          <w:p>
            <w:pPr>
              <w:widowControl/>
              <w:jc w:val="left"/>
              <w:rPr>
                <w:rFonts w:hint="eastAsia" w:ascii="仿宋" w:hAnsi="仿宋" w:eastAsia="仿宋" w:cs="仿宋"/>
                <w:kern w:val="0"/>
                <w:sz w:val="24"/>
                <w:szCs w:val="24"/>
              </w:rPr>
            </w:pPr>
          </w:p>
          <w:p>
            <w:pPr>
              <w:widowControl/>
              <w:jc w:val="left"/>
              <w:rPr>
                <w:rFonts w:hint="eastAsia" w:ascii="仿宋" w:hAnsi="仿宋" w:eastAsia="仿宋" w:cs="仿宋"/>
                <w:kern w:val="0"/>
                <w:sz w:val="24"/>
                <w:szCs w:val="24"/>
              </w:rPr>
            </w:pPr>
          </w:p>
        </w:tc>
      </w:tr>
    </w:tbl>
    <w:p>
      <w:pPr>
        <w:widowControl/>
        <w:ind w:left="93"/>
        <w:jc w:val="center"/>
        <w:rPr>
          <w:rFonts w:ascii="Times New Roman" w:hAnsi="Times New Roman" w:eastAsia="方正小标宋_GBK" w:cs="Times New Roman"/>
          <w:color w:val="000000"/>
          <w:kern w:val="0"/>
          <w:sz w:val="36"/>
          <w:szCs w:val="21"/>
        </w:rPr>
      </w:pPr>
    </w:p>
    <w:tbl>
      <w:tblPr>
        <w:tblStyle w:val="3"/>
        <w:tblpPr w:leftFromText="180" w:rightFromText="180" w:vertAnchor="text" w:horzAnchor="page" w:tblpX="893" w:tblpY="656"/>
        <w:tblOverlap w:val="never"/>
        <w:tblW w:w="15180" w:type="dxa"/>
        <w:tblInd w:w="0" w:type="dxa"/>
        <w:tblLayout w:type="fixed"/>
        <w:tblCellMar>
          <w:top w:w="0" w:type="dxa"/>
          <w:left w:w="108" w:type="dxa"/>
          <w:bottom w:w="0" w:type="dxa"/>
          <w:right w:w="108" w:type="dxa"/>
        </w:tblCellMar>
      </w:tblPr>
      <w:tblGrid>
        <w:gridCol w:w="3516"/>
        <w:gridCol w:w="426"/>
        <w:gridCol w:w="1054"/>
        <w:gridCol w:w="3336"/>
        <w:gridCol w:w="618"/>
        <w:gridCol w:w="425"/>
        <w:gridCol w:w="1341"/>
        <w:gridCol w:w="1452"/>
        <w:gridCol w:w="1470"/>
        <w:gridCol w:w="1542"/>
      </w:tblGrid>
      <w:tr>
        <w:tblPrEx>
          <w:tblCellMar>
            <w:top w:w="0" w:type="dxa"/>
            <w:left w:w="108" w:type="dxa"/>
            <w:bottom w:w="0" w:type="dxa"/>
            <w:right w:w="108" w:type="dxa"/>
          </w:tblCellMar>
        </w:tblPrEx>
        <w:trPr>
          <w:cantSplit/>
          <w:trHeight w:val="1158" w:hRule="exact"/>
        </w:trPr>
        <w:tc>
          <w:tcPr>
            <w:tcW w:w="15180" w:type="dxa"/>
            <w:gridSpan w:val="10"/>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265" w:beforeLines="84" w:beforeAutospacing="0"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30"/>
                <w:szCs w:val="30"/>
              </w:rPr>
              <w:t>财政拨款收入支出决算总表</w:t>
            </w:r>
          </w:p>
        </w:tc>
      </w:tr>
      <w:tr>
        <w:tblPrEx>
          <w:tblCellMar>
            <w:top w:w="0" w:type="dxa"/>
            <w:left w:w="108" w:type="dxa"/>
            <w:bottom w:w="0" w:type="dxa"/>
            <w:right w:w="108" w:type="dxa"/>
          </w:tblCellMar>
        </w:tblPrEx>
        <w:trPr>
          <w:cantSplit/>
          <w:trHeight w:val="269" w:hRule="exact"/>
        </w:trPr>
        <w:tc>
          <w:tcPr>
            <w:tcW w:w="3516"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426"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054"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954" w:type="dxa"/>
            <w:gridSpan w:val="2"/>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425"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341"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公开04表</w:t>
            </w:r>
          </w:p>
        </w:tc>
      </w:tr>
      <w:tr>
        <w:tblPrEx>
          <w:tblCellMar>
            <w:top w:w="0" w:type="dxa"/>
            <w:left w:w="108" w:type="dxa"/>
            <w:bottom w:w="0" w:type="dxa"/>
            <w:right w:w="108" w:type="dxa"/>
          </w:tblCellMar>
        </w:tblPrEx>
        <w:trPr>
          <w:cantSplit/>
          <w:trHeight w:val="323" w:hRule="exact"/>
        </w:trPr>
        <w:tc>
          <w:tcPr>
            <w:tcW w:w="3516" w:type="dxa"/>
            <w:tcBorders>
              <w:top w:val="nil"/>
              <w:left w:val="nil"/>
              <w:bottom w:val="nil"/>
              <w:right w:val="nil"/>
            </w:tcBorders>
            <w:shd w:val="clear" w:color="000000" w:fill="FFFFFF"/>
            <w:noWrap/>
            <w:vAlign w:val="center"/>
          </w:tcPr>
          <w:p>
            <w:pPr>
              <w:keepNext w:val="0"/>
              <w:keepLines w:val="0"/>
              <w:pageBreakBefore w:val="0"/>
              <w:widowControl/>
              <w:tabs>
                <w:tab w:val="left" w:pos="747"/>
                <w:tab w:val="center" w:pos="1749"/>
              </w:tabs>
              <w:kinsoku/>
              <w:wordWrap/>
              <w:overflowPunct/>
              <w:topLinePunct w:val="0"/>
              <w:autoSpaceDE/>
              <w:autoSpaceDN/>
              <w:bidi w:val="0"/>
              <w:adjustRightInd/>
              <w:snapToGrid/>
              <w:spacing w:line="200" w:lineRule="exact"/>
              <w:jc w:val="both"/>
              <w:textAlignment w:val="auto"/>
              <w:rPr>
                <w:rFonts w:hint="eastAsia" w:ascii="仿宋" w:hAnsi="仿宋" w:eastAsia="仿宋" w:cs="仿宋"/>
                <w:color w:val="000000"/>
                <w:kern w:val="0"/>
                <w:sz w:val="21"/>
                <w:szCs w:val="21"/>
              </w:rPr>
            </w:pPr>
            <w:r>
              <w:rPr>
                <w:rFonts w:hint="eastAsia" w:ascii="仿宋" w:hAnsi="仿宋" w:eastAsia="仿宋" w:cs="仿宋"/>
                <w:kern w:val="0"/>
                <w:sz w:val="21"/>
                <w:szCs w:val="21"/>
                <w:lang w:val="en-US" w:eastAsia="zh-CN"/>
              </w:rPr>
              <w:t>部门：岳阳市住房公积金管理中心</w:t>
            </w:r>
          </w:p>
        </w:tc>
        <w:tc>
          <w:tcPr>
            <w:tcW w:w="426"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054"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954" w:type="dxa"/>
            <w:gridSpan w:val="2"/>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425"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341"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单位：万元</w:t>
            </w:r>
          </w:p>
        </w:tc>
      </w:tr>
      <w:tr>
        <w:tblPrEx>
          <w:tblCellMar>
            <w:top w:w="0" w:type="dxa"/>
            <w:left w:w="108" w:type="dxa"/>
            <w:bottom w:w="0" w:type="dxa"/>
            <w:right w:w="108" w:type="dxa"/>
          </w:tblCellMar>
        </w:tblPrEx>
        <w:trPr>
          <w:cantSplit/>
          <w:trHeight w:val="235" w:hRule="exact"/>
        </w:trPr>
        <w:tc>
          <w:tcPr>
            <w:tcW w:w="49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收入</w:t>
            </w:r>
          </w:p>
        </w:tc>
        <w:tc>
          <w:tcPr>
            <w:tcW w:w="10184" w:type="dxa"/>
            <w:gridSpan w:val="7"/>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支出</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项    目</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行次</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金额</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项    目</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行次</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合计</w:t>
            </w:r>
          </w:p>
        </w:tc>
        <w:tc>
          <w:tcPr>
            <w:tcW w:w="14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一般公共预算财政拨款</w:t>
            </w:r>
          </w:p>
        </w:tc>
        <w:tc>
          <w:tcPr>
            <w:tcW w:w="14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政府性基金预算财政拨款</w:t>
            </w:r>
          </w:p>
        </w:tc>
        <w:tc>
          <w:tcPr>
            <w:tcW w:w="15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国有资本经营预算财政拨款</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栏    次</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1</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栏    次</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2</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4</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5</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一、一般公共预算财政拨款收入</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1</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5659.50</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一、一般公共服务支出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30</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4184.41</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rPr>
            </w:pPr>
            <w:r>
              <w:rPr>
                <w:rFonts w:hint="eastAsia" w:ascii="仿宋" w:hAnsi="仿宋" w:eastAsia="仿宋" w:cs="仿宋"/>
                <w:color w:val="000000"/>
                <w:kern w:val="0"/>
                <w:sz w:val="15"/>
                <w:szCs w:val="15"/>
                <w:lang w:val="en-US" w:eastAsia="zh-CN"/>
              </w:rPr>
              <w:t>4184.41</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二、政府性基金预算财政拨款收入</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2</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二、外交支出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31</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三、国有资本经营预算财政拨款</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三、国防支出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32</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4</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四、公共安全支出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33</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5</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五、教育支出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34</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6</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六、科学技术支出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35</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7</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七、文化旅游体育与传媒支出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36</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8</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八、社会保障和就业支出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37</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9</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九、卫生健康支出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38</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10</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十、节能环保支出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39</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11</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十一、城乡社区支出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40</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12</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十二、农林水支出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41</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50"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13</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十三、交通运输支出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42</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14</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十四、资源勘探信息等支出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43</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15</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十五、商业服务业等支出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44</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16</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十六、金融支出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45</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17</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十七、援助其他地区支出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46</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18</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十八、自然资源海洋气象等支出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47</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19</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十九、住房保障支出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48</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20</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二十、粮油物资储备支出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49</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21</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二十一、灾害防治及应急管理支出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50</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14"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22</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二十二、其他支出</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51</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1075.77</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1075.77</w:t>
            </w: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0.00</w:t>
            </w:r>
          </w:p>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w:t>
            </w: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23</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52</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本年收入合计</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24</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b/>
                <w:bCs/>
                <w:color w:val="000000"/>
                <w:kern w:val="0"/>
                <w:sz w:val="15"/>
                <w:szCs w:val="15"/>
                <w:lang w:val="en-US" w:eastAsia="zh-CN"/>
              </w:rPr>
              <w:t>5659.50</w:t>
            </w:r>
            <w:r>
              <w:rPr>
                <w:rFonts w:hint="eastAsia" w:ascii="仿宋" w:hAnsi="仿宋" w:eastAsia="仿宋" w:cs="仿宋"/>
                <w:color w:val="000000"/>
                <w:kern w:val="0"/>
                <w:sz w:val="15"/>
                <w:szCs w:val="15"/>
              </w:rPr>
              <w:t>　</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本年支出合计</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53</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b/>
                <w:bCs/>
                <w:color w:val="000000"/>
                <w:kern w:val="0"/>
                <w:sz w:val="15"/>
                <w:szCs w:val="15"/>
              </w:rPr>
              <w:t>　</w:t>
            </w:r>
            <w:r>
              <w:rPr>
                <w:rFonts w:hint="eastAsia" w:ascii="仿宋" w:hAnsi="仿宋" w:eastAsia="仿宋" w:cs="仿宋"/>
                <w:b/>
                <w:bCs/>
                <w:color w:val="000000"/>
                <w:kern w:val="0"/>
                <w:sz w:val="15"/>
                <w:szCs w:val="15"/>
                <w:lang w:val="en-US" w:eastAsia="zh-CN"/>
              </w:rPr>
              <w:t>5260.18</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5260.18</w:t>
            </w: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年初财政拨款结转和结余</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25</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1075.77</w:t>
            </w:r>
            <w:r>
              <w:rPr>
                <w:rFonts w:hint="eastAsia" w:ascii="仿宋" w:hAnsi="仿宋" w:eastAsia="仿宋" w:cs="仿宋"/>
                <w:color w:val="000000"/>
                <w:kern w:val="0"/>
                <w:sz w:val="15"/>
                <w:szCs w:val="15"/>
              </w:rPr>
              <w:t>　</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年末财政拨款结转和结余</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54</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1475.09</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1475.09</w:t>
            </w: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一般公共预算财政拨款</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26</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1075.77</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55</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政府性基金预算财政拨款</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27</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56</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国有资本经营预算财政拨款</w:t>
            </w:r>
          </w:p>
        </w:tc>
        <w:tc>
          <w:tcPr>
            <w:tcW w:w="4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28</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33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04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57</w:t>
            </w:r>
          </w:p>
        </w:tc>
        <w:tc>
          <w:tcPr>
            <w:tcW w:w="134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cantSplit/>
          <w:trHeight w:val="235" w:hRule="exact"/>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总计</w:t>
            </w:r>
          </w:p>
        </w:tc>
        <w:tc>
          <w:tcPr>
            <w:tcW w:w="42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29</w:t>
            </w:r>
          </w:p>
        </w:tc>
        <w:tc>
          <w:tcPr>
            <w:tcW w:w="10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b/>
                <w:bCs/>
                <w:color w:val="000000"/>
                <w:kern w:val="0"/>
                <w:sz w:val="15"/>
                <w:szCs w:val="15"/>
              </w:rPr>
              <w:t>　</w:t>
            </w:r>
            <w:r>
              <w:rPr>
                <w:rFonts w:hint="eastAsia" w:ascii="仿宋" w:hAnsi="仿宋" w:eastAsia="仿宋" w:cs="仿宋"/>
                <w:b/>
                <w:bCs/>
                <w:color w:val="000000"/>
                <w:kern w:val="0"/>
                <w:sz w:val="15"/>
                <w:szCs w:val="15"/>
                <w:lang w:val="en-US" w:eastAsia="zh-CN"/>
              </w:rPr>
              <w:t>6735.27</w:t>
            </w:r>
          </w:p>
        </w:tc>
        <w:tc>
          <w:tcPr>
            <w:tcW w:w="3336"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总计</w:t>
            </w:r>
          </w:p>
        </w:tc>
        <w:tc>
          <w:tcPr>
            <w:tcW w:w="1043" w:type="dxa"/>
            <w:gridSpan w:val="2"/>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58</w:t>
            </w:r>
          </w:p>
        </w:tc>
        <w:tc>
          <w:tcPr>
            <w:tcW w:w="1341"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b/>
                <w:bCs/>
                <w:color w:val="000000"/>
                <w:kern w:val="0"/>
                <w:sz w:val="15"/>
                <w:szCs w:val="15"/>
              </w:rPr>
              <w:t>　</w:t>
            </w:r>
            <w:r>
              <w:rPr>
                <w:rFonts w:hint="eastAsia" w:ascii="仿宋" w:hAnsi="仿宋" w:eastAsia="仿宋" w:cs="仿宋"/>
                <w:b/>
                <w:bCs/>
                <w:color w:val="000000"/>
                <w:kern w:val="0"/>
                <w:sz w:val="15"/>
                <w:szCs w:val="15"/>
                <w:lang w:val="en-US" w:eastAsia="zh-CN"/>
              </w:rPr>
              <w:t>6735.27</w:t>
            </w:r>
          </w:p>
        </w:tc>
        <w:tc>
          <w:tcPr>
            <w:tcW w:w="145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6735.27</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15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r>
      <w:tr>
        <w:tblPrEx>
          <w:tblCellMar>
            <w:top w:w="0" w:type="dxa"/>
            <w:left w:w="108" w:type="dxa"/>
            <w:bottom w:w="0" w:type="dxa"/>
            <w:right w:w="108" w:type="dxa"/>
          </w:tblCellMar>
        </w:tblPrEx>
        <w:trPr>
          <w:cantSplit/>
          <w:trHeight w:val="235" w:hRule="exact"/>
        </w:trPr>
        <w:tc>
          <w:tcPr>
            <w:tcW w:w="15180" w:type="dxa"/>
            <w:gridSpan w:val="10"/>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 w:hAnsi="仿宋" w:eastAsia="仿宋" w:cs="仿宋"/>
                <w:color w:val="000000"/>
                <w:kern w:val="0"/>
                <w:sz w:val="15"/>
                <w:szCs w:val="15"/>
              </w:rPr>
            </w:pPr>
            <w:r>
              <w:rPr>
                <w:rFonts w:hint="eastAsia" w:ascii="仿宋" w:hAnsi="仿宋" w:eastAsia="仿宋" w:cs="仿宋"/>
                <w:color w:val="000000"/>
                <w:kern w:val="0"/>
                <w:sz w:val="21"/>
                <w:szCs w:val="21"/>
              </w:rPr>
              <w:t>注：本表反映部门本年度一般公共预算财政拨款、政府性基金预算财政拨款和国有资本经营预算财政拨款的总收支和年末结转结余情况。</w:t>
            </w:r>
          </w:p>
        </w:tc>
      </w:tr>
    </w:tbl>
    <w:p>
      <w:pPr>
        <w:widowControl/>
        <w:ind w:left="93"/>
        <w:jc w:val="center"/>
        <w:rPr>
          <w:rFonts w:ascii="Times New Roman" w:hAnsi="Times New Roman" w:eastAsia="方正小标宋_GBK" w:cs="Times New Roman"/>
          <w:color w:val="000000"/>
          <w:kern w:val="0"/>
          <w:sz w:val="36"/>
          <w:szCs w:val="21"/>
        </w:rPr>
      </w:pPr>
    </w:p>
    <w:p>
      <w:pPr>
        <w:rPr>
          <w:rFonts w:hint="eastAsia" w:ascii="仿宋" w:hAnsi="仿宋" w:eastAsia="仿宋" w:cs="仿宋"/>
          <w:kern w:val="0"/>
          <w:sz w:val="30"/>
          <w:szCs w:val="30"/>
        </w:rPr>
      </w:pPr>
      <w:bookmarkStart w:id="0" w:name="RANGE!A1:F16"/>
      <w:r>
        <w:rPr>
          <w:rFonts w:hint="eastAsia" w:ascii="仿宋" w:hAnsi="仿宋" w:eastAsia="仿宋" w:cs="仿宋"/>
          <w:kern w:val="0"/>
          <w:sz w:val="30"/>
          <w:szCs w:val="30"/>
        </w:rPr>
        <w:br w:type="page"/>
      </w:r>
    </w:p>
    <w:p>
      <w:pPr>
        <w:widowControl/>
        <w:jc w:val="center"/>
        <w:rPr>
          <w:rFonts w:hint="eastAsia" w:ascii="仿宋" w:hAnsi="仿宋" w:eastAsia="仿宋" w:cs="仿宋"/>
          <w:kern w:val="0"/>
          <w:sz w:val="30"/>
          <w:szCs w:val="30"/>
        </w:rPr>
      </w:pPr>
      <w:r>
        <w:rPr>
          <w:rFonts w:hint="eastAsia" w:ascii="仿宋" w:hAnsi="仿宋" w:eastAsia="仿宋" w:cs="仿宋"/>
          <w:kern w:val="0"/>
          <w:sz w:val="30"/>
          <w:szCs w:val="30"/>
        </w:rPr>
        <w:t>一般公共预算财政拨款支出决算表</w:t>
      </w:r>
      <w:bookmarkEnd w:id="0"/>
    </w:p>
    <w:p>
      <w:pPr>
        <w:widowControl/>
        <w:spacing w:beforeLines="50"/>
        <w:jc w:val="left"/>
        <w:rPr>
          <w:rFonts w:hint="eastAsia" w:ascii="仿宋" w:hAnsi="仿宋" w:eastAsia="仿宋" w:cs="仿宋"/>
          <w:kern w:val="0"/>
          <w:sz w:val="21"/>
          <w:szCs w:val="21"/>
          <w:lang w:val="en-US" w:eastAsia="zh-CN"/>
        </w:rPr>
      </w:pPr>
      <w:r>
        <w:rPr>
          <w:rFonts w:hint="eastAsia" w:ascii="仿宋" w:hAnsi="仿宋" w:eastAsia="仿宋" w:cs="仿宋"/>
          <w:color w:val="000000"/>
          <w:kern w:val="0"/>
          <w:szCs w:val="21"/>
        </w:rPr>
        <w:t xml:space="preserve">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21"/>
          <w:szCs w:val="21"/>
          <w:lang w:val="en-US" w:eastAsia="zh-CN"/>
        </w:rPr>
        <w:t xml:space="preserve"> 部门： 岳阳市住房公积金管理中心 </w:t>
      </w:r>
      <w:r>
        <w:rPr>
          <w:rFonts w:hint="eastAsia" w:ascii="仿宋" w:hAnsi="仿宋" w:eastAsia="仿宋" w:cs="仿宋"/>
          <w:kern w:val="0"/>
          <w:sz w:val="18"/>
          <w:szCs w:val="18"/>
          <w:lang w:val="en-US" w:eastAsia="zh-CN"/>
        </w:rPr>
        <w:t xml:space="preserve">     </w:t>
      </w:r>
      <w:r>
        <w:rPr>
          <w:rFonts w:hint="eastAsia" w:ascii="仿宋" w:hAnsi="仿宋" w:eastAsia="仿宋" w:cs="仿宋"/>
          <w:color w:val="000000"/>
          <w:kern w:val="0"/>
          <w:szCs w:val="21"/>
        </w:rPr>
        <w:t xml:space="preserve">                                       </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 xml:space="preserve">                                         </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 xml:space="preserve"> </w:t>
      </w:r>
      <w:r>
        <w:rPr>
          <w:rFonts w:hint="eastAsia" w:ascii="仿宋" w:hAnsi="仿宋" w:eastAsia="仿宋" w:cs="仿宋"/>
          <w:kern w:val="0"/>
          <w:sz w:val="21"/>
          <w:szCs w:val="21"/>
          <w:lang w:val="en-US" w:eastAsia="zh-CN"/>
        </w:rPr>
        <w:t>公开05表</w:t>
      </w:r>
    </w:p>
    <w:p>
      <w:pPr>
        <w:widowControl/>
        <w:spacing w:beforeLines="5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4613"/>
        <w:gridCol w:w="3030"/>
        <w:gridCol w:w="2760"/>
        <w:gridCol w:w="2616"/>
      </w:tblGrid>
      <w:tr>
        <w:tblPrEx>
          <w:tblCellMar>
            <w:top w:w="0" w:type="dxa"/>
            <w:left w:w="108" w:type="dxa"/>
            <w:bottom w:w="0" w:type="dxa"/>
            <w:right w:w="108" w:type="dxa"/>
          </w:tblCellMar>
        </w:tblPrEx>
        <w:trPr>
          <w:trHeight w:val="405" w:hRule="atLeast"/>
          <w:jc w:val="center"/>
        </w:trPr>
        <w:tc>
          <w:tcPr>
            <w:tcW w:w="581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kern w:val="0"/>
                <w:szCs w:val="21"/>
              </w:rPr>
            </w:pPr>
            <w:r>
              <w:rPr>
                <w:rFonts w:hint="eastAsia" w:ascii="仿宋" w:hAnsi="仿宋" w:eastAsia="仿宋" w:cs="仿宋"/>
                <w:b w:val="0"/>
                <w:bCs/>
                <w:kern w:val="0"/>
                <w:szCs w:val="21"/>
              </w:rPr>
              <w:t xml:space="preserve">项 </w:t>
            </w:r>
            <w:r>
              <w:rPr>
                <w:rFonts w:hint="eastAsia" w:ascii="仿宋" w:hAnsi="仿宋" w:eastAsia="仿宋" w:cs="仿宋"/>
                <w:b w:val="0"/>
                <w:bCs/>
                <w:color w:val="000000"/>
                <w:kern w:val="0"/>
                <w:szCs w:val="21"/>
              </w:rPr>
              <w:t xml:space="preserve">   </w:t>
            </w:r>
            <w:r>
              <w:rPr>
                <w:rFonts w:hint="eastAsia" w:ascii="仿宋" w:hAnsi="仿宋" w:eastAsia="仿宋" w:cs="仿宋"/>
                <w:b w:val="0"/>
                <w:bCs/>
                <w:kern w:val="0"/>
                <w:szCs w:val="21"/>
              </w:rPr>
              <w:t>目</w:t>
            </w:r>
          </w:p>
        </w:tc>
        <w:tc>
          <w:tcPr>
            <w:tcW w:w="8406"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仿宋" w:hAnsi="仿宋" w:eastAsia="仿宋" w:cs="仿宋"/>
                <w:b w:val="0"/>
                <w:bCs/>
                <w:kern w:val="0"/>
                <w:szCs w:val="21"/>
              </w:rPr>
            </w:pPr>
            <w:r>
              <w:rPr>
                <w:rFonts w:hint="eastAsia" w:ascii="仿宋" w:hAnsi="仿宋" w:eastAsia="仿宋" w:cs="仿宋"/>
                <w:b w:val="0"/>
                <w:bCs/>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kern w:val="0"/>
                <w:szCs w:val="21"/>
              </w:rPr>
            </w:pPr>
            <w:r>
              <w:rPr>
                <w:rFonts w:hint="eastAsia" w:ascii="仿宋" w:hAnsi="仿宋" w:eastAsia="仿宋" w:cs="仿宋"/>
                <w:b w:val="0"/>
                <w:bCs/>
                <w:kern w:val="0"/>
                <w:szCs w:val="21"/>
              </w:rPr>
              <w:t>功能分类科目编码</w:t>
            </w:r>
          </w:p>
        </w:tc>
        <w:tc>
          <w:tcPr>
            <w:tcW w:w="46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kern w:val="0"/>
                <w:szCs w:val="21"/>
              </w:rPr>
            </w:pPr>
            <w:r>
              <w:rPr>
                <w:rFonts w:hint="eastAsia" w:ascii="仿宋" w:hAnsi="仿宋" w:eastAsia="仿宋" w:cs="仿宋"/>
                <w:b w:val="0"/>
                <w:bCs/>
                <w:kern w:val="0"/>
                <w:szCs w:val="21"/>
              </w:rPr>
              <w:t>科目名称</w:t>
            </w:r>
          </w:p>
        </w:tc>
        <w:tc>
          <w:tcPr>
            <w:tcW w:w="30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b w:val="0"/>
                <w:bCs/>
                <w:kern w:val="0"/>
                <w:szCs w:val="21"/>
              </w:rPr>
            </w:pPr>
            <w:r>
              <w:rPr>
                <w:rFonts w:hint="eastAsia" w:ascii="仿宋" w:hAnsi="仿宋" w:eastAsia="仿宋" w:cs="仿宋"/>
                <w:b w:val="0"/>
                <w:bCs/>
                <w:kern w:val="0"/>
                <w:szCs w:val="21"/>
              </w:rPr>
              <w:t>小计</w:t>
            </w:r>
          </w:p>
        </w:tc>
        <w:tc>
          <w:tcPr>
            <w:tcW w:w="2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b w:val="0"/>
                <w:bCs/>
                <w:kern w:val="0"/>
                <w:szCs w:val="21"/>
              </w:rPr>
            </w:pPr>
            <w:r>
              <w:rPr>
                <w:rFonts w:hint="eastAsia" w:ascii="仿宋" w:hAnsi="仿宋" w:eastAsia="仿宋" w:cs="仿宋"/>
                <w:b w:val="0"/>
                <w:bCs/>
                <w:kern w:val="0"/>
                <w:szCs w:val="21"/>
              </w:rPr>
              <w:t>基本支出</w:t>
            </w:r>
          </w:p>
        </w:tc>
        <w:tc>
          <w:tcPr>
            <w:tcW w:w="2616"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仿宋" w:hAnsi="仿宋" w:eastAsia="仿宋" w:cs="仿宋"/>
                <w:b w:val="0"/>
                <w:bCs/>
                <w:kern w:val="0"/>
                <w:szCs w:val="21"/>
              </w:rPr>
            </w:pPr>
            <w:r>
              <w:rPr>
                <w:rFonts w:hint="eastAsia" w:ascii="仿宋" w:hAnsi="仿宋" w:eastAsia="仿宋" w:cs="仿宋"/>
                <w:b w:val="0"/>
                <w:bCs/>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461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303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Cs w:val="21"/>
              </w:rPr>
            </w:pPr>
          </w:p>
        </w:tc>
        <w:tc>
          <w:tcPr>
            <w:tcW w:w="27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Cs w:val="21"/>
              </w:rPr>
            </w:pPr>
          </w:p>
        </w:tc>
        <w:tc>
          <w:tcPr>
            <w:tcW w:w="2616"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仿宋" w:hAnsi="仿宋" w:eastAsia="仿宋" w:cs="仿宋"/>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461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303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Cs w:val="21"/>
              </w:rPr>
            </w:pPr>
          </w:p>
        </w:tc>
        <w:tc>
          <w:tcPr>
            <w:tcW w:w="276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Cs w:val="21"/>
              </w:rPr>
            </w:pPr>
          </w:p>
        </w:tc>
        <w:tc>
          <w:tcPr>
            <w:tcW w:w="2616"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仿宋" w:hAnsi="仿宋" w:eastAsia="仿宋" w:cs="仿宋"/>
                <w:kern w:val="0"/>
                <w:szCs w:val="21"/>
              </w:rPr>
            </w:pPr>
          </w:p>
        </w:tc>
      </w:tr>
      <w:tr>
        <w:tblPrEx>
          <w:tblCellMar>
            <w:top w:w="0" w:type="dxa"/>
            <w:left w:w="108" w:type="dxa"/>
            <w:bottom w:w="0" w:type="dxa"/>
            <w:right w:w="108" w:type="dxa"/>
          </w:tblCellMar>
        </w:tblPrEx>
        <w:trPr>
          <w:trHeight w:val="450" w:hRule="atLeast"/>
          <w:jc w:val="center"/>
        </w:trPr>
        <w:tc>
          <w:tcPr>
            <w:tcW w:w="581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栏次</w:t>
            </w:r>
          </w:p>
        </w:tc>
        <w:tc>
          <w:tcPr>
            <w:tcW w:w="303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27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2</w:t>
            </w:r>
          </w:p>
        </w:tc>
        <w:tc>
          <w:tcPr>
            <w:tcW w:w="2616"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3</w:t>
            </w:r>
          </w:p>
        </w:tc>
      </w:tr>
      <w:tr>
        <w:tblPrEx>
          <w:tblCellMar>
            <w:top w:w="0" w:type="dxa"/>
            <w:left w:w="108" w:type="dxa"/>
            <w:bottom w:w="0" w:type="dxa"/>
            <w:right w:w="108" w:type="dxa"/>
          </w:tblCellMar>
        </w:tblPrEx>
        <w:trPr>
          <w:trHeight w:val="450" w:hRule="atLeast"/>
          <w:jc w:val="center"/>
        </w:trPr>
        <w:tc>
          <w:tcPr>
            <w:tcW w:w="581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合计</w:t>
            </w:r>
          </w:p>
        </w:tc>
        <w:tc>
          <w:tcPr>
            <w:tcW w:w="303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rPr>
              <w:t>　</w:t>
            </w:r>
            <w:r>
              <w:rPr>
                <w:rFonts w:hint="eastAsia" w:ascii="仿宋" w:hAnsi="仿宋" w:eastAsia="仿宋" w:cs="仿宋"/>
                <w:kern w:val="0"/>
                <w:szCs w:val="21"/>
                <w:lang w:val="en-US" w:eastAsia="zh-CN"/>
              </w:rPr>
              <w:t>5260.18</w:t>
            </w:r>
          </w:p>
        </w:tc>
        <w:tc>
          <w:tcPr>
            <w:tcW w:w="27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5260.18</w:t>
            </w:r>
            <w:r>
              <w:rPr>
                <w:rFonts w:hint="eastAsia" w:ascii="仿宋" w:hAnsi="仿宋" w:eastAsia="仿宋" w:cs="仿宋"/>
                <w:kern w:val="0"/>
                <w:szCs w:val="21"/>
              </w:rPr>
              <w:t>　</w:t>
            </w:r>
          </w:p>
        </w:tc>
        <w:tc>
          <w:tcPr>
            <w:tcW w:w="2616"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2010399</w:t>
            </w:r>
          </w:p>
        </w:tc>
        <w:tc>
          <w:tcPr>
            <w:tcW w:w="461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其他政府办公厅（室）及相关机构事务支出</w:t>
            </w:r>
          </w:p>
        </w:tc>
        <w:tc>
          <w:tcPr>
            <w:tcW w:w="303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4184.41</w:t>
            </w:r>
          </w:p>
        </w:tc>
        <w:tc>
          <w:tcPr>
            <w:tcW w:w="27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4184.41</w:t>
            </w:r>
            <w:r>
              <w:rPr>
                <w:rFonts w:hint="eastAsia" w:ascii="仿宋" w:hAnsi="仿宋" w:eastAsia="仿宋" w:cs="仿宋"/>
                <w:kern w:val="0"/>
                <w:szCs w:val="21"/>
              </w:rPr>
              <w:t>　</w:t>
            </w:r>
          </w:p>
        </w:tc>
        <w:tc>
          <w:tcPr>
            <w:tcW w:w="2616"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2299901　</w:t>
            </w:r>
          </w:p>
        </w:tc>
        <w:tc>
          <w:tcPr>
            <w:tcW w:w="461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其他支出　</w:t>
            </w:r>
          </w:p>
        </w:tc>
        <w:tc>
          <w:tcPr>
            <w:tcW w:w="303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1075.77</w:t>
            </w:r>
          </w:p>
        </w:tc>
        <w:tc>
          <w:tcPr>
            <w:tcW w:w="276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1075.77</w:t>
            </w:r>
            <w:r>
              <w:rPr>
                <w:rFonts w:hint="eastAsia" w:ascii="仿宋" w:hAnsi="仿宋" w:eastAsia="仿宋" w:cs="仿宋"/>
                <w:kern w:val="0"/>
                <w:szCs w:val="21"/>
              </w:rPr>
              <w:t>　</w:t>
            </w:r>
          </w:p>
        </w:tc>
        <w:tc>
          <w:tcPr>
            <w:tcW w:w="2616"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461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30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7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616"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461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30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7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616"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461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303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76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616"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4613" w:type="dxa"/>
            <w:tcBorders>
              <w:top w:val="nil"/>
              <w:left w:val="nil"/>
              <w:bottom w:val="single" w:color="auto" w:sz="8"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303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76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616" w:type="dxa"/>
            <w:tcBorders>
              <w:top w:val="nil"/>
              <w:left w:val="nil"/>
              <w:bottom w:val="single" w:color="auto" w:sz="8" w:space="0"/>
              <w:right w:val="single" w:color="auto" w:sz="8" w:space="0"/>
            </w:tcBorders>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hint="eastAsia"/>
              </w:rPr>
            </w:pPr>
            <w:r>
              <w:rPr>
                <w:rFonts w:hint="eastAsia"/>
              </w:rPr>
              <w:t>注：本表反映部门本年度一般公共预算财政拨款支出情况。</w:t>
            </w:r>
          </w:p>
          <w:p>
            <w:pPr>
              <w:pStyle w:val="2"/>
              <w:rPr>
                <w:rFonts w:hint="eastAsia"/>
              </w:rPr>
            </w:pPr>
          </w:p>
        </w:tc>
      </w:tr>
    </w:tbl>
    <w:tbl>
      <w:tblPr>
        <w:tblStyle w:val="3"/>
        <w:tblpPr w:leftFromText="180" w:rightFromText="180" w:vertAnchor="text" w:horzAnchor="page" w:tblpX="1922" w:tblpY="99"/>
        <w:tblOverlap w:val="never"/>
        <w:tblW w:w="0" w:type="auto"/>
        <w:tblInd w:w="0" w:type="dxa"/>
        <w:tblLayout w:type="autofit"/>
        <w:tblCellMar>
          <w:top w:w="0" w:type="dxa"/>
          <w:left w:w="108" w:type="dxa"/>
          <w:bottom w:w="0" w:type="dxa"/>
          <w:right w:w="108" w:type="dxa"/>
        </w:tblCellMar>
      </w:tblPr>
      <w:tblGrid>
        <w:gridCol w:w="819"/>
        <w:gridCol w:w="2500"/>
        <w:gridCol w:w="841"/>
        <w:gridCol w:w="875"/>
        <w:gridCol w:w="1773"/>
        <w:gridCol w:w="852"/>
        <w:gridCol w:w="1000"/>
        <w:gridCol w:w="3080"/>
        <w:gridCol w:w="795"/>
      </w:tblGrid>
      <w:tr>
        <w:tblPrEx>
          <w:tblCellMar>
            <w:top w:w="0" w:type="dxa"/>
            <w:left w:w="108" w:type="dxa"/>
            <w:bottom w:w="0" w:type="dxa"/>
            <w:right w:w="108" w:type="dxa"/>
          </w:tblCellMar>
        </w:tblPrEx>
        <w:trPr>
          <w:trHeight w:val="1196" w:hRule="atLeast"/>
        </w:trPr>
        <w:tc>
          <w:tcPr>
            <w:tcW w:w="12535" w:type="dxa"/>
            <w:gridSpan w:val="9"/>
            <w:tcBorders>
              <w:top w:val="nil"/>
              <w:left w:val="nil"/>
              <w:bottom w:val="nil"/>
              <w:right w:val="nil"/>
            </w:tcBorders>
            <w:shd w:val="clear" w:color="auto" w:fill="auto"/>
            <w:noWrap/>
            <w:vAlign w:val="center"/>
          </w:tcPr>
          <w:p>
            <w:pPr>
              <w:widowControl/>
              <w:spacing w:afterAutospacing="0"/>
              <w:jc w:val="center"/>
              <w:rPr>
                <w:rFonts w:hint="eastAsia" w:ascii="仿宋" w:hAnsi="仿宋" w:eastAsia="仿宋" w:cs="仿宋"/>
                <w:color w:val="000000"/>
                <w:kern w:val="0"/>
                <w:sz w:val="30"/>
                <w:szCs w:val="30"/>
              </w:rPr>
            </w:pPr>
            <w:bookmarkStart w:id="1" w:name="RANGE!A1:I34"/>
            <w:r>
              <w:rPr>
                <w:rFonts w:hint="eastAsia" w:ascii="仿宋" w:hAnsi="仿宋" w:eastAsia="仿宋" w:cs="仿宋"/>
                <w:color w:val="000000"/>
                <w:kern w:val="0"/>
                <w:sz w:val="30"/>
                <w:szCs w:val="30"/>
              </w:rPr>
              <w:t>一般公共预算财政拨款基本支出决算表</w:t>
            </w:r>
            <w:bookmarkEnd w:id="1"/>
          </w:p>
          <w:p>
            <w:pPr>
              <w:widowControl/>
              <w:wordWrap w:val="0"/>
              <w:spacing w:beforeAutospacing="0"/>
              <w:jc w:val="right"/>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部门： 岳阳市住房公积金管理中心</w:t>
            </w:r>
            <w:r>
              <w:rPr>
                <w:rFonts w:hint="eastAsia" w:ascii="仿宋" w:hAnsi="仿宋" w:eastAsia="仿宋" w:cs="仿宋"/>
                <w:color w:val="000000"/>
                <w:kern w:val="0"/>
                <w:szCs w:val="21"/>
              </w:rPr>
              <w:t xml:space="preserve">  </w:t>
            </w:r>
            <w:r>
              <w:rPr>
                <w:rFonts w:hint="eastAsia" w:ascii="仿宋" w:hAnsi="仿宋" w:eastAsia="仿宋" w:cs="仿宋"/>
                <w:color w:val="000000"/>
                <w:kern w:val="0"/>
                <w:sz w:val="15"/>
                <w:szCs w:val="15"/>
              </w:rPr>
              <w:t xml:space="preserve">                                                                                                                          </w:t>
            </w:r>
            <w:r>
              <w:rPr>
                <w:rFonts w:hint="eastAsia" w:ascii="仿宋" w:hAnsi="仿宋" w:eastAsia="仿宋" w:cs="仿宋"/>
                <w:color w:val="000000"/>
                <w:kern w:val="0"/>
                <w:sz w:val="21"/>
                <w:szCs w:val="21"/>
              </w:rPr>
              <w:t>公开06表</w:t>
            </w:r>
          </w:p>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21"/>
                <w:szCs w:val="21"/>
              </w:rPr>
              <w:t>单位：万元</w:t>
            </w:r>
          </w:p>
        </w:tc>
      </w:tr>
      <w:tr>
        <w:tblPrEx>
          <w:tblCellMar>
            <w:top w:w="0" w:type="dxa"/>
            <w:left w:w="108" w:type="dxa"/>
            <w:bottom w:w="0" w:type="dxa"/>
            <w:right w:w="108" w:type="dxa"/>
          </w:tblCellMar>
        </w:tblPrEx>
        <w:trPr>
          <w:trHeight w:val="113" w:hRule="atLeast"/>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经济分类科目编码</w:t>
            </w:r>
          </w:p>
        </w:tc>
        <w:tc>
          <w:tcPr>
            <w:tcW w:w="2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科目名称</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决算数</w:t>
            </w:r>
          </w:p>
        </w:tc>
        <w:tc>
          <w:tcPr>
            <w:tcW w:w="8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经济分类科目编码</w:t>
            </w:r>
          </w:p>
        </w:tc>
        <w:tc>
          <w:tcPr>
            <w:tcW w:w="17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科目名称</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决算数</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经济分类科目编码</w:t>
            </w:r>
          </w:p>
        </w:tc>
        <w:tc>
          <w:tcPr>
            <w:tcW w:w="3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科目名称</w:t>
            </w:r>
          </w:p>
        </w:tc>
        <w:tc>
          <w:tcPr>
            <w:tcW w:w="7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决算数</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工资福利支出</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2865.96</w:t>
            </w: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2865.96</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商品和服务支出</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1563.48</w:t>
            </w:r>
            <w:r>
              <w:rPr>
                <w:rFonts w:hint="eastAsia" w:ascii="仿宋" w:hAnsi="仿宋" w:eastAsia="仿宋" w:cs="仿宋"/>
                <w:color w:val="000000"/>
                <w:kern w:val="0"/>
                <w:sz w:val="15"/>
                <w:szCs w:val="15"/>
              </w:rPr>
              <w:t>　</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307</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债务利息及费用支出</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30101</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基本工资</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662.87</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30201</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办公费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106.20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30701</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国内债务付息</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30102</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津贴补贴</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p>
            <w:pPr>
              <w:widowControl/>
              <w:jc w:val="right"/>
              <w:rPr>
                <w:rFonts w:hint="eastAsia" w:ascii="仿宋" w:hAnsi="仿宋" w:eastAsia="仿宋" w:cs="仿宋"/>
                <w:color w:val="000000"/>
                <w:kern w:val="0"/>
                <w:sz w:val="15"/>
                <w:szCs w:val="15"/>
                <w:lang w:val="en-US" w:eastAsia="zh-CN"/>
              </w:rPr>
            </w:pP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30202</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印刷费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28.76</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30702</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国外债务付息</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30103</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奖金</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0.00</w:t>
            </w:r>
          </w:p>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30203</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咨询费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资本性支出</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749.21</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30106</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伙食补助费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0.00</w:t>
            </w:r>
          </w:p>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30204</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手续费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31001</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房屋建筑物购建</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30107</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绩效工资</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1278.27</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30205</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水费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7.58</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31002</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办公设备购置</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124.69</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30108</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机关事业单位基本养老保险缴费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145.65</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30206</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电费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53.33</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31003</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专用设备购置</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323.85</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30109</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职业年金缴费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68.96</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30207</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邮电费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12.83</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31005</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基础设施建设</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30110</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职工基本医疗保险缴费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188.94</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30208</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取暖费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31006</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大型修缮</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30111</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公务员医疗补助缴费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0.00</w:t>
            </w:r>
          </w:p>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30209</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物业管理费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54.70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31007</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信息网络及软件购置更新</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281.09</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30112</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其他社会保障缴费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17.28</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30211</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差旅费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67.47</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31008</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物资储备</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30113</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住房公积金</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227.38</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30212</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因公出国（境）费用</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31009</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土地补偿</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30114</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医疗费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lang w:val="en-US" w:eastAsia="zh-CN"/>
              </w:rPr>
              <w:t>0.00</w:t>
            </w:r>
          </w:p>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30213</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维修（护）费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43.53</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31010</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安置补助</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30199</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其他工资福利支出</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276.61</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30214</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租赁费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77.06</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31011</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地上附着物和青苗补偿</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对个人和家庭的补助</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81.53</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30215</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会议费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7.01</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31012</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拆迁补偿</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30301</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离休费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30216</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培训费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55.61</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31013</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公务用车购置</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19.58</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30302</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退休费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67.87</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30217</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公务接待费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8.34</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31019</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其他交通工具购置</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30303</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退职（役）费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30218</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专用材料费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122.35</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31021</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文物和陈列品购置</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30304</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抚恤金</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30224</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被装购置费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p>
            <w:pPr>
              <w:widowControl/>
              <w:jc w:val="right"/>
              <w:rPr>
                <w:rFonts w:hint="eastAsia" w:ascii="仿宋" w:hAnsi="仿宋" w:eastAsia="仿宋" w:cs="仿宋"/>
                <w:color w:val="000000"/>
                <w:kern w:val="0"/>
                <w:sz w:val="15"/>
                <w:szCs w:val="15"/>
                <w:lang w:val="en-US" w:eastAsia="zh-CN"/>
              </w:rPr>
            </w:pP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31022</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无形资产购置</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30305</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生活补助</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30225</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专用燃料费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31099</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其他资本性支出</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30306</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救济费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30226</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劳务费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98.54</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399</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其他支出</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30307</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医疗费补助</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30227</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委托业务费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0.00</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39906</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赠与</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30308</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助学金</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30228</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工会经费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20.35</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39907</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国家赔偿费用支出</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30309</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奖励金</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30229</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福利费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50.65</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39908</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对民间非营利组织和群众性自治组织补贴</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30310</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个人农业生产补贴</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30231</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公务用车运行维护费</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8.47</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39999</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其他支出</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30311</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代缴社会保险费</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0.00</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30239</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其他交通费用</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75.16</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30399</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其他对个人和家庭的补助</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lang w:val="en-US" w:eastAsia="zh-CN"/>
              </w:rPr>
              <w:t>13.66</w:t>
            </w: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30240</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税金及附加费用</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47.98</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8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30299</w:t>
            </w:r>
          </w:p>
        </w:tc>
        <w:tc>
          <w:tcPr>
            <w:tcW w:w="17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  其他商品和服务支出</w:t>
            </w:r>
          </w:p>
        </w:tc>
        <w:tc>
          <w:tcPr>
            <w:tcW w:w="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lang w:val="en-US" w:eastAsia="zh-CN"/>
              </w:rPr>
            </w:pPr>
            <w:r>
              <w:rPr>
                <w:rFonts w:hint="eastAsia" w:ascii="仿宋" w:hAnsi="仿宋" w:eastAsia="仿宋" w:cs="仿宋"/>
                <w:color w:val="000000"/>
                <w:kern w:val="0"/>
                <w:sz w:val="15"/>
                <w:szCs w:val="15"/>
              </w:rPr>
              <w:t>　</w:t>
            </w:r>
            <w:r>
              <w:rPr>
                <w:rFonts w:hint="eastAsia" w:ascii="仿宋" w:hAnsi="仿宋" w:eastAsia="仿宋" w:cs="仿宋"/>
                <w:color w:val="000000"/>
                <w:kern w:val="0"/>
                <w:sz w:val="15"/>
                <w:szCs w:val="15"/>
                <w:lang w:val="en-US" w:eastAsia="zh-CN"/>
              </w:rPr>
              <w:t>617.56</w:t>
            </w:r>
          </w:p>
        </w:tc>
        <w:tc>
          <w:tcPr>
            <w:tcW w:w="10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3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60" w:hRule="exact"/>
        </w:trPr>
        <w:tc>
          <w:tcPr>
            <w:tcW w:w="33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人员经费合计</w:t>
            </w:r>
          </w:p>
        </w:tc>
        <w:tc>
          <w:tcPr>
            <w:tcW w:w="84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b/>
                <w:bCs/>
                <w:color w:val="000000"/>
                <w:kern w:val="0"/>
                <w:sz w:val="15"/>
                <w:szCs w:val="15"/>
                <w:lang w:val="en-US" w:eastAsia="zh-CN"/>
              </w:rPr>
              <w:t>2947.49</w:t>
            </w:r>
            <w:r>
              <w:rPr>
                <w:rFonts w:hint="eastAsia" w:ascii="仿宋" w:hAnsi="仿宋" w:eastAsia="仿宋" w:cs="仿宋"/>
                <w:color w:val="000000"/>
                <w:kern w:val="0"/>
                <w:sz w:val="15"/>
                <w:szCs w:val="15"/>
              </w:rPr>
              <w:t>　</w:t>
            </w:r>
          </w:p>
        </w:tc>
        <w:tc>
          <w:tcPr>
            <w:tcW w:w="758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公用经费合计</w:t>
            </w:r>
          </w:p>
        </w:tc>
        <w:tc>
          <w:tcPr>
            <w:tcW w:w="7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 w:hAnsi="仿宋" w:eastAsia="仿宋" w:cs="仿宋"/>
                <w:color w:val="000000"/>
                <w:kern w:val="0"/>
                <w:sz w:val="15"/>
                <w:szCs w:val="15"/>
              </w:rPr>
            </w:pPr>
            <w:r>
              <w:rPr>
                <w:rFonts w:hint="eastAsia" w:ascii="仿宋" w:hAnsi="仿宋" w:eastAsia="仿宋" w:cs="仿宋"/>
                <w:b/>
                <w:bCs/>
                <w:color w:val="000000"/>
                <w:kern w:val="0"/>
                <w:sz w:val="15"/>
                <w:szCs w:val="15"/>
                <w:lang w:val="en-US" w:eastAsia="zh-CN"/>
              </w:rPr>
              <w:t>2312.69</w:t>
            </w:r>
            <w:r>
              <w:rPr>
                <w:rFonts w:hint="eastAsia" w:ascii="仿宋" w:hAnsi="仿宋" w:eastAsia="仿宋" w:cs="仿宋"/>
                <w:color w:val="000000"/>
                <w:kern w:val="0"/>
                <w:sz w:val="15"/>
                <w:szCs w:val="15"/>
              </w:rPr>
              <w:t>　</w:t>
            </w:r>
          </w:p>
        </w:tc>
      </w:tr>
      <w:tr>
        <w:tblPrEx>
          <w:tblCellMar>
            <w:top w:w="0" w:type="dxa"/>
            <w:left w:w="108" w:type="dxa"/>
            <w:bottom w:w="0" w:type="dxa"/>
            <w:right w:w="108" w:type="dxa"/>
          </w:tblCellMar>
        </w:tblPrEx>
        <w:trPr>
          <w:trHeight w:val="284" w:hRule="exact"/>
        </w:trPr>
        <w:tc>
          <w:tcPr>
            <w:tcW w:w="12535" w:type="dxa"/>
            <w:gridSpan w:val="9"/>
            <w:tcBorders>
              <w:top w:val="nil"/>
              <w:left w:val="nil"/>
              <w:bottom w:val="nil"/>
              <w:right w:val="nil"/>
            </w:tcBorders>
            <w:shd w:val="clear" w:color="auto" w:fill="auto"/>
            <w:noWrap/>
            <w:vAlign w:val="center"/>
          </w:tcPr>
          <w:p>
            <w:pPr>
              <w:widowControl/>
              <w:jc w:val="left"/>
              <w:rPr>
                <w:rFonts w:hint="eastAsia" w:ascii="仿宋" w:hAnsi="仿宋" w:eastAsia="仿宋" w:cs="仿宋"/>
                <w:color w:val="000000"/>
                <w:kern w:val="0"/>
                <w:sz w:val="15"/>
                <w:szCs w:val="15"/>
              </w:rPr>
            </w:pPr>
            <w:r>
              <w:rPr>
                <w:rFonts w:hint="eastAsia" w:ascii="仿宋" w:hAnsi="仿宋" w:eastAsia="仿宋" w:cs="仿宋"/>
                <w:color w:val="000000"/>
                <w:kern w:val="0"/>
                <w:sz w:val="21"/>
                <w:szCs w:val="21"/>
              </w:rPr>
              <w:t>注：本表反映部门本年度一般公共预算财政拨款基本支出明细情况。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Times New Roman" w:hAnsi="Times New Roman" w:eastAsia="方正小标宋_GBK" w:cs="Times New Roman"/>
          <w:color w:val="000000"/>
          <w:kern w:val="0"/>
          <w:sz w:val="30"/>
          <w:szCs w:val="30"/>
        </w:rPr>
      </w:pPr>
    </w:p>
    <w:p>
      <w:pPr>
        <w:widowControl/>
        <w:jc w:val="center"/>
        <w:rPr>
          <w:rFonts w:hint="eastAsia" w:ascii="仿宋" w:hAnsi="仿宋" w:eastAsia="仿宋" w:cs="仿宋"/>
          <w:color w:val="000000"/>
          <w:kern w:val="0"/>
          <w:sz w:val="30"/>
          <w:szCs w:val="30"/>
        </w:rPr>
      </w:pPr>
      <w:bookmarkStart w:id="2" w:name="_GoBack"/>
      <w:bookmarkEnd w:id="2"/>
      <w:r>
        <w:rPr>
          <w:rFonts w:hint="eastAsia" w:ascii="仿宋" w:hAnsi="仿宋" w:eastAsia="仿宋" w:cs="仿宋"/>
          <w:color w:val="000000"/>
          <w:kern w:val="0"/>
          <w:sz w:val="30"/>
          <w:szCs w:val="30"/>
        </w:rPr>
        <w:t>一般公共预算财政拨款“三公”经费支出决算表</w:t>
      </w:r>
    </w:p>
    <w:p>
      <w:pPr>
        <w:widowControl/>
        <w:ind w:firstLine="420" w:firstLineChars="200"/>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部门： </w:t>
      </w:r>
      <w:r>
        <w:rPr>
          <w:rFonts w:hint="eastAsia" w:ascii="仿宋" w:hAnsi="仿宋" w:eastAsia="仿宋" w:cs="仿宋"/>
          <w:color w:val="000000"/>
          <w:kern w:val="0"/>
          <w:szCs w:val="21"/>
          <w:lang w:val="en-US" w:eastAsia="zh-CN"/>
        </w:rPr>
        <w:t>岳阳市住房公积金管理中心</w:t>
      </w:r>
      <w:r>
        <w:rPr>
          <w:rFonts w:hint="eastAsia" w:ascii="仿宋" w:hAnsi="仿宋" w:eastAsia="仿宋" w:cs="仿宋"/>
          <w:color w:val="000000"/>
          <w:kern w:val="0"/>
          <w:szCs w:val="21"/>
        </w:rPr>
        <w:t xml:space="preserve">                                                                                                  公开07表</w:t>
      </w:r>
    </w:p>
    <w:p>
      <w:pPr>
        <w:widowControl/>
        <w:ind w:right="420"/>
        <w:jc w:val="right"/>
        <w:rPr>
          <w:rFonts w:hint="eastAsia" w:ascii="仿宋" w:hAnsi="仿宋" w:eastAsia="仿宋" w:cs="仿宋"/>
          <w:color w:val="000000"/>
          <w:kern w:val="0"/>
          <w:szCs w:val="21"/>
        </w:rPr>
      </w:pPr>
      <w:r>
        <w:rPr>
          <w:rFonts w:hint="eastAsia" w:ascii="仿宋" w:hAnsi="仿宋" w:eastAsia="仿宋" w:cs="仿宋"/>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公务</w:t>
            </w:r>
          </w:p>
          <w:p>
            <w:pPr>
              <w:widowControl/>
              <w:jc w:val="center"/>
              <w:rPr>
                <w:rFonts w:hint="eastAsia" w:ascii="仿宋" w:hAnsi="仿宋" w:eastAsia="仿宋" w:cs="仿宋"/>
                <w:kern w:val="0"/>
                <w:szCs w:val="21"/>
              </w:rPr>
            </w:pPr>
            <w:r>
              <w:rPr>
                <w:rFonts w:hint="eastAsia" w:ascii="仿宋" w:hAnsi="仿宋" w:eastAsia="仿宋" w:cs="仿宋"/>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公务</w:t>
            </w:r>
          </w:p>
          <w:p>
            <w:pPr>
              <w:widowControl/>
              <w:jc w:val="center"/>
              <w:rPr>
                <w:rFonts w:hint="eastAsia" w:ascii="仿宋" w:hAnsi="仿宋" w:eastAsia="仿宋" w:cs="仿宋"/>
                <w:kern w:val="0"/>
                <w:szCs w:val="21"/>
              </w:rPr>
            </w:pPr>
            <w:r>
              <w:rPr>
                <w:rFonts w:hint="eastAsia" w:ascii="仿宋" w:hAnsi="仿宋" w:eastAsia="仿宋" w:cs="仿宋"/>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hint="eastAsia" w:ascii="仿宋" w:hAnsi="仿宋" w:eastAsia="仿宋" w:cs="仿宋"/>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hint="eastAsia" w:ascii="仿宋" w:hAnsi="仿宋" w:eastAsia="仿宋" w:cs="仿宋"/>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仿宋" w:hAnsi="仿宋" w:eastAsia="仿宋" w:cs="仿宋"/>
                <w:kern w:val="0"/>
                <w:szCs w:val="21"/>
              </w:rPr>
            </w:pPr>
          </w:p>
        </w:tc>
      </w:tr>
      <w:tr>
        <w:tblPrEx>
          <w:tblCellMar>
            <w:top w:w="0" w:type="dxa"/>
            <w:left w:w="108" w:type="dxa"/>
            <w:bottom w:w="0" w:type="dxa"/>
            <w:right w:w="108" w:type="dxa"/>
          </w:tblCellMar>
        </w:tblPrEx>
        <w:trPr>
          <w:trHeight w:val="90"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51.00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36.39</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28.05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19.58</w:t>
            </w:r>
          </w:p>
        </w:tc>
        <w:tc>
          <w:tcPr>
            <w:tcW w:w="1220" w:type="dxa"/>
            <w:tcBorders>
              <w:top w:val="nil"/>
              <w:left w:val="nil"/>
              <w:bottom w:val="single" w:color="auto" w:sz="8" w:space="0"/>
              <w:right w:val="nil"/>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8.47</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8.34</w:t>
            </w:r>
          </w:p>
        </w:tc>
      </w:tr>
    </w:tbl>
    <w:p>
      <w:pPr>
        <w:widowControl/>
        <w:ind w:left="959" w:leftChars="228" w:hanging="480" w:hangingChars="200"/>
        <w:jc w:val="left"/>
        <w:rPr>
          <w:rFonts w:hint="eastAsia" w:ascii="仿宋" w:hAnsi="仿宋" w:eastAsia="仿宋" w:cs="仿宋"/>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w:t>
      </w:r>
    </w:p>
    <w:p>
      <w:pPr>
        <w:widowControl/>
        <w:ind w:left="958" w:leftChars="456"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数是包括当年一般公共预算财政拨款和以前年度结转资金安排的实际支出。</w:t>
      </w:r>
      <w:r>
        <w:rPr>
          <w:rFonts w:hint="eastAsia" w:ascii="仿宋" w:hAnsi="仿宋" w:eastAsia="仿宋" w:cs="仿宋"/>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政府性基金预算财政拨款收入支出决算表</w:t>
      </w:r>
    </w:p>
    <w:p>
      <w:pPr>
        <w:widowControl/>
        <w:wordWrap w:val="0"/>
        <w:ind w:firstLine="420" w:firstLineChars="200"/>
        <w:jc w:val="both"/>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部门： </w:t>
      </w:r>
      <w:r>
        <w:rPr>
          <w:rFonts w:hint="eastAsia" w:ascii="仿宋" w:hAnsi="仿宋" w:eastAsia="仿宋" w:cs="仿宋"/>
          <w:kern w:val="0"/>
          <w:szCs w:val="21"/>
          <w:highlight w:val="none"/>
          <w:lang w:val="en-US" w:eastAsia="zh-CN"/>
        </w:rPr>
        <w:t>岳阳市住房公积金管理中心</w:t>
      </w:r>
      <w:r>
        <w:rPr>
          <w:rFonts w:hint="eastAsia" w:ascii="仿宋" w:hAnsi="仿宋" w:eastAsia="仿宋" w:cs="仿宋"/>
          <w:color w:val="000000"/>
          <w:kern w:val="0"/>
          <w:szCs w:val="21"/>
        </w:rPr>
        <w:t xml:space="preserve">                                       </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 xml:space="preserve">       公开08表</w:t>
      </w:r>
    </w:p>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 xml:space="preserve">项 </w:t>
            </w:r>
            <w:r>
              <w:rPr>
                <w:rFonts w:hint="eastAsia" w:ascii="仿宋" w:hAnsi="仿宋" w:eastAsia="仿宋" w:cs="仿宋"/>
                <w:b/>
                <w:color w:val="000000"/>
                <w:kern w:val="0"/>
                <w:szCs w:val="21"/>
              </w:rPr>
              <w:t xml:space="preserve">   </w:t>
            </w:r>
            <w:r>
              <w:rPr>
                <w:rFonts w:hint="eastAsia" w:ascii="仿宋" w:hAnsi="仿宋" w:eastAsia="仿宋" w:cs="仿宋"/>
                <w:b/>
                <w:kern w:val="0"/>
                <w:szCs w:val="21"/>
              </w:rPr>
              <w:t>目</w:t>
            </w:r>
          </w:p>
        </w:tc>
        <w:tc>
          <w:tcPr>
            <w:tcW w:w="2000" w:type="dxa"/>
            <w:vMerge w:val="restart"/>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年初结转和结余</w:t>
            </w:r>
          </w:p>
        </w:tc>
        <w:tc>
          <w:tcPr>
            <w:tcW w:w="2000" w:type="dxa"/>
            <w:vMerge w:val="restart"/>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本年收入</w:t>
            </w:r>
          </w:p>
        </w:tc>
        <w:tc>
          <w:tcPr>
            <w:tcW w:w="6000" w:type="dxa"/>
            <w:gridSpan w:val="3"/>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本年支出</w:t>
            </w:r>
          </w:p>
        </w:tc>
        <w:tc>
          <w:tcPr>
            <w:tcW w:w="2000" w:type="dxa"/>
            <w:vMerge w:val="restart"/>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功能分类科目编码</w:t>
            </w:r>
          </w:p>
        </w:tc>
        <w:tc>
          <w:tcPr>
            <w:tcW w:w="1320" w:type="dxa"/>
            <w:vMerge w:val="restart"/>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科目名称</w:t>
            </w:r>
          </w:p>
        </w:tc>
        <w:tc>
          <w:tcPr>
            <w:tcW w:w="2000" w:type="dxa"/>
            <w:vMerge w:val="continue"/>
            <w:vAlign w:val="center"/>
          </w:tcPr>
          <w:p>
            <w:pPr>
              <w:widowControl/>
              <w:jc w:val="left"/>
              <w:rPr>
                <w:rFonts w:hint="eastAsia" w:ascii="仿宋" w:hAnsi="仿宋" w:eastAsia="仿宋" w:cs="仿宋"/>
                <w:b/>
                <w:kern w:val="0"/>
                <w:szCs w:val="21"/>
              </w:rPr>
            </w:pPr>
          </w:p>
        </w:tc>
        <w:tc>
          <w:tcPr>
            <w:tcW w:w="2000" w:type="dxa"/>
            <w:vMerge w:val="continue"/>
            <w:vAlign w:val="center"/>
          </w:tcPr>
          <w:p>
            <w:pPr>
              <w:widowControl/>
              <w:jc w:val="left"/>
              <w:rPr>
                <w:rFonts w:hint="eastAsia" w:ascii="仿宋" w:hAnsi="仿宋" w:eastAsia="仿宋" w:cs="仿宋"/>
                <w:b/>
                <w:kern w:val="0"/>
                <w:szCs w:val="21"/>
              </w:rPr>
            </w:pPr>
          </w:p>
        </w:tc>
        <w:tc>
          <w:tcPr>
            <w:tcW w:w="2000" w:type="dxa"/>
            <w:vMerge w:val="restart"/>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小计</w:t>
            </w:r>
          </w:p>
        </w:tc>
        <w:tc>
          <w:tcPr>
            <w:tcW w:w="2000" w:type="dxa"/>
            <w:vMerge w:val="restart"/>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 xml:space="preserve">基本支出  </w:t>
            </w:r>
          </w:p>
        </w:tc>
        <w:tc>
          <w:tcPr>
            <w:tcW w:w="2000" w:type="dxa"/>
            <w:vMerge w:val="restart"/>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项目支出</w:t>
            </w:r>
          </w:p>
        </w:tc>
        <w:tc>
          <w:tcPr>
            <w:tcW w:w="2000" w:type="dxa"/>
            <w:vMerge w:val="continue"/>
            <w:vAlign w:val="center"/>
          </w:tcPr>
          <w:p>
            <w:pPr>
              <w:widowControl/>
              <w:jc w:val="left"/>
              <w:rPr>
                <w:rFonts w:hint="eastAsia" w:ascii="仿宋" w:hAnsi="仿宋" w:eastAsia="仿宋" w:cs="仿宋"/>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hint="eastAsia" w:ascii="仿宋" w:hAnsi="仿宋" w:eastAsia="仿宋" w:cs="仿宋"/>
                <w:kern w:val="0"/>
                <w:szCs w:val="21"/>
              </w:rPr>
            </w:pPr>
          </w:p>
        </w:tc>
        <w:tc>
          <w:tcPr>
            <w:tcW w:w="132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hint="eastAsia" w:ascii="仿宋" w:hAnsi="仿宋" w:eastAsia="仿宋" w:cs="仿宋"/>
                <w:kern w:val="0"/>
                <w:szCs w:val="21"/>
              </w:rPr>
            </w:pPr>
          </w:p>
        </w:tc>
        <w:tc>
          <w:tcPr>
            <w:tcW w:w="132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c>
          <w:tcPr>
            <w:tcW w:w="2000" w:type="dxa"/>
            <w:vMerge w:val="continue"/>
            <w:vAlign w:val="center"/>
          </w:tcPr>
          <w:p>
            <w:pPr>
              <w:widowControl/>
              <w:jc w:val="left"/>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栏次</w:t>
            </w:r>
          </w:p>
        </w:tc>
        <w:tc>
          <w:tcPr>
            <w:tcW w:w="200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200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2</w:t>
            </w:r>
          </w:p>
        </w:tc>
        <w:tc>
          <w:tcPr>
            <w:tcW w:w="200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3</w:t>
            </w:r>
          </w:p>
        </w:tc>
        <w:tc>
          <w:tcPr>
            <w:tcW w:w="200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4</w:t>
            </w:r>
          </w:p>
        </w:tc>
        <w:tc>
          <w:tcPr>
            <w:tcW w:w="200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5</w:t>
            </w:r>
          </w:p>
        </w:tc>
        <w:tc>
          <w:tcPr>
            <w:tcW w:w="200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合计</w:t>
            </w:r>
          </w:p>
        </w:tc>
        <w:tc>
          <w:tcPr>
            <w:tcW w:w="2000" w:type="dxa"/>
            <w:shd w:val="clear" w:color="auto" w:fill="auto"/>
            <w:vAlign w:val="center"/>
          </w:tcPr>
          <w:p>
            <w:pPr>
              <w:widowControl/>
              <w:jc w:val="right"/>
              <w:rPr>
                <w:rFonts w:hint="eastAsia" w:ascii="仿宋" w:hAnsi="仿宋" w:eastAsia="仿宋" w:cs="仿宋"/>
                <w:kern w:val="0"/>
                <w:szCs w:val="21"/>
                <w:lang w:val="en-US" w:eastAsia="zh-CN"/>
              </w:rPr>
            </w:pPr>
            <w:r>
              <w:rPr>
                <w:rFonts w:hint="eastAsia" w:ascii="仿宋" w:hAnsi="仿宋" w:eastAsia="仿宋" w:cs="仿宋"/>
                <w:kern w:val="0"/>
                <w:szCs w:val="21"/>
              </w:rPr>
              <w:t>　</w:t>
            </w:r>
            <w:r>
              <w:rPr>
                <w:rFonts w:hint="eastAsia" w:ascii="仿宋" w:hAnsi="仿宋" w:eastAsia="仿宋" w:cs="仿宋"/>
                <w:kern w:val="0"/>
                <w:szCs w:val="21"/>
                <w:lang w:val="en-US" w:eastAsia="zh-CN"/>
              </w:rPr>
              <w:t>0.00</w:t>
            </w:r>
          </w:p>
        </w:tc>
        <w:tc>
          <w:tcPr>
            <w:tcW w:w="2000" w:type="dxa"/>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c>
          <w:tcPr>
            <w:tcW w:w="2000" w:type="dxa"/>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c>
          <w:tcPr>
            <w:tcW w:w="2000" w:type="dxa"/>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c>
          <w:tcPr>
            <w:tcW w:w="2000" w:type="dxa"/>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c>
          <w:tcPr>
            <w:tcW w:w="2000" w:type="dxa"/>
            <w:shd w:val="clear" w:color="auto" w:fill="auto"/>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lang w:val="en-US" w:eastAsia="zh-CN"/>
              </w:rPr>
              <w:t>0.00</w:t>
            </w:r>
            <w:r>
              <w:rPr>
                <w:rFonts w:hint="eastAsia" w:ascii="仿宋" w:hAnsi="仿宋" w:eastAsia="仿宋" w:cs="仿宋"/>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132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132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132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132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132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　</w:t>
            </w:r>
          </w:p>
        </w:tc>
        <w:tc>
          <w:tcPr>
            <w:tcW w:w="132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2000" w:type="dxa"/>
            <w:shd w:val="clear" w:color="auto" w:fill="auto"/>
            <w:vAlign w:val="center"/>
          </w:tcPr>
          <w:p>
            <w:pPr>
              <w:widowControl/>
              <w:jc w:val="left"/>
              <w:rPr>
                <w:rFonts w:hint="eastAsia" w:ascii="仿宋" w:hAnsi="仿宋" w:eastAsia="仿宋" w:cs="仿宋"/>
                <w:kern w:val="0"/>
                <w:szCs w:val="21"/>
              </w:rPr>
            </w:pPr>
            <w:r>
              <w:rPr>
                <w:rFonts w:hint="eastAsia" w:ascii="仿宋" w:hAnsi="仿宋" w:eastAsia="仿宋" w:cs="仿宋"/>
                <w:kern w:val="0"/>
                <w:szCs w:val="21"/>
              </w:rPr>
              <w:t>　</w:t>
            </w:r>
          </w:p>
        </w:tc>
      </w:tr>
    </w:tbl>
    <w:p>
      <w:pPr>
        <w:widowControl/>
        <w:jc w:val="left"/>
        <w:rPr>
          <w:rFonts w:hint="eastAsia" w:ascii="仿宋" w:hAnsi="仿宋" w:eastAsia="仿宋" w:cs="仿宋"/>
          <w:kern w:val="0"/>
          <w:szCs w:val="21"/>
        </w:rPr>
      </w:pPr>
      <w:r>
        <w:rPr>
          <w:rFonts w:hint="eastAsia" w:ascii="仿宋" w:hAnsi="仿宋" w:eastAsia="仿宋" w:cs="仿宋"/>
          <w:kern w:val="0"/>
          <w:szCs w:val="21"/>
        </w:rPr>
        <w:t>注：本表反映部门本年度政府性基金预算财政拨款收入、支出及结转和结余情况</w:t>
      </w:r>
    </w:p>
    <w:p>
      <w:pPr>
        <w:widowControl/>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岳阳市住房公积金管理中心</w:t>
      </w:r>
      <w:r>
        <w:rPr>
          <w:rFonts w:hint="eastAsia" w:ascii="仿宋" w:hAnsi="仿宋" w:eastAsia="仿宋" w:cs="仿宋"/>
          <w:kern w:val="0"/>
          <w:szCs w:val="21"/>
          <w:highlight w:val="none"/>
        </w:rPr>
        <w:t>没有政府性基金收入，也没有使用政府性基金安排的支出，故本表无数据。</w:t>
      </w:r>
    </w:p>
    <w:p>
      <w:pPr>
        <w:widowControl/>
        <w:jc w:val="left"/>
        <w:rPr>
          <w:rFonts w:hint="eastAsia" w:ascii="仿宋" w:hAnsi="仿宋" w:eastAsia="仿宋" w:cs="仿宋"/>
          <w:szCs w:val="21"/>
        </w:rPr>
      </w:pPr>
      <w:r>
        <w:rPr>
          <w:rFonts w:hint="eastAsia" w:ascii="仿宋" w:hAnsi="仿宋" w:eastAsia="仿宋" w:cs="仿宋"/>
          <w:szCs w:val="21"/>
        </w:rPr>
        <w:br w:type="page"/>
      </w:r>
    </w:p>
    <w:tbl>
      <w:tblPr>
        <w:tblStyle w:val="3"/>
        <w:tblW w:w="14190" w:type="dxa"/>
        <w:tblInd w:w="93" w:type="dxa"/>
        <w:tblLayout w:type="autofit"/>
        <w:tblCellMar>
          <w:top w:w="0" w:type="dxa"/>
          <w:left w:w="108" w:type="dxa"/>
          <w:bottom w:w="0" w:type="dxa"/>
          <w:right w:w="108" w:type="dxa"/>
        </w:tblCellMar>
      </w:tblPr>
      <w:tblGrid>
        <w:gridCol w:w="2709"/>
        <w:gridCol w:w="1646"/>
        <w:gridCol w:w="240"/>
        <w:gridCol w:w="240"/>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4355" w:type="dxa"/>
            <w:gridSpan w:val="2"/>
            <w:tcBorders>
              <w:top w:val="nil"/>
              <w:left w:val="nil"/>
              <w:bottom w:val="nil"/>
              <w:right w:val="nil"/>
            </w:tcBorders>
            <w:shd w:val="clear" w:color="000000" w:fill="FFFFFF"/>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240" w:type="dxa"/>
            <w:tcBorders>
              <w:top w:val="nil"/>
              <w:left w:val="nil"/>
              <w:bottom w:val="nil"/>
              <w:right w:val="nil"/>
            </w:tcBorders>
            <w:shd w:val="clear" w:color="000000" w:fill="FFFFFF"/>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240" w:type="dxa"/>
            <w:tcBorders>
              <w:top w:val="nil"/>
              <w:left w:val="nil"/>
              <w:bottom w:val="nil"/>
              <w:right w:val="nil"/>
            </w:tcBorders>
            <w:shd w:val="clear" w:color="000000" w:fill="FFFFFF"/>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355" w:type="dxa"/>
            <w:gridSpan w:val="2"/>
            <w:tcBorders>
              <w:top w:val="nil"/>
              <w:left w:val="nil"/>
              <w:bottom w:val="nil"/>
              <w:right w:val="nil"/>
            </w:tcBorders>
            <w:shd w:val="clear" w:color="000000" w:fill="FFFFFF"/>
            <w:noWrap/>
            <w:vAlign w:val="center"/>
          </w:tcPr>
          <w:p>
            <w:pPr>
              <w:widowControl/>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w:t>
            </w:r>
            <w:r>
              <w:rPr>
                <w:rFonts w:hint="eastAsia" w:ascii="仿宋" w:hAnsi="仿宋" w:eastAsia="仿宋" w:cs="仿宋"/>
                <w:kern w:val="0"/>
                <w:sz w:val="21"/>
                <w:szCs w:val="21"/>
                <w:highlight w:val="none"/>
                <w:lang w:val="en-US" w:eastAsia="zh-CN"/>
              </w:rPr>
              <w:t>岳阳市住房公积金管理中心</w:t>
            </w:r>
          </w:p>
          <w:p>
            <w:pPr>
              <w:widowControl/>
              <w:jc w:val="both"/>
              <w:rPr>
                <w:rFonts w:hint="eastAsia" w:ascii="仿宋" w:hAnsi="仿宋" w:eastAsia="仿宋" w:cs="仿宋"/>
                <w:color w:val="000000"/>
                <w:kern w:val="0"/>
                <w:sz w:val="20"/>
                <w:szCs w:val="20"/>
              </w:rPr>
            </w:pPr>
          </w:p>
        </w:tc>
        <w:tc>
          <w:tcPr>
            <w:tcW w:w="240" w:type="dxa"/>
            <w:tcBorders>
              <w:top w:val="nil"/>
              <w:left w:val="nil"/>
              <w:bottom w:val="nil"/>
              <w:right w:val="nil"/>
            </w:tcBorders>
            <w:shd w:val="clear" w:color="000000" w:fill="FFFFFF"/>
            <w:vAlign w:val="center"/>
          </w:tcPr>
          <w:p>
            <w:pPr>
              <w:widowControl/>
              <w:jc w:val="both"/>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240" w:type="dxa"/>
            <w:tcBorders>
              <w:top w:val="nil"/>
              <w:left w:val="nil"/>
              <w:bottom w:val="nil"/>
              <w:right w:val="nil"/>
            </w:tcBorders>
            <w:shd w:val="clear" w:color="000000" w:fill="FFFFFF"/>
            <w:vAlign w:val="center"/>
          </w:tcPr>
          <w:p>
            <w:pPr>
              <w:widowControl/>
              <w:jc w:val="both"/>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both"/>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both"/>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项 </w:t>
            </w:r>
            <w:r>
              <w:rPr>
                <w:rFonts w:hint="eastAsia" w:ascii="仿宋" w:hAnsi="仿宋" w:eastAsia="仿宋" w:cs="仿宋"/>
                <w:color w:val="000000"/>
                <w:kern w:val="0"/>
                <w:sz w:val="22"/>
              </w:rPr>
              <w:t xml:space="preserve">   </w:t>
            </w:r>
            <w:r>
              <w:rPr>
                <w:rFonts w:hint="eastAsia" w:ascii="仿宋" w:hAnsi="仿宋" w:eastAsia="仿宋" w:cs="仿宋"/>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本年支出</w:t>
            </w:r>
          </w:p>
        </w:tc>
      </w:tr>
      <w:tr>
        <w:tblPrEx>
          <w:tblCellMar>
            <w:top w:w="0" w:type="dxa"/>
            <w:left w:w="108" w:type="dxa"/>
            <w:bottom w:w="0" w:type="dxa"/>
            <w:right w:w="108" w:type="dxa"/>
          </w:tblCellMar>
        </w:tblPrEx>
        <w:trPr>
          <w:trHeight w:val="402" w:hRule="atLeast"/>
        </w:trPr>
        <w:tc>
          <w:tcPr>
            <w:tcW w:w="270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功能分类科目编码</w:t>
            </w:r>
          </w:p>
        </w:tc>
        <w:tc>
          <w:tcPr>
            <w:tcW w:w="212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项目支出</w:t>
            </w:r>
          </w:p>
        </w:tc>
      </w:tr>
      <w:tr>
        <w:tblPrEx>
          <w:tblCellMar>
            <w:top w:w="0" w:type="dxa"/>
            <w:left w:w="108" w:type="dxa"/>
            <w:bottom w:w="0" w:type="dxa"/>
            <w:right w:w="108" w:type="dxa"/>
          </w:tblCellMar>
        </w:tblPrEx>
        <w:trPr>
          <w:trHeight w:val="402" w:hRule="atLeast"/>
        </w:trPr>
        <w:tc>
          <w:tcPr>
            <w:tcW w:w="270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212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02" w:hRule="atLeast"/>
        </w:trPr>
        <w:tc>
          <w:tcPr>
            <w:tcW w:w="270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212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0.00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w:t>
            </w:r>
            <w:r>
              <w:rPr>
                <w:rFonts w:hint="eastAsia" w:ascii="仿宋" w:hAnsi="仿宋" w:eastAsia="仿宋" w:cs="仿宋"/>
                <w:kern w:val="0"/>
                <w:sz w:val="24"/>
                <w:szCs w:val="24"/>
                <w:lang w:val="en-US" w:eastAsia="zh-CN"/>
              </w:rPr>
              <w:t>0.00</w:t>
            </w:r>
          </w:p>
        </w:tc>
        <w:tc>
          <w:tcPr>
            <w:tcW w:w="38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0.00</w:t>
            </w: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402" w:hRule="atLeast"/>
        </w:trPr>
        <w:tc>
          <w:tcPr>
            <w:tcW w:w="2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402" w:hRule="atLeast"/>
        </w:trPr>
        <w:tc>
          <w:tcPr>
            <w:tcW w:w="2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402" w:hRule="atLeast"/>
        </w:trPr>
        <w:tc>
          <w:tcPr>
            <w:tcW w:w="2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402" w:hRule="atLeast"/>
        </w:trPr>
        <w:tc>
          <w:tcPr>
            <w:tcW w:w="2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402" w:hRule="atLeast"/>
        </w:trPr>
        <w:tc>
          <w:tcPr>
            <w:tcW w:w="2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402" w:hRule="atLeast"/>
        </w:trPr>
        <w:tc>
          <w:tcPr>
            <w:tcW w:w="2709"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126" w:type="dxa"/>
            <w:gridSpan w:val="3"/>
            <w:tcBorders>
              <w:top w:val="nil"/>
              <w:left w:val="nil"/>
              <w:bottom w:val="single" w:color="auto" w:sz="8"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708"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Cs w:val="21"/>
                <w:highlight w:val="none"/>
                <w:lang w:val="en-US" w:eastAsia="zh-CN"/>
              </w:rPr>
              <w:t>注：本表反映部门本年度国有资本经营预算财政拨款支出情况。</w:t>
            </w:r>
          </w:p>
          <w:p>
            <w:pPr>
              <w:widowControl/>
              <w:ind w:firstLine="420" w:firstLineChars="200"/>
              <w:jc w:val="left"/>
              <w:rPr>
                <w:rFonts w:hint="eastAsia" w:ascii="仿宋" w:hAnsi="仿宋" w:eastAsia="仿宋" w:cs="仿宋"/>
                <w:kern w:val="0"/>
                <w:sz w:val="24"/>
                <w:szCs w:val="24"/>
              </w:rPr>
            </w:pPr>
            <w:r>
              <w:rPr>
                <w:rFonts w:hint="eastAsia" w:ascii="仿宋" w:hAnsi="仿宋" w:eastAsia="仿宋" w:cs="仿宋"/>
                <w:kern w:val="0"/>
                <w:szCs w:val="21"/>
                <w:highlight w:val="none"/>
                <w:lang w:val="en-US" w:eastAsia="zh-CN"/>
              </w:rPr>
              <w:t>岳阳市住房公积金管理中心</w:t>
            </w:r>
            <w:r>
              <w:rPr>
                <w:rFonts w:hint="eastAsia" w:ascii="仿宋" w:hAnsi="仿宋" w:eastAsia="仿宋" w:cs="仿宋"/>
                <w:kern w:val="0"/>
                <w:szCs w:val="21"/>
                <w:highlight w:val="none"/>
              </w:rPr>
              <w:t>没有使用国有资本经营预算安排的支出，故本表无数据。</w:t>
            </w: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06138"/>
    <w:rsid w:val="4730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2022-04-25T09:37:00Z</dcterms:created>
  <dc:creator>Administrator</dc:creator>
  <cp:lastModifiedBy>Administrator</cp:lastModifiedBy>
  <dcterms:modified xsi:type="dcterms:W3CDTF">2022-04-25T09:41:01Z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9B3070008D1C40E984D0C4B04B200153</vt:lpwstr>
  </property>
  <property fmtid="{D5CDD505-2E9C-101B-9397-08002B2CF9AE}" pid="4" name="commondata">
    <vt:lpwstr>eyJoZGlkIjoiYTc2ZGZiNzZiNDVlOGViOWVmM2JhOTY0NGJkNjUyYzgifQ==</vt:lpwstr>
  </property>
</Properties>
</file>