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40" w:rsidRDefault="00566A40">
      <w:pPr>
        <w:pStyle w:val="Default"/>
        <w:jc w:val="center"/>
        <w:rPr>
          <w:sz w:val="56"/>
          <w:szCs w:val="56"/>
        </w:rPr>
      </w:pPr>
    </w:p>
    <w:p w:rsidR="00566A40" w:rsidRDefault="00566A40">
      <w:pPr>
        <w:pStyle w:val="Default"/>
        <w:jc w:val="center"/>
        <w:rPr>
          <w:sz w:val="56"/>
          <w:szCs w:val="56"/>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B22672">
      <w:pPr>
        <w:pStyle w:val="Default"/>
        <w:jc w:val="center"/>
        <w:rPr>
          <w:sz w:val="84"/>
          <w:szCs w:val="84"/>
        </w:rPr>
      </w:pPr>
      <w:r>
        <w:rPr>
          <w:rFonts w:hint="eastAsia"/>
          <w:sz w:val="84"/>
          <w:szCs w:val="84"/>
        </w:rPr>
        <w:t>2020年度</w:t>
      </w:r>
    </w:p>
    <w:p w:rsidR="00566A40" w:rsidRDefault="00B22672">
      <w:pPr>
        <w:pStyle w:val="Default"/>
        <w:jc w:val="center"/>
        <w:rPr>
          <w:sz w:val="84"/>
          <w:szCs w:val="84"/>
        </w:rPr>
      </w:pPr>
      <w:r>
        <w:rPr>
          <w:rFonts w:hint="eastAsia"/>
          <w:sz w:val="84"/>
          <w:szCs w:val="84"/>
        </w:rPr>
        <w:t>岳阳市总工会</w:t>
      </w:r>
    </w:p>
    <w:p w:rsidR="00566A40" w:rsidRDefault="00B22672">
      <w:pPr>
        <w:pStyle w:val="Default"/>
        <w:jc w:val="center"/>
        <w:rPr>
          <w:sz w:val="84"/>
          <w:szCs w:val="84"/>
        </w:rPr>
      </w:pPr>
      <w:r>
        <w:rPr>
          <w:rFonts w:hint="eastAsia"/>
          <w:sz w:val="84"/>
          <w:szCs w:val="84"/>
        </w:rPr>
        <w:t>部门决算</w:t>
      </w:r>
    </w:p>
    <w:p w:rsidR="00566A40" w:rsidRDefault="00566A40">
      <w:pPr>
        <w:pStyle w:val="Default"/>
        <w:jc w:val="center"/>
        <w:rPr>
          <w:sz w:val="56"/>
          <w:szCs w:val="56"/>
        </w:rPr>
      </w:pPr>
    </w:p>
    <w:p w:rsidR="00566A40" w:rsidRDefault="00566A40">
      <w:pPr>
        <w:pStyle w:val="Default"/>
        <w:jc w:val="center"/>
        <w:rPr>
          <w:sz w:val="56"/>
          <w:szCs w:val="56"/>
        </w:rPr>
      </w:pPr>
    </w:p>
    <w:p w:rsidR="00566A40" w:rsidRDefault="00566A40">
      <w:pPr>
        <w:pStyle w:val="Default"/>
        <w:jc w:val="center"/>
        <w:rPr>
          <w:sz w:val="56"/>
          <w:szCs w:val="56"/>
        </w:rPr>
      </w:pPr>
    </w:p>
    <w:p w:rsidR="00566A40" w:rsidRDefault="00566A40">
      <w:pPr>
        <w:pStyle w:val="Default"/>
        <w:jc w:val="center"/>
        <w:rPr>
          <w:sz w:val="56"/>
          <w:szCs w:val="56"/>
        </w:rPr>
      </w:pPr>
    </w:p>
    <w:p w:rsidR="00566A40" w:rsidRDefault="00566A40">
      <w:pPr>
        <w:pStyle w:val="Default"/>
        <w:jc w:val="center"/>
        <w:rPr>
          <w:sz w:val="32"/>
          <w:szCs w:val="32"/>
        </w:rPr>
      </w:pPr>
    </w:p>
    <w:p w:rsidR="00566A40" w:rsidRDefault="00566A40">
      <w:pPr>
        <w:pStyle w:val="Default"/>
        <w:jc w:val="center"/>
        <w:rPr>
          <w:sz w:val="32"/>
          <w:szCs w:val="32"/>
        </w:rPr>
      </w:pPr>
    </w:p>
    <w:p w:rsidR="00566A40" w:rsidRDefault="00566A40">
      <w:pPr>
        <w:pStyle w:val="Default"/>
        <w:jc w:val="center"/>
        <w:rPr>
          <w:sz w:val="32"/>
          <w:szCs w:val="32"/>
        </w:rPr>
      </w:pPr>
    </w:p>
    <w:p w:rsidR="00566A40" w:rsidRDefault="00566A40">
      <w:pPr>
        <w:pStyle w:val="Default"/>
        <w:jc w:val="center"/>
        <w:rPr>
          <w:sz w:val="32"/>
          <w:szCs w:val="32"/>
        </w:rPr>
      </w:pPr>
    </w:p>
    <w:p w:rsidR="00566A40" w:rsidRDefault="00566A40">
      <w:pPr>
        <w:pStyle w:val="Default"/>
        <w:jc w:val="center"/>
        <w:rPr>
          <w:sz w:val="32"/>
          <w:szCs w:val="32"/>
        </w:rPr>
      </w:pPr>
    </w:p>
    <w:p w:rsidR="00566A40" w:rsidRDefault="00566A40">
      <w:pPr>
        <w:pStyle w:val="Default"/>
        <w:spacing w:line="540" w:lineRule="exact"/>
        <w:jc w:val="center"/>
        <w:rPr>
          <w:sz w:val="56"/>
          <w:szCs w:val="56"/>
        </w:rPr>
      </w:pPr>
    </w:p>
    <w:p w:rsidR="00566A40" w:rsidRDefault="00566A40">
      <w:pPr>
        <w:pStyle w:val="Default"/>
        <w:spacing w:line="500" w:lineRule="exact"/>
        <w:jc w:val="center"/>
        <w:rPr>
          <w:b/>
          <w:sz w:val="36"/>
          <w:szCs w:val="28"/>
        </w:rPr>
      </w:pPr>
    </w:p>
    <w:p w:rsidR="00566A40" w:rsidRDefault="00566A40">
      <w:pPr>
        <w:pStyle w:val="Default"/>
        <w:spacing w:line="500" w:lineRule="exact"/>
        <w:jc w:val="center"/>
        <w:rPr>
          <w:b/>
          <w:sz w:val="36"/>
          <w:szCs w:val="28"/>
        </w:rPr>
      </w:pPr>
    </w:p>
    <w:p w:rsidR="00566A40" w:rsidRDefault="00B22672">
      <w:pPr>
        <w:pStyle w:val="Default"/>
        <w:spacing w:line="500" w:lineRule="exact"/>
        <w:jc w:val="center"/>
        <w:rPr>
          <w:b/>
          <w:sz w:val="36"/>
          <w:szCs w:val="28"/>
        </w:rPr>
      </w:pPr>
      <w:r>
        <w:rPr>
          <w:rFonts w:hint="eastAsia"/>
          <w:b/>
          <w:sz w:val="36"/>
          <w:szCs w:val="28"/>
        </w:rPr>
        <w:t>目录</w:t>
      </w:r>
    </w:p>
    <w:p w:rsidR="00566A40" w:rsidRDefault="00B22672">
      <w:pPr>
        <w:pStyle w:val="Default"/>
        <w:spacing w:line="500" w:lineRule="exact"/>
        <w:rPr>
          <w:rFonts w:ascii="仿宋_GB2312" w:hAnsi="仿宋_GB2312" w:cs="仿宋_GB2312"/>
          <w:b/>
          <w:sz w:val="28"/>
          <w:szCs w:val="28"/>
        </w:rPr>
      </w:pPr>
      <w:r>
        <w:rPr>
          <w:rFonts w:hint="eastAsia"/>
          <w:b/>
          <w:sz w:val="28"/>
          <w:szCs w:val="28"/>
        </w:rPr>
        <w:t>第一部分岳阳市总工会单位概况</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66A40" w:rsidRDefault="00B22672">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566A40" w:rsidRDefault="00B22672">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566A40" w:rsidRDefault="00B22672">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66A40" w:rsidRDefault="00B22672">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566A40" w:rsidRDefault="00B226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66A40" w:rsidRDefault="00B226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66A40" w:rsidRDefault="00B226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66A40" w:rsidRDefault="00B226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566A40" w:rsidRDefault="00B226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566A40" w:rsidRDefault="00B226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566A40" w:rsidRDefault="00B2267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566A40" w:rsidRDefault="00B2267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566A40" w:rsidRDefault="00B2267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566A40" w:rsidRDefault="00B2267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十二、关于政府采购支出说明</w:t>
      </w:r>
    </w:p>
    <w:p w:rsidR="00566A40" w:rsidRDefault="00B2267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 xml:space="preserve">     </w:t>
      </w:r>
      <w:r>
        <w:rPr>
          <w:rFonts w:ascii="仿宋_GB2312" w:hAnsi="仿宋_GB2312" w:cs="仿宋_GB2312" w:hint="eastAsia"/>
          <w:color w:val="000000"/>
          <w:kern w:val="0"/>
          <w:sz w:val="28"/>
          <w:szCs w:val="28"/>
        </w:rPr>
        <w:t>十三、关于国有资产占用情况说明</w:t>
      </w:r>
    </w:p>
    <w:p w:rsidR="00566A40" w:rsidRDefault="00B22672">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566A40" w:rsidRDefault="00B22672">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566A40" w:rsidRDefault="00B22672">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rPr>
          <w:sz w:val="72"/>
          <w:szCs w:val="72"/>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566A40">
      <w:pPr>
        <w:pStyle w:val="Default"/>
        <w:jc w:val="center"/>
        <w:rPr>
          <w:sz w:val="84"/>
          <w:szCs w:val="84"/>
        </w:rPr>
      </w:pPr>
    </w:p>
    <w:p w:rsidR="00566A40" w:rsidRDefault="00B22672">
      <w:pPr>
        <w:pStyle w:val="Default"/>
        <w:jc w:val="center"/>
        <w:rPr>
          <w:sz w:val="84"/>
          <w:szCs w:val="84"/>
        </w:rPr>
      </w:pPr>
      <w:r>
        <w:rPr>
          <w:rFonts w:hint="eastAsia"/>
          <w:sz w:val="84"/>
          <w:szCs w:val="84"/>
        </w:rPr>
        <w:t>第一部分</w:t>
      </w:r>
      <w:r>
        <w:rPr>
          <w:sz w:val="84"/>
          <w:szCs w:val="84"/>
        </w:rPr>
        <w:t xml:space="preserve"> </w:t>
      </w:r>
    </w:p>
    <w:p w:rsidR="00566A40" w:rsidRDefault="00566A40">
      <w:pPr>
        <w:pStyle w:val="Default"/>
        <w:jc w:val="center"/>
        <w:rPr>
          <w:sz w:val="84"/>
          <w:szCs w:val="84"/>
        </w:rPr>
      </w:pPr>
    </w:p>
    <w:p w:rsidR="00566A40" w:rsidRDefault="00B22672">
      <w:pPr>
        <w:pStyle w:val="Default"/>
        <w:jc w:val="center"/>
        <w:rPr>
          <w:sz w:val="84"/>
          <w:szCs w:val="84"/>
        </w:rPr>
      </w:pPr>
      <w:r>
        <w:rPr>
          <w:rFonts w:hint="eastAsia"/>
          <w:sz w:val="84"/>
          <w:szCs w:val="84"/>
        </w:rPr>
        <w:t>单位概况</w:t>
      </w: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pStyle w:val="a7"/>
        <w:ind w:left="720" w:firstLineChars="0" w:firstLine="0"/>
        <w:jc w:val="left"/>
        <w:rPr>
          <w:rFonts w:ascii="黑体" w:eastAsia="黑体" w:hAnsi="黑体"/>
          <w:sz w:val="32"/>
          <w:szCs w:val="32"/>
        </w:rPr>
      </w:pPr>
    </w:p>
    <w:p w:rsidR="00566A40" w:rsidRDefault="00566A40">
      <w:pPr>
        <w:pStyle w:val="a7"/>
        <w:ind w:left="720" w:firstLineChars="0" w:firstLine="0"/>
        <w:jc w:val="left"/>
        <w:rPr>
          <w:rFonts w:ascii="黑体" w:eastAsia="黑体" w:hAnsi="黑体"/>
          <w:sz w:val="32"/>
          <w:szCs w:val="32"/>
        </w:rPr>
      </w:pPr>
    </w:p>
    <w:p w:rsidR="00566A40" w:rsidRDefault="00566A40">
      <w:pPr>
        <w:pStyle w:val="a7"/>
        <w:ind w:left="720" w:firstLineChars="0" w:firstLine="0"/>
        <w:jc w:val="left"/>
        <w:rPr>
          <w:rFonts w:ascii="黑体" w:eastAsia="黑体" w:hAnsi="黑体"/>
          <w:sz w:val="32"/>
          <w:szCs w:val="32"/>
        </w:rPr>
      </w:pPr>
    </w:p>
    <w:p w:rsidR="00566A40" w:rsidRDefault="00B22672">
      <w:pPr>
        <w:pStyle w:val="a7"/>
        <w:ind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部门职责</w:t>
      </w:r>
    </w:p>
    <w:p w:rsidR="00566A40" w:rsidRDefault="00B22672">
      <w:pPr>
        <w:widowControl/>
        <w:spacing w:line="600" w:lineRule="exact"/>
        <w:ind w:firstLineChars="200" w:firstLine="640"/>
        <w:rPr>
          <w:rFonts w:eastAsia="仿宋_GB2312" w:cs="仿宋_GB2312"/>
          <w:kern w:val="0"/>
          <w:sz w:val="32"/>
          <w:szCs w:val="32"/>
        </w:rPr>
      </w:pPr>
      <w:r>
        <w:rPr>
          <w:rFonts w:eastAsia="仿宋_GB2312" w:cs="仿宋_GB2312" w:hint="eastAsia"/>
          <w:kern w:val="0"/>
          <w:sz w:val="32"/>
          <w:szCs w:val="32"/>
        </w:rPr>
        <w:t>（一）职能职责</w:t>
      </w:r>
    </w:p>
    <w:p w:rsidR="00566A40" w:rsidRDefault="00B22672">
      <w:pPr>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1</w:t>
      </w:r>
      <w:r>
        <w:rPr>
          <w:rFonts w:eastAsia="仿宋_GB2312" w:cs="仿宋_GB2312" w:hint="eastAsia"/>
          <w:kern w:val="0"/>
          <w:sz w:val="32"/>
          <w:szCs w:val="32"/>
        </w:rPr>
        <w:t>）根据党的基本理论、基本路线和基本纲领，遵照《工会法》、《工会章程》和全国总工会和省总工会确定的工会工作的指导方针和任务，围绕大局，结合岳阳实际，指导全市工会工作。</w:t>
      </w:r>
      <w:r>
        <w:rPr>
          <w:rFonts w:eastAsia="仿宋_GB2312" w:cs="仿宋_GB2312" w:hint="eastAsia"/>
          <w:kern w:val="0"/>
          <w:sz w:val="32"/>
          <w:szCs w:val="32"/>
        </w:rPr>
        <w:t xml:space="preserve">  </w:t>
      </w:r>
    </w:p>
    <w:p w:rsidR="00566A40" w:rsidRDefault="00B22672">
      <w:pPr>
        <w:rPr>
          <w:rFonts w:eastAsia="仿宋_GB2312" w:cs="仿宋_GB2312"/>
          <w:kern w:val="0"/>
          <w:sz w:val="32"/>
          <w:szCs w:val="32"/>
        </w:rPr>
      </w:pPr>
      <w:r>
        <w:rPr>
          <w:rFonts w:eastAsia="仿宋_GB2312" w:cs="仿宋_GB2312" w:hint="eastAsia"/>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rPr>
        <w:t>2</w:t>
      </w:r>
      <w:r>
        <w:rPr>
          <w:rFonts w:eastAsia="仿宋_GB2312" w:cs="仿宋_GB2312" w:hint="eastAsia"/>
          <w:kern w:val="0"/>
          <w:sz w:val="32"/>
          <w:szCs w:val="32"/>
        </w:rPr>
        <w:t>）贯彻执行全国总工会、省总工会和市总工会代表大会的决议，依照法律和章程，组织和指导全市各级工会履行工会“维护、建设、参与、教育”等社会职能，组织开展工会各项业务工作；领导市总工会直属单位的工作。</w:t>
      </w:r>
      <w:r>
        <w:rPr>
          <w:rFonts w:eastAsia="仿宋_GB2312" w:cs="仿宋_GB2312" w:hint="eastAsia"/>
          <w:kern w:val="0"/>
          <w:sz w:val="32"/>
          <w:szCs w:val="32"/>
        </w:rPr>
        <w:t xml:space="preserve">  </w:t>
      </w:r>
    </w:p>
    <w:p w:rsidR="00566A40" w:rsidRDefault="00B22672">
      <w:pPr>
        <w:rPr>
          <w:rFonts w:eastAsia="仿宋_GB2312" w:cs="仿宋_GB2312"/>
          <w:kern w:val="0"/>
          <w:sz w:val="32"/>
          <w:szCs w:val="32"/>
        </w:rPr>
      </w:pPr>
      <w:r>
        <w:rPr>
          <w:rFonts w:eastAsia="仿宋_GB2312" w:cs="仿宋_GB2312" w:hint="eastAsia"/>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rPr>
        <w:t>3</w:t>
      </w:r>
      <w:r>
        <w:rPr>
          <w:rFonts w:eastAsia="仿宋_GB2312" w:cs="仿宋_GB2312" w:hint="eastAsia"/>
          <w:kern w:val="0"/>
          <w:sz w:val="32"/>
          <w:szCs w:val="32"/>
        </w:rPr>
        <w:t>）对有关职工利益的重大问题进行调查研究，</w:t>
      </w:r>
      <w:r>
        <w:rPr>
          <w:rFonts w:eastAsia="仿宋_GB2312" w:cs="仿宋_GB2312" w:hint="eastAsia"/>
          <w:kern w:val="0"/>
          <w:sz w:val="32"/>
          <w:szCs w:val="32"/>
        </w:rPr>
        <w:t xml:space="preserve"> </w:t>
      </w:r>
      <w:r>
        <w:rPr>
          <w:rFonts w:eastAsia="仿宋_GB2312" w:cs="仿宋_GB2312" w:hint="eastAsia"/>
          <w:kern w:val="0"/>
          <w:sz w:val="32"/>
          <w:szCs w:val="32"/>
        </w:rPr>
        <w:t>向市委、市政府和上级工会反映职工群众的情绪、愿望和要求，并提出意见和建议；参与涉及职工切身利益的有关政策、措施和制度的制订；对侵犯职工合法权益的重大事件进行调查并提出处理意见，参与职工重大伤亡事故的调查处理。</w:t>
      </w:r>
      <w:r>
        <w:rPr>
          <w:rFonts w:eastAsia="仿宋_GB2312" w:cs="仿宋_GB2312" w:hint="eastAsia"/>
          <w:kern w:val="0"/>
          <w:sz w:val="32"/>
          <w:szCs w:val="32"/>
        </w:rPr>
        <w:t xml:space="preserve">  </w:t>
      </w:r>
    </w:p>
    <w:p w:rsidR="00566A40" w:rsidRDefault="00B22672">
      <w:pPr>
        <w:rPr>
          <w:rFonts w:eastAsia="仿宋_GB2312" w:cs="仿宋_GB2312"/>
          <w:kern w:val="0"/>
          <w:sz w:val="32"/>
          <w:szCs w:val="32"/>
        </w:rPr>
      </w:pPr>
      <w:r>
        <w:rPr>
          <w:rFonts w:eastAsia="仿宋_GB2312" w:cs="仿宋_GB2312" w:hint="eastAsia"/>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rPr>
        <w:t>4</w:t>
      </w:r>
      <w:r>
        <w:rPr>
          <w:rFonts w:eastAsia="仿宋_GB2312" w:cs="仿宋_GB2312" w:hint="eastAsia"/>
          <w:kern w:val="0"/>
          <w:sz w:val="32"/>
          <w:szCs w:val="32"/>
        </w:rPr>
        <w:t>）负责工会理论政策研究，为各级工会提供理论政策服务；研究制订工会的各项组织制度和民主制度，监督检查《工会法》、《工会章程》的贯彻执行；研究指导工会自身改革和建设；指导基层工会组织职工开展以职工代表大会为基本制度的民主选举、民主决策、民主管理和民主监督工作，建立健全调整劳动关系、维护职工劳动权益的平等协商制度和集体合同制度。</w:t>
      </w:r>
      <w:r>
        <w:rPr>
          <w:rFonts w:eastAsia="仿宋_GB2312" w:cs="仿宋_GB2312" w:hint="eastAsia"/>
          <w:kern w:val="0"/>
          <w:sz w:val="32"/>
          <w:szCs w:val="32"/>
        </w:rPr>
        <w:t xml:space="preserve">  </w:t>
      </w:r>
    </w:p>
    <w:p w:rsidR="00566A40" w:rsidRDefault="00B22672">
      <w:pPr>
        <w:rPr>
          <w:rFonts w:eastAsia="仿宋_GB2312" w:cs="仿宋_GB2312"/>
          <w:kern w:val="0"/>
          <w:sz w:val="32"/>
          <w:szCs w:val="32"/>
        </w:rPr>
      </w:pPr>
      <w:r>
        <w:rPr>
          <w:rFonts w:eastAsia="仿宋_GB2312" w:cs="仿宋_GB2312" w:hint="eastAsia"/>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rPr>
        <w:t>5</w:t>
      </w:r>
      <w:r>
        <w:rPr>
          <w:rFonts w:eastAsia="仿宋_GB2312" w:cs="仿宋_GB2312" w:hint="eastAsia"/>
          <w:kern w:val="0"/>
          <w:sz w:val="32"/>
          <w:szCs w:val="32"/>
        </w:rPr>
        <w:t>）协助县</w:t>
      </w:r>
      <w:r>
        <w:rPr>
          <w:rFonts w:eastAsia="仿宋_GB2312" w:cs="仿宋_GB2312" w:hint="eastAsia"/>
          <w:kern w:val="0"/>
          <w:sz w:val="32"/>
          <w:szCs w:val="32"/>
        </w:rPr>
        <w:t>(</w:t>
      </w:r>
      <w:r>
        <w:rPr>
          <w:rFonts w:eastAsia="仿宋_GB2312" w:cs="仿宋_GB2312" w:hint="eastAsia"/>
          <w:kern w:val="0"/>
          <w:sz w:val="32"/>
          <w:szCs w:val="32"/>
        </w:rPr>
        <w:t>市</w:t>
      </w:r>
      <w:r>
        <w:rPr>
          <w:rFonts w:eastAsia="仿宋_GB2312" w:cs="仿宋_GB2312" w:hint="eastAsia"/>
          <w:kern w:val="0"/>
          <w:sz w:val="32"/>
          <w:szCs w:val="32"/>
        </w:rPr>
        <w:t>)</w:t>
      </w:r>
      <w:r>
        <w:rPr>
          <w:rFonts w:eastAsia="仿宋_GB2312" w:cs="仿宋_GB2312" w:hint="eastAsia"/>
          <w:kern w:val="0"/>
          <w:sz w:val="32"/>
          <w:szCs w:val="32"/>
        </w:rPr>
        <w:t>委和市直有关委、局党组</w:t>
      </w:r>
      <w:r>
        <w:rPr>
          <w:rFonts w:eastAsia="仿宋_GB2312" w:cs="仿宋_GB2312" w:hint="eastAsia"/>
          <w:kern w:val="0"/>
          <w:sz w:val="32"/>
          <w:szCs w:val="32"/>
        </w:rPr>
        <w:t>(</w:t>
      </w:r>
      <w:r>
        <w:rPr>
          <w:rFonts w:eastAsia="仿宋_GB2312" w:cs="仿宋_GB2312" w:hint="eastAsia"/>
          <w:kern w:val="0"/>
          <w:sz w:val="32"/>
          <w:szCs w:val="32"/>
        </w:rPr>
        <w:t>党委</w:t>
      </w:r>
      <w:r>
        <w:rPr>
          <w:rFonts w:eastAsia="仿宋_GB2312" w:cs="仿宋_GB2312" w:hint="eastAsia"/>
          <w:kern w:val="0"/>
          <w:sz w:val="32"/>
          <w:szCs w:val="32"/>
        </w:rPr>
        <w:t>)</w:t>
      </w:r>
      <w:r>
        <w:rPr>
          <w:rFonts w:eastAsia="仿宋_GB2312" w:cs="仿宋_GB2312" w:hint="eastAsia"/>
          <w:kern w:val="0"/>
          <w:sz w:val="32"/>
          <w:szCs w:val="32"/>
        </w:rPr>
        <w:t>及中央、省属企事业单位党委管理区县</w:t>
      </w:r>
      <w:r>
        <w:rPr>
          <w:rFonts w:eastAsia="仿宋_GB2312" w:cs="仿宋_GB2312" w:hint="eastAsia"/>
          <w:kern w:val="0"/>
          <w:sz w:val="32"/>
          <w:szCs w:val="32"/>
        </w:rPr>
        <w:t>(</w:t>
      </w:r>
      <w:r>
        <w:rPr>
          <w:rFonts w:eastAsia="仿宋_GB2312" w:cs="仿宋_GB2312" w:hint="eastAsia"/>
          <w:kern w:val="0"/>
          <w:sz w:val="32"/>
          <w:szCs w:val="32"/>
        </w:rPr>
        <w:t>市</w:t>
      </w:r>
      <w:r>
        <w:rPr>
          <w:rFonts w:eastAsia="仿宋_GB2312" w:cs="仿宋_GB2312" w:hint="eastAsia"/>
          <w:kern w:val="0"/>
          <w:sz w:val="32"/>
          <w:szCs w:val="32"/>
        </w:rPr>
        <w:t>)</w:t>
      </w:r>
      <w:r>
        <w:rPr>
          <w:rFonts w:eastAsia="仿宋_GB2312" w:cs="仿宋_GB2312" w:hint="eastAsia"/>
          <w:kern w:val="0"/>
          <w:sz w:val="32"/>
          <w:szCs w:val="32"/>
        </w:rPr>
        <w:t>区工会和市级产业工会与中央、省属企事业单位工会的领导班子；监督直属单位党员干部党风廉政建设情况，研究制订工会干部管理制度和培训规划，负责直属基层单位及县</w:t>
      </w:r>
      <w:r>
        <w:rPr>
          <w:rFonts w:eastAsia="仿宋_GB2312" w:cs="仿宋_GB2312" w:hint="eastAsia"/>
          <w:kern w:val="0"/>
          <w:sz w:val="32"/>
          <w:szCs w:val="32"/>
        </w:rPr>
        <w:t>(</w:t>
      </w:r>
      <w:r>
        <w:rPr>
          <w:rFonts w:eastAsia="仿宋_GB2312" w:cs="仿宋_GB2312" w:hint="eastAsia"/>
          <w:kern w:val="0"/>
          <w:sz w:val="32"/>
          <w:szCs w:val="32"/>
        </w:rPr>
        <w:t>市</w:t>
      </w:r>
      <w:r>
        <w:rPr>
          <w:rFonts w:eastAsia="仿宋_GB2312" w:cs="仿宋_GB2312" w:hint="eastAsia"/>
          <w:kern w:val="0"/>
          <w:sz w:val="32"/>
          <w:szCs w:val="32"/>
        </w:rPr>
        <w:t xml:space="preserve">) </w:t>
      </w:r>
      <w:r>
        <w:rPr>
          <w:rFonts w:eastAsia="仿宋_GB2312" w:cs="仿宋_GB2312" w:hint="eastAsia"/>
          <w:kern w:val="0"/>
          <w:sz w:val="32"/>
          <w:szCs w:val="32"/>
        </w:rPr>
        <w:t>区工会领导干部的培训工作。</w:t>
      </w:r>
      <w:r>
        <w:rPr>
          <w:rFonts w:eastAsia="仿宋_GB2312" w:cs="仿宋_GB2312" w:hint="eastAsia"/>
          <w:kern w:val="0"/>
          <w:sz w:val="32"/>
          <w:szCs w:val="32"/>
        </w:rPr>
        <w:t xml:space="preserve">  </w:t>
      </w:r>
    </w:p>
    <w:p w:rsidR="00566A40" w:rsidRDefault="00B22672">
      <w:pPr>
        <w:rPr>
          <w:rFonts w:eastAsia="仿宋_GB2312" w:cs="仿宋_GB2312"/>
          <w:kern w:val="0"/>
          <w:sz w:val="32"/>
          <w:szCs w:val="32"/>
        </w:rPr>
      </w:pPr>
      <w:r>
        <w:rPr>
          <w:rFonts w:eastAsia="仿宋_GB2312" w:cs="仿宋_GB2312" w:hint="eastAsia"/>
          <w:kern w:val="0"/>
          <w:sz w:val="32"/>
          <w:szCs w:val="32"/>
        </w:rPr>
        <w:lastRenderedPageBreak/>
        <w:t xml:space="preserve">   </w:t>
      </w:r>
      <w:r>
        <w:rPr>
          <w:rFonts w:eastAsia="仿宋_GB2312" w:cs="仿宋_GB2312" w:hint="eastAsia"/>
          <w:kern w:val="0"/>
          <w:sz w:val="32"/>
          <w:szCs w:val="32"/>
        </w:rPr>
        <w:t>（</w:t>
      </w:r>
      <w:r>
        <w:rPr>
          <w:rFonts w:eastAsia="仿宋_GB2312" w:cs="仿宋_GB2312" w:hint="eastAsia"/>
          <w:kern w:val="0"/>
          <w:sz w:val="32"/>
          <w:szCs w:val="32"/>
        </w:rPr>
        <w:t>6</w:t>
      </w:r>
      <w:r>
        <w:rPr>
          <w:rFonts w:eastAsia="仿宋_GB2312" w:cs="仿宋_GB2312" w:hint="eastAsia"/>
          <w:kern w:val="0"/>
          <w:sz w:val="32"/>
          <w:szCs w:val="32"/>
        </w:rPr>
        <w:t>）受市政府委托，承担全国、全省劳模的推荐、管理和市劳模的推荐、评选、管理工作；负责本市全国“五一”劳动奖章、奖状获得者的推荐、管理工作。</w:t>
      </w:r>
      <w:r>
        <w:rPr>
          <w:rFonts w:eastAsia="仿宋_GB2312" w:cs="仿宋_GB2312" w:hint="eastAsia"/>
          <w:kern w:val="0"/>
          <w:sz w:val="32"/>
          <w:szCs w:val="32"/>
        </w:rPr>
        <w:t xml:space="preserve">  </w:t>
      </w:r>
    </w:p>
    <w:p w:rsidR="00566A40" w:rsidRDefault="00B22672">
      <w:pPr>
        <w:rPr>
          <w:rFonts w:eastAsia="仿宋_GB2312" w:cs="仿宋_GB2312"/>
          <w:kern w:val="0"/>
          <w:sz w:val="32"/>
          <w:szCs w:val="32"/>
        </w:rPr>
      </w:pPr>
      <w:r>
        <w:rPr>
          <w:rFonts w:eastAsia="仿宋_GB2312" w:cs="仿宋_GB2312" w:hint="eastAsia"/>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rPr>
        <w:t>7</w:t>
      </w:r>
      <w:r>
        <w:rPr>
          <w:rFonts w:eastAsia="仿宋_GB2312" w:cs="仿宋_GB2312" w:hint="eastAsia"/>
          <w:kern w:val="0"/>
          <w:sz w:val="32"/>
          <w:szCs w:val="32"/>
        </w:rPr>
        <w:t>）</w:t>
      </w:r>
      <w:r>
        <w:rPr>
          <w:rFonts w:eastAsia="仿宋_GB2312" w:cs="仿宋_GB2312" w:hint="eastAsia"/>
          <w:kern w:val="0"/>
          <w:sz w:val="32"/>
          <w:szCs w:val="32"/>
        </w:rPr>
        <w:t xml:space="preserve"> </w:t>
      </w:r>
      <w:r>
        <w:rPr>
          <w:rFonts w:eastAsia="仿宋_GB2312" w:cs="仿宋_GB2312" w:hint="eastAsia"/>
          <w:kern w:val="0"/>
          <w:sz w:val="32"/>
          <w:szCs w:val="32"/>
        </w:rPr>
        <w:t>负责工会经费的管理、审查、审计工作，研究制订工会组织兴办职工劳动福利事业的有关政策和规定；负责工会劳动福利事业发展的指导、协调工作；负责职工医疗修养事业的规划、指导和管理工作。</w:t>
      </w:r>
    </w:p>
    <w:p w:rsidR="00566A40" w:rsidRDefault="00B22672">
      <w:pPr>
        <w:rPr>
          <w:rFonts w:eastAsia="仿宋_GB2312" w:cs="仿宋_GB2312"/>
          <w:kern w:val="0"/>
          <w:sz w:val="32"/>
          <w:szCs w:val="32"/>
        </w:rPr>
      </w:pPr>
      <w:r>
        <w:rPr>
          <w:rFonts w:eastAsia="仿宋_GB2312" w:cs="仿宋_GB2312" w:hint="eastAsia"/>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rPr>
        <w:t>8</w:t>
      </w:r>
      <w:r>
        <w:rPr>
          <w:rFonts w:eastAsia="仿宋_GB2312" w:cs="仿宋_GB2312" w:hint="eastAsia"/>
          <w:kern w:val="0"/>
          <w:sz w:val="32"/>
          <w:szCs w:val="32"/>
        </w:rPr>
        <w:t>）负责工会国际联络和国际工运的研究工作；发展同外国工会组织的友好关系；负责与港澳台工会的联络和交流合作工作。</w:t>
      </w:r>
    </w:p>
    <w:p w:rsidR="00566A40" w:rsidRDefault="00B22672">
      <w:pPr>
        <w:jc w:val="left"/>
        <w:rPr>
          <w:rFonts w:ascii="仿宋_GB2312" w:eastAsia="仿宋_GB2312" w:hAnsiTheme="minorEastAsia"/>
          <w:sz w:val="28"/>
          <w:szCs w:val="32"/>
        </w:rPr>
      </w:pPr>
      <w:r>
        <w:rPr>
          <w:rFonts w:eastAsia="仿宋_GB2312" w:cs="仿宋_GB2312" w:hint="eastAsia"/>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rPr>
        <w:t>9</w:t>
      </w:r>
      <w:r>
        <w:rPr>
          <w:rFonts w:eastAsia="仿宋_GB2312" w:cs="仿宋_GB2312" w:hint="eastAsia"/>
          <w:kern w:val="0"/>
          <w:sz w:val="32"/>
          <w:szCs w:val="32"/>
        </w:rPr>
        <w:t>）承担市委、市政府交办的其他事项。</w:t>
      </w:r>
    </w:p>
    <w:p w:rsidR="00566A40" w:rsidRDefault="00B22672">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566A40" w:rsidRDefault="00B22672">
      <w:pPr>
        <w:ind w:firstLineChars="200" w:firstLine="640"/>
        <w:rPr>
          <w:rFonts w:ascii="Calibri" w:eastAsia="黑体" w:hAnsi="Calibri" w:cs="Times New Roman"/>
          <w:sz w:val="32"/>
          <w:szCs w:val="32"/>
        </w:rPr>
      </w:pPr>
      <w:r>
        <w:rPr>
          <w:rFonts w:asciiTheme="minorEastAsia" w:hAnsiTheme="minorEastAsia" w:hint="eastAsia"/>
          <w:bCs/>
          <w:kern w:val="0"/>
          <w:sz w:val="32"/>
          <w:szCs w:val="32"/>
        </w:rPr>
        <w:t>（一）内设机构设置。</w:t>
      </w:r>
      <w:r>
        <w:rPr>
          <w:rFonts w:ascii="仿宋_GB2312" w:eastAsia="仿宋_GB2312" w:hAnsi="Times New Roman" w:cs="Times New Roman"/>
          <w:sz w:val="32"/>
          <w:szCs w:val="32"/>
        </w:rPr>
        <w:t>市总工会设置内设机构12个：办公室、组织部、基层工作部、权益保障部、宣传教育和网络信息部、劳动和经济服务部、财务资产部、女职工部、经费审查委员会办公室、机关党委、驻会工会两个（直工委、外工委）核定行政编制28个，实有2</w:t>
      </w:r>
      <w:r>
        <w:rPr>
          <w:rFonts w:ascii="仿宋_GB2312" w:eastAsia="仿宋_GB2312" w:hAnsi="Times New Roman" w:cs="Times New Roman" w:hint="eastAsia"/>
          <w:sz w:val="32"/>
          <w:szCs w:val="32"/>
        </w:rPr>
        <w:t>8</w:t>
      </w:r>
      <w:r>
        <w:rPr>
          <w:rFonts w:ascii="仿宋_GB2312" w:eastAsia="仿宋_GB2312" w:hAnsi="Times New Roman" w:cs="Times New Roman"/>
          <w:sz w:val="32"/>
          <w:szCs w:val="32"/>
        </w:rPr>
        <w:t>人。离退休干部</w:t>
      </w:r>
      <w:r>
        <w:rPr>
          <w:rFonts w:ascii="仿宋_GB2312" w:eastAsia="仿宋_GB2312" w:hAnsi="Times New Roman" w:cs="Times New Roman" w:hint="eastAsia"/>
          <w:sz w:val="32"/>
          <w:szCs w:val="32"/>
        </w:rPr>
        <w:t>39</w:t>
      </w:r>
      <w:r>
        <w:rPr>
          <w:rFonts w:ascii="仿宋_GB2312" w:eastAsia="仿宋_GB2312" w:hAnsi="Times New Roman" w:cs="Times New Roman"/>
          <w:sz w:val="32"/>
          <w:szCs w:val="32"/>
        </w:rPr>
        <w:t>人（其中离休干部</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人）</w:t>
      </w:r>
    </w:p>
    <w:p w:rsidR="00566A40" w:rsidRDefault="00B22672">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下属事业单位2个</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市困难职工帮扶中心，公益一类全额拨款事业单位，有全额拨款事业编制10个，在编7人</w:t>
      </w:r>
      <w:r>
        <w:rPr>
          <w:rFonts w:ascii="仿宋_GB2312" w:eastAsia="仿宋_GB2312" w:hAnsi="Times New Roman" w:cs="Times New Roman" w:hint="eastAsia"/>
          <w:sz w:val="32"/>
          <w:szCs w:val="32"/>
        </w:rPr>
        <w:t>，帮扶中心人员及运行经费由市总全额保障，列入市总财务统一核算</w:t>
      </w:r>
      <w:r>
        <w:rPr>
          <w:rFonts w:ascii="仿宋_GB2312" w:eastAsia="仿宋_GB2312" w:hAnsi="Times New Roman" w:cs="Times New Roman"/>
          <w:sz w:val="32"/>
          <w:szCs w:val="32"/>
        </w:rPr>
        <w:t>。市工人文化宫，公益</w:t>
      </w: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类经费自理事业单位，有经费自理事业编制16个，在编7人。</w:t>
      </w:r>
    </w:p>
    <w:p w:rsidR="00566A40" w:rsidRDefault="00B22672">
      <w:pPr>
        <w:ind w:firstLineChars="200" w:firstLine="640"/>
        <w:rPr>
          <w:rFonts w:asciiTheme="minorEastAsia" w:hAnsiTheme="minorEastAsia"/>
          <w:bCs/>
          <w:kern w:val="0"/>
          <w:sz w:val="32"/>
          <w:szCs w:val="32"/>
        </w:rPr>
      </w:pPr>
      <w:r>
        <w:rPr>
          <w:rFonts w:ascii="仿宋_GB2312" w:eastAsia="仿宋_GB2312" w:hAnsi="Times New Roman" w:cs="Times New Roman" w:hint="eastAsia"/>
          <w:sz w:val="32"/>
          <w:szCs w:val="32"/>
        </w:rPr>
        <w:t>（二）</w:t>
      </w:r>
      <w:r>
        <w:rPr>
          <w:rFonts w:asciiTheme="minorEastAsia" w:hAnsiTheme="minorEastAsia" w:hint="eastAsia"/>
          <w:bCs/>
          <w:kern w:val="0"/>
          <w:sz w:val="32"/>
          <w:szCs w:val="32"/>
        </w:rPr>
        <w:t>决算单位构成。</w:t>
      </w:r>
    </w:p>
    <w:p w:rsidR="00566A40" w:rsidRDefault="00B22672">
      <w:pPr>
        <w:widowControl/>
        <w:spacing w:line="600" w:lineRule="exact"/>
        <w:ind w:firstLineChars="200" w:firstLine="640"/>
        <w:rPr>
          <w:rFonts w:asciiTheme="minorEastAsia" w:hAnsiTheme="minorEastAsia"/>
          <w:bCs/>
          <w:kern w:val="0"/>
          <w:sz w:val="32"/>
          <w:szCs w:val="32"/>
        </w:rPr>
      </w:pPr>
      <w:r>
        <w:rPr>
          <w:rFonts w:asciiTheme="minorEastAsia" w:hAnsiTheme="minorEastAsia"/>
          <w:bCs/>
          <w:kern w:val="0"/>
          <w:sz w:val="32"/>
          <w:szCs w:val="32"/>
        </w:rPr>
        <w:t>20</w:t>
      </w:r>
      <w:r>
        <w:rPr>
          <w:rFonts w:asciiTheme="minorEastAsia" w:hAnsiTheme="minorEastAsia" w:hint="eastAsia"/>
          <w:bCs/>
          <w:kern w:val="0"/>
          <w:sz w:val="32"/>
          <w:szCs w:val="32"/>
        </w:rPr>
        <w:t>20年部门决算汇总公开单位构成包括：岳阳市总工会本级</w:t>
      </w:r>
    </w:p>
    <w:p w:rsidR="00566A40" w:rsidRDefault="00566A40">
      <w:pPr>
        <w:jc w:val="left"/>
        <w:rPr>
          <w:rFonts w:ascii="仿宋_GB2312" w:eastAsia="仿宋_GB2312" w:hAnsiTheme="minorEastAsia"/>
          <w:sz w:val="28"/>
          <w:szCs w:val="32"/>
        </w:rPr>
      </w:pPr>
    </w:p>
    <w:p w:rsidR="00566A40" w:rsidRDefault="00566A40">
      <w:pPr>
        <w:jc w:val="center"/>
        <w:rPr>
          <w:rFonts w:ascii="黑体" w:eastAsia="黑体" w:hAnsi="黑体"/>
          <w:sz w:val="28"/>
          <w:szCs w:val="28"/>
        </w:rPr>
      </w:pPr>
    </w:p>
    <w:p w:rsidR="00566A40" w:rsidRDefault="00566A40">
      <w:pPr>
        <w:jc w:val="center"/>
        <w:rPr>
          <w:rFonts w:ascii="黑体" w:eastAsia="黑体" w:hAnsi="黑体"/>
          <w:sz w:val="28"/>
          <w:szCs w:val="28"/>
        </w:rPr>
      </w:pPr>
    </w:p>
    <w:p w:rsidR="00566A40" w:rsidRDefault="00566A40">
      <w:pPr>
        <w:jc w:val="center"/>
        <w:rPr>
          <w:rFonts w:ascii="黑体" w:eastAsia="黑体" w:hAnsi="黑体"/>
          <w:sz w:val="28"/>
          <w:szCs w:val="28"/>
        </w:rPr>
      </w:pPr>
    </w:p>
    <w:p w:rsidR="00566A40" w:rsidRDefault="00566A40">
      <w:pPr>
        <w:jc w:val="center"/>
        <w:rPr>
          <w:rFonts w:ascii="黑体" w:eastAsia="黑体" w:hAnsi="黑体"/>
          <w:sz w:val="28"/>
          <w:szCs w:val="28"/>
        </w:rPr>
      </w:pPr>
    </w:p>
    <w:p w:rsidR="00566A40" w:rsidRDefault="00566A40">
      <w:pP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B22672">
      <w:pPr>
        <w:jc w:val="center"/>
        <w:rPr>
          <w:sz w:val="72"/>
          <w:szCs w:val="72"/>
        </w:rPr>
      </w:pPr>
      <w:r>
        <w:rPr>
          <w:rFonts w:hint="eastAsia"/>
          <w:sz w:val="72"/>
          <w:szCs w:val="72"/>
        </w:rPr>
        <w:t>第二部分</w:t>
      </w:r>
    </w:p>
    <w:p w:rsidR="00566A40" w:rsidRDefault="00566A40">
      <w:pPr>
        <w:jc w:val="center"/>
        <w:rPr>
          <w:sz w:val="72"/>
          <w:szCs w:val="72"/>
        </w:rPr>
      </w:pPr>
    </w:p>
    <w:p w:rsidR="00566A40" w:rsidRDefault="00B22672">
      <w:pPr>
        <w:jc w:val="center"/>
        <w:rPr>
          <w:sz w:val="72"/>
          <w:szCs w:val="72"/>
        </w:rPr>
      </w:pPr>
      <w:r>
        <w:rPr>
          <w:rFonts w:hint="eastAsia"/>
          <w:sz w:val="72"/>
          <w:szCs w:val="72"/>
        </w:rPr>
        <w:t>部门决算表</w:t>
      </w:r>
    </w:p>
    <w:p w:rsidR="00566A40" w:rsidRDefault="00566A40">
      <w:pP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jc w:val="center"/>
        <w:rPr>
          <w:sz w:val="72"/>
          <w:szCs w:val="72"/>
        </w:rPr>
      </w:pPr>
    </w:p>
    <w:p w:rsidR="00566A40" w:rsidRDefault="00566A40">
      <w:pPr>
        <w:jc w:val="left"/>
        <w:rPr>
          <w:sz w:val="32"/>
          <w:szCs w:val="32"/>
        </w:rPr>
      </w:pPr>
    </w:p>
    <w:p w:rsidR="00566A40" w:rsidRDefault="00566A40">
      <w:pPr>
        <w:jc w:val="left"/>
        <w:rPr>
          <w:rFonts w:asciiTheme="minorEastAsia" w:hAnsiTheme="minorEastAsia"/>
          <w:sz w:val="32"/>
          <w:szCs w:val="32"/>
        </w:rPr>
        <w:sectPr w:rsidR="00566A40">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566A40">
        <w:trPr>
          <w:trHeight w:val="360"/>
        </w:trPr>
        <w:tc>
          <w:tcPr>
            <w:tcW w:w="14081" w:type="dxa"/>
            <w:gridSpan w:val="11"/>
            <w:tcBorders>
              <w:top w:val="nil"/>
              <w:left w:val="nil"/>
              <w:bottom w:val="nil"/>
              <w:right w:val="nil"/>
            </w:tcBorders>
            <w:shd w:val="clear" w:color="auto" w:fill="auto"/>
            <w:noWrap/>
            <w:vAlign w:val="center"/>
          </w:tcPr>
          <w:p w:rsidR="00566A40" w:rsidRDefault="00B2267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566A40">
        <w:trPr>
          <w:trHeight w:val="199"/>
        </w:trPr>
        <w:tc>
          <w:tcPr>
            <w:tcW w:w="5206" w:type="dxa"/>
            <w:gridSpan w:val="3"/>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公开01表</w:t>
            </w:r>
          </w:p>
        </w:tc>
      </w:tr>
      <w:tr w:rsidR="00566A40">
        <w:trPr>
          <w:trHeight w:val="300"/>
        </w:trPr>
        <w:tc>
          <w:tcPr>
            <w:tcW w:w="5206" w:type="dxa"/>
            <w:gridSpan w:val="3"/>
            <w:tcBorders>
              <w:top w:val="nil"/>
              <w:left w:val="nil"/>
              <w:bottom w:val="nil"/>
              <w:right w:val="nil"/>
            </w:tcBorders>
            <w:shd w:val="clear" w:color="000000" w:fill="FFFFFF"/>
            <w:noWrap/>
            <w:vAlign w:val="center"/>
          </w:tcPr>
          <w:p w:rsidR="00566A40" w:rsidRDefault="00B2267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岳阳市总工会</w:t>
            </w:r>
          </w:p>
        </w:tc>
        <w:tc>
          <w:tcPr>
            <w:tcW w:w="697" w:type="dxa"/>
            <w:gridSpan w:val="2"/>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66A40">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566A4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1682.24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1212.38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11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七、社会保障和就业支出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435.63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八、商业服务业等支出</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23.23</w:t>
            </w:r>
          </w:p>
        </w:tc>
      </w:tr>
      <w:tr w:rsidR="00566A4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1682.24　</w:t>
            </w:r>
          </w:p>
        </w:tc>
        <w:tc>
          <w:tcPr>
            <w:tcW w:w="3798"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1682.24</w:t>
            </w:r>
          </w:p>
        </w:tc>
      </w:tr>
      <w:tr w:rsidR="00566A4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1682.24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b/>
                <w:bCs/>
                <w:kern w:val="0"/>
                <w:sz w:val="22"/>
              </w:rPr>
            </w:pPr>
            <w:r>
              <w:rPr>
                <w:rFonts w:ascii="宋体" w:eastAsia="宋体" w:hAnsi="宋体" w:cs="宋体" w:hint="eastAsia"/>
                <w:b/>
                <w:bCs/>
                <w:kern w:val="0"/>
                <w:sz w:val="22"/>
              </w:rPr>
              <w:t>1682.24</w:t>
            </w:r>
          </w:p>
        </w:tc>
      </w:tr>
      <w:tr w:rsidR="00566A40">
        <w:trPr>
          <w:trHeight w:val="1020"/>
        </w:trPr>
        <w:tc>
          <w:tcPr>
            <w:tcW w:w="14081" w:type="dxa"/>
            <w:gridSpan w:val="11"/>
            <w:tcBorders>
              <w:top w:val="nil"/>
              <w:left w:val="nil"/>
              <w:bottom w:val="nil"/>
              <w:right w:val="nil"/>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t xml:space="preserve"> 2.本套报表金额单位转换时可能存在尾数误差。</w:t>
            </w:r>
          </w:p>
        </w:tc>
      </w:tr>
    </w:tbl>
    <w:p w:rsidR="00566A40" w:rsidRDefault="00566A40">
      <w:pPr>
        <w:jc w:val="center"/>
        <w:rPr>
          <w:rFonts w:ascii="黑体" w:eastAsia="黑体" w:hAnsi="黑体"/>
          <w:sz w:val="28"/>
          <w:szCs w:val="28"/>
        </w:rPr>
        <w:sectPr w:rsidR="00566A40">
          <w:pgSz w:w="16838" w:h="11906" w:orient="landscape"/>
          <w:pgMar w:top="1797" w:right="1440" w:bottom="1797" w:left="1440" w:header="851" w:footer="992" w:gutter="0"/>
          <w:cols w:space="425"/>
          <w:docGrid w:type="linesAndChars" w:linePitch="312"/>
        </w:sectPr>
      </w:pPr>
    </w:p>
    <w:tbl>
      <w:tblPr>
        <w:tblW w:w="13900" w:type="dxa"/>
        <w:tblCellMar>
          <w:left w:w="0" w:type="dxa"/>
          <w:right w:w="0" w:type="dxa"/>
        </w:tblCellMar>
        <w:tblLook w:val="04A0"/>
      </w:tblPr>
      <w:tblGrid>
        <w:gridCol w:w="539"/>
        <w:gridCol w:w="447"/>
        <w:gridCol w:w="3247"/>
        <w:gridCol w:w="1741"/>
        <w:gridCol w:w="1741"/>
        <w:gridCol w:w="1304"/>
        <w:gridCol w:w="1304"/>
        <w:gridCol w:w="1304"/>
        <w:gridCol w:w="1304"/>
        <w:gridCol w:w="1853"/>
      </w:tblGrid>
      <w:tr w:rsidR="00566A40">
        <w:trPr>
          <w:trHeight w:val="435"/>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566A40" w:rsidRDefault="00B22672">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566A40">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566A40">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rPr>
                <w:rFonts w:ascii="宋体" w:eastAsia="宋体" w:hAnsi="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left"/>
              <w:rPr>
                <w:rFonts w:ascii="宋体" w:eastAsia="宋体" w:hAnsi="宋体" w:cs="宋体"/>
                <w:sz w:val="24"/>
                <w:szCs w:val="24"/>
              </w:rPr>
            </w:pPr>
            <w:r>
              <w:rPr>
                <w:rFonts w:hint="eastAsia"/>
              </w:rPr>
              <w:t xml:space="preserve">岳阳市总工会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566A40" w:rsidRDefault="00B22672">
            <w:pPr>
              <w:jc w:val="right"/>
              <w:rPr>
                <w:rFonts w:ascii="宋体" w:eastAsia="宋体" w:hAnsi="宋体" w:cs="宋体"/>
                <w:color w:val="000000"/>
                <w:sz w:val="20"/>
                <w:szCs w:val="20"/>
              </w:rPr>
            </w:pPr>
            <w:r>
              <w:rPr>
                <w:rFonts w:hint="eastAsia"/>
                <w:color w:val="000000"/>
                <w:sz w:val="20"/>
                <w:szCs w:val="20"/>
              </w:rPr>
              <w:t>单位：万元</w:t>
            </w:r>
          </w:p>
        </w:tc>
      </w:tr>
      <w:tr w:rsidR="00566A40">
        <w:trPr>
          <w:trHeight w:val="450"/>
        </w:trPr>
        <w:tc>
          <w:tcPr>
            <w:tcW w:w="2420"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经营收入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附属单位上缴收入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其他收入</w:t>
            </w:r>
          </w:p>
        </w:tc>
      </w:tr>
      <w:tr w:rsidR="00566A40">
        <w:trPr>
          <w:trHeight w:val="450"/>
        </w:trPr>
        <w:tc>
          <w:tcPr>
            <w:tcW w:w="112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功能分类科目编码</w:t>
            </w:r>
          </w:p>
        </w:tc>
        <w:tc>
          <w:tcPr>
            <w:tcW w:w="130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r>
      <w:tr w:rsidR="00566A40">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66A40" w:rsidRDefault="00566A40">
            <w:pPr>
              <w:rPr>
                <w:rFonts w:ascii="宋体" w:eastAsia="宋体" w:hAnsi="宋体" w:cs="宋体"/>
                <w:sz w:val="24"/>
                <w:szCs w:val="24"/>
              </w:rPr>
            </w:pPr>
          </w:p>
        </w:tc>
      </w:tr>
      <w:tr w:rsidR="00566A40">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栏次</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7</w:t>
            </w:r>
          </w:p>
        </w:tc>
      </w:tr>
      <w:tr w:rsidR="00566A40">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hint="eastAsia"/>
              </w:rPr>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1682.24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1682.24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hAnsi="宋体" w:cs="宋体"/>
                <w:sz w:val="24"/>
                <w:szCs w:val="24"/>
              </w:rPr>
            </w:pPr>
            <w:r>
              <w:rPr>
                <w:rFonts w:hint="eastAsia"/>
              </w:rPr>
              <w:t xml:space="preserve">　</w:t>
            </w:r>
            <w:r>
              <w:rPr>
                <w:rFonts w:hint="eastAsia"/>
              </w:rPr>
              <w:t>201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eastAsia="宋体" w:hAnsi="宋体" w:cs="宋体"/>
                <w:sz w:val="24"/>
                <w:szCs w:val="24"/>
              </w:rPr>
            </w:pPr>
            <w:r>
              <w:rPr>
                <w:rFonts w:eastAsia="宋体" w:hint="eastAsia"/>
              </w:rPr>
              <w:t>一般公共服务支出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1212.38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1212.38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hAnsi="宋体" w:cs="宋体"/>
                <w:sz w:val="24"/>
                <w:szCs w:val="24"/>
              </w:rPr>
            </w:pPr>
            <w:r>
              <w:rPr>
                <w:rFonts w:hint="eastAsia"/>
              </w:rPr>
              <w:t xml:space="preserve">　</w:t>
            </w:r>
            <w:r>
              <w:rPr>
                <w:rFonts w:hint="eastAsia"/>
              </w:rPr>
              <w:t>20129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eastAsia="宋体" w:hAnsi="宋体" w:cs="宋体"/>
                <w:sz w:val="24"/>
                <w:szCs w:val="24"/>
              </w:rPr>
            </w:pPr>
            <w:r>
              <w:rPr>
                <w:rFonts w:ascii="宋体" w:eastAsia="宋体" w:hAnsi="宋体" w:cs="宋体" w:hint="eastAsia"/>
                <w:sz w:val="24"/>
                <w:szCs w:val="24"/>
              </w:rPr>
              <w:t>群众团体事务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华文中宋" w:eastAsia="华文中宋" w:hAnsi="华文中宋" w:cs="宋体"/>
                <w:sz w:val="24"/>
                <w:szCs w:val="24"/>
              </w:rPr>
            </w:pPr>
            <w:r>
              <w:rPr>
                <w:rFonts w:ascii="华文中宋" w:eastAsia="华文中宋" w:hAnsi="华文中宋" w:cs="宋体" w:hint="eastAsia"/>
                <w:sz w:val="24"/>
                <w:szCs w:val="24"/>
              </w:rPr>
              <w:t>481.24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481.24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hAnsi="宋体" w:cs="宋体"/>
                <w:sz w:val="24"/>
                <w:szCs w:val="24"/>
              </w:rPr>
            </w:pPr>
            <w:r>
              <w:rPr>
                <w:rFonts w:hint="eastAsia"/>
              </w:rPr>
              <w:t xml:space="preserve">　</w:t>
            </w:r>
            <w:r>
              <w:rPr>
                <w:rFonts w:hint="eastAsia"/>
              </w:rPr>
              <w:t>2012902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eastAsia="宋体" w:hAnsi="宋体" w:cs="宋体"/>
                <w:sz w:val="24"/>
                <w:szCs w:val="24"/>
              </w:rPr>
            </w:pPr>
            <w:r>
              <w:rPr>
                <w:rFonts w:eastAsia="宋体" w:hint="eastAsia"/>
              </w:rPr>
              <w:t>一般行政管理事务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hAnsi="宋体" w:cs="宋体"/>
                <w:sz w:val="24"/>
                <w:szCs w:val="24"/>
              </w:rPr>
            </w:pPr>
            <w:r>
              <w:rPr>
                <w:rFonts w:hint="eastAsia"/>
              </w:rPr>
              <w:t xml:space="preserve">　</w:t>
            </w:r>
            <w:r>
              <w:rPr>
                <w:rFonts w:hint="eastAsia"/>
              </w:rPr>
              <w:t>2012999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eastAsia="宋体" w:hAnsi="宋体" w:cs="宋体"/>
                <w:sz w:val="24"/>
                <w:szCs w:val="24"/>
              </w:rPr>
            </w:pPr>
            <w:r>
              <w:rPr>
                <w:rFonts w:eastAsia="宋体" w:hint="eastAsia"/>
              </w:rPr>
              <w:t>其他群众团体事务支出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466.64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466.64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hAnsi="宋体" w:cs="宋体"/>
                <w:sz w:val="24"/>
                <w:szCs w:val="24"/>
              </w:rPr>
            </w:pPr>
            <w:r>
              <w:rPr>
                <w:rFonts w:hint="eastAsia"/>
              </w:rPr>
              <w:t xml:space="preserve">　</w:t>
            </w:r>
            <w:r>
              <w:rPr>
                <w:rFonts w:hint="eastAsia"/>
              </w:rPr>
              <w:t>20199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eastAsia="宋体" w:hAnsi="宋体" w:cs="宋体"/>
                <w:sz w:val="24"/>
                <w:szCs w:val="24"/>
              </w:rPr>
            </w:pPr>
            <w:r>
              <w:rPr>
                <w:rFonts w:eastAsia="宋体" w:hint="eastAsia"/>
              </w:rPr>
              <w:t>其他一般公共服务支出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hAnsi="宋体" w:cs="宋体"/>
                <w:sz w:val="24"/>
                <w:szCs w:val="24"/>
              </w:rPr>
            </w:pPr>
            <w:r>
              <w:rPr>
                <w:rFonts w:hint="eastAsia"/>
              </w:rPr>
              <w:t xml:space="preserve">　</w:t>
            </w:r>
            <w:r>
              <w:rPr>
                <w:rFonts w:hint="eastAsia"/>
              </w:rPr>
              <w:t>2019999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pPr>
              <w:rPr>
                <w:rFonts w:ascii="宋体" w:eastAsia="宋体" w:hAnsi="宋体" w:cs="宋体"/>
                <w:sz w:val="24"/>
                <w:szCs w:val="24"/>
              </w:rPr>
            </w:pPr>
            <w:r>
              <w:rPr>
                <w:rFonts w:eastAsia="宋体" w:hint="eastAsia"/>
              </w:rPr>
              <w:t>其他一般公共服务支出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科学技术支出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20699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其他科学技术支出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2069999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其他科学技术支出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社会保障和就业支出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435.63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435.63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20805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行政事业单位养老支出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2080502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事业单位离退休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20899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其他社会保障和就业支出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lastRenderedPageBreak/>
              <w:t>2089901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其他社会保障和就业支出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商业服务业等支出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21699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其他商业服务业等支出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2169999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6A40" w:rsidRDefault="00B22672">
            <w:r>
              <w:rPr>
                <w:rFonts w:hint="eastAsia"/>
              </w:rPr>
              <w:t>其他商业服务业等支出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6A40" w:rsidRDefault="00566A40">
            <w:pPr>
              <w:jc w:val="center"/>
              <w:rPr>
                <w:rFonts w:ascii="宋体" w:eastAsia="宋体" w:hAnsi="宋体" w:cs="宋体"/>
                <w:sz w:val="24"/>
                <w:szCs w:val="24"/>
              </w:rPr>
            </w:pPr>
          </w:p>
        </w:tc>
      </w:tr>
      <w:tr w:rsidR="00566A40">
        <w:trPr>
          <w:trHeight w:val="615"/>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rsidR="00566A40" w:rsidRDefault="00B22672">
            <w:pPr>
              <w:rPr>
                <w:rFonts w:ascii="宋体" w:eastAsia="宋体" w:hAnsi="宋体" w:cs="宋体"/>
                <w:sz w:val="24"/>
                <w:szCs w:val="24"/>
              </w:rPr>
            </w:pPr>
            <w:r>
              <w:rPr>
                <w:rFonts w:hint="eastAsia"/>
              </w:rPr>
              <w:t>注：本表反映部门本年度取得的各项收入情况。</w:t>
            </w:r>
          </w:p>
        </w:tc>
      </w:tr>
      <w:tr w:rsidR="00566A40">
        <w:trPr>
          <w:trHeight w:val="615"/>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rsidR="00566A40" w:rsidRDefault="00566A40"/>
        </w:tc>
      </w:tr>
    </w:tbl>
    <w:p w:rsidR="00566A40" w:rsidRDefault="00B22672">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566A40" w:rsidRDefault="00566A40">
      <w:pPr>
        <w:widowControl/>
        <w:rPr>
          <w:rFonts w:ascii="Times New Roman" w:eastAsia="方正小标宋_GBK" w:hAnsi="Times New Roman" w:cs="Times New Roman"/>
          <w:color w:val="000000"/>
          <w:kern w:val="0"/>
          <w:sz w:val="36"/>
          <w:szCs w:val="36"/>
        </w:rPr>
      </w:pPr>
    </w:p>
    <w:tbl>
      <w:tblPr>
        <w:tblW w:w="13183" w:type="dxa"/>
        <w:tblInd w:w="93" w:type="dxa"/>
        <w:tblLook w:val="04A0"/>
      </w:tblPr>
      <w:tblGrid>
        <w:gridCol w:w="1042"/>
        <w:gridCol w:w="222"/>
        <w:gridCol w:w="1249"/>
        <w:gridCol w:w="1646"/>
        <w:gridCol w:w="1679"/>
        <w:gridCol w:w="1679"/>
        <w:gridCol w:w="1679"/>
        <w:gridCol w:w="1679"/>
        <w:gridCol w:w="2308"/>
      </w:tblGrid>
      <w:tr w:rsidR="00566A40">
        <w:trPr>
          <w:trHeight w:val="435"/>
        </w:trPr>
        <w:tc>
          <w:tcPr>
            <w:tcW w:w="13183" w:type="dxa"/>
            <w:gridSpan w:val="9"/>
            <w:tcBorders>
              <w:top w:val="nil"/>
              <w:left w:val="nil"/>
              <w:bottom w:val="nil"/>
              <w:right w:val="nil"/>
            </w:tcBorders>
            <w:shd w:val="clear" w:color="auto" w:fill="auto"/>
            <w:noWrap/>
            <w:vAlign w:val="center"/>
          </w:tcPr>
          <w:p w:rsidR="00566A40" w:rsidRDefault="00B2267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566A40">
        <w:trPr>
          <w:trHeight w:val="285"/>
        </w:trPr>
        <w:tc>
          <w:tcPr>
            <w:tcW w:w="1042"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566A40">
        <w:trPr>
          <w:trHeight w:val="285"/>
        </w:trPr>
        <w:tc>
          <w:tcPr>
            <w:tcW w:w="1042" w:type="dxa"/>
            <w:tcBorders>
              <w:top w:val="nil"/>
              <w:left w:val="nil"/>
              <w:bottom w:val="nil"/>
              <w:right w:val="nil"/>
            </w:tcBorders>
            <w:shd w:val="clear" w:color="000000" w:fill="FFFFFF"/>
            <w:noWrap/>
            <w:vAlign w:val="center"/>
          </w:tcPr>
          <w:p w:rsidR="00566A40" w:rsidRDefault="00B2267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22"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66A40">
        <w:trPr>
          <w:trHeight w:val="450"/>
        </w:trPr>
        <w:tc>
          <w:tcPr>
            <w:tcW w:w="251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6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566A40">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1249" w:type="dxa"/>
            <w:vMerge w:val="restart"/>
            <w:tcBorders>
              <w:top w:val="nil"/>
              <w:left w:val="single" w:sz="4" w:space="0" w:color="auto"/>
              <w:bottom w:val="single" w:sz="4" w:space="0" w:color="auto"/>
              <w:right w:val="single" w:sz="4" w:space="0" w:color="auto"/>
            </w:tcBorders>
            <w:shd w:val="clear" w:color="000000" w:fill="FFFFFF"/>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646"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r>
      <w:tr w:rsidR="00566A40">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249" w:type="dxa"/>
            <w:vMerge/>
            <w:tcBorders>
              <w:top w:val="nil"/>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r>
      <w:tr w:rsidR="00566A40">
        <w:trPr>
          <w:trHeight w:val="450"/>
        </w:trPr>
        <w:tc>
          <w:tcPr>
            <w:tcW w:w="25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646"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67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67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67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679"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308"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566A40">
        <w:trPr>
          <w:trHeight w:val="450"/>
        </w:trPr>
        <w:tc>
          <w:tcPr>
            <w:tcW w:w="25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1682.24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1682.24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rPr>
                <w:rFonts w:ascii="宋体" w:hAnsi="宋体" w:cs="宋体"/>
                <w:sz w:val="24"/>
                <w:szCs w:val="24"/>
              </w:rPr>
            </w:pPr>
            <w:r>
              <w:rPr>
                <w:rFonts w:hint="eastAsia"/>
              </w:rPr>
              <w:t xml:space="preserve">　</w:t>
            </w:r>
            <w:r>
              <w:rPr>
                <w:rFonts w:hint="eastAsia"/>
              </w:rPr>
              <w:t>201</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pPr>
              <w:rPr>
                <w:rFonts w:ascii="宋体" w:eastAsia="宋体" w:hAnsi="宋体" w:cs="宋体"/>
                <w:sz w:val="24"/>
                <w:szCs w:val="24"/>
              </w:rPr>
            </w:pPr>
            <w:r>
              <w:rPr>
                <w:rFonts w:eastAsia="宋体" w:hint="eastAsia"/>
              </w:rPr>
              <w:t>一般公共服务支出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1212.38</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1212.38</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rPr>
                <w:rFonts w:ascii="宋体" w:hAnsi="宋体" w:cs="宋体"/>
                <w:sz w:val="24"/>
                <w:szCs w:val="24"/>
              </w:rPr>
            </w:pPr>
            <w:r>
              <w:rPr>
                <w:rFonts w:hint="eastAsia"/>
              </w:rPr>
              <w:t xml:space="preserve">　</w:t>
            </w:r>
            <w:r>
              <w:rPr>
                <w:rFonts w:hint="eastAsia"/>
              </w:rPr>
              <w:t>20129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pPr>
              <w:rPr>
                <w:rFonts w:ascii="宋体" w:eastAsia="宋体" w:hAnsi="宋体" w:cs="宋体"/>
                <w:sz w:val="24"/>
                <w:szCs w:val="24"/>
              </w:rPr>
            </w:pPr>
            <w:r>
              <w:rPr>
                <w:rFonts w:ascii="宋体" w:eastAsia="宋体" w:hAnsi="宋体" w:cs="宋体" w:hint="eastAsia"/>
                <w:sz w:val="24"/>
                <w:szCs w:val="24"/>
              </w:rPr>
              <w:t>群众团体事务</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华文中宋" w:eastAsia="华文中宋" w:hAnsi="华文中宋" w:cs="宋体"/>
                <w:sz w:val="24"/>
                <w:szCs w:val="24"/>
              </w:rPr>
            </w:pPr>
            <w:r>
              <w:rPr>
                <w:rFonts w:ascii="华文中宋" w:eastAsia="华文中宋" w:hAnsi="华文中宋" w:cs="宋体" w:hint="eastAsia"/>
                <w:sz w:val="24"/>
                <w:szCs w:val="24"/>
              </w:rPr>
              <w:t>481.24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481.24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rPr>
                <w:rFonts w:ascii="宋体" w:hAnsi="宋体" w:cs="宋体"/>
                <w:sz w:val="24"/>
                <w:szCs w:val="24"/>
              </w:rPr>
            </w:pPr>
            <w:r>
              <w:rPr>
                <w:rFonts w:hint="eastAsia"/>
              </w:rPr>
              <w:t xml:space="preserve">　</w:t>
            </w:r>
            <w:r>
              <w:rPr>
                <w:rFonts w:hint="eastAsia"/>
              </w:rPr>
              <w:t>2012902</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pPr>
              <w:rPr>
                <w:rFonts w:ascii="宋体" w:eastAsia="宋体" w:hAnsi="宋体" w:cs="宋体"/>
                <w:sz w:val="24"/>
                <w:szCs w:val="24"/>
              </w:rPr>
            </w:pPr>
            <w:r>
              <w:rPr>
                <w:rFonts w:eastAsia="宋体" w:hint="eastAsia"/>
              </w:rPr>
              <w:t>一般行政管理事务</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14.6</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14.6</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rPr>
                <w:rFonts w:ascii="宋体" w:hAnsi="宋体" w:cs="宋体"/>
                <w:sz w:val="24"/>
                <w:szCs w:val="24"/>
              </w:rPr>
            </w:pPr>
            <w:r>
              <w:rPr>
                <w:rFonts w:hint="eastAsia"/>
              </w:rPr>
              <w:t xml:space="preserve">　</w:t>
            </w:r>
            <w:r>
              <w:rPr>
                <w:rFonts w:hint="eastAsia"/>
              </w:rPr>
              <w:t>2012999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pPr>
              <w:rPr>
                <w:rFonts w:ascii="宋体" w:eastAsia="宋体" w:hAnsi="宋体" w:cs="宋体"/>
                <w:sz w:val="24"/>
                <w:szCs w:val="24"/>
              </w:rPr>
            </w:pPr>
            <w:r>
              <w:rPr>
                <w:rFonts w:eastAsia="宋体" w:hint="eastAsia"/>
              </w:rPr>
              <w:t>其他群众团体事务支出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466.64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466.64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rPr>
                <w:rFonts w:ascii="宋体" w:hAnsi="宋体" w:cs="宋体"/>
                <w:sz w:val="24"/>
                <w:szCs w:val="24"/>
              </w:rPr>
            </w:pPr>
            <w:r>
              <w:rPr>
                <w:rFonts w:hint="eastAsia"/>
              </w:rPr>
              <w:t xml:space="preserve">　</w:t>
            </w:r>
            <w:r>
              <w:rPr>
                <w:rFonts w:hint="eastAsia"/>
              </w:rPr>
              <w:t>20199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pPr>
              <w:rPr>
                <w:rFonts w:ascii="宋体" w:eastAsia="宋体" w:hAnsi="宋体" w:cs="宋体"/>
                <w:sz w:val="24"/>
                <w:szCs w:val="24"/>
              </w:rPr>
            </w:pPr>
            <w:r>
              <w:rPr>
                <w:rFonts w:eastAsia="宋体" w:hint="eastAsia"/>
              </w:rPr>
              <w:t>其他一般公共服务支出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rPr>
                <w:rFonts w:ascii="宋体" w:hAnsi="宋体" w:cs="宋体"/>
                <w:sz w:val="24"/>
                <w:szCs w:val="24"/>
              </w:rPr>
            </w:pPr>
            <w:r>
              <w:rPr>
                <w:rFonts w:hint="eastAsia"/>
              </w:rPr>
              <w:t xml:space="preserve">　</w:t>
            </w:r>
            <w:r>
              <w:rPr>
                <w:rFonts w:hint="eastAsia"/>
              </w:rPr>
              <w:t>2019999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pPr>
              <w:rPr>
                <w:rFonts w:ascii="宋体" w:eastAsia="宋体" w:hAnsi="宋体" w:cs="宋体"/>
                <w:sz w:val="24"/>
                <w:szCs w:val="24"/>
              </w:rPr>
            </w:pPr>
            <w:r>
              <w:rPr>
                <w:rFonts w:eastAsia="宋体" w:hint="eastAsia"/>
              </w:rPr>
              <w:t>其他一般公共服务支出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206</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科学技术支出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20699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其他科学技术支出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lastRenderedPageBreak/>
              <w:t>2069999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其他科学技术支出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208</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社会保障和就业支出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435.63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435.63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20805</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行政事业单位养老支出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2080502</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事业单位离退休</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20899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其他社会保障和就业支出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2089901</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其他社会保障和就业支出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216</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商业服务业等支出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21699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其他商业服务业等支出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r>
              <w:rPr>
                <w:rFonts w:hint="eastAsia"/>
              </w:rPr>
              <w:t>2169999</w:t>
            </w:r>
          </w:p>
        </w:tc>
        <w:tc>
          <w:tcPr>
            <w:tcW w:w="1249" w:type="dxa"/>
            <w:tcBorders>
              <w:top w:val="nil"/>
              <w:left w:val="nil"/>
              <w:bottom w:val="single" w:sz="4" w:space="0" w:color="auto"/>
              <w:right w:val="single" w:sz="4" w:space="0" w:color="auto"/>
            </w:tcBorders>
            <w:shd w:val="clear" w:color="000000" w:fill="FFFFFF"/>
            <w:noWrap/>
            <w:vAlign w:val="center"/>
          </w:tcPr>
          <w:p w:rsidR="00566A40" w:rsidRDefault="00B22672">
            <w:r>
              <w:rPr>
                <w:rFonts w:hint="eastAsia"/>
              </w:rPr>
              <w:t>其他商业服务业等支出</w:t>
            </w:r>
          </w:p>
        </w:tc>
        <w:tc>
          <w:tcPr>
            <w:tcW w:w="1646"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679"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2308"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630"/>
        </w:trPr>
        <w:tc>
          <w:tcPr>
            <w:tcW w:w="13183" w:type="dxa"/>
            <w:gridSpan w:val="9"/>
            <w:tcBorders>
              <w:top w:val="nil"/>
              <w:left w:val="nil"/>
              <w:bottom w:val="nil"/>
              <w:right w:val="nil"/>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566A40" w:rsidRDefault="00566A40">
      <w:pPr>
        <w:widowControl/>
        <w:ind w:left="93"/>
        <w:jc w:val="center"/>
        <w:rPr>
          <w:rFonts w:ascii="Times New Roman" w:eastAsia="方正小标宋_GBK" w:hAnsi="Times New Roman" w:cs="Times New Roman"/>
          <w:color w:val="000000"/>
          <w:kern w:val="0"/>
          <w:sz w:val="36"/>
          <w:szCs w:val="21"/>
        </w:rPr>
      </w:pPr>
    </w:p>
    <w:p w:rsidR="00566A40" w:rsidRDefault="00566A40">
      <w:pPr>
        <w:widowControl/>
        <w:ind w:left="93"/>
        <w:jc w:val="center"/>
        <w:rPr>
          <w:rFonts w:ascii="Times New Roman" w:eastAsia="方正小标宋_GBK" w:hAnsi="Times New Roman" w:cs="Times New Roman"/>
          <w:color w:val="000000"/>
          <w:kern w:val="0"/>
          <w:sz w:val="36"/>
          <w:szCs w:val="21"/>
        </w:rPr>
      </w:pPr>
    </w:p>
    <w:p w:rsidR="00566A40" w:rsidRDefault="00566A40">
      <w:pPr>
        <w:widowControl/>
        <w:ind w:left="93"/>
        <w:jc w:val="center"/>
        <w:rPr>
          <w:rFonts w:ascii="Times New Roman" w:eastAsia="方正小标宋_GBK" w:hAnsi="Times New Roman" w:cs="Times New Roman"/>
          <w:color w:val="000000"/>
          <w:kern w:val="0"/>
          <w:sz w:val="36"/>
          <w:szCs w:val="21"/>
        </w:rPr>
      </w:pPr>
    </w:p>
    <w:p w:rsidR="00566A40" w:rsidRDefault="00566A40">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566A40">
        <w:trPr>
          <w:trHeight w:val="285"/>
        </w:trPr>
        <w:tc>
          <w:tcPr>
            <w:tcW w:w="3595" w:type="dxa"/>
            <w:tcBorders>
              <w:top w:val="nil"/>
              <w:left w:val="nil"/>
              <w:bottom w:val="nil"/>
              <w:right w:val="nil"/>
            </w:tcBorders>
            <w:shd w:val="clear" w:color="auto" w:fill="auto"/>
            <w:noWrap/>
            <w:vAlign w:val="center"/>
          </w:tcPr>
          <w:p w:rsidR="00566A40" w:rsidRDefault="00566A40">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566A40" w:rsidRDefault="00566A40">
            <w:pPr>
              <w:widowControl/>
              <w:jc w:val="right"/>
              <w:rPr>
                <w:rFonts w:ascii="宋体" w:eastAsia="宋体" w:hAnsi="宋体" w:cs="宋体"/>
                <w:kern w:val="0"/>
                <w:sz w:val="24"/>
                <w:szCs w:val="24"/>
              </w:rPr>
            </w:pPr>
          </w:p>
        </w:tc>
      </w:tr>
      <w:tr w:rsidR="00566A40">
        <w:trPr>
          <w:trHeight w:val="360"/>
        </w:trPr>
        <w:tc>
          <w:tcPr>
            <w:tcW w:w="15521" w:type="dxa"/>
            <w:gridSpan w:val="11"/>
            <w:tcBorders>
              <w:top w:val="nil"/>
              <w:left w:val="nil"/>
              <w:bottom w:val="nil"/>
              <w:right w:val="nil"/>
            </w:tcBorders>
            <w:shd w:val="clear" w:color="auto" w:fill="auto"/>
            <w:noWrap/>
            <w:vAlign w:val="center"/>
          </w:tcPr>
          <w:p w:rsidR="00566A40" w:rsidRDefault="00B22672">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566A40">
        <w:trPr>
          <w:trHeight w:val="199"/>
        </w:trPr>
        <w:tc>
          <w:tcPr>
            <w:tcW w:w="3595"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566A40">
        <w:trPr>
          <w:trHeight w:val="300"/>
        </w:trPr>
        <w:tc>
          <w:tcPr>
            <w:tcW w:w="3595" w:type="dxa"/>
            <w:tcBorders>
              <w:top w:val="nil"/>
              <w:left w:val="nil"/>
              <w:bottom w:val="nil"/>
              <w:right w:val="nil"/>
            </w:tcBorders>
            <w:shd w:val="clear" w:color="000000" w:fill="FFFFFF"/>
            <w:noWrap/>
            <w:vAlign w:val="center"/>
          </w:tcPr>
          <w:p w:rsidR="00566A40" w:rsidRDefault="00B2267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436"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66A40">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566A40">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1682.24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1212.38</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1212.38</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566A4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11</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11</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七、社会保障和就业支出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435.63</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435.63</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八、商业服务业等支出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23.23</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23.23</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1682.24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1682.24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1682.24</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66A40">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right"/>
              <w:rPr>
                <w:rFonts w:ascii="宋体" w:eastAsia="宋体" w:hAnsi="宋体" w:cs="宋体"/>
                <w:kern w:val="0"/>
                <w:sz w:val="22"/>
              </w:rPr>
            </w:pPr>
            <w:r>
              <w:rPr>
                <w:rFonts w:ascii="宋体" w:eastAsia="宋体" w:hAnsi="宋体" w:cs="宋体" w:hint="eastAsia"/>
                <w:kern w:val="0"/>
                <w:sz w:val="22"/>
              </w:rPr>
              <w:t xml:space="preserve">1682.24　</w:t>
            </w:r>
          </w:p>
        </w:tc>
        <w:tc>
          <w:tcPr>
            <w:tcW w:w="3411" w:type="dxa"/>
            <w:gridSpan w:val="2"/>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1682.24　</w:t>
            </w:r>
          </w:p>
        </w:tc>
        <w:tc>
          <w:tcPr>
            <w:tcW w:w="1394" w:type="dxa"/>
            <w:tcBorders>
              <w:top w:val="nil"/>
              <w:left w:val="nil"/>
              <w:bottom w:val="single" w:sz="4" w:space="0" w:color="auto"/>
              <w:right w:val="single" w:sz="4" w:space="0" w:color="auto"/>
            </w:tcBorders>
            <w:shd w:val="clear" w:color="000000" w:fill="FFFFFF"/>
            <w:noWrap/>
            <w:vAlign w:val="center"/>
          </w:tcPr>
          <w:p w:rsidR="00566A40" w:rsidRDefault="00B22672">
            <w:pPr>
              <w:widowControl/>
              <w:jc w:val="center"/>
              <w:rPr>
                <w:rFonts w:ascii="宋体" w:eastAsia="宋体" w:hAnsi="宋体" w:cs="宋体"/>
                <w:kern w:val="0"/>
                <w:sz w:val="22"/>
              </w:rPr>
            </w:pPr>
            <w:r>
              <w:rPr>
                <w:rFonts w:ascii="宋体" w:eastAsia="宋体" w:hAnsi="宋体" w:cs="宋体" w:hint="eastAsia"/>
                <w:kern w:val="0"/>
                <w:sz w:val="22"/>
              </w:rPr>
              <w:t xml:space="preserve">1682.24　</w:t>
            </w:r>
          </w:p>
        </w:tc>
        <w:tc>
          <w:tcPr>
            <w:tcW w:w="1394"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566A40">
        <w:trPr>
          <w:trHeight w:val="585"/>
        </w:trPr>
        <w:tc>
          <w:tcPr>
            <w:tcW w:w="15521" w:type="dxa"/>
            <w:gridSpan w:val="11"/>
            <w:tcBorders>
              <w:top w:val="nil"/>
              <w:left w:val="nil"/>
              <w:bottom w:val="nil"/>
              <w:right w:val="nil"/>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注：本表反映部门本年度一般公共预算财政拨款、政府性基金预算财政拨款和国有资本经营预算财政拨款的总收支和年末结转结余情况。</w:t>
            </w:r>
          </w:p>
        </w:tc>
      </w:tr>
    </w:tbl>
    <w:p w:rsidR="00566A40" w:rsidRDefault="00566A40">
      <w:pPr>
        <w:widowControl/>
        <w:jc w:val="center"/>
        <w:rPr>
          <w:rFonts w:ascii="Times New Roman" w:eastAsia="方正小标宋_GBK" w:hAnsi="Times New Roman" w:cs="Times New Roman"/>
          <w:kern w:val="0"/>
          <w:sz w:val="36"/>
          <w:szCs w:val="36"/>
        </w:rPr>
      </w:pPr>
    </w:p>
    <w:p w:rsidR="00566A40" w:rsidRDefault="00566A40">
      <w:pPr>
        <w:widowControl/>
        <w:jc w:val="center"/>
        <w:rPr>
          <w:rFonts w:ascii="Times New Roman" w:eastAsia="方正小标宋_GBK" w:hAnsi="Times New Roman" w:cs="Times New Roman"/>
          <w:kern w:val="0"/>
          <w:sz w:val="36"/>
          <w:szCs w:val="36"/>
        </w:rPr>
      </w:pPr>
    </w:p>
    <w:p w:rsidR="00566A40" w:rsidRDefault="00B22672">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566A40" w:rsidRDefault="00B22672" w:rsidP="001017C9">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566A40" w:rsidRDefault="00B22672">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566A40">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566A40">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566A40">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566A40">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1682.24</w:t>
            </w:r>
          </w:p>
        </w:tc>
        <w:tc>
          <w:tcPr>
            <w:tcW w:w="3492"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1682.24</w:t>
            </w:r>
          </w:p>
        </w:tc>
        <w:tc>
          <w:tcPr>
            <w:tcW w:w="3000" w:type="dxa"/>
            <w:tcBorders>
              <w:top w:val="nil"/>
              <w:left w:val="nil"/>
              <w:bottom w:val="single" w:sz="4" w:space="0" w:color="auto"/>
              <w:right w:val="single" w:sz="8"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rPr>
                <w:rFonts w:ascii="宋体" w:hAnsi="宋体" w:cs="宋体"/>
                <w:sz w:val="24"/>
                <w:szCs w:val="24"/>
              </w:rPr>
            </w:pPr>
            <w:r>
              <w:rPr>
                <w:rFonts w:hint="eastAsia"/>
              </w:rPr>
              <w:t xml:space="preserve">　</w:t>
            </w:r>
            <w:r>
              <w:rPr>
                <w:rFonts w:hint="eastAsia"/>
              </w:rPr>
              <w:t>201</w:t>
            </w:r>
          </w:p>
        </w:tc>
        <w:tc>
          <w:tcPr>
            <w:tcW w:w="3527" w:type="dxa"/>
            <w:tcBorders>
              <w:top w:val="nil"/>
              <w:left w:val="nil"/>
              <w:bottom w:val="single" w:sz="4" w:space="0" w:color="auto"/>
              <w:right w:val="single" w:sz="4" w:space="0" w:color="auto"/>
            </w:tcBorders>
            <w:shd w:val="clear" w:color="auto" w:fill="auto"/>
            <w:vAlign w:val="center"/>
          </w:tcPr>
          <w:p w:rsidR="00566A40" w:rsidRDefault="00B22672">
            <w:pPr>
              <w:rPr>
                <w:rFonts w:ascii="宋体" w:eastAsia="宋体" w:hAnsi="宋体" w:cs="宋体"/>
                <w:sz w:val="24"/>
                <w:szCs w:val="24"/>
              </w:rPr>
            </w:pPr>
            <w:r>
              <w:rPr>
                <w:rFonts w:eastAsia="宋体" w:hint="eastAsia"/>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1212.38</w:t>
            </w:r>
          </w:p>
        </w:tc>
        <w:tc>
          <w:tcPr>
            <w:tcW w:w="3492"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1212.38</w:t>
            </w:r>
          </w:p>
        </w:tc>
        <w:tc>
          <w:tcPr>
            <w:tcW w:w="3000" w:type="dxa"/>
            <w:tcBorders>
              <w:top w:val="nil"/>
              <w:left w:val="nil"/>
              <w:bottom w:val="single" w:sz="4" w:space="0" w:color="auto"/>
              <w:right w:val="single" w:sz="8"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rPr>
                <w:rFonts w:ascii="宋体" w:hAnsi="宋体" w:cs="宋体"/>
                <w:sz w:val="24"/>
                <w:szCs w:val="24"/>
              </w:rPr>
            </w:pPr>
            <w:r>
              <w:rPr>
                <w:rFonts w:hint="eastAsia"/>
              </w:rPr>
              <w:t xml:space="preserve">　</w:t>
            </w:r>
            <w:r>
              <w:rPr>
                <w:rFonts w:hint="eastAsia"/>
              </w:rPr>
              <w:t>20129</w:t>
            </w:r>
          </w:p>
        </w:tc>
        <w:tc>
          <w:tcPr>
            <w:tcW w:w="3527" w:type="dxa"/>
            <w:tcBorders>
              <w:top w:val="nil"/>
              <w:left w:val="nil"/>
              <w:bottom w:val="single" w:sz="4" w:space="0" w:color="auto"/>
              <w:right w:val="single" w:sz="4" w:space="0" w:color="auto"/>
            </w:tcBorders>
            <w:shd w:val="clear" w:color="auto" w:fill="auto"/>
            <w:vAlign w:val="center"/>
          </w:tcPr>
          <w:p w:rsidR="00566A40" w:rsidRDefault="00B22672">
            <w:pPr>
              <w:rPr>
                <w:rFonts w:ascii="宋体" w:eastAsia="宋体" w:hAnsi="宋体" w:cs="宋体"/>
                <w:sz w:val="24"/>
                <w:szCs w:val="24"/>
              </w:rPr>
            </w:pPr>
            <w:r>
              <w:rPr>
                <w:rFonts w:ascii="宋体" w:eastAsia="宋体" w:hAnsi="宋体" w:cs="宋体" w:hint="eastAsia"/>
                <w:sz w:val="24"/>
                <w:szCs w:val="24"/>
              </w:rPr>
              <w:t>群众团体事务</w:t>
            </w:r>
          </w:p>
        </w:tc>
        <w:tc>
          <w:tcPr>
            <w:tcW w:w="3000"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华文中宋" w:eastAsia="华文中宋" w:hAnsi="华文中宋" w:cs="宋体"/>
                <w:sz w:val="24"/>
                <w:szCs w:val="24"/>
              </w:rPr>
            </w:pPr>
            <w:r>
              <w:rPr>
                <w:rFonts w:ascii="华文中宋" w:eastAsia="华文中宋" w:hAnsi="华文中宋" w:cs="宋体" w:hint="eastAsia"/>
                <w:sz w:val="24"/>
                <w:szCs w:val="24"/>
              </w:rPr>
              <w:t>481.24</w:t>
            </w:r>
          </w:p>
        </w:tc>
        <w:tc>
          <w:tcPr>
            <w:tcW w:w="3492"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481.24</w:t>
            </w:r>
          </w:p>
        </w:tc>
        <w:tc>
          <w:tcPr>
            <w:tcW w:w="3000" w:type="dxa"/>
            <w:tcBorders>
              <w:top w:val="nil"/>
              <w:left w:val="nil"/>
              <w:bottom w:val="single" w:sz="4" w:space="0" w:color="auto"/>
              <w:right w:val="single" w:sz="8"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rPr>
                <w:rFonts w:ascii="宋体" w:hAnsi="宋体" w:cs="宋体"/>
                <w:sz w:val="24"/>
                <w:szCs w:val="24"/>
              </w:rPr>
            </w:pPr>
            <w:r>
              <w:rPr>
                <w:rFonts w:hint="eastAsia"/>
              </w:rPr>
              <w:t xml:space="preserve">　</w:t>
            </w:r>
            <w:r>
              <w:rPr>
                <w:rFonts w:hint="eastAsia"/>
              </w:rPr>
              <w:t>2012902</w:t>
            </w:r>
          </w:p>
        </w:tc>
        <w:tc>
          <w:tcPr>
            <w:tcW w:w="3527" w:type="dxa"/>
            <w:tcBorders>
              <w:top w:val="nil"/>
              <w:left w:val="nil"/>
              <w:bottom w:val="single" w:sz="4" w:space="0" w:color="auto"/>
              <w:right w:val="single" w:sz="4" w:space="0" w:color="auto"/>
            </w:tcBorders>
            <w:shd w:val="clear" w:color="auto" w:fill="auto"/>
            <w:vAlign w:val="center"/>
          </w:tcPr>
          <w:p w:rsidR="00566A40" w:rsidRDefault="00B22672">
            <w:pPr>
              <w:rPr>
                <w:rFonts w:ascii="宋体" w:eastAsia="宋体" w:hAnsi="宋体" w:cs="宋体"/>
                <w:sz w:val="24"/>
                <w:szCs w:val="24"/>
              </w:rPr>
            </w:pPr>
            <w:r>
              <w:rPr>
                <w:rFonts w:eastAsia="宋体" w:hint="eastAsia"/>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14.6</w:t>
            </w:r>
          </w:p>
        </w:tc>
        <w:tc>
          <w:tcPr>
            <w:tcW w:w="3492"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14.6</w:t>
            </w:r>
          </w:p>
        </w:tc>
        <w:tc>
          <w:tcPr>
            <w:tcW w:w="3000" w:type="dxa"/>
            <w:tcBorders>
              <w:top w:val="nil"/>
              <w:left w:val="nil"/>
              <w:bottom w:val="single" w:sz="4" w:space="0" w:color="auto"/>
              <w:right w:val="single" w:sz="8"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rPr>
                <w:rFonts w:ascii="宋体" w:hAnsi="宋体" w:cs="宋体"/>
                <w:sz w:val="24"/>
                <w:szCs w:val="24"/>
              </w:rPr>
            </w:pPr>
            <w:r>
              <w:rPr>
                <w:rFonts w:hint="eastAsia"/>
              </w:rPr>
              <w:t xml:space="preserve">　</w:t>
            </w:r>
            <w:r>
              <w:rPr>
                <w:rFonts w:hint="eastAsia"/>
              </w:rPr>
              <w:t>2012999</w:t>
            </w:r>
          </w:p>
        </w:tc>
        <w:tc>
          <w:tcPr>
            <w:tcW w:w="3527" w:type="dxa"/>
            <w:tcBorders>
              <w:top w:val="nil"/>
              <w:left w:val="nil"/>
              <w:bottom w:val="single" w:sz="4" w:space="0" w:color="auto"/>
              <w:right w:val="single" w:sz="4" w:space="0" w:color="auto"/>
            </w:tcBorders>
            <w:shd w:val="clear" w:color="auto" w:fill="auto"/>
            <w:vAlign w:val="center"/>
          </w:tcPr>
          <w:p w:rsidR="00566A40" w:rsidRDefault="00B22672">
            <w:pPr>
              <w:rPr>
                <w:rFonts w:ascii="宋体" w:eastAsia="宋体" w:hAnsi="宋体" w:cs="宋体"/>
                <w:sz w:val="24"/>
                <w:szCs w:val="24"/>
              </w:rPr>
            </w:pPr>
            <w:r>
              <w:rPr>
                <w:rFonts w:eastAsia="宋体" w:hint="eastAsia"/>
              </w:rPr>
              <w:t>其他群众团体事务支出</w:t>
            </w:r>
          </w:p>
        </w:tc>
        <w:tc>
          <w:tcPr>
            <w:tcW w:w="3000"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466.64</w:t>
            </w:r>
          </w:p>
        </w:tc>
        <w:tc>
          <w:tcPr>
            <w:tcW w:w="3492"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466.64</w:t>
            </w:r>
          </w:p>
        </w:tc>
        <w:tc>
          <w:tcPr>
            <w:tcW w:w="3000" w:type="dxa"/>
            <w:tcBorders>
              <w:top w:val="nil"/>
              <w:left w:val="nil"/>
              <w:bottom w:val="single" w:sz="4" w:space="0" w:color="auto"/>
              <w:right w:val="single" w:sz="8"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rPr>
                <w:rFonts w:ascii="宋体" w:hAnsi="宋体" w:cs="宋体"/>
                <w:sz w:val="24"/>
                <w:szCs w:val="24"/>
              </w:rPr>
            </w:pPr>
            <w:r>
              <w:rPr>
                <w:rFonts w:hint="eastAsia"/>
              </w:rPr>
              <w:t xml:space="preserve">　</w:t>
            </w:r>
            <w:r>
              <w:rPr>
                <w:rFonts w:hint="eastAsia"/>
              </w:rPr>
              <w:t>20199</w:t>
            </w:r>
          </w:p>
        </w:tc>
        <w:tc>
          <w:tcPr>
            <w:tcW w:w="3527" w:type="dxa"/>
            <w:tcBorders>
              <w:top w:val="nil"/>
              <w:left w:val="nil"/>
              <w:bottom w:val="single" w:sz="4" w:space="0" w:color="auto"/>
              <w:right w:val="single" w:sz="4" w:space="0" w:color="auto"/>
            </w:tcBorders>
            <w:shd w:val="clear" w:color="auto" w:fill="auto"/>
            <w:vAlign w:val="center"/>
          </w:tcPr>
          <w:p w:rsidR="00566A40" w:rsidRDefault="00B22672">
            <w:pPr>
              <w:rPr>
                <w:rFonts w:ascii="宋体" w:eastAsia="宋体" w:hAnsi="宋体" w:cs="宋体"/>
                <w:sz w:val="24"/>
                <w:szCs w:val="24"/>
              </w:rPr>
            </w:pPr>
            <w:r>
              <w:rPr>
                <w:rFonts w:eastAsia="宋体" w:hint="eastAsia"/>
              </w:rPr>
              <w:t>其他一般公共服务支出</w:t>
            </w:r>
          </w:p>
        </w:tc>
        <w:tc>
          <w:tcPr>
            <w:tcW w:w="3000"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3492" w:type="dxa"/>
            <w:tcBorders>
              <w:top w:val="nil"/>
              <w:left w:val="nil"/>
              <w:bottom w:val="single" w:sz="4"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3000" w:type="dxa"/>
            <w:tcBorders>
              <w:top w:val="nil"/>
              <w:left w:val="nil"/>
              <w:bottom w:val="single" w:sz="4" w:space="0" w:color="auto"/>
              <w:right w:val="single" w:sz="8"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pPr>
              <w:rPr>
                <w:rFonts w:ascii="宋体" w:hAnsi="宋体" w:cs="宋体"/>
                <w:sz w:val="24"/>
                <w:szCs w:val="24"/>
              </w:rPr>
            </w:pPr>
            <w:r>
              <w:rPr>
                <w:rFonts w:hint="eastAsia"/>
              </w:rPr>
              <w:t xml:space="preserve">　</w:t>
            </w:r>
            <w:r>
              <w:rPr>
                <w:rFonts w:hint="eastAsia"/>
              </w:rPr>
              <w:t>2019999</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pPr>
              <w:rPr>
                <w:rFonts w:ascii="宋体" w:eastAsia="宋体" w:hAnsi="宋体" w:cs="宋体"/>
                <w:sz w:val="24"/>
                <w:szCs w:val="24"/>
              </w:rPr>
            </w:pPr>
            <w:r>
              <w:rPr>
                <w:rFonts w:eastAsia="宋体" w:hint="eastAsia"/>
              </w:rPr>
              <w:t>其他一般公共服务支出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731.14</w:t>
            </w:r>
          </w:p>
        </w:tc>
        <w:tc>
          <w:tcPr>
            <w:tcW w:w="3000" w:type="dxa"/>
            <w:tcBorders>
              <w:top w:val="nil"/>
              <w:left w:val="nil"/>
              <w:bottom w:val="single" w:sz="8" w:space="0" w:color="auto"/>
              <w:right w:val="single" w:sz="8"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206</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科学技术支出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20699</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其他科学技术支出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2069999</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其他科学技术支出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11</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lastRenderedPageBreak/>
              <w:t>208</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社会保障和就业支出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435.63</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435.63</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20805</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行政事业单位养老支出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2080502</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事业单位离退休</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45.63</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20899</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其他社会保障和就业支出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2089901</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其他社会保障和就业支出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390</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216</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商业服务业等支出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21699</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其他商业服务业等支出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r>
              <w:rPr>
                <w:rFonts w:hint="eastAsia"/>
              </w:rPr>
              <w:t>2169999</w:t>
            </w:r>
          </w:p>
        </w:tc>
        <w:tc>
          <w:tcPr>
            <w:tcW w:w="3527" w:type="dxa"/>
            <w:tcBorders>
              <w:top w:val="nil"/>
              <w:left w:val="nil"/>
              <w:bottom w:val="single" w:sz="8" w:space="0" w:color="auto"/>
              <w:right w:val="single" w:sz="4" w:space="0" w:color="auto"/>
            </w:tcBorders>
            <w:shd w:val="clear" w:color="auto" w:fill="auto"/>
            <w:vAlign w:val="center"/>
          </w:tcPr>
          <w:p w:rsidR="00566A40" w:rsidRDefault="00B22672">
            <w:r>
              <w:rPr>
                <w:rFonts w:hint="eastAsia"/>
              </w:rPr>
              <w:t>其他商业服务业等支出</w:t>
            </w:r>
          </w:p>
        </w:tc>
        <w:tc>
          <w:tcPr>
            <w:tcW w:w="3000"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3492" w:type="dxa"/>
            <w:tcBorders>
              <w:top w:val="nil"/>
              <w:left w:val="nil"/>
              <w:bottom w:val="single" w:sz="8" w:space="0" w:color="auto"/>
              <w:right w:val="single" w:sz="4" w:space="0" w:color="auto"/>
            </w:tcBorders>
            <w:shd w:val="clear" w:color="auto" w:fill="auto"/>
            <w:vAlign w:val="center"/>
          </w:tcPr>
          <w:p w:rsidR="00566A40" w:rsidRDefault="00B22672">
            <w:pPr>
              <w:jc w:val="center"/>
              <w:rPr>
                <w:rFonts w:ascii="宋体" w:eastAsia="宋体" w:hAnsi="宋体" w:cs="宋体"/>
                <w:sz w:val="24"/>
                <w:szCs w:val="24"/>
              </w:rPr>
            </w:pPr>
            <w:r>
              <w:rPr>
                <w:rFonts w:ascii="宋体" w:eastAsia="宋体" w:hAnsi="宋体" w:cs="宋体" w:hint="eastAsia"/>
                <w:sz w:val="24"/>
                <w:szCs w:val="24"/>
              </w:rPr>
              <w:t>23.23</w:t>
            </w:r>
          </w:p>
        </w:tc>
        <w:tc>
          <w:tcPr>
            <w:tcW w:w="3000" w:type="dxa"/>
            <w:tcBorders>
              <w:top w:val="nil"/>
              <w:left w:val="nil"/>
              <w:bottom w:val="single" w:sz="8" w:space="0" w:color="auto"/>
              <w:right w:val="single" w:sz="8" w:space="0" w:color="auto"/>
            </w:tcBorders>
            <w:shd w:val="clear" w:color="auto" w:fill="auto"/>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645"/>
          <w:jc w:val="center"/>
        </w:trPr>
        <w:tc>
          <w:tcPr>
            <w:tcW w:w="14219" w:type="dxa"/>
            <w:gridSpan w:val="5"/>
            <w:tcBorders>
              <w:top w:val="nil"/>
              <w:left w:val="nil"/>
              <w:bottom w:val="nil"/>
              <w:right w:val="nil"/>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566A40" w:rsidRDefault="00566A40">
      <w:pPr>
        <w:widowControl/>
        <w:jc w:val="left"/>
        <w:rPr>
          <w:rFonts w:ascii="Times New Roman" w:eastAsia="仿宋_GB2312" w:hAnsi="Times New Roman" w:cs="Times New Roman"/>
          <w:bCs/>
          <w:kern w:val="0"/>
          <w:szCs w:val="21"/>
        </w:rPr>
      </w:pPr>
    </w:p>
    <w:p w:rsidR="00566A40" w:rsidRDefault="00B22672">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ook w:val="04A0"/>
      </w:tblPr>
      <w:tblGrid>
        <w:gridCol w:w="1338"/>
        <w:gridCol w:w="3366"/>
        <w:gridCol w:w="951"/>
        <w:gridCol w:w="858"/>
        <w:gridCol w:w="2316"/>
        <w:gridCol w:w="1266"/>
        <w:gridCol w:w="845"/>
        <w:gridCol w:w="4206"/>
        <w:gridCol w:w="468"/>
      </w:tblGrid>
      <w:tr w:rsidR="00566A40">
        <w:trPr>
          <w:trHeight w:val="113"/>
        </w:trPr>
        <w:tc>
          <w:tcPr>
            <w:tcW w:w="0" w:type="auto"/>
            <w:gridSpan w:val="9"/>
            <w:tcBorders>
              <w:top w:val="nil"/>
              <w:left w:val="nil"/>
              <w:bottom w:val="nil"/>
              <w:right w:val="nil"/>
            </w:tcBorders>
            <w:shd w:val="clear" w:color="auto" w:fill="auto"/>
            <w:noWrap/>
            <w:vAlign w:val="center"/>
          </w:tcPr>
          <w:p w:rsidR="00566A40" w:rsidRDefault="00B22672">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一般公共预算财政拨款基本支出决算表</w:t>
            </w:r>
            <w:bookmarkEnd w:id="2"/>
          </w:p>
          <w:p w:rsidR="00566A40" w:rsidRDefault="00B22672">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566A40" w:rsidRDefault="00B22672">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566A40">
        <w:trPr>
          <w:trHeight w:val="113"/>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66" w:type="dxa"/>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68.86</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390</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1223.38.</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366" w:type="dxa"/>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66A40">
        <w:trPr>
          <w:trHeight w:hRule="exac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tcPr>
          <w:p w:rsidR="00566A40" w:rsidRDefault="00B22672">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tcPr>
          <w:p w:rsidR="00566A40" w:rsidRDefault="00B22672">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r>
      <w:tr w:rsidR="00566A40">
        <w:trPr>
          <w:trHeight w:hRule="exact" w:val="284"/>
        </w:trPr>
        <w:tc>
          <w:tcPr>
            <w:tcW w:w="0" w:type="auto"/>
            <w:gridSpan w:val="9"/>
            <w:tcBorders>
              <w:top w:val="nil"/>
              <w:left w:val="nil"/>
              <w:bottom w:val="nil"/>
              <w:right w:val="nil"/>
            </w:tcBorders>
            <w:shd w:val="clear" w:color="auto" w:fill="auto"/>
            <w:noWrap/>
            <w:vAlign w:val="center"/>
          </w:tcPr>
          <w:p w:rsidR="00566A40" w:rsidRDefault="00B22672">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lastRenderedPageBreak/>
              <w:t>注：本表反映部门本年度一般公共预算财政拨款基本支出明细情况。</w:t>
            </w:r>
          </w:p>
        </w:tc>
      </w:tr>
    </w:tbl>
    <w:p w:rsidR="00566A40" w:rsidRDefault="00B22672">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一般公共预算财政拨款“三公”经费支出决算表</w:t>
      </w:r>
    </w:p>
    <w:p w:rsidR="00566A40" w:rsidRDefault="00B22672">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566A40" w:rsidRDefault="00B22672">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566A40">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566A40">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566A40">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566A40">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single" w:sz="4" w:space="0" w:color="auto"/>
              <w:bottom w:val="single" w:sz="8" w:space="0" w:color="auto"/>
              <w:right w:val="single" w:sz="8" w:space="0" w:color="auto"/>
            </w:tcBorders>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r>
    </w:tbl>
    <w:p w:rsidR="00566A40" w:rsidRDefault="00B22672">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566A40" w:rsidRDefault="00566A40">
      <w:pPr>
        <w:autoSpaceDE w:val="0"/>
        <w:autoSpaceDN w:val="0"/>
        <w:adjustRightInd w:val="0"/>
        <w:ind w:leftChars="150" w:left="315"/>
        <w:jc w:val="left"/>
        <w:rPr>
          <w:rFonts w:ascii="宋体" w:eastAsia="宋体" w:cs="宋体"/>
          <w:kern w:val="0"/>
          <w:sz w:val="24"/>
          <w:szCs w:val="24"/>
        </w:rPr>
      </w:pPr>
    </w:p>
    <w:p w:rsidR="00566A40" w:rsidRDefault="00B22672">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566A40" w:rsidRDefault="00B22672">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566A40" w:rsidRDefault="00B22672">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566A40">
        <w:trPr>
          <w:trHeight w:val="454"/>
          <w:jc w:val="center"/>
        </w:trPr>
        <w:tc>
          <w:tcPr>
            <w:tcW w:w="2440" w:type="dxa"/>
            <w:gridSpan w:val="2"/>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566A40">
        <w:trPr>
          <w:trHeight w:val="454"/>
          <w:jc w:val="center"/>
        </w:trPr>
        <w:tc>
          <w:tcPr>
            <w:tcW w:w="112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566A40" w:rsidRDefault="00566A40">
            <w:pPr>
              <w:widowControl/>
              <w:jc w:val="left"/>
              <w:rPr>
                <w:rFonts w:ascii="Times New Roman" w:eastAsia="仿宋_GB2312" w:hAnsi="Times New Roman" w:cs="Times New Roman"/>
                <w:b/>
                <w:kern w:val="0"/>
                <w:szCs w:val="21"/>
              </w:rPr>
            </w:pPr>
          </w:p>
        </w:tc>
        <w:tc>
          <w:tcPr>
            <w:tcW w:w="2000" w:type="dxa"/>
            <w:vMerge/>
            <w:vAlign w:val="center"/>
          </w:tcPr>
          <w:p w:rsidR="00566A40" w:rsidRDefault="00566A40">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566A40" w:rsidRDefault="00B22672">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566A40" w:rsidRDefault="00566A40">
            <w:pPr>
              <w:widowControl/>
              <w:jc w:val="left"/>
              <w:rPr>
                <w:rFonts w:ascii="Times New Roman" w:eastAsia="仿宋_GB2312" w:hAnsi="Times New Roman" w:cs="Times New Roman"/>
                <w:b/>
                <w:kern w:val="0"/>
                <w:szCs w:val="21"/>
              </w:rPr>
            </w:pPr>
          </w:p>
        </w:tc>
      </w:tr>
      <w:tr w:rsidR="00566A40">
        <w:trPr>
          <w:trHeight w:val="454"/>
          <w:jc w:val="center"/>
        </w:trPr>
        <w:tc>
          <w:tcPr>
            <w:tcW w:w="1120" w:type="dxa"/>
            <w:vMerge/>
            <w:vAlign w:val="center"/>
          </w:tcPr>
          <w:p w:rsidR="00566A40" w:rsidRDefault="00566A40">
            <w:pPr>
              <w:widowControl/>
              <w:jc w:val="left"/>
              <w:rPr>
                <w:rFonts w:ascii="Times New Roman" w:eastAsia="仿宋_GB2312" w:hAnsi="Times New Roman" w:cs="Times New Roman"/>
                <w:kern w:val="0"/>
                <w:szCs w:val="21"/>
              </w:rPr>
            </w:pPr>
          </w:p>
        </w:tc>
        <w:tc>
          <w:tcPr>
            <w:tcW w:w="132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4"/>
          <w:jc w:val="center"/>
        </w:trPr>
        <w:tc>
          <w:tcPr>
            <w:tcW w:w="1120" w:type="dxa"/>
            <w:vMerge/>
            <w:vAlign w:val="center"/>
          </w:tcPr>
          <w:p w:rsidR="00566A40" w:rsidRDefault="00566A40">
            <w:pPr>
              <w:widowControl/>
              <w:jc w:val="left"/>
              <w:rPr>
                <w:rFonts w:ascii="Times New Roman" w:eastAsia="仿宋_GB2312" w:hAnsi="Times New Roman" w:cs="Times New Roman"/>
                <w:kern w:val="0"/>
                <w:szCs w:val="21"/>
              </w:rPr>
            </w:pPr>
          </w:p>
        </w:tc>
        <w:tc>
          <w:tcPr>
            <w:tcW w:w="132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c>
          <w:tcPr>
            <w:tcW w:w="2000" w:type="dxa"/>
            <w:vMerge/>
            <w:vAlign w:val="center"/>
          </w:tcPr>
          <w:p w:rsidR="00566A40" w:rsidRDefault="00566A40">
            <w:pPr>
              <w:widowControl/>
              <w:jc w:val="left"/>
              <w:rPr>
                <w:rFonts w:ascii="Times New Roman" w:eastAsia="仿宋_GB2312" w:hAnsi="Times New Roman" w:cs="Times New Roman"/>
                <w:kern w:val="0"/>
                <w:szCs w:val="21"/>
              </w:rPr>
            </w:pPr>
          </w:p>
        </w:tc>
      </w:tr>
      <w:tr w:rsidR="00566A40">
        <w:trPr>
          <w:trHeight w:val="454"/>
          <w:jc w:val="center"/>
        </w:trPr>
        <w:tc>
          <w:tcPr>
            <w:tcW w:w="2440" w:type="dxa"/>
            <w:gridSpan w:val="2"/>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566A40">
        <w:trPr>
          <w:trHeight w:val="454"/>
          <w:jc w:val="center"/>
        </w:trPr>
        <w:tc>
          <w:tcPr>
            <w:tcW w:w="2440" w:type="dxa"/>
            <w:gridSpan w:val="2"/>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4"/>
          <w:jc w:val="center"/>
        </w:trPr>
        <w:tc>
          <w:tcPr>
            <w:tcW w:w="112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00A61A79">
              <w:rPr>
                <w:rFonts w:ascii="Times New Roman" w:eastAsia="仿宋_GB2312" w:hAnsi="Times New Roman" w:cs="Times New Roman" w:hint="eastAsia"/>
                <w:kern w:val="0"/>
                <w:szCs w:val="21"/>
              </w:rPr>
              <w:t>0</w:t>
            </w:r>
          </w:p>
        </w:tc>
        <w:tc>
          <w:tcPr>
            <w:tcW w:w="132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4"/>
          <w:jc w:val="center"/>
        </w:trPr>
        <w:tc>
          <w:tcPr>
            <w:tcW w:w="112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4"/>
          <w:jc w:val="center"/>
        </w:trPr>
        <w:tc>
          <w:tcPr>
            <w:tcW w:w="112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4"/>
          <w:jc w:val="center"/>
        </w:trPr>
        <w:tc>
          <w:tcPr>
            <w:tcW w:w="112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4"/>
          <w:jc w:val="center"/>
        </w:trPr>
        <w:tc>
          <w:tcPr>
            <w:tcW w:w="112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66A40">
        <w:trPr>
          <w:trHeight w:val="454"/>
          <w:jc w:val="center"/>
        </w:trPr>
        <w:tc>
          <w:tcPr>
            <w:tcW w:w="1120" w:type="dxa"/>
            <w:shd w:val="clear" w:color="auto" w:fill="auto"/>
            <w:vAlign w:val="center"/>
          </w:tcPr>
          <w:p w:rsidR="00566A40" w:rsidRDefault="00B22672">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566A40" w:rsidRDefault="00B22672">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566A40" w:rsidRDefault="00B22672">
      <w:pPr>
        <w:widowControl/>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岳阳市总工会没有政府性基金收入，也没有使用政府性基金安排的支出，故本表无数据。</w:t>
      </w:r>
      <w:r>
        <w:rPr>
          <w:rFonts w:ascii="Times New Roman" w:eastAsia="仿宋_GB2312" w:hAnsi="Times New Roman" w:cs="Times New Roman"/>
          <w:color w:val="000000" w:themeColor="text1"/>
          <w:kern w:val="0"/>
          <w:sz w:val="32"/>
          <w:szCs w:val="32"/>
        </w:rPr>
        <w:t>)</w:t>
      </w:r>
    </w:p>
    <w:p w:rsidR="00566A40" w:rsidRDefault="00B22672">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566A40">
        <w:trPr>
          <w:trHeight w:val="720"/>
        </w:trPr>
        <w:tc>
          <w:tcPr>
            <w:tcW w:w="14190" w:type="dxa"/>
            <w:gridSpan w:val="9"/>
            <w:tcBorders>
              <w:top w:val="nil"/>
              <w:left w:val="nil"/>
              <w:bottom w:val="nil"/>
              <w:right w:val="nil"/>
            </w:tcBorders>
            <w:shd w:val="clear" w:color="000000" w:fill="FFFFFF"/>
            <w:vAlign w:val="center"/>
          </w:tcPr>
          <w:p w:rsidR="00566A40" w:rsidRDefault="00B2267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566A40">
        <w:trPr>
          <w:trHeight w:val="285"/>
        </w:trPr>
        <w:tc>
          <w:tcPr>
            <w:tcW w:w="1060" w:type="dxa"/>
            <w:tcBorders>
              <w:top w:val="nil"/>
              <w:left w:val="nil"/>
              <w:bottom w:val="nil"/>
              <w:right w:val="nil"/>
            </w:tcBorders>
            <w:shd w:val="clear" w:color="000000" w:fill="FFFFFF"/>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566A40" w:rsidRDefault="00B226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566A40" w:rsidRDefault="00B226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566A40">
        <w:trPr>
          <w:trHeight w:val="285"/>
        </w:trPr>
        <w:tc>
          <w:tcPr>
            <w:tcW w:w="1060" w:type="dxa"/>
            <w:tcBorders>
              <w:top w:val="nil"/>
              <w:left w:val="nil"/>
              <w:bottom w:val="nil"/>
              <w:right w:val="nil"/>
            </w:tcBorders>
            <w:shd w:val="clear" w:color="000000" w:fill="FFFFFF"/>
            <w:noWrap/>
            <w:vAlign w:val="center"/>
          </w:tcPr>
          <w:p w:rsidR="00566A40" w:rsidRDefault="00B2267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566A40" w:rsidRDefault="00B226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566A40" w:rsidRDefault="00B226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566A40" w:rsidRDefault="00B226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566A40" w:rsidRDefault="00B2267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66A40">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项 </w:t>
            </w:r>
            <w:r>
              <w:rPr>
                <w:rFonts w:ascii="宋体" w:eastAsia="宋体" w:hAnsi="宋体" w:cs="宋体" w:hint="eastAsia"/>
                <w:color w:val="000000"/>
                <w:kern w:val="0"/>
                <w:sz w:val="22"/>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566A40">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566A40">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宋体" w:eastAsia="宋体" w:hAnsi="宋体" w:cs="宋体"/>
                <w:kern w:val="0"/>
                <w:sz w:val="24"/>
                <w:szCs w:val="24"/>
              </w:rPr>
            </w:pPr>
          </w:p>
        </w:tc>
      </w:tr>
      <w:tr w:rsidR="00566A40">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566A40" w:rsidRDefault="00566A40">
            <w:pPr>
              <w:widowControl/>
              <w:jc w:val="left"/>
              <w:rPr>
                <w:rFonts w:ascii="宋体" w:eastAsia="宋体" w:hAnsi="宋体" w:cs="宋体"/>
                <w:kern w:val="0"/>
                <w:sz w:val="24"/>
                <w:szCs w:val="24"/>
              </w:rPr>
            </w:pPr>
          </w:p>
        </w:tc>
      </w:tr>
      <w:tr w:rsidR="00566A40">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566A40">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A61A79">
              <w:rPr>
                <w:rFonts w:ascii="宋体" w:eastAsia="宋体" w:hAnsi="宋体" w:cs="宋体" w:hint="eastAsia"/>
                <w:kern w:val="0"/>
                <w:sz w:val="24"/>
                <w:szCs w:val="24"/>
              </w:rPr>
              <w:t>0</w:t>
            </w:r>
          </w:p>
        </w:tc>
        <w:tc>
          <w:tcPr>
            <w:tcW w:w="3215"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66A40" w:rsidRDefault="00B22672">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66A40">
        <w:trPr>
          <w:trHeight w:val="720"/>
        </w:trPr>
        <w:tc>
          <w:tcPr>
            <w:tcW w:w="14190" w:type="dxa"/>
            <w:gridSpan w:val="9"/>
            <w:tcBorders>
              <w:top w:val="single" w:sz="8" w:space="0" w:color="auto"/>
              <w:left w:val="nil"/>
              <w:bottom w:val="nil"/>
              <w:right w:val="nil"/>
            </w:tcBorders>
            <w:shd w:val="clear" w:color="auto" w:fill="auto"/>
            <w:vAlign w:val="center"/>
          </w:tcPr>
          <w:p w:rsidR="00566A40" w:rsidRDefault="00B22672">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p w:rsidR="00566A40" w:rsidRDefault="00B22672">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岳阳市总工会</w:t>
            </w:r>
            <w:r>
              <w:rPr>
                <w:rFonts w:ascii="Times New Roman" w:eastAsia="仿宋_GB2312" w:hAnsi="Times New Roman" w:cs="Times New Roman"/>
                <w:kern w:val="0"/>
                <w:sz w:val="32"/>
                <w:szCs w:val="32"/>
              </w:rPr>
              <w:t>没有使用国有资本经营预算安排的支出，故本表无数据</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p>
          <w:p w:rsidR="00566A40" w:rsidRDefault="00566A40">
            <w:pPr>
              <w:widowControl/>
              <w:jc w:val="left"/>
              <w:rPr>
                <w:rFonts w:ascii="宋体" w:eastAsia="宋体" w:hAnsi="宋体" w:cs="宋体"/>
                <w:kern w:val="0"/>
                <w:sz w:val="24"/>
                <w:szCs w:val="24"/>
              </w:rPr>
            </w:pPr>
          </w:p>
        </w:tc>
      </w:tr>
    </w:tbl>
    <w:p w:rsidR="00566A40" w:rsidRDefault="00566A40">
      <w:pPr>
        <w:pStyle w:val="Default"/>
        <w:rPr>
          <w:sz w:val="72"/>
          <w:szCs w:val="72"/>
        </w:rPr>
        <w:sectPr w:rsidR="00566A40">
          <w:pgSz w:w="16838" w:h="11906" w:orient="landscape"/>
          <w:pgMar w:top="720" w:right="720" w:bottom="720" w:left="720" w:header="851" w:footer="992" w:gutter="0"/>
          <w:cols w:space="425"/>
          <w:docGrid w:type="lines" w:linePitch="312"/>
        </w:sectPr>
      </w:pPr>
    </w:p>
    <w:p w:rsidR="00566A40" w:rsidRDefault="00566A40">
      <w:pPr>
        <w:pStyle w:val="Default"/>
        <w:jc w:val="center"/>
        <w:rPr>
          <w:sz w:val="72"/>
          <w:szCs w:val="72"/>
        </w:rPr>
      </w:pPr>
    </w:p>
    <w:p w:rsidR="00566A40" w:rsidRDefault="00B22672">
      <w:pPr>
        <w:pStyle w:val="Default"/>
        <w:jc w:val="center"/>
        <w:rPr>
          <w:sz w:val="72"/>
          <w:szCs w:val="72"/>
        </w:rPr>
      </w:pPr>
      <w:r>
        <w:rPr>
          <w:rFonts w:hint="eastAsia"/>
          <w:sz w:val="72"/>
          <w:szCs w:val="72"/>
        </w:rPr>
        <w:t>第三部分</w:t>
      </w:r>
    </w:p>
    <w:p w:rsidR="00566A40" w:rsidRDefault="00566A40">
      <w:pPr>
        <w:pStyle w:val="Default"/>
        <w:jc w:val="center"/>
        <w:rPr>
          <w:sz w:val="70"/>
          <w:szCs w:val="70"/>
        </w:rPr>
      </w:pPr>
    </w:p>
    <w:p w:rsidR="00566A40" w:rsidRDefault="00B22672">
      <w:pPr>
        <w:pStyle w:val="Default"/>
        <w:jc w:val="center"/>
        <w:rPr>
          <w:sz w:val="70"/>
          <w:szCs w:val="70"/>
        </w:rPr>
      </w:pPr>
      <w:r>
        <w:rPr>
          <w:sz w:val="70"/>
          <w:szCs w:val="70"/>
        </w:rPr>
        <w:t>20</w:t>
      </w:r>
      <w:r>
        <w:rPr>
          <w:rFonts w:hint="eastAsia"/>
          <w:sz w:val="70"/>
          <w:szCs w:val="70"/>
        </w:rPr>
        <w:t>20年度部门决算情况说明</w:t>
      </w:r>
    </w:p>
    <w:p w:rsidR="00566A40" w:rsidRDefault="00B22672">
      <w:pPr>
        <w:widowControl/>
        <w:jc w:val="left"/>
        <w:rPr>
          <w:rFonts w:ascii="黑体" w:eastAsia="黑体" w:cs="黑体"/>
          <w:color w:val="000000"/>
          <w:kern w:val="0"/>
          <w:sz w:val="70"/>
          <w:szCs w:val="70"/>
        </w:rPr>
      </w:pPr>
      <w:r>
        <w:rPr>
          <w:sz w:val="70"/>
          <w:szCs w:val="70"/>
        </w:rPr>
        <w:br w:type="page"/>
      </w:r>
    </w:p>
    <w:p w:rsidR="00566A40" w:rsidRDefault="00B22672">
      <w:pPr>
        <w:pStyle w:val="Default"/>
        <w:rPr>
          <w:rFonts w:hAnsi="黑体"/>
          <w:b/>
          <w:sz w:val="32"/>
          <w:szCs w:val="32"/>
        </w:rPr>
      </w:pPr>
      <w:r>
        <w:rPr>
          <w:rFonts w:hAnsi="黑体" w:hint="eastAsia"/>
          <w:b/>
          <w:sz w:val="32"/>
          <w:szCs w:val="32"/>
        </w:rPr>
        <w:lastRenderedPageBreak/>
        <w:t>一、收入支出决算总体情况说明</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2020年度收、支总计1682.24万元。与上年相比，增加161.32万元，增长11%，主要是因为帮扶资金增加。</w:t>
      </w:r>
    </w:p>
    <w:p w:rsidR="00566A40" w:rsidRDefault="00B22672">
      <w:pPr>
        <w:pStyle w:val="Default"/>
        <w:rPr>
          <w:rFonts w:hAnsi="黑体"/>
          <w:b/>
          <w:sz w:val="32"/>
          <w:szCs w:val="32"/>
        </w:rPr>
      </w:pPr>
      <w:r>
        <w:rPr>
          <w:rFonts w:hAnsi="黑体" w:hint="eastAsia"/>
          <w:b/>
          <w:sz w:val="32"/>
          <w:szCs w:val="32"/>
        </w:rPr>
        <w:t>二、收入决算情况说明</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本年收入合计1682.24万元，其中：财政拨款收入1682.24万元，占100%；</w:t>
      </w:r>
    </w:p>
    <w:p w:rsidR="00566A40" w:rsidRDefault="00B22672">
      <w:pPr>
        <w:pStyle w:val="Default"/>
        <w:rPr>
          <w:rFonts w:hAnsi="黑体"/>
          <w:b/>
          <w:sz w:val="32"/>
          <w:szCs w:val="32"/>
        </w:rPr>
      </w:pPr>
      <w:r>
        <w:rPr>
          <w:rFonts w:hAnsi="黑体" w:hint="eastAsia"/>
          <w:b/>
          <w:sz w:val="32"/>
          <w:szCs w:val="32"/>
        </w:rPr>
        <w:t>三、支出决算情况说明</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本年支出合计1682.24万元，其中：基本支出1682.24万元，占100%；</w:t>
      </w:r>
    </w:p>
    <w:p w:rsidR="00566A40" w:rsidRDefault="00B22672">
      <w:pPr>
        <w:pStyle w:val="Default"/>
        <w:rPr>
          <w:rFonts w:hAnsi="黑体"/>
          <w:b/>
          <w:sz w:val="32"/>
          <w:szCs w:val="32"/>
        </w:rPr>
      </w:pPr>
      <w:r>
        <w:rPr>
          <w:rFonts w:hAnsi="黑体" w:hint="eastAsia"/>
          <w:b/>
          <w:sz w:val="32"/>
          <w:szCs w:val="32"/>
        </w:rPr>
        <w:t>四、财政拨款收入支出决算总体情况说明</w:t>
      </w:r>
    </w:p>
    <w:p w:rsidR="00566A40" w:rsidRDefault="00B22672">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2020年度财政拨款收、支总计1682.24万元，与上年相比，增加161.32万元,增长11%，主要是因为帮扶资金增加。</w:t>
      </w:r>
    </w:p>
    <w:p w:rsidR="00566A40" w:rsidRDefault="00B22672">
      <w:pPr>
        <w:pStyle w:val="Default"/>
        <w:rPr>
          <w:rFonts w:hAnsi="黑体"/>
          <w:b/>
          <w:sz w:val="32"/>
          <w:szCs w:val="32"/>
        </w:rPr>
      </w:pPr>
      <w:r>
        <w:rPr>
          <w:rFonts w:hAnsi="黑体" w:hint="eastAsia"/>
          <w:b/>
          <w:sz w:val="32"/>
          <w:szCs w:val="32"/>
        </w:rPr>
        <w:t>五、一般公共预算财政拨款支出决算情况说明</w:t>
      </w:r>
    </w:p>
    <w:p w:rsidR="00566A40" w:rsidRDefault="00B22672" w:rsidP="00A61A79">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566A40" w:rsidRDefault="00B2267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2020年度财政拨款支出1682.24万元，占本年支出合计的100%，与上年相比，财政拨款支出增加161.32万元，增长11%，主要是因为帮扶资金增加。</w:t>
      </w:r>
    </w:p>
    <w:p w:rsidR="00566A40" w:rsidRDefault="00B22672" w:rsidP="00A61A79">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2020年度财政拨款支出1682.24万元，主要用于以下方面：一般公共服务（类）支出1212.38万元，占72%；科学技术支出11万元，占1%;社会保障和就业支出435.63万元，占26%；商业服务业等支出23.23万元，占1%。</w:t>
      </w:r>
    </w:p>
    <w:p w:rsidR="00566A40" w:rsidRDefault="00B22672" w:rsidP="00A61A79">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566A40" w:rsidRDefault="00B2267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2020年度财政拨款支出年初预算数为1682.24万元，支出决算数为1682.24万元，完成年初预算的100%，其中：</w:t>
      </w:r>
    </w:p>
    <w:p w:rsidR="00566A40" w:rsidRDefault="00B2267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1、一般公共服务（类）一般行政管理事务。</w:t>
      </w:r>
    </w:p>
    <w:p w:rsidR="00566A40" w:rsidRDefault="00B2267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年初预算为14.6万元，支出决算为14.6万元，完成年初预算的100%。</w:t>
      </w:r>
    </w:p>
    <w:p w:rsidR="00566A40" w:rsidRDefault="00B2267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2、一般公共服务（类）其他群众团体事务支出。</w:t>
      </w:r>
    </w:p>
    <w:p w:rsidR="00566A40" w:rsidRDefault="00B2267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年初预算为466.64万元，支出决算为466.64万元，完成年初预算的100%。</w:t>
      </w:r>
    </w:p>
    <w:p w:rsidR="00566A40" w:rsidRDefault="00B22672">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一般公共服务（类）其他一般公共服务支出。</w:t>
      </w:r>
    </w:p>
    <w:p w:rsidR="00566A40" w:rsidRDefault="00B22672">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年初预算为731.14万元，支出决算为731.14万元，完成年初预算的100%。</w:t>
      </w:r>
    </w:p>
    <w:p w:rsidR="00566A40" w:rsidRDefault="00B22672">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科学技术（类）其他科学技术支出。</w:t>
      </w:r>
    </w:p>
    <w:p w:rsidR="00566A40" w:rsidRDefault="00B22672" w:rsidP="00A61A79">
      <w:pPr>
        <w:pStyle w:val="Default"/>
        <w:ind w:leftChars="250" w:left="525"/>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年初预算为11万元，支出决算为11万元，完成年初预算的100%。</w:t>
      </w:r>
    </w:p>
    <w:p w:rsidR="00566A40" w:rsidRDefault="00B22672">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社会保障和就业（类）事业单位离退休。</w:t>
      </w:r>
    </w:p>
    <w:p w:rsidR="00566A40" w:rsidRDefault="00B22672" w:rsidP="00A61A79">
      <w:pPr>
        <w:pStyle w:val="Default"/>
        <w:ind w:leftChars="250" w:left="525"/>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年初预算为45.63万元，支出决算45.63万元，完成年度预算的100%。</w:t>
      </w:r>
    </w:p>
    <w:p w:rsidR="00566A40" w:rsidRDefault="00B22672">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社会保障和就业（类）其他社会保障和就业支出。</w:t>
      </w:r>
    </w:p>
    <w:p w:rsidR="00566A40" w:rsidRDefault="00B22672" w:rsidP="00A61A79">
      <w:pPr>
        <w:pStyle w:val="Default"/>
        <w:ind w:leftChars="250" w:left="525"/>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年初预算为390万元，支出决算390万元，完成年度预算100%。</w:t>
      </w:r>
    </w:p>
    <w:p w:rsidR="00566A40" w:rsidRDefault="00B22672">
      <w:pPr>
        <w:pStyle w:val="Default"/>
        <w:numPr>
          <w:ilvl w:val="0"/>
          <w:numId w:val="1"/>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商业服务业（类）其他商业服务业等支出。</w:t>
      </w:r>
    </w:p>
    <w:p w:rsidR="00566A40" w:rsidRDefault="00B22672" w:rsidP="00A61A79">
      <w:pPr>
        <w:pStyle w:val="Default"/>
        <w:ind w:leftChars="250" w:left="525"/>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年初预算为23.23万元，支出决算23.23万元，完成年度预算100%。</w:t>
      </w:r>
    </w:p>
    <w:p w:rsidR="00566A40" w:rsidRDefault="00B22672" w:rsidP="00A61A79">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2020年度财政拨款基本支出1682.24万元，其中：工会经费1223.38万元，占基本支出的73%；离休费68.86万元，占基本支出的4%；生活补助390万元，占基本支出的23%；</w:t>
      </w:r>
    </w:p>
    <w:p w:rsidR="00566A40" w:rsidRDefault="00B22672" w:rsidP="00A61A79">
      <w:pPr>
        <w:pStyle w:val="Default"/>
        <w:numPr>
          <w:ilvl w:val="0"/>
          <w:numId w:val="2"/>
        </w:numPr>
        <w:ind w:firstLineChars="200" w:firstLine="643"/>
        <w:rPr>
          <w:rFonts w:hAnsi="黑体"/>
          <w:b/>
          <w:sz w:val="32"/>
          <w:szCs w:val="32"/>
        </w:rPr>
      </w:pPr>
      <w:r>
        <w:rPr>
          <w:rFonts w:hAnsi="黑体" w:hint="eastAsia"/>
          <w:b/>
          <w:sz w:val="32"/>
          <w:szCs w:val="32"/>
        </w:rPr>
        <w:t>一般公共预算财政拨款三公经费支出决算情况说明</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（一）“三公”经费财政拨款支出决算总体情况说明</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“三公”经费财政拨款支出预算为0万元，支出决算为0万元，其中：</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因公出国（境）费支出预算为0万元，支出决算为0万元，与上年相比减少（增加）0万元。</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公务接待费支出预算为0万元，支出决算为0万元，与上年相比减少（增加）0万元。</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公务用车购置费及运行维护费支出预算为0万元，支出决算为0万元，与上年相比减少（增加）0万元。</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（二）“三公”经费财政拨款支出决算具体情况说明</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2020年度“三公”经费财政拨款支出决算中，公务接待费支出决算0万。因公出国（境）费支出决算0万元,公务用车购置费及运行维护费支出决算0万元。其中：</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2、公务接待费支出决算为0万元，全年共接待来访团组0个、来宾0人次。</w:t>
      </w:r>
    </w:p>
    <w:p w:rsidR="00566A40" w:rsidRDefault="00B2267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3、公务用车购置费及运行维护费支出决算为0万元，其中：公务用车购置费0万元，更新公务用车0辆。公务用车运行维护费</w:t>
      </w:r>
      <w:r w:rsidR="00A61A7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万元，截止2020年12月31日，我单位开支财政拨款的公务用车保有量为0辆。</w:t>
      </w:r>
    </w:p>
    <w:p w:rsidR="00566A40" w:rsidRDefault="00B22672" w:rsidP="00A61A79">
      <w:pPr>
        <w:pStyle w:val="Default"/>
        <w:ind w:firstLineChars="200" w:firstLine="643"/>
        <w:rPr>
          <w:rFonts w:hAnsi="黑体"/>
          <w:b/>
          <w:sz w:val="32"/>
          <w:szCs w:val="32"/>
        </w:rPr>
      </w:pPr>
      <w:r>
        <w:rPr>
          <w:rFonts w:hAnsi="黑体" w:hint="eastAsia"/>
          <w:b/>
          <w:sz w:val="32"/>
          <w:szCs w:val="32"/>
        </w:rPr>
        <w:t>八、政府性基金预算收入支出决算情况</w:t>
      </w:r>
    </w:p>
    <w:p w:rsidR="00566A40" w:rsidRDefault="00B22672">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本部门无政府性基金收支。</w:t>
      </w:r>
    </w:p>
    <w:p w:rsidR="00566A40" w:rsidRDefault="00B22672" w:rsidP="00A61A79">
      <w:pPr>
        <w:pStyle w:val="Default"/>
        <w:ind w:firstLineChars="200" w:firstLine="643"/>
        <w:rPr>
          <w:rFonts w:hAnsi="黑体"/>
          <w:b/>
          <w:sz w:val="32"/>
          <w:szCs w:val="32"/>
        </w:rPr>
      </w:pPr>
      <w:r>
        <w:rPr>
          <w:rFonts w:hAnsi="黑体" w:hint="eastAsia"/>
          <w:b/>
          <w:sz w:val="32"/>
          <w:szCs w:val="32"/>
        </w:rPr>
        <w:t>九、国有资本经营预算财政拨款支出决算情况</w:t>
      </w:r>
    </w:p>
    <w:p w:rsidR="00566A40" w:rsidRDefault="00B22672">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本部门无国有资本经营预算财政拨款支出</w:t>
      </w:r>
      <w:r>
        <w:rPr>
          <w:rFonts w:asciiTheme="minorEastAsia" w:eastAsiaTheme="minorEastAsia" w:hAnsiTheme="minorEastAsia"/>
          <w:sz w:val="32"/>
          <w:szCs w:val="32"/>
        </w:rPr>
        <w:t>。</w:t>
      </w:r>
    </w:p>
    <w:p w:rsidR="00566A40" w:rsidRDefault="00B22672" w:rsidP="00A61A79">
      <w:pPr>
        <w:pStyle w:val="Default"/>
        <w:numPr>
          <w:ilvl w:val="0"/>
          <w:numId w:val="3"/>
        </w:numPr>
        <w:ind w:firstLineChars="200" w:firstLine="643"/>
        <w:rPr>
          <w:rFonts w:hAnsi="黑体"/>
          <w:b/>
          <w:sz w:val="32"/>
          <w:szCs w:val="32"/>
        </w:rPr>
      </w:pPr>
      <w:r>
        <w:rPr>
          <w:rFonts w:hAnsi="黑体" w:hint="eastAsia"/>
          <w:b/>
          <w:sz w:val="32"/>
          <w:szCs w:val="32"/>
        </w:rPr>
        <w:t>关于机关运行经费支出说明</w:t>
      </w:r>
    </w:p>
    <w:p w:rsidR="00566A40" w:rsidRDefault="00B22672">
      <w:pPr>
        <w:pStyle w:val="Default"/>
        <w:rPr>
          <w:rFonts w:hAnsi="黑体"/>
          <w:b/>
          <w:sz w:val="32"/>
          <w:szCs w:val="32"/>
        </w:rPr>
      </w:pPr>
      <w:r>
        <w:rPr>
          <w:rFonts w:hAnsi="黑体" w:hint="eastAsia"/>
          <w:b/>
          <w:sz w:val="32"/>
          <w:szCs w:val="32"/>
        </w:rPr>
        <w:t xml:space="preserve">    </w:t>
      </w:r>
      <w:r w:rsidR="001017C9">
        <w:rPr>
          <w:rFonts w:eastAsia="仿宋_GB2312" w:cs="仿宋_GB2312" w:hint="eastAsia"/>
          <w:sz w:val="32"/>
          <w:szCs w:val="32"/>
        </w:rPr>
        <w:t>岳阳市总工会</w:t>
      </w:r>
      <w:r w:rsidR="001017C9">
        <w:rPr>
          <w:rFonts w:eastAsia="仿宋_GB2312" w:cs="仿宋_GB2312" w:hint="eastAsia"/>
          <w:sz w:val="32"/>
          <w:szCs w:val="32"/>
        </w:rPr>
        <w:t>2020</w:t>
      </w:r>
      <w:r w:rsidR="001017C9">
        <w:rPr>
          <w:rFonts w:eastAsia="仿宋_GB2312" w:cs="仿宋_GB2312" w:hint="eastAsia"/>
          <w:sz w:val="32"/>
          <w:szCs w:val="32"/>
        </w:rPr>
        <w:t>年机关运行经费当年一般公共决算拨款</w:t>
      </w:r>
      <w:r w:rsidR="001017C9">
        <w:rPr>
          <w:rFonts w:eastAsia="仿宋_GB2312" w:hint="eastAsia"/>
          <w:sz w:val="32"/>
          <w:szCs w:val="32"/>
        </w:rPr>
        <w:t>4.1</w:t>
      </w:r>
      <w:r w:rsidR="001017C9">
        <w:rPr>
          <w:rFonts w:eastAsia="仿宋_GB2312" w:cs="仿宋_GB2312" w:hint="eastAsia"/>
          <w:sz w:val="32"/>
          <w:szCs w:val="32"/>
        </w:rPr>
        <w:t>万元，为退休人员</w:t>
      </w:r>
      <w:r w:rsidR="001017C9">
        <w:rPr>
          <w:rFonts w:eastAsia="仿宋_GB2312" w:cs="仿宋_GB2312"/>
          <w:sz w:val="32"/>
          <w:szCs w:val="32"/>
        </w:rPr>
        <w:t>日常公用经费</w:t>
      </w:r>
      <w:r w:rsidR="001017C9">
        <w:rPr>
          <w:rFonts w:eastAsia="仿宋_GB2312" w:cs="仿宋_GB2312" w:hint="eastAsia"/>
          <w:sz w:val="32"/>
          <w:szCs w:val="32"/>
        </w:rPr>
        <w:t>，与上年相比增加</w:t>
      </w:r>
      <w:r w:rsidR="001017C9">
        <w:rPr>
          <w:rFonts w:eastAsia="仿宋_GB2312" w:cs="仿宋_GB2312" w:hint="eastAsia"/>
          <w:sz w:val="32"/>
          <w:szCs w:val="32"/>
        </w:rPr>
        <w:t>0.3</w:t>
      </w:r>
      <w:r w:rsidR="001017C9">
        <w:rPr>
          <w:rFonts w:eastAsia="仿宋_GB2312" w:cs="仿宋_GB2312" w:hint="eastAsia"/>
          <w:sz w:val="32"/>
          <w:szCs w:val="32"/>
        </w:rPr>
        <w:t>万元，增加原因为增加</w:t>
      </w:r>
      <w:r w:rsidR="001017C9">
        <w:rPr>
          <w:rFonts w:eastAsia="仿宋_GB2312" w:cs="仿宋_GB2312" w:hint="eastAsia"/>
          <w:sz w:val="32"/>
          <w:szCs w:val="32"/>
        </w:rPr>
        <w:t>3</w:t>
      </w:r>
      <w:r w:rsidR="001017C9">
        <w:rPr>
          <w:rFonts w:eastAsia="仿宋_GB2312" w:cs="仿宋_GB2312" w:hint="eastAsia"/>
          <w:sz w:val="32"/>
          <w:szCs w:val="32"/>
        </w:rPr>
        <w:t>名退休人员。</w:t>
      </w:r>
    </w:p>
    <w:p w:rsidR="00566A40" w:rsidRDefault="00B22672" w:rsidP="00A61A79">
      <w:pPr>
        <w:pStyle w:val="Default"/>
        <w:numPr>
          <w:ilvl w:val="0"/>
          <w:numId w:val="3"/>
        </w:numPr>
        <w:ind w:firstLineChars="200" w:firstLine="643"/>
        <w:rPr>
          <w:rFonts w:hAnsi="黑体"/>
          <w:b/>
          <w:sz w:val="32"/>
          <w:szCs w:val="32"/>
        </w:rPr>
      </w:pPr>
      <w:r>
        <w:rPr>
          <w:rFonts w:hAnsi="黑体" w:hint="eastAsia"/>
          <w:b/>
          <w:sz w:val="32"/>
          <w:szCs w:val="32"/>
        </w:rPr>
        <w:t>一般性支出情况</w:t>
      </w:r>
    </w:p>
    <w:p w:rsidR="00566A40" w:rsidRDefault="00B22672">
      <w:pPr>
        <w:ind w:firstLineChars="200" w:firstLine="640"/>
        <w:rPr>
          <w:rFonts w:hAnsi="黑体"/>
          <w:b/>
          <w:sz w:val="32"/>
          <w:szCs w:val="32"/>
        </w:rPr>
      </w:pPr>
      <w:r>
        <w:rPr>
          <w:rFonts w:asciiTheme="minorEastAsia" w:hAnsiTheme="minorEastAsia" w:hint="eastAsia"/>
          <w:sz w:val="32"/>
          <w:szCs w:val="32"/>
        </w:rPr>
        <w:t>因市财政未负担本部门相关活动经费，未使用财政资金开支培训费、会议费，未举办节庆、晚会、论坛、赛事活动。</w:t>
      </w:r>
    </w:p>
    <w:p w:rsidR="00566A40" w:rsidRDefault="00B22672" w:rsidP="00A61A79">
      <w:pPr>
        <w:pStyle w:val="Default"/>
        <w:numPr>
          <w:ilvl w:val="0"/>
          <w:numId w:val="3"/>
        </w:numPr>
        <w:ind w:firstLineChars="200" w:firstLine="643"/>
        <w:rPr>
          <w:rFonts w:hAnsi="黑体"/>
          <w:b/>
          <w:sz w:val="32"/>
          <w:szCs w:val="32"/>
        </w:rPr>
      </w:pPr>
      <w:r>
        <w:rPr>
          <w:rFonts w:hAnsi="黑体" w:hint="eastAsia"/>
          <w:b/>
          <w:sz w:val="32"/>
          <w:szCs w:val="32"/>
        </w:rPr>
        <w:t>关于政府采购支出说明</w:t>
      </w:r>
    </w:p>
    <w:p w:rsidR="00566A40" w:rsidRDefault="00B22672">
      <w:pPr>
        <w:ind w:firstLineChars="200" w:firstLine="640"/>
        <w:rPr>
          <w:rFonts w:hAnsi="黑体"/>
          <w:b/>
          <w:sz w:val="32"/>
          <w:szCs w:val="32"/>
        </w:rPr>
      </w:pPr>
      <w:r>
        <w:rPr>
          <w:rFonts w:asciiTheme="minorEastAsia" w:hAnsiTheme="minorEastAsia" w:hint="eastAsia"/>
          <w:sz w:val="32"/>
          <w:szCs w:val="32"/>
        </w:rPr>
        <w:t>本部门</w:t>
      </w:r>
      <w:r>
        <w:rPr>
          <w:rFonts w:asciiTheme="minorEastAsia" w:hAnsiTheme="minorEastAsia" w:cs="黑体" w:hint="eastAsia"/>
          <w:color w:val="000000"/>
          <w:kern w:val="0"/>
          <w:sz w:val="32"/>
          <w:szCs w:val="32"/>
        </w:rPr>
        <w:t>2020年度此经费无。</w:t>
      </w:r>
    </w:p>
    <w:p w:rsidR="00566A40" w:rsidRDefault="00B22672" w:rsidP="00A61A79">
      <w:pPr>
        <w:pStyle w:val="Default"/>
        <w:numPr>
          <w:ilvl w:val="0"/>
          <w:numId w:val="3"/>
        </w:numPr>
        <w:ind w:firstLineChars="200" w:firstLine="643"/>
        <w:rPr>
          <w:rFonts w:hAnsi="黑体"/>
          <w:b/>
          <w:sz w:val="32"/>
          <w:szCs w:val="32"/>
        </w:rPr>
      </w:pPr>
      <w:r>
        <w:rPr>
          <w:rFonts w:hAnsi="黑体" w:hint="eastAsia"/>
          <w:b/>
          <w:sz w:val="32"/>
          <w:szCs w:val="32"/>
        </w:rPr>
        <w:t>关于国有资产占用情况说明</w:t>
      </w:r>
    </w:p>
    <w:p w:rsidR="00566A40" w:rsidRDefault="00B22672">
      <w:pPr>
        <w:ind w:firstLineChars="200" w:firstLine="640"/>
        <w:rPr>
          <w:rFonts w:eastAsia="黑体" w:hAnsi="黑体"/>
          <w:b/>
          <w:sz w:val="32"/>
          <w:szCs w:val="32"/>
        </w:rPr>
      </w:pPr>
      <w:r>
        <w:rPr>
          <w:rFonts w:asciiTheme="minorEastAsia" w:hAnsiTheme="minorEastAsia" w:hint="eastAsia"/>
          <w:sz w:val="32"/>
          <w:szCs w:val="32"/>
        </w:rPr>
        <w:lastRenderedPageBreak/>
        <w:t>本部门</w:t>
      </w:r>
      <w:r>
        <w:rPr>
          <w:rFonts w:asciiTheme="minorEastAsia" w:hAnsiTheme="minorEastAsia" w:cs="黑体" w:hint="eastAsia"/>
          <w:color w:val="000000"/>
          <w:kern w:val="0"/>
          <w:sz w:val="32"/>
          <w:szCs w:val="32"/>
        </w:rPr>
        <w:t>2020年度此经费无。</w:t>
      </w:r>
    </w:p>
    <w:p w:rsidR="00566A40" w:rsidRDefault="00B22672" w:rsidP="00A61A79">
      <w:pPr>
        <w:pStyle w:val="Default"/>
        <w:ind w:firstLineChars="200" w:firstLine="643"/>
        <w:rPr>
          <w:rFonts w:hAnsi="黑体"/>
          <w:b/>
          <w:sz w:val="32"/>
          <w:szCs w:val="32"/>
        </w:rPr>
      </w:pPr>
      <w:r>
        <w:rPr>
          <w:rFonts w:hAnsi="黑体" w:hint="eastAsia"/>
          <w:b/>
          <w:sz w:val="32"/>
          <w:szCs w:val="32"/>
        </w:rPr>
        <w:t>十四、关于2020年度预算绩效情况的说明</w:t>
      </w:r>
    </w:p>
    <w:p w:rsidR="00566A40" w:rsidRDefault="00B22672">
      <w:pPr>
        <w:spacing w:line="560" w:lineRule="exact"/>
        <w:ind w:firstLineChars="200" w:firstLine="640"/>
        <w:rPr>
          <w:rFonts w:hAnsi="黑体"/>
          <w:b/>
          <w:sz w:val="32"/>
          <w:szCs w:val="32"/>
        </w:rPr>
      </w:pPr>
      <w:r>
        <w:rPr>
          <w:rFonts w:ascii="仿宋_GB2312" w:eastAsia="仿宋_GB2312" w:hint="eastAsia"/>
          <w:sz w:val="32"/>
          <w:szCs w:val="32"/>
        </w:rPr>
        <w:t>2020年收到市财政帮扶资金300万元，其中288万元用于困难职工和农民工就业培训、医疗帮扶，12万元用于资助困难职工和农民工子女上大学。</w:t>
      </w:r>
    </w:p>
    <w:p w:rsidR="00566A40" w:rsidRDefault="00566A40">
      <w:pPr>
        <w:pStyle w:val="Default"/>
        <w:rPr>
          <w:rFonts w:hAnsi="黑体"/>
          <w:b/>
          <w:sz w:val="32"/>
          <w:szCs w:val="3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B22672">
      <w:pPr>
        <w:pStyle w:val="Default"/>
        <w:jc w:val="center"/>
        <w:rPr>
          <w:sz w:val="72"/>
          <w:szCs w:val="72"/>
        </w:rPr>
      </w:pPr>
      <w:r>
        <w:rPr>
          <w:rFonts w:hint="eastAsia"/>
          <w:sz w:val="72"/>
          <w:szCs w:val="72"/>
        </w:rPr>
        <w:lastRenderedPageBreak/>
        <w:t>第四部分</w:t>
      </w:r>
    </w:p>
    <w:p w:rsidR="00566A40" w:rsidRDefault="00566A40">
      <w:pPr>
        <w:jc w:val="center"/>
        <w:rPr>
          <w:rFonts w:ascii="黑体" w:eastAsia="黑体" w:cs="黑体"/>
          <w:color w:val="000000"/>
          <w:kern w:val="0"/>
          <w:sz w:val="70"/>
          <w:szCs w:val="70"/>
        </w:rPr>
      </w:pPr>
    </w:p>
    <w:p w:rsidR="00566A40" w:rsidRDefault="00B22672">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566A40" w:rsidRDefault="00566A40">
      <w:pPr>
        <w:pStyle w:val="a6"/>
        <w:widowControl/>
        <w:spacing w:beforeAutospacing="0" w:afterAutospacing="0" w:line="33" w:lineRule="atLeast"/>
        <w:ind w:firstLineChars="200" w:firstLine="640"/>
        <w:jc w:val="both"/>
        <w:rPr>
          <w:rFonts w:asciiTheme="minorEastAsia" w:hAnsiTheme="minorEastAsia" w:cstheme="minorEastAsia"/>
          <w:sz w:val="32"/>
          <w:szCs w:val="32"/>
        </w:rPr>
      </w:pPr>
    </w:p>
    <w:p w:rsidR="00566A40" w:rsidRDefault="00566A40">
      <w:pPr>
        <w:pStyle w:val="a6"/>
        <w:widowControl/>
        <w:spacing w:beforeAutospacing="0" w:afterAutospacing="0" w:line="33" w:lineRule="atLeast"/>
        <w:ind w:firstLineChars="200" w:firstLine="640"/>
        <w:jc w:val="both"/>
        <w:rPr>
          <w:rFonts w:asciiTheme="minorEastAsia" w:hAnsiTheme="minorEastAsia" w:cstheme="minorEastAsia"/>
          <w:sz w:val="32"/>
          <w:szCs w:val="32"/>
        </w:rPr>
      </w:pPr>
    </w:p>
    <w:p w:rsidR="00566A40" w:rsidRDefault="00B22672">
      <w:pPr>
        <w:pStyle w:val="a6"/>
        <w:widowControl/>
        <w:spacing w:beforeAutospacing="0" w:afterAutospacing="0" w:line="33" w:lineRule="atLeast"/>
        <w:ind w:firstLineChars="200" w:firstLine="640"/>
        <w:jc w:val="both"/>
        <w:rPr>
          <w:rFonts w:asciiTheme="minorEastAsia" w:hAnsiTheme="minorEastAsia" w:cstheme="minorEastAsia"/>
          <w:sz w:val="32"/>
          <w:szCs w:val="32"/>
        </w:rPr>
      </w:pPr>
      <w:bookmarkStart w:id="3" w:name="_GoBack"/>
      <w:bookmarkEnd w:id="3"/>
      <w:r>
        <w:rPr>
          <w:rFonts w:asciiTheme="minorEastAsia" w:hAnsiTheme="minorEastAsia" w:cstheme="minorEastAsia" w:hint="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66A40" w:rsidRDefault="00B22672">
      <w:pPr>
        <w:pStyle w:val="a6"/>
        <w:widowControl/>
        <w:spacing w:beforeAutospacing="0" w:afterAutospacing="0" w:line="33" w:lineRule="atLeast"/>
        <w:ind w:firstLineChars="200" w:firstLine="640"/>
        <w:jc w:val="both"/>
        <w:rPr>
          <w:rFonts w:asciiTheme="minorEastAsia" w:hAnsiTheme="minorEastAsia" w:cstheme="minorEastAsia"/>
          <w:sz w:val="32"/>
          <w:szCs w:val="32"/>
        </w:rPr>
      </w:pPr>
      <w:r>
        <w:rPr>
          <w:rFonts w:asciiTheme="minorEastAsia" w:hAnsiTheme="minorEastAsia" w:cstheme="minorEastAsia" w:hint="eastAsia"/>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rsidR="00566A40" w:rsidRDefault="00566A40">
      <w:pPr>
        <w:widowControl/>
        <w:jc w:val="left"/>
        <w:rPr>
          <w:rFonts w:ascii="仿宋_GB2312" w:eastAsia="仿宋_GB2312" w:hAnsi="仿宋_GB2312" w:cs="仿宋_GB2312"/>
          <w:color w:val="000000"/>
          <w:kern w:val="0"/>
          <w:sz w:val="32"/>
          <w:szCs w:val="32"/>
        </w:rPr>
      </w:pPr>
    </w:p>
    <w:p w:rsidR="00566A40" w:rsidRDefault="00566A40">
      <w:pPr>
        <w:pStyle w:val="Default"/>
        <w:jc w:val="both"/>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center"/>
        <w:rPr>
          <w:sz w:val="72"/>
          <w:szCs w:val="72"/>
        </w:rPr>
      </w:pPr>
    </w:p>
    <w:p w:rsidR="00566A40" w:rsidRDefault="00566A40">
      <w:pPr>
        <w:pStyle w:val="Default"/>
        <w:jc w:val="both"/>
        <w:rPr>
          <w:sz w:val="72"/>
          <w:szCs w:val="72"/>
        </w:rPr>
      </w:pPr>
    </w:p>
    <w:p w:rsidR="00566A40" w:rsidRDefault="00B22672">
      <w:pPr>
        <w:pStyle w:val="Default"/>
        <w:jc w:val="center"/>
        <w:rPr>
          <w:sz w:val="72"/>
          <w:szCs w:val="72"/>
        </w:rPr>
      </w:pPr>
      <w:r>
        <w:rPr>
          <w:rFonts w:hint="eastAsia"/>
          <w:sz w:val="72"/>
          <w:szCs w:val="72"/>
        </w:rPr>
        <w:t xml:space="preserve">  第五部分</w:t>
      </w:r>
    </w:p>
    <w:p w:rsidR="00566A40" w:rsidRDefault="00566A40">
      <w:pPr>
        <w:jc w:val="center"/>
        <w:rPr>
          <w:rFonts w:ascii="黑体" w:eastAsia="黑体" w:cs="黑体"/>
          <w:color w:val="000000"/>
          <w:kern w:val="0"/>
          <w:sz w:val="70"/>
          <w:szCs w:val="70"/>
        </w:rPr>
      </w:pPr>
    </w:p>
    <w:p w:rsidR="00566A40" w:rsidRDefault="00B22672">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566A40" w:rsidRDefault="00B22672">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66A40" w:rsidRDefault="00566A40">
      <w:pPr>
        <w:jc w:val="center"/>
        <w:rPr>
          <w:rFonts w:ascii="黑体" w:eastAsia="黑体" w:cs="黑体"/>
          <w:color w:val="000000"/>
          <w:kern w:val="0"/>
          <w:sz w:val="70"/>
          <w:szCs w:val="70"/>
        </w:rPr>
      </w:pPr>
    </w:p>
    <w:p w:rsidR="00566A40" w:rsidRDefault="00B22672" w:rsidP="00A61A79">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2020年度部门整体支出绩效评价报告</w:t>
      </w:r>
    </w:p>
    <w:p w:rsidR="00566A40" w:rsidRDefault="00B22672">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2020年，我市各级工会认真贯彻落实《财政支出绩效评价管理暂行办法》精神，加强了帮扶资金的管理，做到了精准帮扶，提升了帮扶资金绩效，现将财政专项帮扶资金使用情况汇报如下：</w:t>
      </w:r>
    </w:p>
    <w:p w:rsidR="00566A40" w:rsidRDefault="00B22672">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一、领导高度重视，组织机构健全</w:t>
      </w:r>
    </w:p>
    <w:p w:rsidR="00566A40" w:rsidRDefault="00B22672">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2020年来，市总工会高度重视“双联”和困难职工帮扶工作，以项目帮扶为抓手，扎实推进帮扶工作，取得了较好成效。年初，我会党组书记、副主席、财政支出绩效管理小组组长李炎云同志召开了预算绩效管理工作会议，对全年的工作进行部署。法律保障部在年初工作分工中明确岗位职责，明确工作任务，综合调研，制定了绩效管理方案。法律保障部召开了全市法律保障工作会议并对2020年“双联”和困难职工帮扶工作配套专项资金财政支出绩效管理工作进行了讲评。</w:t>
      </w:r>
    </w:p>
    <w:p w:rsidR="00566A40" w:rsidRDefault="00B22672">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二、报送及时有效，注重申报质量</w:t>
      </w:r>
    </w:p>
    <w:p w:rsidR="00566A40" w:rsidRDefault="00B22672">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近年来，省财政厅、省总工会高度重视财政支出绩效管理工作，逐步深化支出制度改革，加强支出绩效管理，提高帮扶资金的使用效益和工会工作效率。财政支出绩效管理工作既是一个新课题，也是一个新工作。我们严格按照规定报送相关材料，经常向相关部门及相关工作人员请教财政支出绩效工作,确保财政支出绩效工作按照要求高质量填报。</w:t>
      </w:r>
    </w:p>
    <w:p w:rsidR="00566A40" w:rsidRDefault="00B22672">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三、完善监控管理，确保资金到位</w:t>
      </w:r>
    </w:p>
    <w:p w:rsidR="00566A40" w:rsidRDefault="00B22672">
      <w:pPr>
        <w:spacing w:line="660" w:lineRule="exact"/>
        <w:ind w:firstLineChars="200" w:firstLine="640"/>
        <w:rPr>
          <w:rFonts w:ascii="楷体" w:eastAsia="楷体" w:hAnsi="楷体" w:cs="楷体"/>
          <w:sz w:val="32"/>
          <w:szCs w:val="32"/>
        </w:rPr>
      </w:pPr>
      <w:r>
        <w:rPr>
          <w:rFonts w:ascii="楷体" w:eastAsia="楷体" w:hAnsi="楷体" w:cs="楷体" w:hint="eastAsia"/>
          <w:sz w:val="32"/>
          <w:szCs w:val="32"/>
        </w:rPr>
        <w:t>（一）项目基本情况</w:t>
      </w:r>
    </w:p>
    <w:p w:rsidR="00566A40" w:rsidRDefault="00B22672">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一是项目主要内容。“双联”和困难职工帮扶工作项目主要内容包括：</w:t>
      </w:r>
      <w:r>
        <w:rPr>
          <w:rFonts w:ascii="仿宋" w:eastAsia="仿宋" w:hAnsi="仿宋" w:cs="仿宋" w:hint="eastAsia"/>
          <w:sz w:val="32"/>
          <w:szCs w:val="32"/>
        </w:rPr>
        <w:lastRenderedPageBreak/>
        <w:t>困难帮扶、职业介绍、就业培训、医疗互助、法律援助、心理咨询、劳动仲裁、信访接待等八项内容。根据全省双联工作会议要求，加快解决改革企业困难职工生活困难，对全市困难职工、农民工进行专项帮扶。“双联”和困难职工帮扶工作领导小组由市委副书记陈爱林任组长，市人大常委会党组副书记、副主任、市总工会主席彭先政、市政府副市长杨昆为副组长，市直相关部门负责人为成员。二是项目年度预算绩效目标。根据市“双联”和困难职工帮扶工作领导小组的要求，2020年将“双联”帮扶工作与解困脱困紧密结合，解困脱困一批、医疗帮扶保障一批、医疗互助缓解一批、金秋助学扶持一批、维权服务援助一批，帮扶人数不小于43000人。</w:t>
      </w:r>
    </w:p>
    <w:p w:rsidR="00566A40" w:rsidRDefault="00B22672">
      <w:pPr>
        <w:spacing w:line="660" w:lineRule="exact"/>
        <w:ind w:firstLineChars="200" w:firstLine="640"/>
        <w:rPr>
          <w:rFonts w:ascii="楷体" w:eastAsia="楷体" w:hAnsi="楷体" w:cs="楷体"/>
          <w:sz w:val="32"/>
          <w:szCs w:val="32"/>
        </w:rPr>
      </w:pPr>
      <w:r>
        <w:rPr>
          <w:rFonts w:ascii="楷体" w:eastAsia="楷体" w:hAnsi="楷体" w:cs="楷体" w:hint="eastAsia"/>
          <w:sz w:val="32"/>
          <w:szCs w:val="32"/>
        </w:rPr>
        <w:t>（二）项目资金使用及管理情况</w:t>
      </w:r>
    </w:p>
    <w:p w:rsidR="00566A40" w:rsidRDefault="00B22672">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2020年收到市财政帮扶资金300万元，其中288万元用于困难职工慰问、医疗帮扶，12万元用于资助困难职工和农民工子女上大学。</w:t>
      </w:r>
    </w:p>
    <w:p w:rsidR="00566A40" w:rsidRDefault="00B22672">
      <w:pPr>
        <w:spacing w:line="660" w:lineRule="exact"/>
        <w:rPr>
          <w:rFonts w:ascii="仿宋" w:eastAsia="仿宋" w:hAnsi="仿宋" w:cs="仿宋"/>
          <w:sz w:val="32"/>
          <w:szCs w:val="32"/>
        </w:rPr>
      </w:pPr>
      <w:r>
        <w:rPr>
          <w:rFonts w:ascii="仿宋" w:eastAsia="仿宋" w:hAnsi="仿宋" w:cs="仿宋" w:hint="eastAsia"/>
          <w:sz w:val="32"/>
          <w:szCs w:val="32"/>
        </w:rPr>
        <w:t xml:space="preserve">    一是为确保资金使用安全，我们根据省总工会下发的相关文件和各级财政、审计部门制定的关于专项资金使用制度的要求并结合我市实际情况制定了《岳阳市工会帮扶资金使用管理办法》。在帮扶程序上，严格遵守“先建档、后帮扶、实名制、银行卡发放制”的原则，所有帮扶对象必须在实名制表格上签字（本人签字）。帮扶专项资金使用情况接受市总财务、经审、纪检监督审计，定期将帮扶资金发放情况进行公示。做好财务设置和财务管理，对帮扶活动中的费用、采购的各项物资及时做好原始记录。二是我们根据严格按照《财政支出绩效评价管理暂行办法》的要求，撰写相关自评报告制作相关表格，根据年初预算开展了季度帮扶，按照医疗帮扶每人1000-5000元的标准进行帮扶，整个帮扶工作流程按照专项帮扶资金的计划使用。三是我们为24名困难职工、农民工子女发放一次性助学金5000</w:t>
      </w:r>
      <w:r>
        <w:rPr>
          <w:rFonts w:ascii="仿宋" w:eastAsia="仿宋" w:hAnsi="仿宋" w:cs="仿宋" w:hint="eastAsia"/>
          <w:sz w:val="32"/>
          <w:szCs w:val="32"/>
        </w:rPr>
        <w:lastRenderedPageBreak/>
        <w:t>元。为做到精准助学，我们组织10名志愿者分别采取入户走访调查、电话抽样调查、社区走访调查等方式逐一核实情况是否真实，上报资料是否准确。2020年9月6日，市总召开金秋助学座谈会，《湖南工人报》《岳阳日报》、岳阳电视台等多家媒体对我们的活动进行了全面报道。</w:t>
      </w:r>
    </w:p>
    <w:p w:rsidR="00566A40" w:rsidRDefault="00B22672">
      <w:pPr>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四、评价管理科学、内容充实合理</w:t>
      </w:r>
    </w:p>
    <w:p w:rsidR="00566A40" w:rsidRDefault="00B22672">
      <w:pPr>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通过“双联”和困难帮扶项目做到了困难职工的话有人听，事有人管，困难有人帮，困难职工生活状况明显改善，受助困难职工满意率100%。我们成立志愿组织，做好回访调查。2020年我们通过志愿服务队，开展走访、回访、调查活动，对1000多名已接受帮扶的困难职工、农民工进行了回访调查，鉴定合格率达到97%。同时，我们主动邀请纪检监察、审计、财务、新闻媒体等部门全程参与，在财务拨付款项时，还要这些部门签字盖章。对专项资金的使用，从计划开始到结束验收后拨付资金，我们不但设置了一整套考核验收办法，还要求财务、经审一同考核、一同抽查、一同验收。让帮扶资金使用的每一个环节都置于阳光之下。2020年开展的“双联”和困难帮扶项目，确保了帮扶资金的专款专用，赢得了广大职工群众的信赖。</w:t>
      </w:r>
    </w:p>
    <w:p w:rsidR="00566A40" w:rsidRDefault="00566A40">
      <w:pPr>
        <w:ind w:firstLineChars="200" w:firstLine="640"/>
        <w:jc w:val="left"/>
        <w:rPr>
          <w:rFonts w:asciiTheme="minorEastAsia" w:hAnsiTheme="minorEastAsia" w:cs="黑体"/>
          <w:color w:val="000000"/>
          <w:kern w:val="0"/>
          <w:sz w:val="32"/>
          <w:szCs w:val="32"/>
        </w:rPr>
      </w:pPr>
    </w:p>
    <w:sectPr w:rsidR="00566A40" w:rsidSect="00566A40">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2B" w:rsidRDefault="00D36E2B" w:rsidP="00A61A79">
      <w:r>
        <w:separator/>
      </w:r>
    </w:p>
  </w:endnote>
  <w:endnote w:type="continuationSeparator" w:id="0">
    <w:p w:rsidR="00D36E2B" w:rsidRDefault="00D36E2B" w:rsidP="00A6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2B" w:rsidRDefault="00D36E2B" w:rsidP="00A61A79">
      <w:r>
        <w:separator/>
      </w:r>
    </w:p>
  </w:footnote>
  <w:footnote w:type="continuationSeparator" w:id="0">
    <w:p w:rsidR="00D36E2B" w:rsidRDefault="00D36E2B" w:rsidP="00A61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8308C"/>
    <w:multiLevelType w:val="singleLevel"/>
    <w:tmpl w:val="AFA8308C"/>
    <w:lvl w:ilvl="0">
      <w:start w:val="3"/>
      <w:numFmt w:val="decimal"/>
      <w:suff w:val="nothing"/>
      <w:lvlText w:val="%1、"/>
      <w:lvlJc w:val="left"/>
    </w:lvl>
  </w:abstractNum>
  <w:abstractNum w:abstractNumId="1">
    <w:nsid w:val="D4F4ADC1"/>
    <w:multiLevelType w:val="singleLevel"/>
    <w:tmpl w:val="D4F4ADC1"/>
    <w:lvl w:ilvl="0">
      <w:start w:val="7"/>
      <w:numFmt w:val="chineseCounting"/>
      <w:suff w:val="nothing"/>
      <w:lvlText w:val="%1、"/>
      <w:lvlJc w:val="left"/>
      <w:rPr>
        <w:rFonts w:hint="eastAsia"/>
      </w:rPr>
    </w:lvl>
  </w:abstractNum>
  <w:abstractNum w:abstractNumId="2">
    <w:nsid w:val="4C69BF38"/>
    <w:multiLevelType w:val="singleLevel"/>
    <w:tmpl w:val="4C69BF38"/>
    <w:lvl w:ilvl="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iNWMwYWU5NjcxMzJmMmQzYzA3MGM1MmY2NTJmNWQifQ=="/>
  </w:docVars>
  <w:rsids>
    <w:rsidRoot w:val="004506F9"/>
    <w:rsid w:val="0002229B"/>
    <w:rsid w:val="000273BD"/>
    <w:rsid w:val="000415B7"/>
    <w:rsid w:val="00041E3F"/>
    <w:rsid w:val="00055DAA"/>
    <w:rsid w:val="00061F7B"/>
    <w:rsid w:val="000658A3"/>
    <w:rsid w:val="00074155"/>
    <w:rsid w:val="000A3F69"/>
    <w:rsid w:val="000E3EB2"/>
    <w:rsid w:val="001017C9"/>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66A40"/>
    <w:rsid w:val="005767CC"/>
    <w:rsid w:val="00580251"/>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61A79"/>
    <w:rsid w:val="00A70249"/>
    <w:rsid w:val="00A70B02"/>
    <w:rsid w:val="00A71D9F"/>
    <w:rsid w:val="00A92E9F"/>
    <w:rsid w:val="00B22672"/>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36E2B"/>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B663ADB"/>
    <w:rsid w:val="11690E21"/>
    <w:rsid w:val="1201133E"/>
    <w:rsid w:val="3D4E7821"/>
    <w:rsid w:val="407C44CE"/>
    <w:rsid w:val="4701548A"/>
    <w:rsid w:val="732A1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66A40"/>
    <w:rPr>
      <w:sz w:val="18"/>
      <w:szCs w:val="18"/>
    </w:rPr>
  </w:style>
  <w:style w:type="paragraph" w:styleId="a4">
    <w:name w:val="footer"/>
    <w:basedOn w:val="a"/>
    <w:link w:val="Char0"/>
    <w:uiPriority w:val="99"/>
    <w:unhideWhenUsed/>
    <w:qFormat/>
    <w:rsid w:val="00566A4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66A4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66A40"/>
    <w:pPr>
      <w:spacing w:beforeAutospacing="1" w:afterAutospacing="1"/>
      <w:jc w:val="left"/>
    </w:pPr>
    <w:rPr>
      <w:rFonts w:cs="Times New Roman"/>
      <w:kern w:val="0"/>
      <w:sz w:val="24"/>
    </w:rPr>
  </w:style>
  <w:style w:type="character" w:customStyle="1" w:styleId="Char1">
    <w:name w:val="页眉 Char"/>
    <w:basedOn w:val="a0"/>
    <w:link w:val="a5"/>
    <w:uiPriority w:val="99"/>
    <w:qFormat/>
    <w:rsid w:val="00566A40"/>
    <w:rPr>
      <w:sz w:val="18"/>
      <w:szCs w:val="18"/>
    </w:rPr>
  </w:style>
  <w:style w:type="character" w:customStyle="1" w:styleId="Char0">
    <w:name w:val="页脚 Char"/>
    <w:basedOn w:val="a0"/>
    <w:link w:val="a4"/>
    <w:uiPriority w:val="99"/>
    <w:qFormat/>
    <w:rsid w:val="00566A40"/>
    <w:rPr>
      <w:sz w:val="18"/>
      <w:szCs w:val="18"/>
    </w:rPr>
  </w:style>
  <w:style w:type="paragraph" w:customStyle="1" w:styleId="Default">
    <w:name w:val="Default"/>
    <w:qFormat/>
    <w:rsid w:val="00566A40"/>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566A40"/>
    <w:pPr>
      <w:ind w:firstLineChars="200" w:firstLine="420"/>
    </w:pPr>
  </w:style>
  <w:style w:type="character" w:customStyle="1" w:styleId="Char">
    <w:name w:val="批注框文本 Char"/>
    <w:basedOn w:val="a0"/>
    <w:link w:val="a3"/>
    <w:uiPriority w:val="99"/>
    <w:semiHidden/>
    <w:qFormat/>
    <w:rsid w:val="00566A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0B50-0769-4883-BCB2-5C101953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1882</Words>
  <Characters>10730</Characters>
  <Application>Microsoft Office Word</Application>
  <DocSecurity>0</DocSecurity>
  <Lines>89</Lines>
  <Paragraphs>25</Paragraphs>
  <ScaleCrop>false</ScaleCrop>
  <Company>Microsoft</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cp:revision>
  <cp:lastPrinted>2021-09-09T02:49:00Z</cp:lastPrinted>
  <dcterms:created xsi:type="dcterms:W3CDTF">2021-09-08T01:50:00Z</dcterms:created>
  <dcterms:modified xsi:type="dcterms:W3CDTF">2022-06-13T09:32:00Z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4BF8B63920A04CB684519C7E99D631C7</vt:lpwstr>
  </property>
</Properties>
</file>