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岳阳市人民政府口岸管理办公室</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岳阳市人民政府口岸管理办公室</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岳阳市人民政府口岸管理办公室单位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贯彻执行国家有关口岸工作的法律法规和政策，根据实际，制定口岸管理实施细则；会同相关部门编制全市口岸总体规划，承办新开放口岸、海关特殊监管区域报批工作，组织协调口岸作业区和海关特殊监管区域建设的申报、验收，并督促实施。</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）负责协调口岸联检机构和口岸相关单位以及综合保税区等海关特殊监管区域和全市进出口企业之间的“大通关”工作。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负责协调口岸联检机构、口岸相关单位之间的工作关系，督促其按各自职责对出入境人员、货物等进行监督管理；牵头组织口岸综合治理，整顿口岸秩序，处理突发事件，督促口岸相关单位加强口岸限定区域内的安全管理；负责协调优化口岸营商环境和推进信息化建设。</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）负责承办市口岸工作领导小组办公室和市打击走私工作领导小组办公室的日常工作；负责本市口岸相关数据的统计分析和对外发布。</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5</w:t>
      </w:r>
      <w:r>
        <w:rPr>
          <w:rFonts w:hint="eastAsia" w:asciiTheme="minorEastAsia" w:hAnsiTheme="minorEastAsia" w:eastAsiaTheme="minorEastAsia" w:cstheme="minorEastAsia"/>
          <w:kern w:val="0"/>
          <w:sz w:val="32"/>
          <w:szCs w:val="32"/>
        </w:rPr>
        <w:t>）完成市委、市政府交办的其他事项。</w:t>
      </w:r>
    </w:p>
    <w:p>
      <w:pPr>
        <w:keepNext w:val="0"/>
        <w:keepLines w:val="0"/>
        <w:pageBreakBefore w:val="0"/>
        <w:widowControl/>
        <w:numPr>
          <w:ilvl w:val="0"/>
          <w:numId w:val="0"/>
        </w:numPr>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Cs/>
          <w:kern w:val="0"/>
          <w:sz w:val="32"/>
          <w:szCs w:val="32"/>
          <w:lang w:eastAsia="zh-CN"/>
        </w:rPr>
        <w:t>二、机构设置及决算单位构成</w:t>
      </w:r>
    </w:p>
    <w:p>
      <w:pPr>
        <w:keepNext w:val="0"/>
        <w:keepLines w:val="0"/>
        <w:pageBreakBefore w:val="0"/>
        <w:widowControl/>
        <w:numPr>
          <w:ilvl w:val="0"/>
          <w:numId w:val="0"/>
        </w:numPr>
        <w:kinsoku/>
        <w:wordWrap/>
        <w:overflowPunct/>
        <w:topLinePunct w:val="0"/>
        <w:bidi w:val="0"/>
        <w:adjustRightInd/>
        <w:snapToGrid/>
        <w:spacing w:line="600" w:lineRule="exact"/>
        <w:ind w:firstLine="640" w:firstLineChars="200"/>
        <w:textAlignment w:val="auto"/>
        <w:rPr>
          <w:rFonts w:ascii="仿宋_GB2312" w:eastAsia="仿宋_GB2312" w:hAnsiTheme="minorEastAsia"/>
          <w:sz w:val="28"/>
          <w:szCs w:val="32"/>
        </w:rPr>
      </w:pPr>
      <w:r>
        <w:rPr>
          <w:rFonts w:hint="eastAsia" w:asciiTheme="minorEastAsia" w:hAnsiTheme="minorEastAsia" w:eastAsiaTheme="minorEastAsia" w:cstheme="minorEastAsia"/>
          <w:kern w:val="0"/>
          <w:sz w:val="32"/>
          <w:szCs w:val="32"/>
          <w:lang w:eastAsia="zh-CN"/>
        </w:rPr>
        <w:t>（一）</w:t>
      </w:r>
      <w:r>
        <w:rPr>
          <w:rFonts w:hint="eastAsia" w:asciiTheme="minorEastAsia" w:hAnsiTheme="minorEastAsia" w:eastAsiaTheme="minorEastAsia" w:cstheme="minorEastAsia"/>
          <w:kern w:val="0"/>
          <w:sz w:val="32"/>
          <w:szCs w:val="32"/>
        </w:rPr>
        <w:t>岳阳市人民政府口岸管理办公室办系岳阳市人民政府正处级工作部门，属财政全额拨款单位。设：综合科、口岸管理科、进出口企业服务科、财务规划科四个科室，下设岳阳市口岸事务中心。编制人数18人，实有在职人员1</w:t>
      </w:r>
      <w:r>
        <w:rPr>
          <w:rFonts w:hint="eastAsia" w:asciiTheme="minorEastAsia" w:hAnsi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人，退休人员6人。</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本单位无独立核算二级机构，</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eastAsiaTheme="minorEastAsia" w:cstheme="minorEastAsia"/>
          <w:kern w:val="0"/>
          <w:sz w:val="32"/>
          <w:szCs w:val="32"/>
        </w:rPr>
        <w:t>岳阳市人民政府口岸管理办公室</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2164" w:type="dxa"/>
        <w:tblInd w:w="96" w:type="dxa"/>
        <w:shd w:val="clear" w:color="auto" w:fill="auto"/>
        <w:tblLayout w:type="autofit"/>
        <w:tblCellMar>
          <w:top w:w="0" w:type="dxa"/>
          <w:left w:w="108" w:type="dxa"/>
          <w:bottom w:w="0" w:type="dxa"/>
          <w:right w:w="108" w:type="dxa"/>
        </w:tblCellMar>
      </w:tblPr>
      <w:tblGrid>
        <w:gridCol w:w="4030"/>
        <w:gridCol w:w="708"/>
        <w:gridCol w:w="1182"/>
        <w:gridCol w:w="3793"/>
        <w:gridCol w:w="708"/>
        <w:gridCol w:w="1743"/>
      </w:tblGrid>
      <w:tr>
        <w:tblPrEx>
          <w:shd w:val="clear" w:color="auto" w:fill="auto"/>
          <w:tblCellMar>
            <w:top w:w="0" w:type="dxa"/>
            <w:left w:w="108" w:type="dxa"/>
            <w:bottom w:w="0" w:type="dxa"/>
            <w:right w:w="108" w:type="dxa"/>
          </w:tblCellMar>
        </w:tblPrEx>
        <w:trPr>
          <w:trHeight w:val="384" w:hRule="atLeast"/>
        </w:trPr>
        <w:tc>
          <w:tcPr>
            <w:tcW w:w="12164" w:type="dxa"/>
            <w:gridSpan w:val="6"/>
            <w:tcBorders>
              <w:top w:val="nil"/>
              <w:left w:val="nil"/>
              <w:bottom w:val="nil"/>
              <w:right w:val="nil"/>
            </w:tcBorders>
            <w:shd w:val="clear" w:color="auto" w:fill="auto"/>
            <w:noWrap/>
            <w:vAlign w:val="bottom"/>
          </w:tcPr>
          <w:p>
            <w:pPr>
              <w:shd w:val="clea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821.73</w:t>
            </w:r>
          </w:p>
        </w:tc>
      </w:tr>
      <w:tr>
        <w:tblPrEx>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608.27</w:t>
            </w:r>
          </w:p>
        </w:tc>
      </w:tr>
      <w:tr>
        <w:tblPrEx>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w:t>
            </w:r>
          </w:p>
        </w:tc>
      </w:tr>
      <w:tr>
        <w:tblPrEx>
          <w:tblCellMar>
            <w:top w:w="0" w:type="dxa"/>
            <w:left w:w="108" w:type="dxa"/>
            <w:bottom w:w="0" w:type="dxa"/>
            <w:right w:w="108" w:type="dxa"/>
          </w:tblCellMar>
        </w:tblPrEx>
        <w:trPr>
          <w:trHeight w:val="23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shd w:val="clea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518" w:type="dxa"/>
        <w:tblInd w:w="96" w:type="dxa"/>
        <w:shd w:val="clear" w:color="auto" w:fill="auto"/>
        <w:tblLayout w:type="fixed"/>
        <w:tblCellMar>
          <w:top w:w="0" w:type="dxa"/>
          <w:left w:w="108" w:type="dxa"/>
          <w:bottom w:w="0" w:type="dxa"/>
          <w:right w:w="108" w:type="dxa"/>
        </w:tblCellMar>
      </w:tblPr>
      <w:tblGrid>
        <w:gridCol w:w="1260"/>
        <w:gridCol w:w="240"/>
        <w:gridCol w:w="240"/>
        <w:gridCol w:w="4597"/>
        <w:gridCol w:w="1560"/>
        <w:gridCol w:w="1692"/>
        <w:gridCol w:w="1164"/>
        <w:gridCol w:w="1140"/>
        <w:gridCol w:w="1236"/>
        <w:gridCol w:w="1260"/>
        <w:gridCol w:w="1129"/>
      </w:tblGrid>
      <w:tr>
        <w:tblPrEx>
          <w:shd w:val="clear" w:color="auto" w:fill="auto"/>
          <w:tblCellMar>
            <w:top w:w="0" w:type="dxa"/>
            <w:left w:w="108" w:type="dxa"/>
            <w:bottom w:w="0" w:type="dxa"/>
            <w:right w:w="108" w:type="dxa"/>
          </w:tblCellMar>
        </w:tblPrEx>
        <w:trPr>
          <w:trHeight w:val="384" w:hRule="atLeast"/>
        </w:trPr>
        <w:tc>
          <w:tcPr>
            <w:tcW w:w="15518" w:type="dxa"/>
            <w:gridSpan w:val="11"/>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shd w:val="clear" w:color="auto" w:fill="auto"/>
          <w:tblCellMar>
            <w:top w:w="0" w:type="dxa"/>
            <w:left w:w="108" w:type="dxa"/>
            <w:bottom w:w="0" w:type="dxa"/>
            <w:right w:w="108" w:type="dxa"/>
          </w:tblCellMar>
        </w:tblPrEx>
        <w:trPr>
          <w:trHeight w:val="264" w:hRule="atLeast"/>
        </w:trPr>
        <w:tc>
          <w:tcPr>
            <w:tcW w:w="12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shd w:val="clear" w:color="auto" w:fill="auto"/>
          <w:tblCellMar>
            <w:top w:w="0" w:type="dxa"/>
            <w:left w:w="108" w:type="dxa"/>
            <w:bottom w:w="0" w:type="dxa"/>
            <w:right w:w="108" w:type="dxa"/>
          </w:tblCellMar>
        </w:tblPrEx>
        <w:trPr>
          <w:trHeight w:val="264" w:hRule="atLeast"/>
        </w:trPr>
        <w:tc>
          <w:tcPr>
            <w:tcW w:w="6337"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15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8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35" w:hRule="atLeast"/>
        </w:trPr>
        <w:tc>
          <w:tcPr>
            <w:tcW w:w="63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9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3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2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shd w:val="clear" w:color="auto" w:fill="auto"/>
          <w:tblCellMar>
            <w:top w:w="0" w:type="dxa"/>
            <w:left w:w="108" w:type="dxa"/>
            <w:bottom w:w="0" w:type="dxa"/>
            <w:right w:w="108" w:type="dxa"/>
          </w:tblCellMar>
        </w:tblPrEx>
        <w:trPr>
          <w:trHeight w:val="235" w:hRule="atLeast"/>
        </w:trPr>
        <w:tc>
          <w:tcPr>
            <w:tcW w:w="174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59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74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74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633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shd w:val="clear" w:color="auto" w:fill="auto"/>
          <w:tblCellMar>
            <w:top w:w="0" w:type="dxa"/>
            <w:left w:w="108" w:type="dxa"/>
            <w:bottom w:w="0" w:type="dxa"/>
            <w:right w:w="108" w:type="dxa"/>
          </w:tblCellMar>
        </w:tblPrEx>
        <w:trPr>
          <w:trHeight w:val="235" w:hRule="atLeast"/>
        </w:trPr>
        <w:tc>
          <w:tcPr>
            <w:tcW w:w="633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994.99</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994.99</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258.20</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258.20</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186.79</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186.79</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70.12</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70.12</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498.18</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498.18</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498.18</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498.18</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2140138</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口岸建设</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498.18</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498.18</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202.13</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202.13</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202.13</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202.13</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202.13</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202.13</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5" w:hRule="atLeast"/>
        </w:trPr>
        <w:tc>
          <w:tcPr>
            <w:tcW w:w="1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4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6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1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5" w:hRule="atLeast"/>
        </w:trPr>
        <w:tc>
          <w:tcPr>
            <w:tcW w:w="15518"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tbl>
      <w:tblPr>
        <w:tblStyle w:val="6"/>
        <w:tblpPr w:leftFromText="180" w:rightFromText="180" w:vertAnchor="text" w:horzAnchor="page" w:tblpX="806" w:tblpY="144"/>
        <w:tblOverlap w:val="never"/>
        <w:tblW w:w="5000" w:type="pct"/>
        <w:tblInd w:w="0" w:type="dxa"/>
        <w:shd w:val="clear" w:color="auto" w:fill="auto"/>
        <w:tblLayout w:type="autofit"/>
        <w:tblCellMar>
          <w:top w:w="0" w:type="dxa"/>
          <w:left w:w="108" w:type="dxa"/>
          <w:bottom w:w="0" w:type="dxa"/>
          <w:right w:w="108" w:type="dxa"/>
        </w:tblCellMar>
      </w:tblPr>
      <w:tblGrid>
        <w:gridCol w:w="678"/>
        <w:gridCol w:w="678"/>
        <w:gridCol w:w="678"/>
        <w:gridCol w:w="4759"/>
        <w:gridCol w:w="1580"/>
        <w:gridCol w:w="1127"/>
        <w:gridCol w:w="1127"/>
        <w:gridCol w:w="1580"/>
        <w:gridCol w:w="1127"/>
        <w:gridCol w:w="2280"/>
      </w:tblGrid>
      <w:tr>
        <w:tblPrEx>
          <w:shd w:val="clear" w:color="auto" w:fill="auto"/>
          <w:tblCellMar>
            <w:top w:w="0" w:type="dxa"/>
            <w:left w:w="108" w:type="dxa"/>
            <w:bottom w:w="0" w:type="dxa"/>
            <w:right w:w="108" w:type="dxa"/>
          </w:tblCellMar>
        </w:tblPrEx>
        <w:trPr>
          <w:trHeight w:val="384" w:hRule="atLeast"/>
        </w:trPr>
        <w:tc>
          <w:tcPr>
            <w:tcW w:w="5000" w:type="pct"/>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shd w:val="clear" w:color="auto" w:fill="auto"/>
          <w:tblCellMar>
            <w:top w:w="0" w:type="dxa"/>
            <w:left w:w="108" w:type="dxa"/>
            <w:bottom w:w="0" w:type="dxa"/>
            <w:right w:w="108" w:type="dxa"/>
          </w:tblCellMar>
        </w:tblPrEx>
        <w:trPr>
          <w:trHeight w:val="264" w:hRule="atLeast"/>
        </w:trPr>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trHeight w:val="264" w:hRule="atLeast"/>
        </w:trPr>
        <w:tc>
          <w:tcPr>
            <w:tcW w:w="2175"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35" w:hRule="atLeast"/>
        </w:trPr>
        <w:tc>
          <w:tcPr>
            <w:tcW w:w="21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36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6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72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235" w:hRule="atLeast"/>
        </w:trPr>
        <w:tc>
          <w:tcPr>
            <w:tcW w:w="651"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23"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65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3"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65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3"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2175"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235" w:hRule="atLeast"/>
        </w:trPr>
        <w:tc>
          <w:tcPr>
            <w:tcW w:w="2175"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821.73</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249.35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572.38</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219.48</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219.48</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2140138</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口岸建设</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5" w:hRule="atLeast"/>
        </w:trPr>
        <w:tc>
          <w:tcPr>
            <w:tcW w:w="65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15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5000" w:type="pct"/>
        <w:tblInd w:w="0" w:type="dxa"/>
        <w:shd w:val="clear" w:color="auto" w:fill="auto"/>
        <w:tblLayout w:type="autofit"/>
        <w:tblCellMar>
          <w:top w:w="0" w:type="dxa"/>
          <w:left w:w="108" w:type="dxa"/>
          <w:bottom w:w="0" w:type="dxa"/>
          <w:right w:w="108" w:type="dxa"/>
        </w:tblCellMar>
      </w:tblPr>
      <w:tblGrid>
        <w:gridCol w:w="3956"/>
        <w:gridCol w:w="487"/>
        <w:gridCol w:w="1368"/>
        <w:gridCol w:w="3844"/>
        <w:gridCol w:w="487"/>
        <w:gridCol w:w="1196"/>
        <w:gridCol w:w="1368"/>
        <w:gridCol w:w="1134"/>
        <w:gridCol w:w="1774"/>
      </w:tblGrid>
      <w:tr>
        <w:tblPrEx>
          <w:shd w:val="clear" w:color="auto" w:fill="auto"/>
          <w:tblCellMar>
            <w:top w:w="0" w:type="dxa"/>
            <w:left w:w="108" w:type="dxa"/>
            <w:bottom w:w="0" w:type="dxa"/>
            <w:right w:w="108" w:type="dxa"/>
          </w:tblCellMar>
        </w:tblPrEx>
        <w:trPr>
          <w:trHeight w:val="384" w:hRule="atLeast"/>
        </w:trPr>
        <w:tc>
          <w:tcPr>
            <w:tcW w:w="5000" w:type="pct"/>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shd w:val="clear" w:color="auto" w:fill="auto"/>
          <w:tblCellMar>
            <w:top w:w="0" w:type="dxa"/>
            <w:left w:w="108" w:type="dxa"/>
            <w:bottom w:w="0" w:type="dxa"/>
            <w:right w:w="108" w:type="dxa"/>
          </w:tblCellMar>
        </w:tblPrEx>
        <w:trPr>
          <w:trHeight w:val="264" w:hRule="atLeast"/>
        </w:trPr>
        <w:tc>
          <w:tcPr>
            <w:tcW w:w="12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shd w:val="clear" w:color="auto" w:fill="auto"/>
        </w:tblPrEx>
        <w:trPr>
          <w:trHeight w:val="264" w:hRule="atLeast"/>
        </w:trPr>
        <w:tc>
          <w:tcPr>
            <w:tcW w:w="126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35" w:hRule="atLeast"/>
        </w:trPr>
        <w:tc>
          <w:tcPr>
            <w:tcW w:w="1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38"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224" w:hRule="atLeast"/>
        </w:trPr>
        <w:tc>
          <w:tcPr>
            <w:tcW w:w="126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3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83"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6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6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471" w:hRule="atLeast"/>
        </w:trPr>
        <w:tc>
          <w:tcPr>
            <w:tcW w:w="1267"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31"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83" w:type="pct"/>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60"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56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 w:type="pct"/>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 w:type="pct"/>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994.99</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b/>
                <w:bCs/>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994.99</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821.73</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821.73</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224.96</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398.22</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398.22</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224.96</w:t>
            </w:r>
          </w:p>
        </w:tc>
        <w:tc>
          <w:tcPr>
            <w:tcW w:w="1231"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83"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1"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83"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1"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2"/>
                <w:szCs w:val="22"/>
                <w:u w:val="none"/>
              </w:rPr>
            </w:pP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83"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360"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c>
          <w:tcPr>
            <w:tcW w:w="56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5" w:hRule="atLeast"/>
        </w:trPr>
        <w:tc>
          <w:tcPr>
            <w:tcW w:w="12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6"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1,219.95</w:t>
            </w:r>
          </w:p>
        </w:tc>
        <w:tc>
          <w:tcPr>
            <w:tcW w:w="12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1,219.95</w:t>
            </w:r>
          </w:p>
        </w:tc>
        <w:tc>
          <w:tcPr>
            <w:tcW w:w="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1,219.95</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35" w:hRule="atLeast"/>
        </w:trPr>
        <w:tc>
          <w:tcPr>
            <w:tcW w:w="4432" w:type="pct"/>
            <w:gridSpan w:val="8"/>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67" w:type="pct"/>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r>
    </w:tbl>
    <w:p>
      <w:pPr>
        <w:widowControl/>
        <w:shd w:val="clear"/>
        <w:rPr>
          <w:rFonts w:ascii="Times New Roman" w:hAnsi="Times New Roman" w:eastAsia="方正小标宋_GBK" w:cs="Times New Roman"/>
          <w:color w:val="000000"/>
          <w:kern w:val="0"/>
          <w:sz w:val="36"/>
          <w:szCs w:val="36"/>
        </w:rPr>
      </w:pPr>
    </w:p>
    <w:p>
      <w:pPr>
        <w:widowControl/>
        <w:shd w:val="clear"/>
        <w:ind w:left="93"/>
        <w:jc w:val="center"/>
        <w:rPr>
          <w:rFonts w:ascii="Times New Roman" w:hAnsi="Times New Roman" w:eastAsia="方正小标宋_GBK" w:cs="Times New Roman"/>
          <w:color w:val="000000"/>
          <w:kern w:val="0"/>
          <w:sz w:val="36"/>
          <w:szCs w:val="21"/>
        </w:rPr>
      </w:pPr>
    </w:p>
    <w:p>
      <w:pPr>
        <w:widowControl/>
        <w:shd w:val="clear"/>
        <w:ind w:left="93"/>
        <w:jc w:val="center"/>
        <w:rPr>
          <w:rFonts w:ascii="Times New Roman" w:hAnsi="Times New Roman" w:eastAsia="方正小标宋_GBK" w:cs="Times New Roman"/>
          <w:color w:val="000000"/>
          <w:kern w:val="0"/>
          <w:sz w:val="36"/>
          <w:szCs w:val="21"/>
        </w:rPr>
      </w:pPr>
    </w:p>
    <w:p>
      <w:pPr>
        <w:widowControl/>
        <w:shd w:val="clear"/>
        <w:ind w:left="93"/>
        <w:jc w:val="center"/>
        <w:rPr>
          <w:rFonts w:ascii="Times New Roman" w:hAnsi="Times New Roman" w:eastAsia="方正小标宋_GBK" w:cs="Times New Roman"/>
          <w:color w:val="000000"/>
          <w:kern w:val="0"/>
          <w:sz w:val="36"/>
          <w:szCs w:val="21"/>
        </w:rPr>
      </w:pPr>
    </w:p>
    <w:p>
      <w:pPr>
        <w:widowControl/>
        <w:shd w:val="clear"/>
        <w:ind w:left="93"/>
        <w:jc w:val="center"/>
        <w:rPr>
          <w:rFonts w:ascii="Times New Roman" w:hAnsi="Times New Roman" w:eastAsia="方正小标宋_GBK" w:cs="Times New Roman"/>
          <w:color w:val="000000"/>
          <w:kern w:val="0"/>
          <w:sz w:val="36"/>
          <w:szCs w:val="21"/>
        </w:rPr>
      </w:pPr>
    </w:p>
    <w:p>
      <w:pPr>
        <w:widowControl/>
        <w:shd w:val="clear"/>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shd w:val="clear"/>
        <w:jc w:val="center"/>
        <w:rPr>
          <w:rFonts w:ascii="Times New Roman" w:hAnsi="Times New Roman" w:eastAsia="方正小标宋_GBK" w:cs="Times New Roman"/>
          <w:kern w:val="0"/>
          <w:sz w:val="36"/>
          <w:szCs w:val="36"/>
        </w:rPr>
      </w:pPr>
    </w:p>
    <w:p>
      <w:pPr>
        <w:widowControl/>
        <w:shd w:val="clear"/>
        <w:jc w:val="center"/>
        <w:rPr>
          <w:rFonts w:ascii="Times New Roman" w:hAnsi="Times New Roman" w:eastAsia="方正小标宋_GBK" w:cs="Times New Roman"/>
          <w:kern w:val="0"/>
          <w:sz w:val="36"/>
          <w:szCs w:val="36"/>
        </w:rPr>
      </w:pPr>
    </w:p>
    <w:p>
      <w:pPr>
        <w:widowControl/>
        <w:shd w:val="clear"/>
        <w:jc w:val="center"/>
        <w:rPr>
          <w:rFonts w:ascii="Times New Roman" w:hAnsi="Times New Roman" w:eastAsia="方正小标宋_GBK" w:cs="Times New Roman"/>
          <w:kern w:val="0"/>
          <w:sz w:val="36"/>
          <w:szCs w:val="36"/>
        </w:rPr>
      </w:pPr>
    </w:p>
    <w:p>
      <w:pPr>
        <w:widowControl/>
        <w:shd w:val="clear"/>
        <w:jc w:val="center"/>
        <w:rPr>
          <w:rFonts w:ascii="Times New Roman" w:hAnsi="Times New Roman" w:eastAsia="方正小标宋_GBK" w:cs="Times New Roman"/>
          <w:kern w:val="0"/>
          <w:sz w:val="36"/>
          <w:szCs w:val="36"/>
        </w:rPr>
      </w:pPr>
    </w:p>
    <w:p>
      <w:pPr>
        <w:widowControl/>
        <w:shd w:val="clear"/>
        <w:jc w:val="center"/>
        <w:rPr>
          <w:rFonts w:ascii="Times New Roman" w:hAnsi="Times New Roman" w:eastAsia="方正小标宋_GBK" w:cs="Times New Roman"/>
          <w:kern w:val="0"/>
          <w:sz w:val="36"/>
          <w:szCs w:val="36"/>
        </w:rPr>
      </w:pPr>
    </w:p>
    <w:tbl>
      <w:tblPr>
        <w:tblStyle w:val="6"/>
        <w:tblW w:w="5000" w:type="pct"/>
        <w:tblInd w:w="0" w:type="dxa"/>
        <w:shd w:val="clear" w:color="auto" w:fill="auto"/>
        <w:tblLayout w:type="fixed"/>
        <w:tblCellMar>
          <w:top w:w="0" w:type="dxa"/>
          <w:left w:w="108" w:type="dxa"/>
          <w:bottom w:w="0" w:type="dxa"/>
          <w:right w:w="108" w:type="dxa"/>
        </w:tblCellMar>
      </w:tblPr>
      <w:tblGrid>
        <w:gridCol w:w="961"/>
        <w:gridCol w:w="1899"/>
        <w:gridCol w:w="709"/>
        <w:gridCol w:w="506"/>
        <w:gridCol w:w="162"/>
        <w:gridCol w:w="841"/>
        <w:gridCol w:w="1092"/>
        <w:gridCol w:w="2177"/>
        <w:gridCol w:w="709"/>
        <w:gridCol w:w="438"/>
        <w:gridCol w:w="1560"/>
        <w:gridCol w:w="385"/>
        <w:gridCol w:w="2536"/>
        <w:gridCol w:w="162"/>
        <w:gridCol w:w="1243"/>
        <w:gridCol w:w="234"/>
      </w:tblGrid>
      <w:tr>
        <w:tblPrEx>
          <w:shd w:val="clear" w:color="auto" w:fill="auto"/>
          <w:tblCellMar>
            <w:top w:w="0" w:type="dxa"/>
            <w:left w:w="108" w:type="dxa"/>
            <w:bottom w:w="0" w:type="dxa"/>
            <w:right w:w="108" w:type="dxa"/>
          </w:tblCellMar>
        </w:tblPrEx>
        <w:trPr>
          <w:trHeight w:val="384" w:hRule="atLeast"/>
        </w:trPr>
        <w:tc>
          <w:tcPr>
            <w:tcW w:w="5000" w:type="pct"/>
            <w:gridSpan w:val="1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264" w:hRule="atLeast"/>
        </w:trPr>
        <w:tc>
          <w:tcPr>
            <w:tcW w:w="91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3"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3"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trHeight w:val="264" w:hRule="atLeast"/>
        </w:trPr>
        <w:tc>
          <w:tcPr>
            <w:tcW w:w="2899" w:type="pct"/>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76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6"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35" w:hRule="atLeast"/>
        </w:trPr>
        <w:tc>
          <w:tcPr>
            <w:tcW w:w="2899"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00"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235" w:hRule="atLeast"/>
        </w:trPr>
        <w:tc>
          <w:tcPr>
            <w:tcW w:w="1356" w:type="pct"/>
            <w:gridSpan w:val="5"/>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543"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3"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63"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72"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212" w:hRule="atLeast"/>
        </w:trPr>
        <w:tc>
          <w:tcPr>
            <w:tcW w:w="1356" w:type="pct"/>
            <w:gridSpan w:val="5"/>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3"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3"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1356" w:type="pct"/>
            <w:gridSpan w:val="5"/>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3"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3"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2899" w:type="pct"/>
            <w:gridSpan w:val="9"/>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235" w:hRule="atLeast"/>
        </w:trPr>
        <w:tc>
          <w:tcPr>
            <w:tcW w:w="2899" w:type="pct"/>
            <w:gridSpan w:val="9"/>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821.73</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249.35</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572.38</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219.48</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221.83</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219.48</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185.15</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2140138</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口岸建设</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382.44</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1356"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154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6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63"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7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235"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shd w:val="clear" w:color="auto" w:fill="auto"/>
          <w:tblCellMar>
            <w:top w:w="0" w:type="dxa"/>
            <w:left w:w="108" w:type="dxa"/>
            <w:bottom w:w="0" w:type="dxa"/>
            <w:right w:w="108" w:type="dxa"/>
          </w:tblCellMar>
        </w:tblPrEx>
        <w:trPr>
          <w:gridAfter w:val="1"/>
          <w:wAfter w:w="74" w:type="pct"/>
          <w:trHeight w:val="384" w:hRule="atLeast"/>
        </w:trPr>
        <w:tc>
          <w:tcPr>
            <w:tcW w:w="4925" w:type="pct"/>
            <w:gridSpan w:val="15"/>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gridAfter w:val="1"/>
          <w:wAfter w:w="74" w:type="pct"/>
          <w:trHeight w:val="264" w:hRule="atLeast"/>
        </w:trPr>
        <w:tc>
          <w:tcPr>
            <w:tcW w:w="3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7"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1"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7"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PrEx>
        <w:trPr>
          <w:gridAfter w:val="1"/>
          <w:wAfter w:w="74" w:type="pct"/>
          <w:trHeight w:val="264" w:hRule="atLeast"/>
        </w:trPr>
        <w:tc>
          <w:tcPr>
            <w:tcW w:w="3040" w:type="pct"/>
            <w:gridSpan w:val="10"/>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4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5"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162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98" w:type="pct"/>
            <w:gridSpan w:val="9"/>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97"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1"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4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9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7"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9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35"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9"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7"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1"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7"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5"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27.36</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80.03</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46.29</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48.88</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20.61</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935"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49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97"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74" w:type="pct"/>
          <w:trHeight w:val="235" w:hRule="atLeast"/>
        </w:trPr>
        <w:tc>
          <w:tcPr>
            <w:tcW w:w="3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97" w:type="pct"/>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1"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67"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49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5"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9" w:type="pct"/>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74" w:type="pct"/>
          <w:trHeight w:val="235" w:hRule="atLeast"/>
        </w:trPr>
        <w:tc>
          <w:tcPr>
            <w:tcW w:w="130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21"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221.99</w:t>
            </w:r>
          </w:p>
        </w:tc>
        <w:tc>
          <w:tcPr>
            <w:tcW w:w="2849" w:type="pct"/>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49"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27.36</w:t>
            </w:r>
          </w:p>
        </w:tc>
      </w:tr>
      <w:tr>
        <w:tblPrEx>
          <w:tblCellMar>
            <w:top w:w="0" w:type="dxa"/>
            <w:left w:w="108" w:type="dxa"/>
            <w:bottom w:w="0" w:type="dxa"/>
            <w:right w:w="108" w:type="dxa"/>
          </w:tblCellMar>
        </w:tblPrEx>
        <w:trPr>
          <w:gridAfter w:val="1"/>
          <w:wAfter w:w="74" w:type="pct"/>
          <w:trHeight w:val="235" w:hRule="atLeast"/>
        </w:trPr>
        <w:tc>
          <w:tcPr>
            <w:tcW w:w="4925" w:type="pct"/>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：岳阳市人民政府口岸管理办公室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岳阳市人民政府口岸管理办公室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7"/>
        <w:gridCol w:w="1426"/>
        <w:gridCol w:w="2161"/>
        <w:gridCol w:w="2161"/>
        <w:gridCol w:w="2161"/>
        <w:gridCol w:w="2161"/>
        <w:gridCol w:w="2164"/>
        <w:gridCol w:w="21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4" w:type="pct"/>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692"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692"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2077" w:type="pct"/>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692"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7"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692" w:type="pct"/>
            <w:vMerge w:val="continue"/>
            <w:vAlign w:val="center"/>
          </w:tcPr>
          <w:p>
            <w:pPr>
              <w:widowControl/>
              <w:jc w:val="left"/>
              <w:rPr>
                <w:rFonts w:ascii="Times New Roman" w:hAnsi="Times New Roman" w:eastAsia="仿宋_GB2312" w:cs="Times New Roman"/>
                <w:b/>
                <w:kern w:val="0"/>
                <w:szCs w:val="21"/>
              </w:rPr>
            </w:pPr>
          </w:p>
        </w:tc>
        <w:tc>
          <w:tcPr>
            <w:tcW w:w="692" w:type="pct"/>
            <w:vMerge w:val="continue"/>
            <w:vAlign w:val="center"/>
          </w:tcPr>
          <w:p>
            <w:pPr>
              <w:widowControl/>
              <w:jc w:val="left"/>
              <w:rPr>
                <w:rFonts w:ascii="Times New Roman" w:hAnsi="Times New Roman" w:eastAsia="仿宋_GB2312" w:cs="Times New Roman"/>
                <w:b/>
                <w:kern w:val="0"/>
                <w:szCs w:val="21"/>
              </w:rPr>
            </w:pPr>
          </w:p>
        </w:tc>
        <w:tc>
          <w:tcPr>
            <w:tcW w:w="692"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692"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692" w:type="pct"/>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692" w:type="pct"/>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vMerge w:val="continue"/>
            <w:vAlign w:val="center"/>
          </w:tcPr>
          <w:p>
            <w:pPr>
              <w:widowControl/>
              <w:jc w:val="left"/>
              <w:rPr>
                <w:rFonts w:ascii="Times New Roman" w:hAnsi="Times New Roman" w:eastAsia="仿宋_GB2312" w:cs="Times New Roman"/>
                <w:kern w:val="0"/>
                <w:szCs w:val="21"/>
              </w:rPr>
            </w:pPr>
          </w:p>
        </w:tc>
        <w:tc>
          <w:tcPr>
            <w:tcW w:w="457"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vMerge w:val="continue"/>
            <w:vAlign w:val="center"/>
          </w:tcPr>
          <w:p>
            <w:pPr>
              <w:widowControl/>
              <w:jc w:val="left"/>
              <w:rPr>
                <w:rFonts w:ascii="Times New Roman" w:hAnsi="Times New Roman" w:eastAsia="仿宋_GB2312" w:cs="Times New Roman"/>
                <w:kern w:val="0"/>
                <w:szCs w:val="21"/>
              </w:rPr>
            </w:pPr>
          </w:p>
        </w:tc>
        <w:tc>
          <w:tcPr>
            <w:tcW w:w="457"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c>
          <w:tcPr>
            <w:tcW w:w="692" w:type="pct"/>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4" w:type="pct"/>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44" w:type="pct"/>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692" w:type="pct"/>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692" w:type="pct"/>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692" w:type="pct"/>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692" w:type="pct"/>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692" w:type="pct"/>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57"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57"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57"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57"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57"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92"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87" w:type="pc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57" w:type="pct"/>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155" w:type="pct"/>
            <w:gridSpan w:val="6"/>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说明：岳阳市人民政府口岸管理办公室没有政府性基金收入，也没有使用政府性基金安排的支出，故本表无数据。</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highlight w:val="yellow"/>
        </w:rPr>
      </w:pPr>
      <w:r>
        <w:rPr>
          <w:rFonts w:ascii="Times New Roman" w:hAnsi="Times New Roman" w:eastAsia="仿宋_GB2312" w:cs="Times New Roman"/>
          <w:kern w:val="0"/>
          <w:szCs w:val="21"/>
          <w:highlight w:val="yellow"/>
        </w:rPr>
        <w:t>(若本单位无政府性基金收支</w:t>
      </w:r>
      <w:r>
        <w:rPr>
          <w:rFonts w:hint="eastAsia" w:ascii="Times New Roman" w:hAnsi="Times New Roman" w:eastAsia="仿宋_GB2312" w:cs="Times New Roman"/>
          <w:kern w:val="0"/>
          <w:szCs w:val="21"/>
          <w:highlight w:val="yellow"/>
        </w:rPr>
        <w:t>,请在表中说明：XX单位没有政府性基金收入，也没有使用政府性基金安排的支出，故本表无数据。</w:t>
      </w:r>
      <w:r>
        <w:rPr>
          <w:rFonts w:ascii="Times New Roman" w:hAnsi="Times New Roman" w:eastAsia="仿宋_GB2312" w:cs="Times New Roman"/>
          <w:kern w:val="0"/>
          <w:szCs w:val="21"/>
          <w:highlight w:val="yellow"/>
        </w:rPr>
        <w:t>)</w:t>
      </w:r>
    </w:p>
    <w:p>
      <w:pPr>
        <w:widowControl/>
        <w:jc w:val="left"/>
        <w:rPr>
          <w:rFonts w:ascii="Times New Roman" w:hAnsi="Times New Roman" w:eastAsia="仿宋_GB2312" w:cs="Times New Roman"/>
          <w:kern w:val="0"/>
          <w:szCs w:val="21"/>
          <w:highlight w:val="yellow"/>
        </w:rPr>
      </w:pPr>
    </w:p>
    <w:p>
      <w:pPr>
        <w:widowControl/>
        <w:jc w:val="left"/>
        <w:rPr>
          <w:rFonts w:ascii="Times New Roman" w:hAnsi="Times New Roman" w:eastAsia="仿宋_GB2312" w:cs="Times New Roman"/>
          <w:kern w:val="0"/>
          <w:szCs w:val="21"/>
          <w:highlight w:val="yellow"/>
        </w:rPr>
      </w:pPr>
    </w:p>
    <w:tbl>
      <w:tblPr>
        <w:tblStyle w:val="6"/>
        <w:tblW w:w="15518" w:type="dxa"/>
        <w:tblInd w:w="96" w:type="dxa"/>
        <w:shd w:val="clear" w:color="auto" w:fill="auto"/>
        <w:tblLayout w:type="fixed"/>
        <w:tblCellMar>
          <w:top w:w="0" w:type="dxa"/>
          <w:left w:w="108" w:type="dxa"/>
          <w:bottom w:w="0" w:type="dxa"/>
          <w:right w:w="108" w:type="dxa"/>
        </w:tblCellMar>
      </w:tblPr>
      <w:tblGrid>
        <w:gridCol w:w="3818"/>
        <w:gridCol w:w="264"/>
        <w:gridCol w:w="456"/>
        <w:gridCol w:w="1440"/>
        <w:gridCol w:w="3554"/>
        <w:gridCol w:w="2585"/>
        <w:gridCol w:w="3401"/>
      </w:tblGrid>
      <w:tr>
        <w:tblPrEx>
          <w:shd w:val="clear" w:color="auto" w:fill="auto"/>
          <w:tblCellMar>
            <w:top w:w="0" w:type="dxa"/>
            <w:left w:w="108" w:type="dxa"/>
            <w:bottom w:w="0" w:type="dxa"/>
            <w:right w:w="108" w:type="dxa"/>
          </w:tblCellMar>
        </w:tblPrEx>
        <w:trPr>
          <w:trHeight w:val="384" w:hRule="atLeast"/>
        </w:trPr>
        <w:tc>
          <w:tcPr>
            <w:tcW w:w="15518"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shd w:val="clear" w:color="auto" w:fill="auto"/>
          <w:tblCellMar>
            <w:top w:w="0" w:type="dxa"/>
            <w:left w:w="108" w:type="dxa"/>
            <w:bottom w:w="0" w:type="dxa"/>
            <w:right w:w="108" w:type="dxa"/>
          </w:tblCellMar>
        </w:tblPrEx>
        <w:trPr>
          <w:trHeight w:val="264" w:hRule="atLeast"/>
        </w:trPr>
        <w:tc>
          <w:tcPr>
            <w:tcW w:w="38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0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shd w:val="clear" w:color="auto" w:fill="auto"/>
          <w:tblCellMar>
            <w:top w:w="0" w:type="dxa"/>
            <w:left w:w="108" w:type="dxa"/>
            <w:bottom w:w="0" w:type="dxa"/>
            <w:right w:w="108" w:type="dxa"/>
          </w:tblCellMar>
        </w:tblPrEx>
        <w:trPr>
          <w:trHeight w:val="264" w:hRule="atLeast"/>
        </w:trPr>
        <w:tc>
          <w:tcPr>
            <w:tcW w:w="381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部门：岳阳市人民政府口岸管理办公室</w:t>
            </w:r>
          </w:p>
        </w:tc>
        <w:tc>
          <w:tcPr>
            <w:tcW w:w="26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0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235" w:hRule="atLeast"/>
        </w:trPr>
        <w:tc>
          <w:tcPr>
            <w:tcW w:w="59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5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235" w:hRule="atLeast"/>
        </w:trPr>
        <w:tc>
          <w:tcPr>
            <w:tcW w:w="453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44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4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235" w:hRule="atLeast"/>
        </w:trPr>
        <w:tc>
          <w:tcPr>
            <w:tcW w:w="45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5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453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5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597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235" w:hRule="atLeast"/>
        </w:trPr>
        <w:tc>
          <w:tcPr>
            <w:tcW w:w="597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25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34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r>
      <w:tr>
        <w:tblPrEx>
          <w:shd w:val="clear" w:color="auto" w:fill="auto"/>
          <w:tblCellMar>
            <w:top w:w="0" w:type="dxa"/>
            <w:left w:w="108" w:type="dxa"/>
            <w:bottom w:w="0" w:type="dxa"/>
            <w:right w:w="108" w:type="dxa"/>
          </w:tblCellMar>
        </w:tblPrEx>
        <w:trPr>
          <w:trHeight w:val="235" w:hRule="atLeast"/>
        </w:trPr>
        <w:tc>
          <w:tcPr>
            <w:tcW w:w="453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453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453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453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453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5" w:hRule="atLeast"/>
        </w:trPr>
        <w:tc>
          <w:tcPr>
            <w:tcW w:w="453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54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说明：岳阳市人民政府口岸管理办公室没有使用国有资本经营预算安排的支出，故本表无数据。</w:t>
            </w:r>
          </w:p>
        </w:tc>
      </w:tr>
      <w:tr>
        <w:tblPrEx>
          <w:shd w:val="clear" w:color="auto" w:fill="auto"/>
          <w:tblCellMar>
            <w:top w:w="0" w:type="dxa"/>
            <w:left w:w="108" w:type="dxa"/>
            <w:bottom w:w="0" w:type="dxa"/>
            <w:right w:w="108" w:type="dxa"/>
          </w:tblCellMar>
        </w:tblPrEx>
        <w:trPr>
          <w:trHeight w:val="235" w:hRule="atLeast"/>
        </w:trPr>
        <w:tc>
          <w:tcPr>
            <w:tcW w:w="15518"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jc w:val="left"/>
        <w:rPr>
          <w:rFonts w:ascii="Times New Roman" w:hAnsi="Times New Roman" w:eastAsia="仿宋_GB2312" w:cs="Times New Roman"/>
          <w:kern w:val="0"/>
          <w:szCs w:val="21"/>
          <w:highlight w:val="yellow"/>
        </w:rPr>
      </w:pP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1430</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62.64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%，主要是因为电子口岸平台建设项目逐渐完工，口岸建设发展资金一般公共预算财政拨款支出减少</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本年收入合计994.99万元，其中：财政拨款收入994.99万元，占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本年支出合计821.7</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万元，其中：基本支出249.35万元，占</w:t>
      </w:r>
      <w:r>
        <w:rPr>
          <w:rFonts w:hint="eastAsia" w:asciiTheme="minorEastAsia" w:hAnsiTheme="minorEastAsia" w:eastAsiaTheme="minorEastAsia"/>
          <w:sz w:val="32"/>
          <w:szCs w:val="32"/>
          <w:lang w:val="en-US" w:eastAsia="zh-CN"/>
        </w:rPr>
        <w:t>30.34</w:t>
      </w:r>
      <w:r>
        <w:rPr>
          <w:rFonts w:hint="eastAsia" w:asciiTheme="minorEastAsia" w:hAnsiTheme="minorEastAsia" w:eastAsiaTheme="minorEastAsia"/>
          <w:sz w:val="32"/>
          <w:szCs w:val="32"/>
        </w:rPr>
        <w:t>%；项目支出572.38万元，占</w:t>
      </w:r>
      <w:r>
        <w:rPr>
          <w:rFonts w:hint="eastAsia" w:asciiTheme="minorEastAsia" w:hAnsiTheme="minorEastAsia" w:eastAsiaTheme="minorEastAsia"/>
          <w:sz w:val="32"/>
          <w:szCs w:val="32"/>
          <w:lang w:val="en-US" w:eastAsia="zh-CN"/>
        </w:rPr>
        <w:t>69.66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2020年度财政拨款收、支总计1219.9</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62.65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4.88</w:t>
      </w:r>
      <w:r>
        <w:rPr>
          <w:rFonts w:hint="eastAsia" w:asciiTheme="minorEastAsia" w:hAnsiTheme="minorEastAsia" w:eastAsiaTheme="minorEastAsia"/>
          <w:sz w:val="32"/>
          <w:szCs w:val="32"/>
        </w:rPr>
        <w:t>%，主要是因为电子口岸平台建设项目逐渐完工，口岸建设发展资金一般公共预算财政拨款支出减少</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2020年度财政拨款支出821.7</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235.9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22.3</w:t>
      </w:r>
      <w:r>
        <w:rPr>
          <w:rFonts w:hint="eastAsia" w:asciiTheme="minorEastAsia" w:hAnsiTheme="minorEastAsia" w:eastAsiaTheme="minorEastAsia"/>
          <w:sz w:val="32"/>
          <w:szCs w:val="32"/>
        </w:rPr>
        <w:t>%，主要是因为电子口岸平台建设项目逐渐完工，口岸建设发展资金一般公共预算财政拨款支出减少</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2020年度财政拨款支出821.7</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万元，主要用于以下方面：一般公共服务（类）支出221.83万元，占</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%；社会保障和就业支出（类）支出19.95万元，占</w:t>
      </w:r>
      <w:r>
        <w:rPr>
          <w:rFonts w:hint="eastAsia" w:asciiTheme="minorEastAsia" w:hAnsiTheme="minorEastAsia" w:eastAsiaTheme="minorEastAsia"/>
          <w:sz w:val="32"/>
          <w:szCs w:val="32"/>
          <w:lang w:val="en-US" w:eastAsia="zh-CN"/>
        </w:rPr>
        <w:t>2.42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（类）支出8.71万元，占</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；交通运输支出</w:t>
      </w:r>
      <w:r>
        <w:rPr>
          <w:rFonts w:hint="eastAsia" w:asciiTheme="minorEastAsia" w:hAnsiTheme="minorEastAsia" w:eastAsiaTheme="minorEastAsia"/>
          <w:sz w:val="32"/>
          <w:szCs w:val="32"/>
        </w:rPr>
        <w:t>（类）支出382.44万元，占</w:t>
      </w:r>
      <w:r>
        <w:rPr>
          <w:rFonts w:hint="eastAsia" w:asciiTheme="minorEastAsia" w:hAnsiTheme="minorEastAsia" w:eastAsiaTheme="minorEastAsia"/>
          <w:sz w:val="32"/>
          <w:szCs w:val="32"/>
          <w:lang w:val="en-US" w:eastAsia="zh-CN"/>
        </w:rPr>
        <w:t>46.54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；商业服务业等支出</w:t>
      </w:r>
      <w:r>
        <w:rPr>
          <w:rFonts w:hint="eastAsia" w:asciiTheme="minorEastAsia" w:hAnsiTheme="minorEastAsia" w:eastAsiaTheme="minorEastAsia"/>
          <w:sz w:val="32"/>
          <w:szCs w:val="32"/>
        </w:rPr>
        <w:t>（类）支出187.59万元，占</w:t>
      </w:r>
      <w:r>
        <w:rPr>
          <w:rFonts w:hint="eastAsia" w:asciiTheme="minorEastAsia" w:hAnsiTheme="minorEastAsia" w:eastAsiaTheme="minorEastAsia"/>
          <w:sz w:val="32"/>
          <w:szCs w:val="32"/>
          <w:lang w:val="en-US" w:eastAsia="zh-CN"/>
        </w:rPr>
        <w:t>22.83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rPr>
        <w:t>（类）支出1.21万元，占</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208.06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821.73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394.95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val="en-US"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158.88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117.2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人员变动调整。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w:t>
      </w:r>
      <w:r>
        <w:rPr>
          <w:rFonts w:hint="eastAsia" w:asciiTheme="minorEastAsia" w:hAnsiTheme="minorEastAsia" w:eastAsiaTheme="minorEastAsia"/>
          <w:sz w:val="32"/>
          <w:szCs w:val="32"/>
          <w:lang w:val="en-US"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其他政府办公厅（室）及相关机构事务支出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34.33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预留增资及绩效考评奖励没有纳入年初预算。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残疾人事业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其他残疾人事业支出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8.71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公务员医疗补助</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财政未下拨该预算指标。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住房公积金</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财政未下拨该预算指标。</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8、交通运输支出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公路水路运输（室）口岸建设</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382.44</w:t>
      </w:r>
      <w:r>
        <w:rPr>
          <w:rFonts w:hint="eastAsia" w:asciiTheme="minorEastAsia" w:hAnsiTheme="minorEastAsia" w:eastAsiaTheme="minorEastAsia"/>
          <w:sz w:val="32"/>
          <w:szCs w:val="32"/>
        </w:rPr>
        <w:t>万元，决算数大于年初预算数的主要原因</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一是年初国库集中支付结余资金列支相应口岸建设项目，二是财政二次分配项目资金未列入年初预算。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9、商品服务业等支出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涉外发展服务支出（室）其他涉外发展服务支出</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187.59</w:t>
      </w:r>
      <w:r>
        <w:rPr>
          <w:rFonts w:hint="eastAsia" w:asciiTheme="minorEastAsia" w:hAnsiTheme="minorEastAsia" w:eastAsiaTheme="minorEastAsia"/>
          <w:sz w:val="32"/>
          <w:szCs w:val="32"/>
        </w:rPr>
        <w:t>万元，决算数大于年初预算数的主要原因</w:t>
      </w:r>
      <w:r>
        <w:rPr>
          <w:rFonts w:hint="eastAsia" w:asciiTheme="minorEastAsia" w:hAnsiTheme="minorEastAsia" w:eastAsiaTheme="minorEastAsia"/>
          <w:sz w:val="32"/>
          <w:szCs w:val="32"/>
          <w:lang w:val="en-US" w:eastAsia="zh-CN"/>
        </w:rPr>
        <w:t>是财政二次分配项目资金未列入年初预算。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10、其他支出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其他支出（室）其他支出</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万元，决算数大于年初预算数的主要原因</w:t>
      </w:r>
      <w:r>
        <w:rPr>
          <w:rFonts w:hint="eastAsia" w:asciiTheme="minorEastAsia" w:hAnsiTheme="minorEastAsia" w:eastAsiaTheme="minorEastAsia"/>
          <w:sz w:val="32"/>
          <w:szCs w:val="32"/>
          <w:lang w:val="en-US" w:eastAsia="zh-CN"/>
        </w:rPr>
        <w:t>是财政二次分配项目资金未列入年初预算。</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2020年度财政拨款基本支出249.35万元，其中：人员经费221.99万元，占基本支出的</w:t>
      </w:r>
      <w:r>
        <w:rPr>
          <w:rFonts w:hint="eastAsia" w:asciiTheme="minorEastAsia" w:hAnsiTheme="minorEastAsia" w:eastAsiaTheme="minorEastAsia"/>
          <w:sz w:val="32"/>
          <w:szCs w:val="32"/>
          <w:lang w:val="en-US" w:eastAsia="zh-CN"/>
        </w:rPr>
        <w:t>89.03</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社会保险缴费</w:t>
      </w:r>
      <w:r>
        <w:rPr>
          <w:rFonts w:hint="eastAsia" w:asciiTheme="minorEastAsia" w:hAnsiTheme="minorEastAsia" w:eastAsiaTheme="minorEastAsia"/>
          <w:sz w:val="32"/>
          <w:szCs w:val="32"/>
        </w:rPr>
        <w:t>；公用经费27.36万元，占基本支出的</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eastAsia="zh-CN"/>
        </w:rPr>
        <w:t>、水电费、差旅费、劳务费、公车运行维护费、其他交通费用</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90.5</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去年和今年都没有因公出国（境）支出，与上年相比无增减。</w:t>
      </w:r>
      <w:bookmarkStart w:id="2" w:name="_GoBack"/>
      <w:bookmarkEnd w:id="2"/>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81.33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厉行节约，严格控制三公经费支出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13.78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厉行节约，严格控制公务接待费支出</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99.67</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厉行节约，严格控制三公经费支出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4.03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57.4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厉行节约，严格控制公务用车运行维护费支出</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44.94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55.06</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225</w:t>
      </w:r>
      <w:r>
        <w:rPr>
          <w:rFonts w:hint="eastAsia" w:asciiTheme="minorEastAsia" w:hAnsiTheme="minorEastAsia" w:eastAsiaTheme="minorEastAsia"/>
          <w:sz w:val="32"/>
          <w:szCs w:val="32"/>
        </w:rPr>
        <w:t>人次，主要是外省市学习交流、省口岸办关于直航、危化口堆场建设工作协调等工作发生的接待支出。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2.99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2.99</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公务用车维修保养费、车辆保险费和油料费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万元。说明：本单位无政府性基金收支</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九、国有资本经营预算财政拨款支出决算情况</w:t>
      </w:r>
    </w:p>
    <w:p>
      <w:pPr>
        <w:pStyle w:val="10"/>
        <w:ind w:firstLine="640"/>
        <w:rPr>
          <w:rFonts w:hAnsi="黑体"/>
          <w:b/>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b/>
          <w:sz w:val="32"/>
          <w:szCs w:val="32"/>
        </w:rPr>
        <w:t>国有资本经营预算财政拨款支出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万元。说明：</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单位无国有资本经营预算财政拨款支出</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27.36</w:t>
      </w:r>
      <w:r>
        <w:rPr>
          <w:rFonts w:hint="eastAsia" w:asciiTheme="minorEastAsia" w:hAnsiTheme="minorEastAsia" w:eastAsiaTheme="minorEastAsia"/>
          <w:sz w:val="32"/>
          <w:szCs w:val="32"/>
        </w:rPr>
        <w:t>万元，比年初预算数（或者上年决算数）减少</w:t>
      </w:r>
      <w:r>
        <w:rPr>
          <w:rFonts w:hint="eastAsia" w:asciiTheme="minorEastAsia" w:hAnsiTheme="minorEastAsia" w:eastAsiaTheme="minorEastAsia"/>
          <w:sz w:val="32"/>
          <w:szCs w:val="32"/>
          <w:lang w:val="en-US" w:eastAsia="zh-CN"/>
        </w:rPr>
        <w:t>1.42</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4.93</w:t>
      </w:r>
      <w:r>
        <w:rPr>
          <w:rFonts w:hint="eastAsia" w:asciiTheme="minorEastAsia" w:hAnsiTheme="minorEastAsia" w:eastAsiaTheme="minorEastAsia"/>
          <w:sz w:val="32"/>
          <w:szCs w:val="32"/>
        </w:rPr>
        <w:t>%。主要原因</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rPr>
        <w:t>按有关文件精神压缩机关运行经费</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十一、一般性支出情况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2020年本部门</w:t>
      </w:r>
      <w:r>
        <w:rPr>
          <w:rFonts w:hint="eastAsia" w:asciiTheme="minorEastAsia" w:hAnsiTheme="minorEastAsia" w:eastAsiaTheme="minorEastAsia"/>
          <w:sz w:val="32"/>
          <w:szCs w:val="32"/>
          <w:lang w:eastAsia="zh-CN"/>
        </w:rPr>
        <w:t>无一般性支出，</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十四、关于2020年度预算绩效情况的说明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按照财政绩效部门要求已公开或其他有关部门要求需随同部门决算一同公开的绩效信息，作为附件公开</w:t>
      </w:r>
      <w:r>
        <w:rPr>
          <w:rFonts w:hint="eastAsia" w:asciiTheme="minorEastAsia" w:hAnsiTheme="minorEastAsia" w:eastAsiaTheme="minorEastAsia"/>
          <w:sz w:val="32"/>
          <w:szCs w:val="32"/>
          <w:lang w:eastAsia="zh-CN"/>
        </w:rPr>
        <w:t>。</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宋体" w:hAnsi="宋体" w:eastAsia="宋体" w:cs="宋体"/>
          <w:color w:val="000000"/>
          <w:kern w:val="0"/>
          <w:sz w:val="32"/>
          <w:szCs w:val="32"/>
        </w:rPr>
      </w:pPr>
      <w:r>
        <w:rPr>
          <w:rFonts w:ascii="黑体" w:eastAsia="黑体" w:cs="黑体"/>
          <w:color w:val="000000"/>
          <w:kern w:val="0"/>
          <w:sz w:val="70"/>
          <w:szCs w:val="70"/>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lang w:eastAsia="zh-CN"/>
        </w:rPr>
        <w:t>一</w:t>
      </w:r>
      <w:r>
        <w:rPr>
          <w:rFonts w:hint="eastAsia" w:ascii="宋体" w:hAnsi="宋体" w:eastAsia="宋体" w:cs="宋体"/>
          <w:i w:val="0"/>
          <w:iCs w:val="0"/>
          <w:caps w:val="0"/>
          <w:color w:val="333333"/>
          <w:spacing w:val="0"/>
          <w:sz w:val="32"/>
          <w:szCs w:val="32"/>
          <w:shd w:val="clear" w:fill="FFFFFF"/>
        </w:rPr>
        <w:t>、机关运行经费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lang w:eastAsia="zh-CN"/>
        </w:rPr>
        <w:t>二</w:t>
      </w:r>
      <w:r>
        <w:rPr>
          <w:rFonts w:hint="eastAsia" w:ascii="宋体" w:hAnsi="宋体" w:eastAsia="宋体" w:cs="宋体"/>
          <w:i w:val="0"/>
          <w:iCs w:val="0"/>
          <w:caps w:val="0"/>
          <w:color w:val="333333"/>
          <w:spacing w:val="0"/>
          <w:sz w:val="32"/>
          <w:szCs w:val="32"/>
          <w:shd w:val="clear" w:fill="FFFFFF"/>
        </w:rPr>
        <w:t>、“三公”经费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both"/>
        <w:rPr>
          <w:rFonts w:hint="eastAsia" w:cs="黑体" w:asciiTheme="minorEastAsia" w:hAnsiTheme="minorEastAsia"/>
          <w:b w:val="0"/>
          <w:bCs/>
          <w:color w:val="000000"/>
          <w:kern w:val="0"/>
          <w:sz w:val="32"/>
          <w:szCs w:val="32"/>
        </w:rPr>
      </w:pPr>
      <w:r>
        <w:rPr>
          <w:rFonts w:hint="eastAsia" w:cs="黑体" w:asciiTheme="minorEastAsia" w:hAnsiTheme="minorEastAsia"/>
          <w:b w:val="0"/>
          <w:bCs/>
          <w:color w:val="000000"/>
          <w:kern w:val="0"/>
          <w:sz w:val="32"/>
          <w:szCs w:val="32"/>
          <w:lang w:eastAsia="zh-CN"/>
        </w:rPr>
        <w:t>一、</w:t>
      </w:r>
      <w:r>
        <w:rPr>
          <w:rFonts w:hint="eastAsia" w:cs="黑体" w:asciiTheme="minorEastAsia" w:hAnsiTheme="minorEastAsia"/>
          <w:b w:val="0"/>
          <w:bCs/>
          <w:color w:val="000000"/>
          <w:kern w:val="0"/>
          <w:sz w:val="32"/>
          <w:szCs w:val="32"/>
        </w:rPr>
        <w:t>2020年度</w:t>
      </w:r>
      <w:r>
        <w:rPr>
          <w:rFonts w:hint="eastAsia" w:cs="黑体" w:asciiTheme="minorEastAsia" w:hAnsiTheme="minorEastAsia"/>
          <w:b w:val="0"/>
          <w:bCs/>
          <w:color w:val="000000"/>
          <w:kern w:val="0"/>
          <w:sz w:val="32"/>
          <w:szCs w:val="32"/>
          <w:lang w:eastAsia="zh-CN"/>
        </w:rPr>
        <w:t>市口岸办</w:t>
      </w:r>
      <w:r>
        <w:rPr>
          <w:rFonts w:hint="eastAsia" w:cs="黑体" w:asciiTheme="minorEastAsia" w:hAnsiTheme="minorEastAsia"/>
          <w:b w:val="0"/>
          <w:bCs/>
          <w:color w:val="000000"/>
          <w:kern w:val="0"/>
          <w:sz w:val="32"/>
          <w:szCs w:val="32"/>
        </w:rPr>
        <w:t>部门整体支出绩效评价报告</w:t>
      </w:r>
    </w:p>
    <w:p>
      <w:pPr>
        <w:jc w:val="both"/>
        <w:rPr>
          <w:rFonts w:hint="eastAsia" w:cs="黑体" w:asciiTheme="minorEastAsia" w:hAnsiTheme="minorEastAsia" w:eastAsiaTheme="minorEastAsia"/>
          <w:b w:val="0"/>
          <w:bCs/>
          <w:color w:val="000000"/>
          <w:kern w:val="0"/>
          <w:sz w:val="32"/>
          <w:szCs w:val="32"/>
          <w:lang w:eastAsia="zh-CN"/>
        </w:rPr>
      </w:pPr>
      <w:r>
        <w:rPr>
          <w:rFonts w:hint="eastAsia" w:cs="黑体" w:asciiTheme="minorEastAsia" w:hAnsiTheme="minorEastAsia"/>
          <w:b w:val="0"/>
          <w:bCs/>
          <w:color w:val="000000"/>
          <w:kern w:val="0"/>
          <w:sz w:val="32"/>
          <w:szCs w:val="32"/>
          <w:lang w:eastAsia="zh-CN"/>
        </w:rPr>
        <w:t>二、</w:t>
      </w:r>
      <w:r>
        <w:rPr>
          <w:rFonts w:hint="eastAsia" w:cs="黑体" w:asciiTheme="minorEastAsia" w:hAnsiTheme="minorEastAsia"/>
          <w:b w:val="0"/>
          <w:bCs/>
          <w:color w:val="000000"/>
          <w:kern w:val="0"/>
          <w:sz w:val="32"/>
          <w:szCs w:val="32"/>
          <w:lang w:val="en-US" w:eastAsia="zh-CN"/>
        </w:rPr>
        <w:t>2020年度市口岸办</w:t>
      </w:r>
      <w:r>
        <w:rPr>
          <w:rFonts w:hint="eastAsia" w:asciiTheme="minorEastAsia" w:hAnsiTheme="minorEastAsia" w:eastAsiaTheme="minorEastAsia" w:cstheme="minorEastAsia"/>
          <w:b w:val="0"/>
          <w:bCs/>
          <w:color w:val="000000"/>
          <w:kern w:val="0"/>
          <w:sz w:val="32"/>
          <w:szCs w:val="32"/>
          <w:lang w:val="en-US" w:eastAsia="zh-CN"/>
        </w:rPr>
        <w:t>决算公开报表</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OGNlZmU5ZTNjNTkwZDljYWE1YmU5NDMxNzZkN2E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4E025B4"/>
    <w:rsid w:val="0A0A782F"/>
    <w:rsid w:val="0EB26BDF"/>
    <w:rsid w:val="20B65846"/>
    <w:rsid w:val="20C47ABC"/>
    <w:rsid w:val="290D68CB"/>
    <w:rsid w:val="2D274C5D"/>
    <w:rsid w:val="333E1EB8"/>
    <w:rsid w:val="33DF5295"/>
    <w:rsid w:val="360C5D6C"/>
    <w:rsid w:val="44711DA0"/>
    <w:rsid w:val="4C1C3DAC"/>
    <w:rsid w:val="52947D28"/>
    <w:rsid w:val="55300ACF"/>
    <w:rsid w:val="5EF661E3"/>
    <w:rsid w:val="5F9A6775"/>
    <w:rsid w:val="5FA60E31"/>
    <w:rsid w:val="67B33B67"/>
    <w:rsid w:val="79E47747"/>
    <w:rsid w:val="7A4E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8365</Words>
  <Characters>11631</Characters>
  <Lines>63</Lines>
  <Paragraphs>17</Paragraphs>
  <TotalTime>8</TotalTime>
  <ScaleCrop>false</ScaleCrop>
  <LinksUpToDate>false</LinksUpToDate>
  <CharactersWithSpaces>12175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2021-07-28T00:12:00Z</cp:lastPrinted>
  <dcterms:modified xsi:type="dcterms:W3CDTF">2022-06-13T03:07:17Z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039A2F19AA254212856BEA50D2B446F1</vt:lpwstr>
  </property>
</Properties>
</file>