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黑体" w:hAnsi="黑体" w:eastAsia="黑体"/>
          <w:color w:val="000000"/>
          <w:sz w:val="84"/>
          <w:szCs w:val="24"/>
          <w:highlight w:val="white"/>
        </w:rPr>
      </w:pPr>
    </w:p>
    <w:p>
      <w:pPr>
        <w:spacing w:beforeLines="0" w:afterLines="0"/>
        <w:jc w:val="center"/>
        <w:rPr>
          <w:rFonts w:hint="eastAsia" w:ascii="黑体" w:hAnsi="黑体" w:eastAsia="黑体"/>
          <w:color w:val="000000"/>
          <w:sz w:val="84"/>
          <w:szCs w:val="24"/>
          <w:highlight w:val="white"/>
        </w:rPr>
      </w:pPr>
    </w:p>
    <w:p>
      <w:pPr>
        <w:spacing w:beforeLines="0" w:afterLines="0"/>
        <w:jc w:val="center"/>
        <w:rPr>
          <w:rFonts w:hint="eastAsia" w:ascii="黑体" w:hAnsi="黑体" w:eastAsia="黑体"/>
          <w:color w:val="000000"/>
          <w:sz w:val="84"/>
          <w:szCs w:val="24"/>
          <w:highlight w:val="white"/>
        </w:rPr>
      </w:pPr>
    </w:p>
    <w:p>
      <w:pPr>
        <w:spacing w:beforeLines="0" w:afterLines="0"/>
        <w:jc w:val="both"/>
        <w:rPr>
          <w:rFonts w:hint="eastAsia" w:ascii="黑体" w:hAnsi="黑体" w:eastAsia="黑体"/>
          <w:color w:val="000000"/>
          <w:sz w:val="84"/>
          <w:szCs w:val="24"/>
          <w:highlight w:val="white"/>
        </w:rPr>
      </w:pPr>
    </w:p>
    <w:p>
      <w:pPr>
        <w:spacing w:beforeLines="0" w:afterLines="0"/>
        <w:jc w:val="center"/>
        <w:rPr>
          <w:rFonts w:hint="default" w:eastAsia="Times New Roman"/>
          <w:color w:val="000000"/>
          <w:sz w:val="84"/>
          <w:szCs w:val="24"/>
          <w:highlight w:val="white"/>
        </w:rPr>
      </w:pPr>
      <w:r>
        <w:rPr>
          <w:rFonts w:hint="eastAsia" w:ascii="黑体" w:hAnsi="黑体" w:eastAsia="黑体"/>
          <w:color w:val="000000"/>
          <w:sz w:val="84"/>
          <w:szCs w:val="24"/>
          <w:highlight w:val="white"/>
        </w:rPr>
        <w:t>2020年度</w:t>
      </w:r>
    </w:p>
    <w:p>
      <w:pPr>
        <w:spacing w:beforeLines="0" w:afterLines="0"/>
        <w:jc w:val="center"/>
        <w:rPr>
          <w:rFonts w:hint="default" w:eastAsia="Times New Roman"/>
          <w:color w:val="000000"/>
          <w:kern w:val="0"/>
          <w:sz w:val="84"/>
          <w:szCs w:val="24"/>
          <w:highlight w:val="white"/>
          <w:lang w:val="en-US"/>
        </w:rPr>
      </w:pPr>
      <w:r>
        <w:rPr>
          <w:rFonts w:hint="eastAsia" w:ascii="黑体" w:hAnsi="黑体" w:eastAsia="黑体"/>
          <w:color w:val="auto"/>
          <w:sz w:val="84"/>
          <w:szCs w:val="24"/>
          <w:highlight w:val="white"/>
          <w:lang w:val="zh-CN"/>
        </w:rPr>
        <w:t>岳阳市不动产产权交易中心</w:t>
      </w:r>
      <w:r>
        <w:rPr>
          <w:rFonts w:hint="eastAsia" w:ascii="黑体" w:hAnsi="黑体" w:eastAsia="黑体"/>
          <w:color w:val="000000"/>
          <w:kern w:val="0"/>
          <w:sz w:val="84"/>
          <w:szCs w:val="24"/>
          <w:highlight w:val="white"/>
          <w:lang w:val="en-US"/>
        </w:rPr>
        <w:t>部门决算</w:t>
      </w:r>
    </w:p>
    <w:p>
      <w:pPr>
        <w:spacing w:beforeLines="0" w:afterLines="0"/>
        <w:jc w:val="center"/>
        <w:rPr>
          <w:rFonts w:hint="default" w:eastAsia="Times New Roman"/>
          <w:color w:val="000000"/>
          <w:kern w:val="0"/>
          <w:sz w:val="56"/>
          <w:szCs w:val="24"/>
          <w:highlight w:val="white"/>
          <w:lang w:val="en-US"/>
        </w:rPr>
      </w:pPr>
    </w:p>
    <w:p>
      <w:pPr>
        <w:spacing w:beforeLines="0" w:afterLines="0"/>
        <w:jc w:val="center"/>
        <w:rPr>
          <w:rFonts w:hint="default" w:eastAsia="Times New Roman"/>
          <w:color w:val="000000"/>
          <w:kern w:val="0"/>
          <w:sz w:val="56"/>
          <w:szCs w:val="24"/>
          <w:highlight w:val="white"/>
          <w:lang w:val="en-US"/>
        </w:rPr>
      </w:pPr>
    </w:p>
    <w:p>
      <w:pPr>
        <w:spacing w:beforeLines="0" w:afterLines="0"/>
        <w:jc w:val="center"/>
        <w:rPr>
          <w:rFonts w:hint="default" w:eastAsia="Times New Roman"/>
          <w:color w:val="000000"/>
          <w:kern w:val="0"/>
          <w:sz w:val="56"/>
          <w:szCs w:val="24"/>
          <w:highlight w:val="white"/>
          <w:lang w:val="en-US"/>
        </w:rPr>
      </w:pPr>
    </w:p>
    <w:p>
      <w:pPr>
        <w:spacing w:beforeLines="0" w:afterLines="0"/>
        <w:jc w:val="center"/>
        <w:rPr>
          <w:rFonts w:hint="default" w:eastAsia="Times New Roman"/>
          <w:color w:val="000000"/>
          <w:kern w:val="0"/>
          <w:sz w:val="56"/>
          <w:szCs w:val="24"/>
          <w:highlight w:val="white"/>
          <w:lang w:val="en-US"/>
        </w:rPr>
      </w:pPr>
    </w:p>
    <w:p>
      <w:pPr>
        <w:spacing w:beforeLines="0" w:afterLines="0"/>
        <w:jc w:val="center"/>
        <w:rPr>
          <w:rFonts w:hint="default" w:eastAsia="Times New Roman"/>
          <w:color w:val="000000"/>
          <w:kern w:val="0"/>
          <w:sz w:val="56"/>
          <w:szCs w:val="24"/>
          <w:highlight w:val="white"/>
          <w:lang w:val="en-US"/>
        </w:rPr>
      </w:pPr>
    </w:p>
    <w:p>
      <w:pPr>
        <w:spacing w:beforeLines="0" w:afterLines="0"/>
        <w:jc w:val="center"/>
        <w:rPr>
          <w:rFonts w:hint="default" w:eastAsia="Times New Roman"/>
          <w:color w:val="000000"/>
          <w:kern w:val="0"/>
          <w:sz w:val="56"/>
          <w:szCs w:val="24"/>
          <w:highlight w:val="white"/>
          <w:lang w:val="en-US"/>
        </w:rPr>
      </w:pPr>
    </w:p>
    <w:p>
      <w:pPr>
        <w:spacing w:beforeLines="0" w:afterLines="0"/>
        <w:jc w:val="center"/>
        <w:rPr>
          <w:rFonts w:hint="default" w:eastAsia="Times New Roman"/>
          <w:color w:val="000000"/>
          <w:kern w:val="0"/>
          <w:sz w:val="56"/>
          <w:szCs w:val="24"/>
          <w:highlight w:val="white"/>
          <w:lang w:val="en-US"/>
        </w:rPr>
      </w:pPr>
    </w:p>
    <w:p>
      <w:pPr>
        <w:spacing w:beforeLines="0" w:afterLines="0"/>
        <w:jc w:val="center"/>
        <w:rPr>
          <w:rFonts w:hint="default" w:eastAsia="Times New Roman"/>
          <w:color w:val="000000"/>
          <w:kern w:val="0"/>
          <w:sz w:val="56"/>
          <w:szCs w:val="24"/>
          <w:highlight w:val="white"/>
          <w:lang w:val="en-US"/>
        </w:rPr>
      </w:pPr>
    </w:p>
    <w:p>
      <w:pPr>
        <w:spacing w:beforeLines="0" w:afterLines="0" w:line="520" w:lineRule="exact"/>
        <w:jc w:val="center"/>
        <w:rPr>
          <w:rFonts w:hint="eastAsia" w:ascii="仿宋" w:hAnsi="仿宋" w:eastAsia="仿宋" w:cs="仿宋"/>
          <w:b/>
          <w:color w:val="000000"/>
          <w:kern w:val="0"/>
          <w:sz w:val="44"/>
          <w:szCs w:val="24"/>
          <w:highlight w:val="white"/>
          <w:lang w:val="en-US"/>
        </w:rPr>
      </w:pPr>
      <w:r>
        <w:rPr>
          <w:rFonts w:hint="eastAsia" w:ascii="仿宋" w:hAnsi="仿宋" w:eastAsia="仿宋" w:cs="仿宋"/>
          <w:b/>
          <w:color w:val="000000"/>
          <w:kern w:val="0"/>
          <w:sz w:val="44"/>
          <w:szCs w:val="24"/>
          <w:highlight w:val="white"/>
          <w:lang w:val="en-US"/>
        </w:rPr>
        <w:t>目 录</w:t>
      </w:r>
    </w:p>
    <w:p>
      <w:pPr>
        <w:spacing w:beforeLines="0" w:afterLines="0" w:line="520" w:lineRule="exact"/>
        <w:jc w:val="left"/>
        <w:rPr>
          <w:rFonts w:hint="eastAsia" w:ascii="仿宋" w:hAnsi="仿宋" w:eastAsia="仿宋" w:cs="仿宋"/>
          <w:b/>
          <w:color w:val="000000"/>
          <w:kern w:val="0"/>
          <w:sz w:val="28"/>
          <w:szCs w:val="28"/>
          <w:highlight w:val="white"/>
          <w:lang w:val="en-US"/>
        </w:rPr>
      </w:pPr>
      <w:r>
        <w:rPr>
          <w:rFonts w:hint="eastAsia" w:ascii="仿宋" w:hAnsi="仿宋" w:eastAsia="仿宋" w:cs="仿宋"/>
          <w:b/>
          <w:color w:val="000000"/>
          <w:kern w:val="0"/>
          <w:sz w:val="28"/>
          <w:szCs w:val="28"/>
          <w:highlight w:val="white"/>
          <w:lang w:val="en-US"/>
        </w:rPr>
        <w:t>第一部分</w:t>
      </w:r>
      <w:r>
        <w:rPr>
          <w:rFonts w:hint="eastAsia" w:ascii="仿宋" w:hAnsi="仿宋" w:eastAsia="仿宋" w:cs="仿宋"/>
          <w:b/>
          <w:color w:val="auto"/>
          <w:sz w:val="28"/>
          <w:szCs w:val="28"/>
          <w:highlight w:val="white"/>
          <w:lang w:val="zh-CN"/>
        </w:rPr>
        <w:t>岳阳市不动产产权交易中心</w:t>
      </w:r>
      <w:r>
        <w:rPr>
          <w:rFonts w:hint="eastAsia" w:ascii="仿宋" w:hAnsi="仿宋" w:eastAsia="仿宋" w:cs="仿宋"/>
          <w:b/>
          <w:color w:val="000000"/>
          <w:kern w:val="0"/>
          <w:sz w:val="28"/>
          <w:szCs w:val="28"/>
          <w:highlight w:val="white"/>
          <w:lang w:val="en-US"/>
        </w:rPr>
        <w:t>概况</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一、部门职责</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二、机构设置</w:t>
      </w:r>
    </w:p>
    <w:p>
      <w:pPr>
        <w:spacing w:beforeLines="0" w:afterLines="0" w:line="520" w:lineRule="exact"/>
        <w:jc w:val="left"/>
        <w:rPr>
          <w:rFonts w:hint="eastAsia" w:ascii="仿宋" w:hAnsi="仿宋" w:eastAsia="仿宋" w:cs="仿宋"/>
          <w:b/>
          <w:color w:val="000000"/>
          <w:kern w:val="0"/>
          <w:sz w:val="28"/>
          <w:szCs w:val="28"/>
          <w:highlight w:val="white"/>
          <w:lang w:val="en-US"/>
        </w:rPr>
      </w:pPr>
      <w:r>
        <w:rPr>
          <w:rFonts w:hint="eastAsia" w:ascii="仿宋" w:hAnsi="仿宋" w:eastAsia="仿宋" w:cs="仿宋"/>
          <w:b/>
          <w:color w:val="000000"/>
          <w:kern w:val="0"/>
          <w:sz w:val="28"/>
          <w:szCs w:val="28"/>
          <w:highlight w:val="white"/>
          <w:lang w:val="en-US"/>
        </w:rPr>
        <w:t>第二部分2020年度部门决算表</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一、收入支出决算总表</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二、收入决算表</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三、支出决算表</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四、财政拨款收入支出决算总表</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五、一般公共预算财政拨款支出决算表</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六、一般公共预算财政拨款基本支出决算表</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七、一般公共预算财政拨款“三公”经费支出决算表</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八、政府性基金预算财政拨款收入支出决算表</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九、国有资本经营预算财政拨款支出决算表</w:t>
      </w:r>
    </w:p>
    <w:p>
      <w:pPr>
        <w:spacing w:beforeLines="0" w:afterLines="0" w:line="520" w:lineRule="exact"/>
        <w:jc w:val="left"/>
        <w:rPr>
          <w:rFonts w:hint="eastAsia" w:ascii="仿宋" w:hAnsi="仿宋" w:eastAsia="仿宋" w:cs="仿宋"/>
          <w:b/>
          <w:color w:val="000000"/>
          <w:kern w:val="0"/>
          <w:sz w:val="28"/>
          <w:szCs w:val="28"/>
          <w:highlight w:val="white"/>
          <w:lang w:val="en-US"/>
        </w:rPr>
      </w:pPr>
      <w:r>
        <w:rPr>
          <w:rFonts w:hint="eastAsia" w:ascii="仿宋" w:hAnsi="仿宋" w:eastAsia="仿宋" w:cs="仿宋"/>
          <w:b/>
          <w:color w:val="000000"/>
          <w:kern w:val="0"/>
          <w:sz w:val="28"/>
          <w:szCs w:val="28"/>
          <w:highlight w:val="white"/>
          <w:lang w:val="en-US"/>
        </w:rPr>
        <w:t>第三部分2020年度部门决算情况说明</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一、收入支出决算总体情况说明</w:t>
      </w:r>
    </w:p>
    <w:p>
      <w:pPr>
        <w:spacing w:beforeLines="0" w:afterLines="0" w:line="520" w:lineRule="exact"/>
        <w:ind w:firstLine="700"/>
        <w:jc w:val="left"/>
        <w:rPr>
          <w:rFonts w:hint="eastAsia" w:ascii="仿宋" w:hAnsi="仿宋" w:eastAsia="仿宋" w:cs="仿宋"/>
          <w:color w:val="auto"/>
          <w:sz w:val="28"/>
          <w:szCs w:val="28"/>
          <w:highlight w:val="white"/>
          <w:lang w:val="en-US"/>
        </w:rPr>
      </w:pPr>
      <w:r>
        <w:rPr>
          <w:rFonts w:hint="eastAsia" w:ascii="仿宋" w:hAnsi="仿宋" w:eastAsia="仿宋" w:cs="仿宋"/>
          <w:color w:val="auto"/>
          <w:sz w:val="28"/>
          <w:szCs w:val="28"/>
          <w:highlight w:val="white"/>
          <w:lang w:val="en-US"/>
        </w:rPr>
        <w:t>二、收入决算情况说明</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三、支出决算情况说明</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四、财政拨款收入支出决算总体情况说明</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五、一般公共预算财政拨款支出决算情况说明</w:t>
      </w:r>
    </w:p>
    <w:p>
      <w:pPr>
        <w:spacing w:beforeLines="0" w:afterLines="0" w:line="520" w:lineRule="exact"/>
        <w:ind w:firstLine="700"/>
        <w:jc w:val="left"/>
        <w:rPr>
          <w:rFonts w:hint="eastAsia" w:ascii="仿宋" w:hAnsi="仿宋" w:eastAsia="仿宋" w:cs="仿宋"/>
          <w:color w:val="000000"/>
          <w:kern w:val="0"/>
          <w:sz w:val="28"/>
          <w:szCs w:val="28"/>
          <w:highlight w:val="white"/>
          <w:lang w:val="en-US"/>
        </w:rPr>
      </w:pPr>
      <w:r>
        <w:rPr>
          <w:rFonts w:hint="eastAsia" w:ascii="仿宋" w:hAnsi="仿宋" w:eastAsia="仿宋" w:cs="仿宋"/>
          <w:color w:val="000000"/>
          <w:kern w:val="0"/>
          <w:sz w:val="28"/>
          <w:szCs w:val="28"/>
          <w:highlight w:val="white"/>
          <w:lang w:val="en-US"/>
        </w:rPr>
        <w:t>六、一般公共预算财政拨款基本支出决算情况说明</w:t>
      </w:r>
    </w:p>
    <w:p>
      <w:pPr>
        <w:spacing w:beforeLines="0" w:afterLines="0" w:line="500" w:lineRule="exact"/>
        <w:ind w:firstLine="700"/>
        <w:jc w:val="left"/>
        <w:rPr>
          <w:rFonts w:hint="eastAsia" w:ascii="仿宋" w:hAnsi="仿宋" w:eastAsia="仿宋" w:cs="仿宋"/>
          <w:color w:val="000000"/>
          <w:kern w:val="0"/>
          <w:sz w:val="28"/>
          <w:szCs w:val="28"/>
          <w:lang w:val="en-US"/>
        </w:rPr>
      </w:pPr>
      <w:r>
        <w:rPr>
          <w:rFonts w:hint="eastAsia" w:ascii="仿宋" w:hAnsi="仿宋" w:eastAsia="仿宋" w:cs="仿宋"/>
          <w:color w:val="000000"/>
          <w:kern w:val="0"/>
          <w:sz w:val="28"/>
          <w:szCs w:val="28"/>
          <w:lang w:val="en-US"/>
        </w:rPr>
        <w:t>七、一般公共预算财政拨款三公经费支出决算情况说明</w:t>
      </w:r>
    </w:p>
    <w:p>
      <w:pPr>
        <w:spacing w:beforeLines="0" w:afterLines="0" w:line="500" w:lineRule="exact"/>
        <w:ind w:firstLine="700"/>
        <w:jc w:val="left"/>
        <w:rPr>
          <w:rFonts w:hint="eastAsia" w:ascii="仿宋" w:hAnsi="仿宋" w:eastAsia="仿宋" w:cs="仿宋"/>
          <w:color w:val="000000"/>
          <w:kern w:val="0"/>
          <w:sz w:val="28"/>
          <w:szCs w:val="28"/>
          <w:lang w:val="en-US"/>
        </w:rPr>
      </w:pPr>
      <w:r>
        <w:rPr>
          <w:rFonts w:hint="eastAsia" w:ascii="仿宋" w:hAnsi="仿宋" w:eastAsia="仿宋" w:cs="仿宋"/>
          <w:color w:val="000000"/>
          <w:kern w:val="0"/>
          <w:sz w:val="28"/>
          <w:szCs w:val="28"/>
          <w:lang w:val="en-US"/>
        </w:rPr>
        <w:t>八、政府性基金预算收入支出决算情况</w:t>
      </w:r>
    </w:p>
    <w:p>
      <w:pPr>
        <w:spacing w:beforeLines="0" w:afterLines="0" w:line="500" w:lineRule="exact"/>
        <w:ind w:firstLine="700"/>
        <w:jc w:val="left"/>
        <w:rPr>
          <w:rFonts w:hint="eastAsia" w:ascii="仿宋" w:hAnsi="仿宋" w:eastAsia="仿宋" w:cs="仿宋"/>
          <w:color w:val="000000"/>
          <w:kern w:val="0"/>
          <w:sz w:val="28"/>
          <w:szCs w:val="28"/>
          <w:lang w:val="en-US"/>
        </w:rPr>
      </w:pPr>
      <w:r>
        <w:rPr>
          <w:rFonts w:hint="eastAsia" w:ascii="仿宋" w:hAnsi="仿宋" w:eastAsia="仿宋" w:cs="仿宋"/>
          <w:color w:val="000000"/>
          <w:kern w:val="0"/>
          <w:sz w:val="28"/>
          <w:szCs w:val="28"/>
          <w:lang w:val="en-US"/>
        </w:rPr>
        <w:t>九、国有资本经营预算财政拨款支出决算情况</w:t>
      </w:r>
    </w:p>
    <w:p>
      <w:pPr>
        <w:spacing w:beforeLines="0" w:afterLines="0" w:line="500" w:lineRule="exact"/>
        <w:ind w:firstLine="700"/>
        <w:jc w:val="left"/>
        <w:rPr>
          <w:rFonts w:hint="eastAsia" w:ascii="仿宋" w:hAnsi="仿宋" w:eastAsia="仿宋" w:cs="仿宋"/>
          <w:color w:val="000000"/>
          <w:kern w:val="0"/>
          <w:sz w:val="28"/>
          <w:szCs w:val="28"/>
          <w:lang w:val="en-US"/>
        </w:rPr>
      </w:pPr>
      <w:r>
        <w:rPr>
          <w:rFonts w:hint="eastAsia" w:ascii="仿宋" w:hAnsi="仿宋" w:eastAsia="仿宋" w:cs="仿宋"/>
          <w:color w:val="000000"/>
          <w:kern w:val="0"/>
          <w:sz w:val="28"/>
          <w:szCs w:val="28"/>
          <w:lang w:val="en-US"/>
        </w:rPr>
        <w:t>十、关于机关运行经费支出说明</w:t>
      </w:r>
    </w:p>
    <w:p>
      <w:pPr>
        <w:spacing w:beforeLines="0" w:afterLines="0" w:line="500" w:lineRule="exact"/>
        <w:ind w:firstLine="700"/>
        <w:jc w:val="left"/>
        <w:rPr>
          <w:rFonts w:hint="eastAsia" w:ascii="仿宋" w:hAnsi="仿宋" w:eastAsia="仿宋" w:cs="仿宋"/>
          <w:color w:val="000000"/>
          <w:kern w:val="0"/>
          <w:sz w:val="28"/>
          <w:szCs w:val="28"/>
          <w:lang w:val="en-US"/>
        </w:rPr>
      </w:pPr>
      <w:r>
        <w:rPr>
          <w:rFonts w:hint="eastAsia" w:ascii="仿宋" w:hAnsi="仿宋" w:eastAsia="仿宋" w:cs="仿宋"/>
          <w:color w:val="000000"/>
          <w:kern w:val="0"/>
          <w:sz w:val="28"/>
          <w:szCs w:val="28"/>
          <w:lang w:val="en-US"/>
        </w:rPr>
        <w:t>十一、一般性支出情况</w:t>
      </w:r>
    </w:p>
    <w:p>
      <w:pPr>
        <w:spacing w:beforeLines="0" w:afterLines="0" w:line="500" w:lineRule="exact"/>
        <w:ind w:firstLine="700"/>
        <w:jc w:val="left"/>
        <w:rPr>
          <w:rFonts w:hint="eastAsia" w:ascii="仿宋" w:hAnsi="仿宋" w:eastAsia="仿宋" w:cs="仿宋"/>
          <w:color w:val="000000"/>
          <w:kern w:val="0"/>
          <w:sz w:val="28"/>
          <w:szCs w:val="28"/>
          <w:lang w:val="en-US"/>
        </w:rPr>
      </w:pPr>
      <w:r>
        <w:rPr>
          <w:rFonts w:hint="eastAsia" w:ascii="仿宋" w:hAnsi="仿宋" w:eastAsia="仿宋" w:cs="仿宋"/>
          <w:color w:val="000000"/>
          <w:kern w:val="0"/>
          <w:sz w:val="28"/>
          <w:szCs w:val="28"/>
          <w:lang w:val="en-US"/>
        </w:rPr>
        <w:t>十二、关于政府采购支出说明</w:t>
      </w:r>
    </w:p>
    <w:p>
      <w:pPr>
        <w:spacing w:beforeLines="0" w:afterLines="0" w:line="500" w:lineRule="exact"/>
        <w:ind w:firstLine="700"/>
        <w:jc w:val="left"/>
        <w:rPr>
          <w:rFonts w:hint="eastAsia" w:ascii="仿宋" w:hAnsi="仿宋" w:eastAsia="仿宋" w:cs="仿宋"/>
          <w:color w:val="000000"/>
          <w:kern w:val="0"/>
          <w:sz w:val="28"/>
          <w:szCs w:val="28"/>
          <w:lang w:val="en-US"/>
        </w:rPr>
      </w:pPr>
      <w:r>
        <w:rPr>
          <w:rFonts w:hint="eastAsia" w:ascii="仿宋" w:hAnsi="仿宋" w:eastAsia="仿宋" w:cs="仿宋"/>
          <w:color w:val="000000"/>
          <w:kern w:val="0"/>
          <w:sz w:val="28"/>
          <w:szCs w:val="28"/>
          <w:lang w:val="en-US"/>
        </w:rPr>
        <w:t>十三、关于国有资产占用情况说明</w:t>
      </w:r>
    </w:p>
    <w:p>
      <w:pPr>
        <w:spacing w:beforeLines="0" w:afterLines="0" w:line="500" w:lineRule="exact"/>
        <w:ind w:firstLine="700"/>
        <w:jc w:val="left"/>
        <w:rPr>
          <w:rFonts w:hint="eastAsia" w:ascii="仿宋" w:hAnsi="仿宋" w:eastAsia="仿宋" w:cs="仿宋"/>
          <w:color w:val="000000"/>
          <w:kern w:val="0"/>
          <w:sz w:val="28"/>
          <w:szCs w:val="28"/>
          <w:lang w:val="en-US"/>
        </w:rPr>
      </w:pPr>
      <w:r>
        <w:rPr>
          <w:rFonts w:hint="eastAsia" w:ascii="仿宋" w:hAnsi="仿宋" w:eastAsia="仿宋" w:cs="仿宋"/>
          <w:color w:val="000000"/>
          <w:kern w:val="0"/>
          <w:sz w:val="28"/>
          <w:szCs w:val="28"/>
          <w:lang w:val="en-US"/>
        </w:rPr>
        <w:t>十四、关于2020年度预算绩效情况的说明</w:t>
      </w:r>
    </w:p>
    <w:p>
      <w:pPr>
        <w:spacing w:beforeLines="0" w:afterLines="0" w:line="520" w:lineRule="exact"/>
        <w:jc w:val="left"/>
        <w:rPr>
          <w:rFonts w:hint="eastAsia" w:ascii="仿宋" w:hAnsi="仿宋" w:eastAsia="仿宋" w:cs="仿宋"/>
          <w:b/>
          <w:color w:val="000000"/>
          <w:kern w:val="0"/>
          <w:sz w:val="28"/>
          <w:szCs w:val="28"/>
          <w:highlight w:val="white"/>
          <w:lang w:val="en-US"/>
        </w:rPr>
      </w:pPr>
      <w:r>
        <w:rPr>
          <w:rFonts w:hint="eastAsia" w:ascii="仿宋" w:hAnsi="仿宋" w:eastAsia="仿宋" w:cs="仿宋"/>
          <w:b/>
          <w:color w:val="000000"/>
          <w:kern w:val="0"/>
          <w:sz w:val="28"/>
          <w:szCs w:val="28"/>
          <w:highlight w:val="white"/>
          <w:lang w:val="en-US"/>
        </w:rPr>
        <w:t>第四部分名词解释</w:t>
      </w:r>
    </w:p>
    <w:p>
      <w:pPr>
        <w:spacing w:beforeLines="0" w:afterLines="0" w:line="520" w:lineRule="exact"/>
        <w:jc w:val="left"/>
        <w:rPr>
          <w:rFonts w:hint="eastAsia" w:ascii="仿宋" w:hAnsi="仿宋" w:eastAsia="仿宋" w:cs="仿宋"/>
          <w:color w:val="auto"/>
          <w:sz w:val="28"/>
          <w:szCs w:val="28"/>
          <w:highlight w:val="white"/>
          <w:lang w:val="zh-CN"/>
        </w:rPr>
      </w:pPr>
      <w:r>
        <w:rPr>
          <w:rFonts w:hint="eastAsia" w:ascii="仿宋" w:hAnsi="仿宋" w:eastAsia="仿宋" w:cs="仿宋"/>
          <w:b/>
          <w:color w:val="000000"/>
          <w:kern w:val="0"/>
          <w:sz w:val="28"/>
          <w:szCs w:val="28"/>
          <w:highlight w:val="white"/>
          <w:lang w:val="en-US"/>
        </w:rPr>
        <w:t>第五部分附件</w:t>
      </w:r>
    </w:p>
    <w:p>
      <w:pPr>
        <w:keepNext/>
        <w:keepLines/>
        <w:spacing w:beforeLines="0" w:afterLines="0"/>
        <w:jc w:val="center"/>
        <w:rPr>
          <w:rFonts w:hint="eastAsia" w:ascii="仿宋" w:hAnsi="仿宋" w:eastAsia="仿宋" w:cs="仿宋"/>
          <w:color w:val="auto"/>
          <w:sz w:val="28"/>
          <w:szCs w:val="28"/>
          <w:highlight w:val="white"/>
          <w:lang w:val="en-US"/>
        </w:rPr>
      </w:pPr>
    </w:p>
    <w:p>
      <w:pPr>
        <w:keepNext/>
        <w:keepLines/>
        <w:spacing w:beforeLines="0" w:afterLines="0"/>
        <w:ind w:firstLine="640"/>
        <w:rPr>
          <w:rFonts w:hint="eastAsia" w:ascii="仿宋" w:hAnsi="仿宋" w:eastAsia="仿宋" w:cs="仿宋"/>
          <w:color w:val="auto"/>
          <w:sz w:val="28"/>
          <w:szCs w:val="28"/>
          <w:highlight w:val="white"/>
          <w:lang w:val="en-US"/>
        </w:rPr>
      </w:pPr>
    </w:p>
    <w:p>
      <w:pPr>
        <w:keepNext/>
        <w:keepLines/>
        <w:spacing w:beforeLines="0" w:afterLines="0"/>
        <w:ind w:firstLine="640"/>
        <w:rPr>
          <w:rFonts w:hint="eastAsia" w:ascii="仿宋" w:hAnsi="仿宋" w:eastAsia="仿宋" w:cs="仿宋"/>
          <w:color w:val="auto"/>
          <w:sz w:val="28"/>
          <w:szCs w:val="28"/>
          <w:highlight w:val="white"/>
          <w:lang w:val="en-US"/>
        </w:rPr>
      </w:pPr>
      <w:r>
        <w:rPr>
          <w:rFonts w:hint="eastAsia" w:ascii="仿宋" w:hAnsi="仿宋" w:eastAsia="仿宋" w:cs="仿宋"/>
          <w:color w:val="auto"/>
          <w:sz w:val="28"/>
          <w:szCs w:val="28"/>
          <w:highlight w:val="white"/>
          <w:lang w:val="en-US"/>
        </w:rPr>
        <w:t>第一部分</w:t>
      </w:r>
    </w:p>
    <w:p>
      <w:pPr>
        <w:keepNext/>
        <w:keepLines/>
        <w:spacing w:beforeLines="0" w:afterLines="0"/>
        <w:ind w:firstLine="640"/>
        <w:rPr>
          <w:rFonts w:hint="eastAsia" w:ascii="仿宋" w:hAnsi="仿宋" w:eastAsia="仿宋" w:cs="仿宋"/>
          <w:color w:val="auto"/>
          <w:sz w:val="28"/>
          <w:szCs w:val="28"/>
          <w:highlight w:val="white"/>
          <w:lang w:val="en-US"/>
        </w:rPr>
      </w:pPr>
      <w:r>
        <w:rPr>
          <w:rFonts w:hint="eastAsia" w:ascii="仿宋" w:hAnsi="仿宋" w:eastAsia="仿宋" w:cs="仿宋"/>
          <w:color w:val="auto"/>
          <w:sz w:val="28"/>
          <w:szCs w:val="28"/>
          <w:highlight w:val="white"/>
          <w:lang w:val="zh-CN"/>
        </w:rPr>
        <w:t>岳阳市不动产产权交易中心</w:t>
      </w:r>
      <w:r>
        <w:rPr>
          <w:rFonts w:hint="eastAsia" w:ascii="仿宋" w:hAnsi="仿宋" w:eastAsia="仿宋" w:cs="仿宋"/>
          <w:color w:val="auto"/>
          <w:sz w:val="28"/>
          <w:szCs w:val="28"/>
          <w:highlight w:val="white"/>
          <w:lang w:val="en-US"/>
        </w:rPr>
        <w:t>概况</w:t>
      </w:r>
    </w:p>
    <w:p>
      <w:pPr>
        <w:keepNext/>
        <w:keepLines/>
        <w:spacing w:beforeLines="0" w:afterLines="0"/>
        <w:ind w:firstLine="640"/>
        <w:rPr>
          <w:rFonts w:hint="eastAsia" w:ascii="仿宋" w:hAnsi="仿宋" w:eastAsia="仿宋" w:cs="仿宋"/>
          <w:color w:val="auto"/>
          <w:sz w:val="28"/>
          <w:szCs w:val="28"/>
          <w:highlight w:val="white"/>
          <w:lang w:val="en-US"/>
        </w:rPr>
      </w:pPr>
      <w:r>
        <w:rPr>
          <w:rFonts w:hint="eastAsia" w:ascii="仿宋" w:hAnsi="仿宋" w:eastAsia="仿宋" w:cs="仿宋"/>
          <w:color w:val="auto"/>
          <w:sz w:val="28"/>
          <w:szCs w:val="28"/>
          <w:highlight w:val="white"/>
          <w:lang w:val="en-US"/>
        </w:rPr>
        <w:t>一、</w:t>
      </w:r>
      <w:r>
        <w:rPr>
          <w:rFonts w:hint="eastAsia" w:ascii="仿宋" w:hAnsi="仿宋" w:eastAsia="仿宋" w:cs="仿宋"/>
          <w:color w:val="auto"/>
          <w:sz w:val="28"/>
          <w:szCs w:val="28"/>
          <w:highlight w:val="white"/>
          <w:lang w:val="zh-CN"/>
        </w:rPr>
        <w:t>部门职责</w:t>
      </w:r>
    </w:p>
    <w:p>
      <w:pPr>
        <w:keepNext/>
        <w:keepLines/>
        <w:shd w:val="clear" w:color="auto" w:fill="FFFFFF"/>
        <w:spacing w:beforeLines="0" w:afterLines="0"/>
        <w:ind w:firstLine="640"/>
        <w:jc w:val="left"/>
        <w:rPr>
          <w:rFonts w:hint="eastAsia" w:ascii="仿宋" w:hAnsi="仿宋" w:eastAsia="仿宋" w:cs="仿宋"/>
          <w:color w:val="auto"/>
          <w:kern w:val="0"/>
          <w:sz w:val="28"/>
          <w:szCs w:val="28"/>
          <w:lang w:val="en-US"/>
        </w:rPr>
      </w:pPr>
      <w:r>
        <w:rPr>
          <w:rFonts w:hint="eastAsia" w:ascii="仿宋" w:hAnsi="仿宋" w:eastAsia="仿宋" w:cs="仿宋"/>
          <w:color w:val="auto"/>
          <w:kern w:val="0"/>
          <w:sz w:val="28"/>
          <w:szCs w:val="28"/>
          <w:lang w:val="en-US"/>
        </w:rPr>
        <w:t>建设房地产交易网签备案系统，负责商品房和存量房买卖合同示范文本推广和备案，办理网签备案系统入网认证；负责商品房项目现售备案，负责楼盘表管理，商品房买卖合同、存量房买卖合同、房地产租赁合同、房地产抵押合同的网签备案及其变更、撤销工作；负责加强房地产中介管理，做好中介机构备案，加强存量房交易资金监管；负责落实房地产成交价格申报制度，定期组织测算各类房屋的重置价格。</w:t>
      </w:r>
    </w:p>
    <w:p>
      <w:pPr>
        <w:keepNext/>
        <w:keepLines/>
        <w:spacing w:beforeLines="0" w:afterLines="0"/>
        <w:ind w:firstLine="640"/>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二、机构设置</w:t>
      </w:r>
      <w:r>
        <w:rPr>
          <w:rFonts w:hint="eastAsia" w:ascii="仿宋" w:hAnsi="仿宋" w:eastAsia="仿宋" w:cs="仿宋"/>
          <w:color w:val="auto"/>
          <w:sz w:val="28"/>
          <w:szCs w:val="28"/>
          <w:lang w:val="zh-CN"/>
        </w:rPr>
        <w:t>及</w:t>
      </w:r>
      <w:r>
        <w:rPr>
          <w:rFonts w:hint="eastAsia" w:ascii="仿宋" w:hAnsi="仿宋" w:eastAsia="仿宋" w:cs="仿宋"/>
          <w:color w:val="auto"/>
          <w:sz w:val="28"/>
          <w:szCs w:val="28"/>
          <w:lang w:val="en-US"/>
        </w:rPr>
        <w:t>决算单位构成</w:t>
      </w:r>
    </w:p>
    <w:p>
      <w:pPr>
        <w:keepNext/>
        <w:keepLines/>
        <w:spacing w:beforeLines="0" w:afterLines="0"/>
        <w:ind w:firstLine="640"/>
        <w:rPr>
          <w:rFonts w:hint="eastAsia" w:ascii="仿宋" w:hAnsi="仿宋" w:eastAsia="仿宋" w:cs="仿宋"/>
          <w:color w:val="auto"/>
          <w:sz w:val="28"/>
          <w:szCs w:val="28"/>
          <w:lang w:val="zh-CN"/>
        </w:rPr>
      </w:pPr>
      <w:r>
        <w:rPr>
          <w:rFonts w:hint="eastAsia" w:ascii="仿宋" w:hAnsi="仿宋" w:eastAsia="仿宋" w:cs="仿宋"/>
          <w:color w:val="auto"/>
          <w:sz w:val="28"/>
          <w:szCs w:val="28"/>
          <w:lang w:val="en-US"/>
        </w:rPr>
        <w:t>(一)内设机构设置</w:t>
      </w:r>
      <w:r>
        <w:rPr>
          <w:rFonts w:hint="eastAsia" w:ascii="仿宋" w:hAnsi="仿宋" w:eastAsia="仿宋" w:cs="仿宋"/>
          <w:color w:val="auto"/>
          <w:sz w:val="28"/>
          <w:szCs w:val="28"/>
          <w:lang w:val="zh-CN"/>
        </w:rPr>
        <w:t>。</w:t>
      </w:r>
    </w:p>
    <w:p>
      <w:pPr>
        <w:keepNext/>
        <w:keepLines/>
        <w:spacing w:beforeLines="0" w:afterLines="0"/>
        <w:ind w:firstLine="64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我中心隶属于不动产登记中心的正科级二级机构。全称：岳阳市不动产产权交易中心，设全额拨款事业编制16名，设主任1名，副主任4名，现有在编在岗人员14名，劳务派遣人员1名，退休人员16名。内设科室有：办公室、财务科、法规科、新建商品房市场科、存量房市场科。</w:t>
      </w:r>
    </w:p>
    <w:p>
      <w:pPr>
        <w:keepNext/>
        <w:keepLines/>
        <w:spacing w:beforeLines="0" w:afterLines="0"/>
        <w:ind w:firstLine="640"/>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（二）决算单位构成。</w:t>
      </w:r>
    </w:p>
    <w:p>
      <w:pPr>
        <w:keepNext/>
        <w:keepLines/>
        <w:spacing w:beforeLines="0" w:afterLines="0"/>
        <w:ind w:firstLine="640"/>
        <w:rPr>
          <w:rFonts w:hint="eastAsia" w:ascii="仿宋" w:hAnsi="仿宋" w:eastAsia="仿宋" w:cs="仿宋"/>
          <w:color w:val="auto"/>
          <w:sz w:val="28"/>
          <w:szCs w:val="28"/>
          <w:lang w:val="zh-CN" w:eastAsia="zh-CN"/>
        </w:rPr>
      </w:pPr>
      <w:r>
        <w:rPr>
          <w:rFonts w:hint="eastAsia" w:ascii="仿宋" w:hAnsi="仿宋" w:eastAsia="仿宋" w:cs="仿宋"/>
          <w:color w:val="auto"/>
          <w:sz w:val="28"/>
          <w:szCs w:val="28"/>
          <w:lang w:val="zh-CN"/>
        </w:rPr>
        <w:t>岳阳市不动产产权交易中心单位2020年部门决算公开单位</w:t>
      </w:r>
      <w:r>
        <w:rPr>
          <w:rFonts w:hint="eastAsia" w:ascii="仿宋" w:hAnsi="仿宋" w:eastAsia="仿宋" w:cs="仿宋"/>
          <w:color w:val="auto"/>
          <w:sz w:val="28"/>
          <w:szCs w:val="28"/>
          <w:lang w:val="zh-CN" w:eastAsia="zh-CN"/>
        </w:rPr>
        <w:t>不包含下属单位或机构</w:t>
      </w:r>
      <w:r>
        <w:rPr>
          <w:rFonts w:hint="eastAsia" w:ascii="仿宋" w:hAnsi="仿宋" w:eastAsia="仿宋" w:cs="仿宋"/>
          <w:color w:val="auto"/>
          <w:sz w:val="28"/>
          <w:szCs w:val="28"/>
          <w:lang w:val="en-US"/>
        </w:rPr>
        <w:t>。</w:t>
      </w:r>
    </w:p>
    <w:p>
      <w:pPr>
        <w:keepNext/>
        <w:keepLines/>
        <w:spacing w:beforeLines="0" w:afterLines="0"/>
        <w:ind w:firstLine="640"/>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 xml:space="preserve">第二部分 </w:t>
      </w:r>
      <w:r>
        <w:rPr>
          <w:rFonts w:hint="eastAsia" w:ascii="仿宋" w:hAnsi="仿宋" w:eastAsia="仿宋" w:cs="仿宋"/>
          <w:color w:val="auto"/>
          <w:sz w:val="28"/>
          <w:szCs w:val="28"/>
          <w:lang w:val="zh-CN"/>
        </w:rPr>
        <w:t>岳阳市不动产产权交易中心</w:t>
      </w:r>
      <w:r>
        <w:rPr>
          <w:rFonts w:hint="eastAsia" w:ascii="仿宋" w:hAnsi="仿宋" w:eastAsia="仿宋" w:cs="仿宋"/>
          <w:color w:val="auto"/>
          <w:sz w:val="28"/>
          <w:szCs w:val="28"/>
          <w:lang w:val="en-US"/>
        </w:rPr>
        <w:t>2020年度部门决算表（见附表）</w:t>
      </w:r>
    </w:p>
    <w:p>
      <w:pPr>
        <w:keepNext/>
        <w:keepLines/>
        <w:spacing w:beforeLines="0" w:afterLines="0"/>
        <w:ind w:firstLine="640"/>
        <w:rPr>
          <w:rFonts w:hint="eastAsia" w:ascii="仿宋" w:hAnsi="仿宋" w:eastAsia="仿宋" w:cs="仿宋"/>
          <w:color w:val="auto"/>
          <w:sz w:val="28"/>
          <w:szCs w:val="28"/>
          <w:lang w:val="en-US"/>
        </w:rPr>
      </w:pPr>
    </w:p>
    <w:p>
      <w:pPr>
        <w:keepNext/>
        <w:keepLines/>
        <w:spacing w:beforeLines="0" w:afterLines="0"/>
        <w:ind w:firstLine="640"/>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 xml:space="preserve">第三部分 </w:t>
      </w:r>
      <w:r>
        <w:rPr>
          <w:rFonts w:hint="eastAsia" w:ascii="仿宋" w:hAnsi="仿宋" w:eastAsia="仿宋" w:cs="仿宋"/>
          <w:color w:val="auto"/>
          <w:sz w:val="28"/>
          <w:szCs w:val="28"/>
          <w:lang w:val="zh-CN"/>
        </w:rPr>
        <w:t>岳阳市不动产产权交易中心</w:t>
      </w:r>
      <w:r>
        <w:rPr>
          <w:rFonts w:hint="eastAsia" w:ascii="仿宋" w:hAnsi="仿宋" w:eastAsia="仿宋" w:cs="仿宋"/>
          <w:color w:val="auto"/>
          <w:sz w:val="28"/>
          <w:szCs w:val="28"/>
          <w:lang w:val="en-US"/>
        </w:rPr>
        <w:t>2020年度部门决算情况说明</w:t>
      </w:r>
    </w:p>
    <w:p>
      <w:pPr>
        <w:keepNext/>
        <w:keepLines/>
        <w:spacing w:beforeLines="0" w:afterLines="0"/>
        <w:ind w:firstLine="641"/>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一、收入支出决算总体情况说明</w:t>
      </w:r>
    </w:p>
    <w:p>
      <w:pPr>
        <w:keepNext/>
        <w:keepLines/>
        <w:spacing w:beforeLines="0" w:afterLines="0"/>
        <w:ind w:firstLine="641"/>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2020年度收、支总计307.97万元，与2019年相比，收、支总计各减少124万元，减少28.69%</w:t>
      </w:r>
      <w:r>
        <w:rPr>
          <w:rFonts w:hint="eastAsia" w:ascii="仿宋" w:hAnsi="仿宋" w:eastAsia="仿宋" w:cs="仿宋"/>
          <w:color w:val="auto"/>
          <w:sz w:val="28"/>
          <w:szCs w:val="28"/>
          <w:lang w:val="zh-CN" w:eastAsia="zh-CN"/>
        </w:rPr>
        <w:t>。主要原因是</w:t>
      </w:r>
      <w:r>
        <w:rPr>
          <w:rFonts w:hint="eastAsia" w:ascii="仿宋" w:hAnsi="仿宋" w:eastAsia="仿宋" w:cs="仿宋"/>
          <w:color w:val="auto"/>
          <w:sz w:val="28"/>
          <w:szCs w:val="28"/>
          <w:lang w:val="en-US" w:eastAsia="zh-CN"/>
        </w:rPr>
        <w:t>:财政拨款收入和上级补助经费拨款减少。</w:t>
      </w:r>
    </w:p>
    <w:p>
      <w:pPr>
        <w:keepNext/>
        <w:keepLines/>
        <w:spacing w:beforeLines="0" w:afterLines="0"/>
        <w:ind w:firstLine="641"/>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二、收入决算情况说明</w:t>
      </w:r>
    </w:p>
    <w:p>
      <w:pPr>
        <w:keepNext/>
        <w:keepLines/>
        <w:spacing w:beforeLines="0" w:afterLines="0"/>
        <w:ind w:firstLine="641"/>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本年收入合计243.58万元，其中：一般公共预算财政拨款收入132.94万元，占54.58%；其他收入110.65万元，占45.43%。</w:t>
      </w:r>
    </w:p>
    <w:p>
      <w:pPr>
        <w:keepNext/>
        <w:keepLines/>
        <w:spacing w:beforeLines="0" w:afterLines="0"/>
        <w:ind w:firstLine="641"/>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三、支出决算情况说明</w:t>
      </w:r>
    </w:p>
    <w:p>
      <w:pPr>
        <w:keepNext/>
        <w:keepLines/>
        <w:spacing w:beforeLines="0" w:afterLines="0"/>
        <w:ind w:firstLine="640"/>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本年支出合计306.88万元，其中：基本支出</w:t>
      </w:r>
      <w:r>
        <w:rPr>
          <w:rFonts w:hint="eastAsia" w:ascii="仿宋" w:hAnsi="仿宋" w:eastAsia="仿宋" w:cs="仿宋"/>
          <w:color w:val="auto"/>
          <w:sz w:val="28"/>
          <w:szCs w:val="28"/>
          <w:lang w:val="zh-CN"/>
        </w:rPr>
        <w:t>306.88万元，</w:t>
      </w:r>
      <w:r>
        <w:rPr>
          <w:rFonts w:hint="eastAsia" w:ascii="仿宋" w:hAnsi="仿宋" w:eastAsia="仿宋" w:cs="仿宋"/>
          <w:color w:val="auto"/>
          <w:sz w:val="28"/>
          <w:szCs w:val="28"/>
          <w:lang w:val="en-US"/>
        </w:rPr>
        <w:t>占100%；</w:t>
      </w:r>
    </w:p>
    <w:p>
      <w:pPr>
        <w:keepNext/>
        <w:keepLines/>
        <w:spacing w:beforeLines="0" w:afterLines="0"/>
        <w:ind w:firstLine="640"/>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 xml:space="preserve">四、财政拨款收入支出决算总体情况说明 </w:t>
      </w:r>
    </w:p>
    <w:p>
      <w:pPr>
        <w:keepNext/>
        <w:keepLines/>
        <w:spacing w:beforeLines="0" w:afterLines="0"/>
        <w:ind w:firstLine="64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rPr>
        <w:t>2020年度财政拨款收、支总计133.98万元，</w:t>
      </w:r>
      <w:r>
        <w:rPr>
          <w:rFonts w:hint="eastAsia" w:ascii="仿宋" w:hAnsi="仿宋" w:eastAsia="仿宋" w:cs="仿宋"/>
          <w:color w:val="auto"/>
          <w:sz w:val="28"/>
          <w:szCs w:val="28"/>
          <w:lang w:val="zh-CN"/>
        </w:rPr>
        <w:t>与2019年相比，</w:t>
      </w:r>
      <w:r>
        <w:rPr>
          <w:rFonts w:hint="eastAsia" w:ascii="仿宋" w:hAnsi="仿宋" w:eastAsia="仿宋" w:cs="仿宋"/>
          <w:color w:val="auto"/>
          <w:sz w:val="28"/>
          <w:szCs w:val="28"/>
          <w:lang w:val="en-US"/>
        </w:rPr>
        <w:t>财政拨款收、支总计各减少17万元，减少11.5%。</w:t>
      </w:r>
      <w:r>
        <w:rPr>
          <w:rFonts w:hint="eastAsia" w:ascii="仿宋" w:hAnsi="仿宋" w:eastAsia="仿宋" w:cs="仿宋"/>
          <w:color w:val="auto"/>
          <w:sz w:val="28"/>
          <w:szCs w:val="28"/>
          <w:lang w:val="zh-CN"/>
        </w:rPr>
        <w:t>主要原因是</w:t>
      </w:r>
      <w:r>
        <w:rPr>
          <w:rFonts w:hint="eastAsia" w:ascii="仿宋" w:hAnsi="仿宋" w:eastAsia="仿宋" w:cs="仿宋"/>
          <w:color w:val="auto"/>
          <w:sz w:val="28"/>
          <w:szCs w:val="28"/>
          <w:lang w:val="en-US" w:eastAsia="zh-CN"/>
        </w:rPr>
        <w:t>财政拨款收入减少。</w:t>
      </w:r>
    </w:p>
    <w:p>
      <w:pPr>
        <w:keepNext/>
        <w:keepLines/>
        <w:spacing w:beforeLines="0" w:afterLines="0"/>
        <w:ind w:firstLine="640"/>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五、一般公共预算财政拨款支出决算情况说明</w:t>
      </w:r>
    </w:p>
    <w:p>
      <w:pPr>
        <w:keepNext/>
        <w:keepLines/>
        <w:spacing w:beforeLines="0" w:afterLines="0"/>
        <w:ind w:firstLine="641"/>
        <w:rPr>
          <w:rFonts w:hint="eastAsia" w:ascii="仿宋" w:hAnsi="仿宋" w:eastAsia="仿宋" w:cs="仿宋"/>
          <w:b/>
          <w:color w:val="auto"/>
          <w:sz w:val="28"/>
          <w:szCs w:val="28"/>
          <w:lang w:val="en-US"/>
        </w:rPr>
      </w:pPr>
      <w:r>
        <w:rPr>
          <w:rFonts w:hint="eastAsia" w:ascii="仿宋" w:hAnsi="仿宋" w:eastAsia="仿宋" w:cs="仿宋"/>
          <w:b/>
          <w:color w:val="auto"/>
          <w:sz w:val="28"/>
          <w:szCs w:val="28"/>
          <w:lang w:val="en-US"/>
        </w:rPr>
        <w:t>（一）</w:t>
      </w:r>
      <w:r>
        <w:rPr>
          <w:rFonts w:hint="eastAsia" w:ascii="仿宋" w:hAnsi="仿宋" w:eastAsia="仿宋" w:cs="仿宋"/>
          <w:b/>
          <w:color w:val="auto"/>
          <w:sz w:val="28"/>
          <w:szCs w:val="28"/>
          <w:lang w:val="zh-CN"/>
        </w:rPr>
        <w:t>财政</w:t>
      </w:r>
      <w:r>
        <w:rPr>
          <w:rFonts w:hint="eastAsia" w:ascii="仿宋" w:hAnsi="仿宋" w:eastAsia="仿宋" w:cs="仿宋"/>
          <w:b/>
          <w:color w:val="auto"/>
          <w:sz w:val="28"/>
          <w:szCs w:val="28"/>
          <w:lang w:val="en-US"/>
        </w:rPr>
        <w:t>拨款支出决算总体情况</w:t>
      </w:r>
    </w:p>
    <w:p>
      <w:pPr>
        <w:keepNext/>
        <w:keepLines/>
        <w:spacing w:beforeLines="0" w:afterLines="0"/>
        <w:ind w:firstLine="640"/>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rPr>
        <w:t>2020年度财政拨款支出132.89万元，占本年支出合计的43.3%。与2019年度相比，财政拨款支出减少17万元，减少11.61%,主要原因是</w:t>
      </w:r>
      <w:r>
        <w:rPr>
          <w:rFonts w:hint="eastAsia" w:ascii="仿宋" w:hAnsi="仿宋" w:eastAsia="仿宋" w:cs="仿宋"/>
          <w:color w:val="auto"/>
          <w:sz w:val="28"/>
          <w:szCs w:val="28"/>
          <w:lang w:val="en-US" w:eastAsia="zh-CN"/>
        </w:rPr>
        <w:t>财政拨款收入减少</w:t>
      </w:r>
      <w:r>
        <w:rPr>
          <w:rFonts w:hint="eastAsia" w:ascii="仿宋" w:hAnsi="仿宋" w:eastAsia="仿宋" w:cs="仿宋"/>
          <w:color w:val="auto"/>
          <w:sz w:val="28"/>
          <w:szCs w:val="28"/>
          <w:lang w:val="en-US"/>
        </w:rPr>
        <w:t>。</w:t>
      </w:r>
    </w:p>
    <w:p>
      <w:pPr>
        <w:keepNext/>
        <w:keepLines/>
        <w:spacing w:beforeLines="0" w:afterLines="0"/>
        <w:ind w:firstLine="641"/>
        <w:rPr>
          <w:rFonts w:hint="eastAsia" w:ascii="仿宋" w:hAnsi="仿宋" w:eastAsia="仿宋" w:cs="仿宋"/>
          <w:b/>
          <w:color w:val="auto"/>
          <w:sz w:val="28"/>
          <w:szCs w:val="28"/>
          <w:lang w:val="en-US"/>
        </w:rPr>
      </w:pPr>
      <w:r>
        <w:rPr>
          <w:rFonts w:hint="eastAsia" w:ascii="仿宋" w:hAnsi="仿宋" w:eastAsia="仿宋" w:cs="仿宋"/>
          <w:b/>
          <w:color w:val="auto"/>
          <w:sz w:val="28"/>
          <w:szCs w:val="28"/>
          <w:lang w:val="en-US"/>
        </w:rPr>
        <w:t>（二）财政拨款支出决算结构情况</w:t>
      </w:r>
    </w:p>
    <w:p>
      <w:pPr>
        <w:keepNext/>
        <w:keepLines/>
        <w:spacing w:beforeLines="0" w:afterLines="0"/>
        <w:ind w:firstLine="641"/>
        <w:rPr>
          <w:rFonts w:hint="eastAsia" w:ascii="仿宋" w:hAnsi="仿宋" w:eastAsia="仿宋" w:cs="仿宋"/>
          <w:color w:val="auto"/>
          <w:sz w:val="28"/>
          <w:szCs w:val="28"/>
          <w:lang w:val="en-US"/>
        </w:rPr>
      </w:pPr>
      <w:r>
        <w:rPr>
          <w:rFonts w:hint="eastAsia" w:ascii="仿宋" w:hAnsi="仿宋" w:eastAsia="仿宋" w:cs="仿宋"/>
          <w:color w:val="auto"/>
          <w:kern w:val="0"/>
          <w:sz w:val="28"/>
          <w:szCs w:val="28"/>
          <w:lang w:val="en-US"/>
        </w:rPr>
        <w:t>2020年度财政拨款支出132.89万元，主要用于以下方面：社会保障和就业（类）支出15.08万元，占11.35%；卫生健康（类）支出6.88万元，占5.18%；城乡社区（类）支出2.08万元，占1.57%；然资源海洋气象等（类）支出108.84万元，占81.9%；</w:t>
      </w:r>
    </w:p>
    <w:p>
      <w:pPr>
        <w:keepNext/>
        <w:keepLines/>
        <w:spacing w:beforeLines="0" w:afterLines="0"/>
        <w:ind w:firstLine="641"/>
        <w:rPr>
          <w:rFonts w:hint="eastAsia" w:ascii="仿宋" w:hAnsi="仿宋" w:eastAsia="仿宋" w:cs="仿宋"/>
          <w:b/>
          <w:color w:val="auto"/>
          <w:sz w:val="28"/>
          <w:szCs w:val="28"/>
          <w:lang w:val="en-US"/>
        </w:rPr>
      </w:pPr>
      <w:r>
        <w:rPr>
          <w:rFonts w:hint="eastAsia" w:ascii="仿宋" w:hAnsi="仿宋" w:eastAsia="仿宋" w:cs="仿宋"/>
          <w:b/>
          <w:color w:val="auto"/>
          <w:sz w:val="28"/>
          <w:szCs w:val="28"/>
          <w:lang w:val="en-US"/>
        </w:rPr>
        <w:t>（三）财政拨款支出决算具体情况</w:t>
      </w:r>
    </w:p>
    <w:p>
      <w:pPr>
        <w:keepNext/>
        <w:keepLines/>
        <w:suppressLineNumbers/>
        <w:spacing w:beforeLines="0" w:afterLines="0"/>
        <w:ind w:firstLine="400"/>
        <w:jc w:val="lef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2020年度财政拨款支出年初预算为</w:t>
      </w:r>
      <w:r>
        <w:rPr>
          <w:rFonts w:hint="eastAsia" w:ascii="仿宋" w:hAnsi="仿宋" w:eastAsia="仿宋" w:cs="仿宋"/>
          <w:color w:val="auto"/>
          <w:sz w:val="28"/>
          <w:szCs w:val="28"/>
          <w:lang w:val="en-US" w:eastAsia="zh-CN"/>
        </w:rPr>
        <w:t>142.35</w:t>
      </w:r>
      <w:r>
        <w:rPr>
          <w:rFonts w:hint="eastAsia" w:ascii="仿宋" w:hAnsi="仿宋" w:eastAsia="仿宋" w:cs="仿宋"/>
          <w:color w:val="auto"/>
          <w:sz w:val="28"/>
          <w:szCs w:val="28"/>
          <w:lang w:val="zh-CN"/>
        </w:rPr>
        <w:t>万元，支出决算为132.89万元，完成年初预算的</w:t>
      </w:r>
      <w:r>
        <w:rPr>
          <w:rFonts w:hint="eastAsia" w:ascii="仿宋" w:hAnsi="仿宋" w:eastAsia="仿宋" w:cs="仿宋"/>
          <w:color w:val="auto"/>
          <w:sz w:val="28"/>
          <w:szCs w:val="28"/>
          <w:lang w:val="en-US" w:eastAsia="zh-CN"/>
        </w:rPr>
        <w:t>93.35</w:t>
      </w:r>
      <w:r>
        <w:rPr>
          <w:rFonts w:hint="eastAsia" w:ascii="仿宋" w:hAnsi="仿宋" w:eastAsia="仿宋" w:cs="仿宋"/>
          <w:color w:val="auto"/>
          <w:sz w:val="28"/>
          <w:szCs w:val="28"/>
          <w:lang w:val="zh-CN"/>
        </w:rPr>
        <w:t xml:space="preserve">%。其中：  </w:t>
      </w:r>
    </w:p>
    <w:p>
      <w:pPr>
        <w:keepNext/>
        <w:keepLines/>
        <w:suppressLineNumbers/>
        <w:spacing w:beforeLines="0" w:afterLines="0"/>
        <w:ind w:firstLine="400"/>
        <w:jc w:val="left"/>
        <w:rPr>
          <w:rFonts w:hint="eastAsia" w:ascii="仿宋" w:hAnsi="仿宋" w:eastAsia="仿宋" w:cs="仿宋"/>
          <w:color w:val="auto"/>
          <w:sz w:val="28"/>
          <w:szCs w:val="28"/>
          <w:lang w:val="zh-CN"/>
        </w:rPr>
      </w:pPr>
      <w:r>
        <w:rPr>
          <w:rFonts w:hint="eastAsia" w:ascii="仿宋" w:hAnsi="仿宋" w:eastAsia="仿宋" w:cs="仿宋"/>
          <w:color w:val="auto"/>
          <w:kern w:val="0"/>
          <w:sz w:val="28"/>
          <w:szCs w:val="28"/>
          <w:lang w:val="en-US"/>
        </w:rPr>
        <w:t>社会保障和就业支出（类）行政事业单位养老支出（款）机关事业单位基本养老保险缴费支出（项）。年初预算为</w:t>
      </w:r>
      <w:r>
        <w:rPr>
          <w:rFonts w:hint="eastAsia" w:ascii="仿宋" w:hAnsi="仿宋" w:eastAsia="仿宋" w:cs="仿宋"/>
          <w:color w:val="auto"/>
          <w:kern w:val="0"/>
          <w:sz w:val="28"/>
          <w:szCs w:val="28"/>
          <w:lang w:val="en-US" w:eastAsia="zh-CN"/>
        </w:rPr>
        <w:t>14.86</w:t>
      </w:r>
      <w:r>
        <w:rPr>
          <w:rFonts w:hint="eastAsia" w:ascii="仿宋" w:hAnsi="仿宋" w:eastAsia="仿宋" w:cs="仿宋"/>
          <w:color w:val="auto"/>
          <w:kern w:val="0"/>
          <w:sz w:val="28"/>
          <w:szCs w:val="28"/>
          <w:lang w:val="en-US"/>
        </w:rPr>
        <w:t>万元，支出决算为14.83万元</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lang w:val="en-US"/>
        </w:rPr>
        <w:t>决算数</w:t>
      </w:r>
      <w:r>
        <w:rPr>
          <w:rFonts w:hint="eastAsia" w:ascii="仿宋" w:hAnsi="仿宋" w:eastAsia="仿宋" w:cs="仿宋"/>
          <w:color w:val="auto"/>
          <w:kern w:val="0"/>
          <w:sz w:val="28"/>
          <w:szCs w:val="28"/>
          <w:lang w:val="en-US" w:eastAsia="zh-CN"/>
        </w:rPr>
        <w:t>小</w:t>
      </w:r>
      <w:r>
        <w:rPr>
          <w:rFonts w:hint="eastAsia" w:ascii="仿宋" w:hAnsi="仿宋" w:eastAsia="仿宋" w:cs="仿宋"/>
          <w:color w:val="auto"/>
          <w:kern w:val="0"/>
          <w:sz w:val="28"/>
          <w:szCs w:val="28"/>
          <w:lang w:val="en-US"/>
        </w:rPr>
        <w:t>于预算数的主要原因是</w:t>
      </w:r>
      <w:r>
        <w:rPr>
          <w:rFonts w:hint="eastAsia" w:ascii="仿宋" w:hAnsi="仿宋" w:eastAsia="仿宋" w:cs="仿宋"/>
          <w:color w:val="auto"/>
          <w:kern w:val="0"/>
          <w:sz w:val="28"/>
          <w:szCs w:val="28"/>
          <w:lang w:val="en-US" w:eastAsia="zh-CN"/>
        </w:rPr>
        <w:t>：预算指标结余0.03万元。</w:t>
      </w:r>
      <w:r>
        <w:rPr>
          <w:rFonts w:hint="eastAsia" w:ascii="仿宋" w:hAnsi="仿宋" w:eastAsia="仿宋" w:cs="仿宋"/>
          <w:color w:val="auto"/>
          <w:kern w:val="0"/>
          <w:sz w:val="28"/>
          <w:szCs w:val="28"/>
          <w:lang w:val="en-US"/>
        </w:rPr>
        <w:t xml:space="preserve">    </w:t>
      </w:r>
    </w:p>
    <w:p>
      <w:pPr>
        <w:keepNext/>
        <w:keepLines/>
        <w:suppressLineNumbers/>
        <w:ind w:firstLine="400"/>
        <w:jc w:val="left"/>
        <w:rPr>
          <w:rFonts w:hint="eastAsia" w:ascii="仿宋" w:hAnsi="仿宋" w:eastAsia="仿宋" w:cs="仿宋"/>
          <w:color w:val="auto"/>
          <w:sz w:val="28"/>
          <w:szCs w:val="28"/>
          <w:lang w:val="zh-CN"/>
        </w:rPr>
      </w:pPr>
      <w:r>
        <w:rPr>
          <w:rFonts w:hint="eastAsia" w:ascii="仿宋" w:hAnsi="仿宋" w:eastAsia="仿宋" w:cs="仿宋"/>
          <w:color w:val="auto"/>
          <w:kern w:val="0"/>
          <w:sz w:val="28"/>
          <w:szCs w:val="28"/>
          <w:lang w:val="en-US"/>
        </w:rPr>
        <w:t>社会保障和就业支出（类）抚恤（款）其他优抚支出（项）。年初预算为</w:t>
      </w:r>
      <w:r>
        <w:rPr>
          <w:rFonts w:hint="eastAsia" w:ascii="仿宋" w:hAnsi="仿宋" w:eastAsia="仿宋" w:cs="仿宋"/>
          <w:color w:val="auto"/>
          <w:kern w:val="0"/>
          <w:sz w:val="28"/>
          <w:szCs w:val="28"/>
          <w:lang w:val="en-US" w:eastAsia="zh-CN"/>
        </w:rPr>
        <w:t>0.26</w:t>
      </w:r>
      <w:r>
        <w:rPr>
          <w:rFonts w:hint="eastAsia" w:ascii="仿宋" w:hAnsi="仿宋" w:eastAsia="仿宋" w:cs="仿宋"/>
          <w:color w:val="auto"/>
          <w:kern w:val="0"/>
          <w:sz w:val="28"/>
          <w:szCs w:val="28"/>
          <w:lang w:val="en-US"/>
        </w:rPr>
        <w:t>万元，支出决算为0.26万元</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lang w:val="en-US"/>
        </w:rPr>
        <w:t>决算数</w:t>
      </w:r>
      <w:r>
        <w:rPr>
          <w:rFonts w:hint="eastAsia" w:ascii="仿宋" w:hAnsi="仿宋" w:eastAsia="仿宋" w:cs="仿宋"/>
          <w:color w:val="auto"/>
          <w:kern w:val="0"/>
          <w:sz w:val="28"/>
          <w:szCs w:val="28"/>
          <w:lang w:val="en-US" w:eastAsia="zh-CN"/>
        </w:rPr>
        <w:t>等于</w:t>
      </w:r>
      <w:r>
        <w:rPr>
          <w:rFonts w:hint="eastAsia" w:ascii="仿宋" w:hAnsi="仿宋" w:eastAsia="仿宋" w:cs="仿宋"/>
          <w:color w:val="auto"/>
          <w:kern w:val="0"/>
          <w:sz w:val="28"/>
          <w:szCs w:val="28"/>
          <w:lang w:val="en-US"/>
        </w:rPr>
        <w:t>预算数</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lang w:val="en-US"/>
        </w:rPr>
        <w:t xml:space="preserve"> </w:t>
      </w:r>
    </w:p>
    <w:p>
      <w:pPr>
        <w:keepNext/>
        <w:keepLines/>
        <w:suppressLineNumbers/>
        <w:spacing w:beforeLines="0" w:afterLines="0"/>
        <w:ind w:firstLine="400"/>
        <w:jc w:val="left"/>
        <w:rPr>
          <w:rFonts w:hint="eastAsia" w:ascii="仿宋" w:hAnsi="仿宋" w:eastAsia="仿宋" w:cs="仿宋"/>
          <w:color w:val="auto"/>
          <w:sz w:val="28"/>
          <w:szCs w:val="28"/>
          <w:lang w:val="zh-CN"/>
        </w:rPr>
      </w:pPr>
      <w:r>
        <w:rPr>
          <w:rFonts w:hint="eastAsia" w:ascii="仿宋" w:hAnsi="仿宋" w:eastAsia="仿宋" w:cs="仿宋"/>
          <w:color w:val="auto"/>
          <w:kern w:val="0"/>
          <w:sz w:val="28"/>
          <w:szCs w:val="28"/>
          <w:lang w:val="en-US"/>
        </w:rPr>
        <w:t xml:space="preserve">    </w:t>
      </w:r>
    </w:p>
    <w:p>
      <w:pPr>
        <w:keepNext/>
        <w:keepLines/>
        <w:suppressLineNumbers/>
        <w:ind w:firstLine="400"/>
        <w:jc w:val="left"/>
        <w:rPr>
          <w:rFonts w:hint="eastAsia" w:ascii="仿宋" w:hAnsi="仿宋" w:eastAsia="仿宋" w:cs="仿宋"/>
          <w:color w:val="auto"/>
          <w:sz w:val="28"/>
          <w:szCs w:val="28"/>
          <w:lang w:val="zh-CN"/>
        </w:rPr>
      </w:pPr>
      <w:r>
        <w:rPr>
          <w:rFonts w:hint="eastAsia" w:ascii="仿宋" w:hAnsi="仿宋" w:eastAsia="仿宋" w:cs="仿宋"/>
          <w:color w:val="auto"/>
          <w:kern w:val="0"/>
          <w:sz w:val="28"/>
          <w:szCs w:val="28"/>
          <w:lang w:val="en-US"/>
        </w:rPr>
        <w:t>卫生健康支出（类）行政事业单位医疗（款）事业单位医疗（项）。年初预算为</w:t>
      </w:r>
      <w:r>
        <w:rPr>
          <w:rFonts w:hint="eastAsia" w:ascii="仿宋" w:hAnsi="仿宋" w:eastAsia="仿宋" w:cs="仿宋"/>
          <w:color w:val="auto"/>
          <w:kern w:val="0"/>
          <w:sz w:val="28"/>
          <w:szCs w:val="28"/>
          <w:lang w:val="en-US" w:eastAsia="zh-CN"/>
        </w:rPr>
        <w:t>6.88</w:t>
      </w:r>
      <w:r>
        <w:rPr>
          <w:rFonts w:hint="eastAsia" w:ascii="仿宋" w:hAnsi="仿宋" w:eastAsia="仿宋" w:cs="仿宋"/>
          <w:color w:val="auto"/>
          <w:kern w:val="0"/>
          <w:sz w:val="28"/>
          <w:szCs w:val="28"/>
          <w:lang w:val="en-US"/>
        </w:rPr>
        <w:t>万元，支出决算为6.88万元</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lang w:val="en-US"/>
        </w:rPr>
        <w:t>决算数</w:t>
      </w:r>
      <w:r>
        <w:rPr>
          <w:rFonts w:hint="eastAsia" w:ascii="仿宋" w:hAnsi="仿宋" w:eastAsia="仿宋" w:cs="仿宋"/>
          <w:color w:val="auto"/>
          <w:kern w:val="0"/>
          <w:sz w:val="28"/>
          <w:szCs w:val="28"/>
          <w:lang w:val="en-US" w:eastAsia="zh-CN"/>
        </w:rPr>
        <w:t>等于</w:t>
      </w:r>
      <w:r>
        <w:rPr>
          <w:rFonts w:hint="eastAsia" w:ascii="仿宋" w:hAnsi="仿宋" w:eastAsia="仿宋" w:cs="仿宋"/>
          <w:color w:val="auto"/>
          <w:kern w:val="0"/>
          <w:sz w:val="28"/>
          <w:szCs w:val="28"/>
          <w:lang w:val="en-US"/>
        </w:rPr>
        <w:t>预算数</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lang w:val="en-US"/>
        </w:rPr>
        <w:t xml:space="preserve"> </w:t>
      </w:r>
    </w:p>
    <w:p>
      <w:pPr>
        <w:keepNext/>
        <w:keepLines/>
        <w:suppressLineNumbers/>
        <w:spacing w:beforeLines="0" w:afterLines="0"/>
        <w:ind w:firstLine="400"/>
        <w:jc w:val="left"/>
        <w:rPr>
          <w:rFonts w:hint="eastAsia" w:ascii="仿宋" w:hAnsi="仿宋" w:eastAsia="仿宋" w:cs="仿宋"/>
          <w:color w:val="auto"/>
          <w:sz w:val="28"/>
          <w:szCs w:val="28"/>
          <w:lang w:val="zh-CN"/>
        </w:rPr>
      </w:pPr>
      <w:r>
        <w:rPr>
          <w:rFonts w:hint="eastAsia" w:ascii="仿宋" w:hAnsi="仿宋" w:eastAsia="仿宋" w:cs="仿宋"/>
          <w:color w:val="auto"/>
          <w:kern w:val="0"/>
          <w:sz w:val="28"/>
          <w:szCs w:val="28"/>
          <w:lang w:val="en-US"/>
        </w:rPr>
        <w:t xml:space="preserve">    </w:t>
      </w:r>
    </w:p>
    <w:p>
      <w:pPr>
        <w:keepNext/>
        <w:keepLines/>
        <w:suppressLineNumbers/>
        <w:ind w:firstLine="400"/>
        <w:jc w:val="left"/>
        <w:rPr>
          <w:rFonts w:hint="eastAsia" w:ascii="仿宋" w:hAnsi="仿宋" w:eastAsia="仿宋" w:cs="仿宋"/>
          <w:color w:val="auto"/>
          <w:sz w:val="28"/>
          <w:szCs w:val="28"/>
          <w:lang w:val="zh-CN"/>
        </w:rPr>
      </w:pPr>
      <w:r>
        <w:rPr>
          <w:rFonts w:hint="eastAsia" w:ascii="仿宋" w:hAnsi="仿宋" w:eastAsia="仿宋" w:cs="仿宋"/>
          <w:color w:val="auto"/>
          <w:kern w:val="0"/>
          <w:sz w:val="28"/>
          <w:szCs w:val="28"/>
          <w:lang w:val="en-US"/>
        </w:rPr>
        <w:t>城乡社区支出（类）其他城乡社区支出（款）其他城乡社区支出（项）。年初预算为</w:t>
      </w:r>
      <w:r>
        <w:rPr>
          <w:rFonts w:hint="eastAsia" w:ascii="仿宋" w:hAnsi="仿宋" w:eastAsia="仿宋" w:cs="仿宋"/>
          <w:color w:val="auto"/>
          <w:kern w:val="0"/>
          <w:sz w:val="28"/>
          <w:szCs w:val="28"/>
          <w:lang w:val="en-US" w:eastAsia="zh-CN"/>
        </w:rPr>
        <w:t>2.08</w:t>
      </w:r>
      <w:r>
        <w:rPr>
          <w:rFonts w:hint="eastAsia" w:ascii="仿宋" w:hAnsi="仿宋" w:eastAsia="仿宋" w:cs="仿宋"/>
          <w:color w:val="auto"/>
          <w:kern w:val="0"/>
          <w:sz w:val="28"/>
          <w:szCs w:val="28"/>
          <w:lang w:val="en-US"/>
        </w:rPr>
        <w:t>万元，支出决算为2.08万元</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lang w:val="en-US"/>
        </w:rPr>
        <w:t>决算数</w:t>
      </w:r>
      <w:r>
        <w:rPr>
          <w:rFonts w:hint="eastAsia" w:ascii="仿宋" w:hAnsi="仿宋" w:eastAsia="仿宋" w:cs="仿宋"/>
          <w:color w:val="auto"/>
          <w:kern w:val="0"/>
          <w:sz w:val="28"/>
          <w:szCs w:val="28"/>
          <w:lang w:val="en-US" w:eastAsia="zh-CN"/>
        </w:rPr>
        <w:t>等于</w:t>
      </w:r>
      <w:r>
        <w:rPr>
          <w:rFonts w:hint="eastAsia" w:ascii="仿宋" w:hAnsi="仿宋" w:eastAsia="仿宋" w:cs="仿宋"/>
          <w:color w:val="auto"/>
          <w:kern w:val="0"/>
          <w:sz w:val="28"/>
          <w:szCs w:val="28"/>
          <w:lang w:val="en-US"/>
        </w:rPr>
        <w:t>预算数</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lang w:val="en-US"/>
        </w:rPr>
        <w:t xml:space="preserve"> </w:t>
      </w:r>
    </w:p>
    <w:p>
      <w:pPr>
        <w:keepNext/>
        <w:keepLines/>
        <w:suppressLineNumbers/>
        <w:spacing w:beforeLines="0" w:afterLines="0"/>
        <w:ind w:firstLine="400"/>
        <w:jc w:val="left"/>
        <w:rPr>
          <w:rFonts w:hint="eastAsia" w:ascii="仿宋" w:hAnsi="仿宋" w:eastAsia="仿宋" w:cs="仿宋"/>
          <w:color w:val="auto"/>
          <w:sz w:val="28"/>
          <w:szCs w:val="28"/>
          <w:lang w:val="zh-CN"/>
        </w:rPr>
      </w:pPr>
      <w:r>
        <w:rPr>
          <w:rFonts w:hint="eastAsia" w:ascii="仿宋" w:hAnsi="仿宋" w:eastAsia="仿宋" w:cs="仿宋"/>
          <w:color w:val="auto"/>
          <w:kern w:val="0"/>
          <w:sz w:val="28"/>
          <w:szCs w:val="28"/>
          <w:lang w:val="en-US"/>
        </w:rPr>
        <w:t xml:space="preserve">  </w:t>
      </w:r>
    </w:p>
    <w:p>
      <w:pPr>
        <w:keepNext/>
        <w:keepLines/>
        <w:suppressLineNumbers/>
        <w:spacing w:beforeLines="0" w:afterLines="0"/>
        <w:ind w:firstLine="400"/>
        <w:jc w:val="left"/>
        <w:rPr>
          <w:rFonts w:hint="eastAsia" w:ascii="仿宋" w:hAnsi="仿宋" w:eastAsia="仿宋" w:cs="仿宋"/>
          <w:color w:val="auto"/>
          <w:sz w:val="28"/>
          <w:szCs w:val="28"/>
          <w:lang w:val="zh-CN"/>
        </w:rPr>
      </w:pPr>
      <w:r>
        <w:rPr>
          <w:rFonts w:hint="eastAsia" w:ascii="仿宋" w:hAnsi="仿宋" w:eastAsia="仿宋" w:cs="仿宋"/>
          <w:color w:val="auto"/>
          <w:kern w:val="0"/>
          <w:sz w:val="28"/>
          <w:szCs w:val="28"/>
          <w:lang w:val="en-US"/>
        </w:rPr>
        <w:t>自然资源海洋气象等支出（类）自然资源事务（款）行政运行（项）。年初预算为</w:t>
      </w:r>
      <w:r>
        <w:rPr>
          <w:rFonts w:hint="eastAsia" w:ascii="仿宋" w:hAnsi="仿宋" w:eastAsia="仿宋" w:cs="仿宋"/>
          <w:color w:val="auto"/>
          <w:kern w:val="0"/>
          <w:sz w:val="28"/>
          <w:szCs w:val="28"/>
          <w:lang w:val="en-US" w:eastAsia="zh-CN"/>
        </w:rPr>
        <w:t>118.27</w:t>
      </w:r>
      <w:r>
        <w:rPr>
          <w:rFonts w:hint="eastAsia" w:ascii="仿宋" w:hAnsi="仿宋" w:eastAsia="仿宋" w:cs="仿宋"/>
          <w:color w:val="auto"/>
          <w:kern w:val="0"/>
          <w:sz w:val="28"/>
          <w:szCs w:val="28"/>
          <w:lang w:val="en-US"/>
        </w:rPr>
        <w:t>万元，支出决算为108.84万元， 决算数</w:t>
      </w:r>
      <w:r>
        <w:rPr>
          <w:rFonts w:hint="eastAsia" w:ascii="仿宋" w:hAnsi="仿宋" w:eastAsia="仿宋" w:cs="仿宋"/>
          <w:color w:val="auto"/>
          <w:kern w:val="0"/>
          <w:sz w:val="28"/>
          <w:szCs w:val="28"/>
          <w:lang w:val="en-US" w:eastAsia="zh-CN"/>
        </w:rPr>
        <w:t>小</w:t>
      </w:r>
      <w:r>
        <w:rPr>
          <w:rFonts w:hint="eastAsia" w:ascii="仿宋" w:hAnsi="仿宋" w:eastAsia="仿宋" w:cs="仿宋"/>
          <w:color w:val="auto"/>
          <w:kern w:val="0"/>
          <w:sz w:val="28"/>
          <w:szCs w:val="28"/>
          <w:lang w:val="en-US"/>
        </w:rPr>
        <w:t>于预算数的主要原因是</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sz w:val="28"/>
          <w:szCs w:val="28"/>
          <w:lang w:val="zh-CN"/>
        </w:rPr>
        <w:t>2020年度财政拨款支出年初预算为</w:t>
      </w:r>
      <w:r>
        <w:rPr>
          <w:rFonts w:hint="eastAsia" w:ascii="仿宋" w:hAnsi="仿宋" w:eastAsia="仿宋" w:cs="仿宋"/>
          <w:color w:val="auto"/>
          <w:sz w:val="28"/>
          <w:szCs w:val="28"/>
          <w:lang w:val="en-US" w:eastAsia="zh-CN"/>
        </w:rPr>
        <w:t>142.35</w:t>
      </w:r>
      <w:r>
        <w:rPr>
          <w:rFonts w:hint="eastAsia" w:ascii="仿宋" w:hAnsi="仿宋" w:eastAsia="仿宋" w:cs="仿宋"/>
          <w:color w:val="auto"/>
          <w:sz w:val="28"/>
          <w:szCs w:val="28"/>
          <w:lang w:val="zh-CN"/>
        </w:rPr>
        <w:t>万元，</w:t>
      </w:r>
      <w:r>
        <w:rPr>
          <w:rFonts w:hint="eastAsia" w:ascii="仿宋" w:hAnsi="仿宋" w:eastAsia="仿宋" w:cs="仿宋"/>
          <w:color w:val="auto"/>
          <w:kern w:val="0"/>
          <w:sz w:val="28"/>
          <w:szCs w:val="28"/>
          <w:lang w:val="en-US" w:eastAsia="zh-CN"/>
        </w:rPr>
        <w:t>实际</w:t>
      </w:r>
      <w:r>
        <w:rPr>
          <w:rFonts w:hint="eastAsia" w:ascii="仿宋" w:hAnsi="仿宋" w:eastAsia="仿宋" w:cs="仿宋"/>
          <w:color w:val="auto"/>
          <w:sz w:val="28"/>
          <w:szCs w:val="28"/>
          <w:lang w:val="en-US"/>
        </w:rPr>
        <w:t>预算财政拨款收入132.94万元，</w:t>
      </w:r>
      <w:r>
        <w:rPr>
          <w:rFonts w:hint="eastAsia" w:ascii="仿宋" w:hAnsi="仿宋" w:eastAsia="仿宋" w:cs="仿宋"/>
          <w:color w:val="auto"/>
          <w:sz w:val="28"/>
          <w:szCs w:val="28"/>
          <w:lang w:val="zh-CN"/>
        </w:rPr>
        <w:t>支出决算为132.89万元，结余</w:t>
      </w:r>
      <w:r>
        <w:rPr>
          <w:rFonts w:hint="eastAsia" w:ascii="仿宋" w:hAnsi="仿宋" w:eastAsia="仿宋" w:cs="仿宋"/>
          <w:color w:val="auto"/>
          <w:sz w:val="28"/>
          <w:szCs w:val="28"/>
          <w:lang w:val="en-US" w:eastAsia="zh-CN"/>
        </w:rPr>
        <w:t>0.05万元。</w:t>
      </w:r>
      <w:r>
        <w:rPr>
          <w:rFonts w:hint="eastAsia" w:ascii="仿宋" w:hAnsi="仿宋" w:eastAsia="仿宋" w:cs="仿宋"/>
          <w:color w:val="auto"/>
          <w:kern w:val="0"/>
          <w:sz w:val="28"/>
          <w:szCs w:val="28"/>
          <w:lang w:val="en-US"/>
        </w:rPr>
        <w:t xml:space="preserve">    </w:t>
      </w:r>
    </w:p>
    <w:p>
      <w:pPr>
        <w:keepNext/>
        <w:keepLines/>
        <w:spacing w:beforeLines="0" w:afterLines="0"/>
        <w:ind w:firstLine="641"/>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en-US"/>
        </w:rPr>
        <w:t xml:space="preserve">    </w:t>
      </w:r>
    </w:p>
    <w:p>
      <w:pPr>
        <w:keepNext/>
        <w:keepLines/>
        <w:spacing w:beforeLines="0" w:afterLines="0"/>
        <w:ind w:firstLine="640"/>
        <w:rPr>
          <w:rFonts w:hint="eastAsia" w:ascii="仿宋" w:hAnsi="仿宋" w:eastAsia="仿宋" w:cs="仿宋"/>
          <w:color w:val="auto"/>
          <w:kern w:val="0"/>
          <w:sz w:val="28"/>
          <w:szCs w:val="28"/>
          <w:highlight w:val="white"/>
          <w:lang w:val="en-US"/>
        </w:rPr>
      </w:pPr>
      <w:r>
        <w:rPr>
          <w:rFonts w:hint="eastAsia" w:ascii="仿宋" w:hAnsi="仿宋" w:eastAsia="仿宋" w:cs="仿宋"/>
          <w:color w:val="auto"/>
          <w:kern w:val="0"/>
          <w:sz w:val="28"/>
          <w:szCs w:val="28"/>
          <w:highlight w:val="white"/>
          <w:lang w:val="en-US"/>
        </w:rPr>
        <w:t>六、一般公共预算财政拨款基本支出决算情况说明</w:t>
      </w:r>
    </w:p>
    <w:p>
      <w:pPr>
        <w:spacing w:beforeLines="0" w:afterLines="0"/>
        <w:ind w:firstLine="640"/>
        <w:jc w:val="left"/>
        <w:rPr>
          <w:rFonts w:hint="eastAsia" w:ascii="仿宋" w:hAnsi="仿宋" w:eastAsia="仿宋" w:cs="仿宋"/>
          <w:color w:val="auto"/>
          <w:sz w:val="28"/>
          <w:szCs w:val="28"/>
          <w:highlight w:val="white"/>
          <w:lang w:val="zh-CN"/>
        </w:rPr>
      </w:pPr>
      <w:r>
        <w:rPr>
          <w:rFonts w:hint="eastAsia" w:ascii="仿宋" w:hAnsi="仿宋" w:eastAsia="仿宋" w:cs="仿宋"/>
          <w:color w:val="auto"/>
          <w:sz w:val="28"/>
          <w:szCs w:val="28"/>
          <w:highlight w:val="white"/>
          <w:lang w:val="zh-CN"/>
        </w:rPr>
        <w:t>2020年度</w:t>
      </w:r>
      <w:r>
        <w:rPr>
          <w:rFonts w:hint="eastAsia" w:ascii="仿宋" w:hAnsi="仿宋" w:eastAsia="仿宋" w:cs="仿宋"/>
          <w:color w:val="auto"/>
          <w:kern w:val="0"/>
          <w:sz w:val="28"/>
          <w:szCs w:val="28"/>
          <w:highlight w:val="white"/>
          <w:lang w:val="en-US"/>
        </w:rPr>
        <w:t>财政拨款基本支出132.89万元，其中:人员经费119.77万元，</w:t>
      </w:r>
      <w:r>
        <w:rPr>
          <w:rFonts w:hint="eastAsia" w:ascii="仿宋" w:hAnsi="仿宋" w:eastAsia="仿宋" w:cs="仿宋"/>
          <w:color w:val="000000"/>
          <w:kern w:val="0"/>
          <w:sz w:val="28"/>
          <w:szCs w:val="28"/>
          <w:highlight w:val="white"/>
          <w:lang w:val="en-US"/>
        </w:rPr>
        <w:t>占基本支出的90.13%，</w:t>
      </w:r>
      <w:r>
        <w:rPr>
          <w:rFonts w:hint="eastAsia" w:ascii="仿宋" w:hAnsi="仿宋" w:eastAsia="仿宋" w:cs="仿宋"/>
          <w:color w:val="auto"/>
          <w:kern w:val="0"/>
          <w:sz w:val="28"/>
          <w:szCs w:val="28"/>
          <w:highlight w:val="white"/>
          <w:lang w:val="en-US"/>
        </w:rPr>
        <w:t>主要包括基本工资、津贴补贴、</w:t>
      </w:r>
      <w:r>
        <w:rPr>
          <w:rFonts w:hint="eastAsia" w:ascii="仿宋" w:hAnsi="仿宋" w:eastAsia="仿宋" w:cs="仿宋"/>
          <w:color w:val="auto"/>
          <w:kern w:val="0"/>
          <w:sz w:val="28"/>
          <w:szCs w:val="28"/>
          <w:highlight w:val="white"/>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 w:hAnsi="仿宋" w:eastAsia="仿宋" w:cs="仿宋"/>
          <w:color w:val="auto"/>
          <w:kern w:val="0"/>
          <w:sz w:val="28"/>
          <w:szCs w:val="28"/>
          <w:highlight w:val="white"/>
          <w:lang w:val="en-US"/>
        </w:rPr>
        <w:t>公用经费13.12万元，</w:t>
      </w:r>
      <w:r>
        <w:rPr>
          <w:rFonts w:hint="eastAsia" w:ascii="仿宋" w:hAnsi="仿宋" w:eastAsia="仿宋" w:cs="仿宋"/>
          <w:color w:val="000000"/>
          <w:kern w:val="0"/>
          <w:sz w:val="28"/>
          <w:szCs w:val="28"/>
          <w:highlight w:val="white"/>
          <w:lang w:val="en-US"/>
        </w:rPr>
        <w:t>占基本支出的9.87%，</w:t>
      </w:r>
      <w:r>
        <w:rPr>
          <w:rFonts w:hint="eastAsia" w:ascii="仿宋" w:hAnsi="仿宋" w:eastAsia="仿宋" w:cs="仿宋"/>
          <w:color w:val="auto"/>
          <w:kern w:val="0"/>
          <w:sz w:val="28"/>
          <w:szCs w:val="28"/>
          <w:highlight w:val="white"/>
          <w:lang w:val="en-US"/>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r>
        <w:rPr>
          <w:rFonts w:hint="eastAsia" w:ascii="仿宋" w:hAnsi="仿宋" w:eastAsia="仿宋" w:cs="仿宋"/>
          <w:color w:val="auto"/>
          <w:sz w:val="28"/>
          <w:szCs w:val="28"/>
          <w:highlight w:val="white"/>
          <w:lang w:val="zh-CN"/>
        </w:rPr>
        <w:t>七、一般公共预算财政拨款“三公”经费支出决算情况说明</w:t>
      </w:r>
    </w:p>
    <w:p>
      <w:pPr>
        <w:numPr>
          <w:ilvl w:val="0"/>
          <w:numId w:val="1"/>
        </w:numPr>
        <w:spacing w:beforeLines="0" w:afterLines="0"/>
        <w:ind w:firstLine="640"/>
        <w:jc w:val="left"/>
        <w:rPr>
          <w:rFonts w:hint="eastAsia" w:ascii="仿宋" w:hAnsi="仿宋" w:eastAsia="仿宋" w:cs="仿宋"/>
          <w:b/>
          <w:color w:val="auto"/>
          <w:sz w:val="28"/>
          <w:szCs w:val="28"/>
          <w:highlight w:val="white"/>
          <w:lang w:val="zh-CN"/>
        </w:rPr>
      </w:pPr>
      <w:r>
        <w:rPr>
          <w:rFonts w:hint="eastAsia" w:ascii="仿宋" w:hAnsi="仿宋" w:eastAsia="仿宋" w:cs="仿宋"/>
          <w:b/>
          <w:color w:val="auto"/>
          <w:sz w:val="28"/>
          <w:szCs w:val="28"/>
          <w:highlight w:val="white"/>
          <w:lang w:val="zh-CN"/>
        </w:rPr>
        <w:t>“三公”经费财政拨款支出决算总体情况说明。</w:t>
      </w:r>
      <w:r>
        <w:rPr>
          <w:rFonts w:hint="eastAsia" w:ascii="仿宋" w:hAnsi="仿宋" w:eastAsia="仿宋" w:cs="仿宋"/>
          <w:b/>
          <w:color w:val="auto"/>
          <w:sz w:val="28"/>
          <w:szCs w:val="28"/>
          <w:highlight w:val="white"/>
          <w:lang w:val="en-US" w:eastAsia="zh-CN"/>
        </w:rPr>
        <w:t xml:space="preserve"> </w:t>
      </w:r>
    </w:p>
    <w:p>
      <w:pPr>
        <w:numPr>
          <w:ilvl w:val="0"/>
          <w:numId w:val="0"/>
        </w:numPr>
        <w:spacing w:beforeLines="0" w:afterLines="0"/>
        <w:jc w:val="left"/>
        <w:rPr>
          <w:rFonts w:hint="eastAsia" w:ascii="仿宋" w:hAnsi="仿宋" w:eastAsia="仿宋" w:cs="仿宋"/>
          <w:b/>
          <w:color w:val="auto"/>
          <w:sz w:val="28"/>
          <w:szCs w:val="28"/>
          <w:highlight w:val="white"/>
          <w:lang w:val="zh-CN"/>
        </w:rPr>
      </w:pPr>
      <w:r>
        <w:rPr>
          <w:rFonts w:hint="eastAsia" w:ascii="仿宋" w:hAnsi="仿宋" w:eastAsia="仿宋" w:cs="仿宋"/>
          <w:b/>
          <w:color w:val="auto"/>
          <w:sz w:val="28"/>
          <w:szCs w:val="28"/>
          <w:highlight w:val="white"/>
          <w:lang w:val="en-US" w:eastAsia="zh-CN"/>
        </w:rPr>
        <w:t xml:space="preserve">   </w:t>
      </w:r>
      <w:r>
        <w:rPr>
          <w:rFonts w:hint="eastAsia" w:ascii="仿宋" w:hAnsi="仿宋" w:eastAsia="仿宋" w:cs="仿宋"/>
          <w:color w:val="auto"/>
          <w:sz w:val="28"/>
          <w:szCs w:val="28"/>
          <w:highlight w:val="white"/>
          <w:lang w:val="zh-CN"/>
        </w:rPr>
        <w:t>2020年“三公”经费财政拨款支出预算为0万元，支出决算为0万元，与上年度持平。</w:t>
      </w:r>
    </w:p>
    <w:p>
      <w:pPr>
        <w:numPr>
          <w:ilvl w:val="0"/>
          <w:numId w:val="0"/>
        </w:numPr>
        <w:spacing w:beforeLines="0" w:afterLines="0"/>
        <w:ind w:firstLine="560" w:firstLineChars="200"/>
        <w:jc w:val="left"/>
        <w:rPr>
          <w:rFonts w:hint="eastAsia" w:ascii="仿宋" w:hAnsi="仿宋" w:eastAsia="仿宋" w:cs="仿宋"/>
          <w:b/>
          <w:color w:val="auto"/>
          <w:sz w:val="28"/>
          <w:szCs w:val="28"/>
          <w:highlight w:val="white"/>
          <w:lang w:val="zh-CN"/>
        </w:rPr>
      </w:pPr>
      <w:r>
        <w:rPr>
          <w:rFonts w:hint="eastAsia" w:ascii="仿宋" w:hAnsi="仿宋" w:eastAsia="仿宋" w:cs="仿宋"/>
          <w:color w:val="auto"/>
          <w:sz w:val="28"/>
          <w:szCs w:val="28"/>
          <w:highlight w:val="white"/>
          <w:lang w:val="zh-CN"/>
        </w:rPr>
        <w:t>因公出国（境）费支出预算为0万元，支出决算为0万元，与上年度持平。</w:t>
      </w:r>
    </w:p>
    <w:p>
      <w:pPr>
        <w:numPr>
          <w:ilvl w:val="0"/>
          <w:numId w:val="0"/>
        </w:numPr>
        <w:spacing w:beforeLines="0" w:afterLines="0"/>
        <w:ind w:firstLine="560" w:firstLineChars="200"/>
        <w:jc w:val="left"/>
        <w:rPr>
          <w:rFonts w:hint="eastAsia" w:ascii="仿宋" w:hAnsi="仿宋" w:eastAsia="仿宋" w:cs="仿宋"/>
          <w:b/>
          <w:color w:val="auto"/>
          <w:sz w:val="28"/>
          <w:szCs w:val="28"/>
          <w:highlight w:val="white"/>
          <w:lang w:val="zh-CN"/>
        </w:rPr>
      </w:pPr>
      <w:r>
        <w:rPr>
          <w:rFonts w:hint="eastAsia" w:ascii="仿宋" w:hAnsi="仿宋" w:eastAsia="仿宋" w:cs="仿宋"/>
          <w:color w:val="auto"/>
          <w:sz w:val="28"/>
          <w:szCs w:val="28"/>
          <w:highlight w:val="white"/>
          <w:lang w:val="zh-CN"/>
        </w:rPr>
        <w:t>公务用车购置费及运行维护费支出预算为0万元，支出决算为0万元，与上年度持平。</w:t>
      </w:r>
    </w:p>
    <w:p>
      <w:pPr>
        <w:numPr>
          <w:ilvl w:val="0"/>
          <w:numId w:val="0"/>
        </w:numPr>
        <w:spacing w:beforeLines="0" w:afterLines="0"/>
        <w:jc w:val="left"/>
        <w:rPr>
          <w:rFonts w:hint="eastAsia" w:ascii="仿宋" w:hAnsi="仿宋" w:eastAsia="仿宋" w:cs="仿宋"/>
          <w:b/>
          <w:color w:val="auto"/>
          <w:sz w:val="28"/>
          <w:szCs w:val="28"/>
          <w:highlight w:val="white"/>
          <w:lang w:val="zh-CN"/>
        </w:rPr>
      </w:pPr>
      <w:r>
        <w:rPr>
          <w:rFonts w:hint="eastAsia" w:ascii="仿宋" w:hAnsi="仿宋" w:eastAsia="仿宋" w:cs="仿宋"/>
          <w:color w:val="auto"/>
          <w:sz w:val="28"/>
          <w:szCs w:val="28"/>
          <w:highlight w:val="white"/>
          <w:lang w:val="zh-CN"/>
        </w:rPr>
        <w:t xml:space="preserve"> </w:t>
      </w:r>
      <w:r>
        <w:rPr>
          <w:rFonts w:hint="eastAsia" w:ascii="仿宋" w:hAnsi="仿宋" w:eastAsia="仿宋" w:cs="仿宋"/>
          <w:color w:val="auto"/>
          <w:sz w:val="28"/>
          <w:szCs w:val="28"/>
          <w:highlight w:val="white"/>
          <w:lang w:val="en-US" w:eastAsia="zh-CN"/>
        </w:rPr>
        <w:t xml:space="preserve">  </w:t>
      </w:r>
      <w:r>
        <w:rPr>
          <w:rFonts w:hint="eastAsia" w:ascii="仿宋" w:hAnsi="仿宋" w:eastAsia="仿宋" w:cs="仿宋"/>
          <w:color w:val="auto"/>
          <w:sz w:val="28"/>
          <w:szCs w:val="28"/>
          <w:highlight w:val="white"/>
          <w:lang w:val="zh-CN"/>
        </w:rPr>
        <w:t>公务接待费支出预算为0万元，支出决算为0万元，与上年度持平。</w:t>
      </w:r>
    </w:p>
    <w:p>
      <w:pPr>
        <w:numPr>
          <w:ilvl w:val="0"/>
          <w:numId w:val="0"/>
        </w:numPr>
        <w:spacing w:beforeLines="0" w:afterLines="0"/>
        <w:ind w:firstLine="562" w:firstLineChars="200"/>
        <w:jc w:val="left"/>
        <w:rPr>
          <w:rFonts w:hint="eastAsia" w:ascii="仿宋" w:hAnsi="仿宋" w:eastAsia="仿宋" w:cs="仿宋"/>
          <w:b/>
          <w:color w:val="auto"/>
          <w:sz w:val="28"/>
          <w:szCs w:val="28"/>
          <w:highlight w:val="white"/>
          <w:lang w:val="zh-CN"/>
        </w:rPr>
      </w:pPr>
    </w:p>
    <w:p>
      <w:pPr>
        <w:numPr>
          <w:ilvl w:val="0"/>
          <w:numId w:val="1"/>
        </w:numPr>
        <w:spacing w:beforeLines="0" w:afterLines="0"/>
        <w:ind w:left="0" w:leftChars="0" w:firstLine="640" w:firstLineChars="0"/>
        <w:jc w:val="left"/>
        <w:rPr>
          <w:rFonts w:hint="eastAsia" w:ascii="仿宋" w:hAnsi="仿宋" w:eastAsia="仿宋" w:cs="仿宋"/>
          <w:b/>
          <w:color w:val="auto"/>
          <w:sz w:val="28"/>
          <w:szCs w:val="28"/>
          <w:highlight w:val="white"/>
          <w:lang w:val="zh-CN"/>
        </w:rPr>
      </w:pPr>
      <w:r>
        <w:rPr>
          <w:rFonts w:hint="eastAsia" w:ascii="仿宋" w:hAnsi="仿宋" w:eastAsia="仿宋" w:cs="仿宋"/>
          <w:b/>
          <w:color w:val="auto"/>
          <w:sz w:val="28"/>
          <w:szCs w:val="28"/>
          <w:highlight w:val="white"/>
          <w:lang w:val="zh-CN"/>
        </w:rPr>
        <w:t>“三公”经费财政拨款支出决算具体情况说明。</w:t>
      </w:r>
    </w:p>
    <w:p>
      <w:pPr>
        <w:numPr>
          <w:ilvl w:val="0"/>
          <w:numId w:val="0"/>
        </w:numPr>
        <w:spacing w:beforeLines="0" w:afterLines="0"/>
        <w:jc w:val="left"/>
        <w:rPr>
          <w:rFonts w:hint="eastAsia" w:ascii="仿宋" w:hAnsi="仿宋" w:eastAsia="仿宋" w:cs="仿宋"/>
          <w:b/>
          <w:color w:val="auto"/>
          <w:sz w:val="28"/>
          <w:szCs w:val="28"/>
          <w:highlight w:val="white"/>
          <w:lang w:val="zh-CN"/>
        </w:rPr>
      </w:pPr>
      <w:r>
        <w:rPr>
          <w:rFonts w:hint="eastAsia" w:ascii="仿宋" w:hAnsi="仿宋" w:eastAsia="仿宋" w:cs="仿宋"/>
          <w:sz w:val="28"/>
          <w:szCs w:val="28"/>
          <w:lang w:val="en-US" w:eastAsia="zh-CN"/>
        </w:rPr>
        <w:t xml:space="preserve">     </w:t>
      </w:r>
      <w:r>
        <w:rPr>
          <w:rFonts w:hint="eastAsia" w:ascii="仿宋" w:hAnsi="仿宋" w:eastAsia="仿宋" w:cs="仿宋"/>
          <w:b/>
          <w:color w:val="auto"/>
          <w:sz w:val="28"/>
          <w:szCs w:val="28"/>
          <w:highlight w:val="white"/>
          <w:lang w:val="en-US" w:eastAsia="zh-CN"/>
        </w:rPr>
        <w:t xml:space="preserve">   </w:t>
      </w:r>
      <w:r>
        <w:rPr>
          <w:rFonts w:hint="eastAsia" w:ascii="仿宋" w:hAnsi="仿宋" w:eastAsia="仿宋" w:cs="仿宋"/>
          <w:color w:val="auto"/>
          <w:sz w:val="28"/>
          <w:szCs w:val="28"/>
          <w:highlight w:val="white"/>
          <w:lang w:val="zh-CN"/>
        </w:rPr>
        <w:t>2020年“三公”经费财政拨款支出预算为0万元，支出决算为0万元，与上年度持平。</w:t>
      </w:r>
    </w:p>
    <w:p>
      <w:pPr>
        <w:numPr>
          <w:ilvl w:val="0"/>
          <w:numId w:val="0"/>
        </w:numPr>
        <w:spacing w:beforeLines="0" w:afterLines="0"/>
        <w:ind w:firstLine="560" w:firstLineChars="200"/>
        <w:jc w:val="left"/>
        <w:rPr>
          <w:rFonts w:hint="eastAsia" w:ascii="仿宋" w:hAnsi="仿宋" w:eastAsia="仿宋" w:cs="仿宋"/>
          <w:b/>
          <w:color w:val="auto"/>
          <w:sz w:val="28"/>
          <w:szCs w:val="28"/>
          <w:highlight w:val="white"/>
          <w:lang w:val="zh-CN"/>
        </w:rPr>
      </w:pPr>
      <w:r>
        <w:rPr>
          <w:rFonts w:hint="eastAsia" w:ascii="仿宋" w:hAnsi="仿宋" w:eastAsia="仿宋" w:cs="仿宋"/>
          <w:color w:val="auto"/>
          <w:sz w:val="28"/>
          <w:szCs w:val="28"/>
          <w:highlight w:val="white"/>
          <w:lang w:val="zh-CN"/>
        </w:rPr>
        <w:t>因公出国（境）费支出预算为0万元，支出决算为0万元，与上年度持平。</w:t>
      </w:r>
    </w:p>
    <w:p>
      <w:pPr>
        <w:numPr>
          <w:ilvl w:val="0"/>
          <w:numId w:val="0"/>
        </w:numPr>
        <w:spacing w:beforeLines="0" w:afterLines="0"/>
        <w:ind w:firstLine="560" w:firstLineChars="200"/>
        <w:jc w:val="left"/>
        <w:rPr>
          <w:rFonts w:hint="eastAsia" w:ascii="仿宋" w:hAnsi="仿宋" w:eastAsia="仿宋" w:cs="仿宋"/>
          <w:b/>
          <w:color w:val="auto"/>
          <w:sz w:val="28"/>
          <w:szCs w:val="28"/>
          <w:highlight w:val="white"/>
          <w:lang w:val="zh-CN"/>
        </w:rPr>
      </w:pPr>
      <w:r>
        <w:rPr>
          <w:rFonts w:hint="eastAsia" w:ascii="仿宋" w:hAnsi="仿宋" w:eastAsia="仿宋" w:cs="仿宋"/>
          <w:color w:val="auto"/>
          <w:sz w:val="28"/>
          <w:szCs w:val="28"/>
          <w:highlight w:val="white"/>
          <w:lang w:val="zh-CN"/>
        </w:rPr>
        <w:t>公务用车购置费及运行维护费支出预算为0万元，支出决算为0万元，与上年度持平。</w:t>
      </w:r>
    </w:p>
    <w:p>
      <w:pPr>
        <w:pStyle w:val="2"/>
        <w:rPr>
          <w:rFonts w:hint="eastAsia" w:ascii="仿宋" w:hAnsi="仿宋" w:eastAsia="仿宋" w:cs="仿宋"/>
          <w:sz w:val="28"/>
          <w:szCs w:val="28"/>
          <w:lang w:val="en-US" w:eastAsia="zh-CN"/>
        </w:rPr>
      </w:pPr>
      <w:r>
        <w:rPr>
          <w:rFonts w:hint="eastAsia" w:ascii="仿宋" w:hAnsi="仿宋" w:eastAsia="仿宋" w:cs="仿宋"/>
          <w:color w:val="auto"/>
          <w:sz w:val="28"/>
          <w:szCs w:val="28"/>
          <w:highlight w:val="white"/>
          <w:lang w:val="zh-CN"/>
        </w:rPr>
        <w:t xml:space="preserve"> </w:t>
      </w:r>
      <w:r>
        <w:rPr>
          <w:rFonts w:hint="eastAsia" w:ascii="仿宋" w:hAnsi="仿宋" w:eastAsia="仿宋" w:cs="仿宋"/>
          <w:color w:val="auto"/>
          <w:sz w:val="28"/>
          <w:szCs w:val="28"/>
          <w:highlight w:val="white"/>
          <w:lang w:val="en-US" w:eastAsia="zh-CN"/>
        </w:rPr>
        <w:t xml:space="preserve">  </w:t>
      </w:r>
      <w:r>
        <w:rPr>
          <w:rFonts w:hint="eastAsia" w:ascii="仿宋" w:hAnsi="仿宋" w:eastAsia="仿宋" w:cs="仿宋"/>
          <w:color w:val="auto"/>
          <w:sz w:val="28"/>
          <w:szCs w:val="28"/>
          <w:highlight w:val="white"/>
          <w:lang w:val="zh-CN"/>
        </w:rPr>
        <w:t>公务接待费支出预算为0万元，支出决算为0万元，与上年度持平。</w:t>
      </w:r>
    </w:p>
    <w:p>
      <w:pPr>
        <w:numPr>
          <w:ilvl w:val="0"/>
          <w:numId w:val="0"/>
        </w:numPr>
        <w:spacing w:beforeLines="0" w:afterLines="0"/>
        <w:ind w:firstLine="840" w:firstLineChars="300"/>
        <w:jc w:val="left"/>
        <w:rPr>
          <w:rFonts w:hint="eastAsia" w:ascii="仿宋" w:hAnsi="仿宋" w:eastAsia="仿宋" w:cs="仿宋"/>
          <w:color w:val="auto"/>
          <w:kern w:val="0"/>
          <w:sz w:val="28"/>
          <w:szCs w:val="28"/>
          <w:highlight w:val="white"/>
          <w:lang w:val="en-US" w:eastAsia="zh-CN"/>
        </w:rPr>
      </w:pPr>
      <w:r>
        <w:rPr>
          <w:rFonts w:hint="eastAsia" w:ascii="仿宋" w:hAnsi="仿宋" w:eastAsia="仿宋" w:cs="仿宋"/>
          <w:color w:val="auto"/>
          <w:sz w:val="28"/>
          <w:szCs w:val="28"/>
          <w:highlight w:val="white"/>
          <w:lang w:val="en-US" w:eastAsia="zh-CN"/>
        </w:rPr>
        <w:t>2020</w:t>
      </w:r>
      <w:r>
        <w:rPr>
          <w:rFonts w:hint="eastAsia" w:ascii="仿宋" w:hAnsi="仿宋" w:eastAsia="仿宋" w:cs="仿宋"/>
          <w:color w:val="auto"/>
          <w:sz w:val="28"/>
          <w:szCs w:val="28"/>
          <w:highlight w:val="white"/>
          <w:lang w:val="zh-CN" w:eastAsia="zh-CN"/>
        </w:rPr>
        <w:t>年没有购置公务用车。截至</w:t>
      </w:r>
      <w:r>
        <w:rPr>
          <w:rFonts w:hint="eastAsia" w:ascii="仿宋" w:hAnsi="仿宋" w:eastAsia="仿宋" w:cs="仿宋"/>
          <w:color w:val="auto"/>
          <w:sz w:val="28"/>
          <w:szCs w:val="28"/>
          <w:highlight w:val="white"/>
          <w:lang w:val="en-US" w:eastAsia="zh-CN"/>
        </w:rPr>
        <w:t>2020年12月31日，我单位开支财政拨款的公务用车保有量为0辆。</w:t>
      </w:r>
    </w:p>
    <w:p>
      <w:pPr>
        <w:keepNext/>
        <w:keepLines/>
        <w:spacing w:beforeLines="0" w:afterLines="0"/>
        <w:ind w:firstLine="640"/>
        <w:rPr>
          <w:rFonts w:hint="eastAsia" w:ascii="仿宋" w:hAnsi="仿宋" w:eastAsia="仿宋" w:cs="仿宋"/>
          <w:color w:val="auto"/>
          <w:kern w:val="0"/>
          <w:sz w:val="28"/>
          <w:szCs w:val="28"/>
          <w:highlight w:val="white"/>
          <w:lang w:val="en-US"/>
        </w:rPr>
      </w:pPr>
      <w:r>
        <w:rPr>
          <w:rFonts w:hint="eastAsia" w:ascii="仿宋" w:hAnsi="仿宋" w:eastAsia="仿宋" w:cs="仿宋"/>
          <w:color w:val="auto"/>
          <w:kern w:val="0"/>
          <w:sz w:val="28"/>
          <w:szCs w:val="28"/>
          <w:highlight w:val="white"/>
          <w:lang w:val="en-US"/>
        </w:rPr>
        <w:t>八、政府性基金预算收入支出决算情况</w:t>
      </w:r>
    </w:p>
    <w:p>
      <w:pPr>
        <w:keepNext/>
        <w:keepLines/>
        <w:spacing w:beforeLines="0" w:afterLines="0"/>
        <w:ind w:firstLine="640"/>
        <w:rPr>
          <w:rFonts w:hint="eastAsia" w:ascii="仿宋" w:hAnsi="仿宋" w:eastAsia="仿宋" w:cs="仿宋"/>
          <w:color w:val="auto"/>
          <w:kern w:val="0"/>
          <w:sz w:val="28"/>
          <w:szCs w:val="28"/>
          <w:highlight w:val="white"/>
          <w:lang w:val="en-US"/>
        </w:rPr>
      </w:pPr>
      <w:r>
        <w:rPr>
          <w:rFonts w:hint="eastAsia" w:ascii="仿宋" w:hAnsi="仿宋" w:eastAsia="仿宋" w:cs="仿宋"/>
          <w:color w:val="auto"/>
          <w:kern w:val="0"/>
          <w:sz w:val="28"/>
          <w:szCs w:val="28"/>
          <w:highlight w:val="white"/>
          <w:lang w:val="en-US"/>
        </w:rPr>
        <w:t>2020年本单位没有使用政府性基金预算财政拨款安排的收支。</w:t>
      </w:r>
    </w:p>
    <w:p>
      <w:pPr>
        <w:keepNext/>
        <w:keepLines/>
        <w:spacing w:beforeLines="0" w:afterLines="0"/>
        <w:ind w:firstLine="640"/>
        <w:rPr>
          <w:rFonts w:hint="eastAsia" w:ascii="仿宋" w:hAnsi="仿宋" w:eastAsia="仿宋" w:cs="仿宋"/>
          <w:color w:val="auto"/>
          <w:kern w:val="0"/>
          <w:sz w:val="28"/>
          <w:szCs w:val="28"/>
          <w:highlight w:val="white"/>
          <w:lang w:val="en-US"/>
        </w:rPr>
      </w:pPr>
      <w:r>
        <w:rPr>
          <w:rFonts w:hint="eastAsia" w:ascii="仿宋" w:hAnsi="仿宋" w:eastAsia="仿宋" w:cs="仿宋"/>
          <w:color w:val="auto"/>
          <w:kern w:val="0"/>
          <w:sz w:val="28"/>
          <w:szCs w:val="28"/>
          <w:highlight w:val="white"/>
          <w:lang w:val="en-US"/>
        </w:rPr>
        <w:t>九、</w:t>
      </w:r>
      <w:r>
        <w:rPr>
          <w:rFonts w:hint="eastAsia" w:ascii="仿宋" w:hAnsi="仿宋" w:eastAsia="仿宋" w:cs="仿宋"/>
          <w:color w:val="auto"/>
          <w:sz w:val="28"/>
          <w:szCs w:val="28"/>
          <w:lang w:val="zh-CN"/>
        </w:rPr>
        <w:t>国有资本经营预算财政拨款支出决算情况</w:t>
      </w:r>
    </w:p>
    <w:p>
      <w:pPr>
        <w:keepNext/>
        <w:keepLines/>
        <w:spacing w:beforeLines="0" w:afterLines="0"/>
        <w:ind w:firstLine="640"/>
        <w:rPr>
          <w:rFonts w:hint="eastAsia" w:ascii="仿宋" w:hAnsi="仿宋" w:eastAsia="仿宋" w:cs="仿宋"/>
          <w:color w:val="auto"/>
          <w:kern w:val="0"/>
          <w:sz w:val="28"/>
          <w:szCs w:val="28"/>
          <w:highlight w:val="white"/>
          <w:lang w:val="en-US"/>
        </w:rPr>
      </w:pPr>
      <w:r>
        <w:rPr>
          <w:rFonts w:hint="eastAsia" w:ascii="仿宋" w:hAnsi="仿宋" w:eastAsia="仿宋" w:cs="仿宋"/>
          <w:color w:val="auto"/>
          <w:sz w:val="28"/>
          <w:szCs w:val="28"/>
          <w:highlight w:val="white"/>
          <w:lang w:val="zh-CN"/>
        </w:rPr>
        <w:t>2020年本单位没有使用国有资本经营预算安排的支出。</w:t>
      </w:r>
    </w:p>
    <w:p>
      <w:pPr>
        <w:keepNext/>
        <w:keepLines/>
        <w:spacing w:beforeLines="0" w:afterLines="0"/>
        <w:ind w:firstLine="641"/>
        <w:rPr>
          <w:rFonts w:hint="eastAsia" w:ascii="仿宋" w:hAnsi="仿宋" w:eastAsia="仿宋" w:cs="仿宋"/>
          <w:color w:val="auto"/>
          <w:sz w:val="28"/>
          <w:szCs w:val="28"/>
          <w:highlight w:val="white"/>
          <w:lang w:val="en-US"/>
        </w:rPr>
      </w:pPr>
      <w:r>
        <w:rPr>
          <w:rFonts w:hint="eastAsia" w:ascii="仿宋" w:hAnsi="仿宋" w:eastAsia="仿宋" w:cs="仿宋"/>
          <w:color w:val="auto"/>
          <w:sz w:val="28"/>
          <w:szCs w:val="28"/>
          <w:highlight w:val="white"/>
          <w:lang w:val="en-US"/>
        </w:rPr>
        <w:t>十、关于机关运行经费支出说明</w:t>
      </w:r>
    </w:p>
    <w:p>
      <w:pPr>
        <w:keepNext/>
        <w:keepLines/>
        <w:spacing w:beforeLines="0" w:afterLines="0"/>
        <w:ind w:firstLine="640"/>
        <w:rPr>
          <w:rFonts w:hint="eastAsia" w:ascii="仿宋" w:hAnsi="仿宋" w:eastAsia="仿宋" w:cs="仿宋"/>
          <w:color w:val="FF0000"/>
          <w:kern w:val="0"/>
          <w:sz w:val="28"/>
          <w:szCs w:val="28"/>
          <w:highlight w:val="white"/>
          <w:lang w:val="en-US"/>
        </w:rPr>
      </w:pPr>
      <w:r>
        <w:rPr>
          <w:rFonts w:hint="eastAsia" w:ascii="仿宋" w:hAnsi="仿宋" w:eastAsia="仿宋" w:cs="仿宋"/>
          <w:color w:val="auto"/>
          <w:sz w:val="28"/>
          <w:szCs w:val="28"/>
          <w:highlight w:val="white"/>
          <w:lang w:val="en-US"/>
        </w:rPr>
        <w:t>岳阳市不动产产权交易中心单位性质为财政补助事业单位，部门决算报表没有机关运行经费统计数据。</w:t>
      </w:r>
    </w:p>
    <w:p>
      <w:pPr>
        <w:keepNext/>
        <w:keepLines/>
        <w:spacing w:beforeLines="0" w:afterLines="0"/>
        <w:ind w:firstLine="640"/>
        <w:rPr>
          <w:rFonts w:hint="eastAsia" w:ascii="仿宋" w:hAnsi="仿宋" w:eastAsia="仿宋" w:cs="仿宋"/>
          <w:color w:val="000000"/>
          <w:kern w:val="0"/>
          <w:sz w:val="28"/>
          <w:szCs w:val="28"/>
          <w:highlight w:val="white"/>
          <w:lang w:val="en-US"/>
        </w:rPr>
      </w:pPr>
      <w:r>
        <w:rPr>
          <w:rFonts w:hint="eastAsia" w:ascii="仿宋" w:hAnsi="仿宋" w:eastAsia="仿宋" w:cs="仿宋"/>
          <w:color w:val="auto"/>
          <w:sz w:val="28"/>
          <w:szCs w:val="28"/>
          <w:highlight w:val="white"/>
          <w:lang w:val="en-US"/>
        </w:rPr>
        <w:t>十一、</w:t>
      </w:r>
      <w:r>
        <w:rPr>
          <w:rFonts w:hint="eastAsia" w:ascii="仿宋" w:hAnsi="仿宋" w:eastAsia="仿宋" w:cs="仿宋"/>
          <w:color w:val="000000"/>
          <w:kern w:val="0"/>
          <w:sz w:val="28"/>
          <w:szCs w:val="28"/>
          <w:highlight w:val="white"/>
          <w:lang w:val="en-US"/>
        </w:rPr>
        <w:t>一般性支出情况</w:t>
      </w:r>
    </w:p>
    <w:p>
      <w:pPr>
        <w:pStyle w:val="6"/>
        <w:spacing w:beforeLines="0" w:afterLines="0"/>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2020年本部门开支会议费0万元，开支培训费0万元。本单位2020年没有召开会议，也没有进行培训。</w:t>
      </w:r>
    </w:p>
    <w:p>
      <w:pPr>
        <w:pStyle w:val="6"/>
        <w:spacing w:beforeLines="0" w:afterLines="0"/>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2020年本部门未举办节庆、晚会、论坛、赛事活动，开支0万元。</w:t>
      </w:r>
    </w:p>
    <w:p>
      <w:pPr>
        <w:keepNext/>
        <w:keepLines/>
        <w:spacing w:beforeLines="0" w:afterLines="0"/>
        <w:ind w:firstLine="640"/>
        <w:rPr>
          <w:rFonts w:hint="eastAsia" w:ascii="仿宋" w:hAnsi="仿宋" w:eastAsia="仿宋" w:cs="仿宋"/>
          <w:color w:val="auto"/>
          <w:sz w:val="28"/>
          <w:szCs w:val="28"/>
          <w:highlight w:val="white"/>
          <w:lang w:val="en-US"/>
        </w:rPr>
      </w:pPr>
      <w:r>
        <w:rPr>
          <w:rFonts w:hint="eastAsia" w:ascii="仿宋" w:hAnsi="仿宋" w:eastAsia="仿宋" w:cs="仿宋"/>
          <w:color w:val="000000"/>
          <w:kern w:val="0"/>
          <w:sz w:val="28"/>
          <w:szCs w:val="28"/>
          <w:highlight w:val="white"/>
          <w:lang w:val="en-US" w:eastAsia="zh-CN"/>
        </w:rPr>
        <w:t>无此类开支</w:t>
      </w:r>
      <w:r>
        <w:rPr>
          <w:rFonts w:hint="eastAsia" w:ascii="仿宋" w:hAnsi="仿宋" w:eastAsia="仿宋" w:cs="仿宋"/>
          <w:color w:val="000000"/>
          <w:kern w:val="0"/>
          <w:sz w:val="28"/>
          <w:szCs w:val="28"/>
          <w:highlight w:val="white"/>
          <w:lang w:val="en-US"/>
        </w:rPr>
        <w:t>。</w:t>
      </w:r>
    </w:p>
    <w:p>
      <w:pPr>
        <w:keepNext/>
        <w:keepLines/>
        <w:spacing w:beforeLines="0" w:afterLines="0"/>
        <w:ind w:firstLine="640"/>
        <w:rPr>
          <w:rFonts w:hint="eastAsia" w:ascii="仿宋" w:hAnsi="仿宋" w:eastAsia="仿宋" w:cs="仿宋"/>
          <w:color w:val="auto"/>
          <w:sz w:val="28"/>
          <w:szCs w:val="28"/>
          <w:highlight w:val="white"/>
          <w:lang w:val="en-US"/>
        </w:rPr>
      </w:pPr>
      <w:r>
        <w:rPr>
          <w:rFonts w:hint="eastAsia" w:ascii="仿宋" w:hAnsi="仿宋" w:eastAsia="仿宋" w:cs="仿宋"/>
          <w:color w:val="auto"/>
          <w:kern w:val="0"/>
          <w:sz w:val="28"/>
          <w:szCs w:val="28"/>
          <w:highlight w:val="white"/>
          <w:lang w:val="en-US"/>
        </w:rPr>
        <w:t>十二、关于</w:t>
      </w:r>
      <w:r>
        <w:rPr>
          <w:rFonts w:hint="eastAsia" w:ascii="仿宋" w:hAnsi="仿宋" w:eastAsia="仿宋" w:cs="仿宋"/>
          <w:color w:val="auto"/>
          <w:sz w:val="28"/>
          <w:szCs w:val="28"/>
          <w:highlight w:val="white"/>
          <w:lang w:val="en-US"/>
        </w:rPr>
        <w:t>政府采购支出说明</w:t>
      </w:r>
    </w:p>
    <w:p>
      <w:pPr>
        <w:keepNext/>
        <w:keepLines/>
        <w:spacing w:beforeLines="0" w:afterLines="0"/>
        <w:ind w:firstLine="640"/>
        <w:rPr>
          <w:rFonts w:hint="eastAsia" w:ascii="仿宋" w:hAnsi="仿宋" w:eastAsia="仿宋" w:cs="仿宋"/>
          <w:color w:val="auto"/>
          <w:kern w:val="0"/>
          <w:sz w:val="28"/>
          <w:szCs w:val="28"/>
          <w:highlight w:val="white"/>
          <w:lang w:val="en-US"/>
        </w:rPr>
      </w:pPr>
      <w:r>
        <w:rPr>
          <w:rFonts w:hint="eastAsia" w:ascii="仿宋" w:hAnsi="仿宋" w:eastAsia="仿宋" w:cs="仿宋"/>
          <w:color w:val="auto"/>
          <w:sz w:val="28"/>
          <w:szCs w:val="28"/>
          <w:highlight w:val="white"/>
          <w:lang w:val="en-US"/>
        </w:rPr>
        <w:t xml:space="preserve">本年度无政府采购。   </w:t>
      </w:r>
    </w:p>
    <w:p>
      <w:pPr>
        <w:keepNext/>
        <w:keepLines/>
        <w:spacing w:beforeLines="0" w:afterLines="0"/>
        <w:ind w:firstLine="640"/>
        <w:rPr>
          <w:rFonts w:hint="eastAsia" w:ascii="仿宋" w:hAnsi="仿宋" w:eastAsia="仿宋" w:cs="仿宋"/>
          <w:color w:val="000000"/>
          <w:kern w:val="0"/>
          <w:sz w:val="28"/>
          <w:szCs w:val="28"/>
          <w:highlight w:val="white"/>
          <w:lang w:val="en-US"/>
        </w:rPr>
      </w:pPr>
      <w:r>
        <w:rPr>
          <w:rFonts w:hint="eastAsia" w:ascii="仿宋" w:hAnsi="仿宋" w:eastAsia="仿宋" w:cs="仿宋"/>
          <w:color w:val="auto"/>
          <w:sz w:val="28"/>
          <w:szCs w:val="28"/>
          <w:highlight w:val="white"/>
          <w:lang w:val="en-US"/>
        </w:rPr>
        <w:t>十三、关于国有资产占有情况</w:t>
      </w:r>
      <w:r>
        <w:rPr>
          <w:rFonts w:hint="eastAsia" w:ascii="仿宋" w:hAnsi="仿宋" w:eastAsia="仿宋" w:cs="仿宋"/>
          <w:color w:val="000000"/>
          <w:kern w:val="0"/>
          <w:sz w:val="28"/>
          <w:szCs w:val="28"/>
          <w:highlight w:val="white"/>
          <w:lang w:val="en-US"/>
        </w:rPr>
        <w:t>说明</w:t>
      </w:r>
    </w:p>
    <w:p>
      <w:pPr>
        <w:keepNext/>
        <w:keepLines/>
        <w:spacing w:beforeLines="0" w:afterLines="0"/>
        <w:ind w:firstLine="640"/>
        <w:rPr>
          <w:rFonts w:hint="eastAsia" w:ascii="仿宋" w:hAnsi="仿宋" w:eastAsia="仿宋" w:cs="仿宋"/>
          <w:color w:val="auto"/>
          <w:sz w:val="28"/>
          <w:szCs w:val="28"/>
          <w:highlight w:val="white"/>
          <w:lang w:val="en-US"/>
        </w:rPr>
      </w:pPr>
      <w:r>
        <w:rPr>
          <w:rFonts w:hint="eastAsia" w:ascii="仿宋" w:hAnsi="仿宋" w:eastAsia="仿宋" w:cs="仿宋"/>
          <w:color w:val="auto"/>
          <w:sz w:val="28"/>
          <w:szCs w:val="28"/>
          <w:highlight w:val="white"/>
          <w:lang w:val="en-US"/>
        </w:rPr>
        <w:t>本单位年末无车辆。年末无单价50万元以上通用设备，年末无单价100万元以上通用设备。</w:t>
      </w:r>
    </w:p>
    <w:p>
      <w:pPr>
        <w:spacing w:beforeLines="0" w:afterLines="0"/>
        <w:jc w:val="left"/>
        <w:rPr>
          <w:rFonts w:hint="eastAsia" w:ascii="仿宋" w:hAnsi="仿宋" w:eastAsia="仿宋" w:cs="仿宋"/>
          <w:color w:val="000000"/>
          <w:kern w:val="0"/>
          <w:sz w:val="28"/>
          <w:szCs w:val="28"/>
          <w:lang w:val="en-US"/>
        </w:rPr>
      </w:pPr>
      <w:r>
        <w:rPr>
          <w:rFonts w:hint="eastAsia" w:ascii="仿宋" w:hAnsi="仿宋" w:eastAsia="仿宋" w:cs="仿宋"/>
          <w:color w:val="000000"/>
          <w:kern w:val="0"/>
          <w:sz w:val="28"/>
          <w:szCs w:val="28"/>
          <w:lang w:val="en-US"/>
        </w:rPr>
        <w:t xml:space="preserve">    十四、关于2020年度预算绩效情况的说明</w:t>
      </w:r>
    </w:p>
    <w:p>
      <w:pPr>
        <w:spacing w:beforeLines="0" w:afterLines="0" w:line="600" w:lineRule="exact"/>
        <w:ind w:firstLine="560" w:firstLineChars="200"/>
        <w:rPr>
          <w:rFonts w:hint="eastAsia" w:ascii="仿宋" w:hAnsi="仿宋" w:eastAsia="仿宋" w:cs="仿宋"/>
          <w:color w:val="auto"/>
          <w:kern w:val="0"/>
          <w:sz w:val="28"/>
          <w:szCs w:val="28"/>
          <w:lang w:eastAsia="zh-CN"/>
        </w:rPr>
      </w:pPr>
      <w:r>
        <w:rPr>
          <w:rFonts w:hint="eastAsia" w:ascii="仿宋" w:hAnsi="仿宋" w:eastAsia="仿宋" w:cs="仿宋"/>
          <w:kern w:val="0"/>
          <w:sz w:val="28"/>
          <w:szCs w:val="28"/>
          <w:lang w:eastAsia="zh-CN"/>
        </w:rPr>
        <w:t>本单位</w:t>
      </w:r>
      <w:r>
        <w:rPr>
          <w:rFonts w:hint="eastAsia" w:ascii="仿宋" w:hAnsi="仿宋" w:eastAsia="仿宋" w:cs="仿宋"/>
          <w:kern w:val="0"/>
          <w:sz w:val="28"/>
          <w:szCs w:val="28"/>
        </w:rPr>
        <w:t>所有支出实行绩效目标管理。纳入202</w:t>
      </w:r>
      <w:r>
        <w:rPr>
          <w:rFonts w:hint="eastAsia" w:ascii="仿宋" w:hAnsi="仿宋" w:eastAsia="仿宋" w:cs="仿宋"/>
          <w:kern w:val="0"/>
          <w:sz w:val="28"/>
          <w:szCs w:val="28"/>
          <w:lang w:val="en-US" w:eastAsia="zh-CN"/>
        </w:rPr>
        <w:t>0</w:t>
      </w:r>
      <w:r>
        <w:rPr>
          <w:rFonts w:hint="eastAsia" w:ascii="仿宋" w:hAnsi="仿宋" w:eastAsia="仿宋" w:cs="仿宋"/>
          <w:kern w:val="0"/>
          <w:sz w:val="28"/>
          <w:szCs w:val="28"/>
        </w:rPr>
        <w:t>年部门整体支出绩效目标的金额为</w:t>
      </w:r>
      <w:r>
        <w:rPr>
          <w:rFonts w:hint="eastAsia" w:ascii="仿宋" w:hAnsi="仿宋" w:eastAsia="仿宋" w:cs="仿宋"/>
          <w:color w:val="auto"/>
          <w:sz w:val="28"/>
          <w:szCs w:val="28"/>
          <w:highlight w:val="white"/>
          <w:lang w:val="en-US"/>
        </w:rPr>
        <w:t>133.98</w:t>
      </w:r>
      <w:r>
        <w:rPr>
          <w:rFonts w:hint="eastAsia" w:ascii="仿宋" w:hAnsi="仿宋" w:eastAsia="仿宋" w:cs="仿宋"/>
          <w:kern w:val="0"/>
          <w:sz w:val="28"/>
          <w:szCs w:val="28"/>
        </w:rPr>
        <w:t>万元，其中，基本支出</w:t>
      </w:r>
      <w:r>
        <w:rPr>
          <w:rFonts w:hint="eastAsia" w:ascii="仿宋" w:hAnsi="仿宋" w:eastAsia="仿宋" w:cs="仿宋"/>
          <w:color w:val="auto"/>
          <w:sz w:val="28"/>
          <w:szCs w:val="28"/>
          <w:highlight w:val="white"/>
          <w:lang w:val="en-US"/>
        </w:rPr>
        <w:t>133.98</w:t>
      </w:r>
      <w:r>
        <w:rPr>
          <w:rFonts w:hint="eastAsia" w:ascii="仿宋" w:hAnsi="仿宋" w:eastAsia="仿宋" w:cs="仿宋"/>
          <w:kern w:val="0"/>
          <w:sz w:val="28"/>
          <w:szCs w:val="28"/>
        </w:rPr>
        <w:t>万元，项目支出</w:t>
      </w:r>
      <w:r>
        <w:rPr>
          <w:rFonts w:hint="eastAsia" w:ascii="仿宋" w:hAnsi="仿宋" w:eastAsia="仿宋" w:cs="仿宋"/>
          <w:sz w:val="28"/>
          <w:szCs w:val="28"/>
          <w:lang w:val="en-US" w:eastAsia="zh-CN"/>
        </w:rPr>
        <w:t>0</w:t>
      </w:r>
      <w:r>
        <w:rPr>
          <w:rFonts w:hint="eastAsia" w:ascii="仿宋" w:hAnsi="仿宋" w:eastAsia="仿宋" w:cs="仿宋"/>
          <w:kern w:val="0"/>
          <w:sz w:val="28"/>
          <w:szCs w:val="28"/>
        </w:rPr>
        <w:t>万元</w:t>
      </w:r>
      <w:r>
        <w:rPr>
          <w:rFonts w:hint="eastAsia" w:ascii="仿宋" w:hAnsi="仿宋" w:eastAsia="仿宋" w:cs="仿宋"/>
          <w:color w:val="auto"/>
          <w:kern w:val="0"/>
          <w:sz w:val="28"/>
          <w:szCs w:val="28"/>
          <w:lang w:eastAsia="zh-CN"/>
        </w:rPr>
        <w:t>。</w:t>
      </w:r>
    </w:p>
    <w:p>
      <w:pPr>
        <w:numPr>
          <w:ilvl w:val="0"/>
          <w:numId w:val="2"/>
        </w:numPr>
        <w:spacing w:beforeLines="0" w:afterLines="0" w:line="600" w:lineRule="exact"/>
        <w:ind w:firstLine="560" w:firstLineChars="200"/>
        <w:rPr>
          <w:rFonts w:hint="eastAsia" w:ascii="仿宋" w:hAnsi="仿宋" w:eastAsia="仿宋" w:cs="仿宋"/>
          <w:color w:val="000000"/>
          <w:kern w:val="0"/>
          <w:sz w:val="28"/>
          <w:szCs w:val="28"/>
          <w:highlight w:val="white"/>
          <w:lang w:val="en-US"/>
        </w:rPr>
      </w:pPr>
      <w:r>
        <w:rPr>
          <w:rFonts w:hint="eastAsia" w:ascii="仿宋" w:hAnsi="仿宋" w:eastAsia="仿宋" w:cs="仿宋"/>
          <w:color w:val="auto"/>
          <w:sz w:val="28"/>
          <w:szCs w:val="28"/>
          <w:highlight w:val="white"/>
          <w:lang w:val="en-US"/>
        </w:rPr>
        <w:t>名词解释</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财政拨款收入：指本级财政当年拨付的资金。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政府性基金预算财政拨款收入：指本级财政当年拨付的政府性基金预算资金。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其他收入：指除上述“财政拨款收入”、“上级补助收入”、“事业收入”、“经营收入”、“附属单位上缴收入”等以外的收入。</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上年结转和结余：指以前年度尚未完成、结转到本年按有关规定继续使用的资金。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结余分配：指事业单位按规定对非财政补助结余资金提取的职工福利基金、事业基金和缴纳的所得税，以及减少单位按规定应缴回的基本建设竣工项目结余资金。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年末结转和结余资金：指本年度或以前年度预算安排、因客观条件发生变化无法按原计划实施，需要延迟到以后年度按有关规定继续使用的资金。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卫生健康支出（类）：是指用于医疗卫生与计划生育方面的支出，包括保障机构正常运转、完成日常和特定的工作任务或事业发展目标的支出。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城乡社区支出（类）：是指用于城乡社区事务支出，包括保障机构正常运转、完成日常和特定的工作任务或事业发展目标的支出。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资源勘探信息等支出（类）：是指用于资源勘探、制造业、建筑业、工业信息等方面支出，包括保障机构正常运转、完成日常和特定的工作任务或事业发展目标的支出。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自然资源海洋气象等支出（类）：是指用于自然资源、海洋、测绘、气象等公益服务事业方面的支出，包括保障机构正常运转、完成日常和特定的工作任务或事业发展目标的支出。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灾害防治及应急管理支出（类）：是指用于反映政府用于自然灾害防治、安全生产监管及应急管理等方面的支出，包括保障机构正常运转、完成日常和特定的工作任务或事业发展目标的支出。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其他支出（类）：是指用于反映除上述项目以外其他不能划分到具体功能科目中的支出项目，包括保障机构正常运转、完成日常和特定的工作任务或事业发展目标的支出。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基本支出：指保障机构正常运转、完成支日常工作任务而发生的人员支出和公用支出。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项目支出：指在基本支出之外为完成特定行政任务和事业发展目标所发生的支出。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工资福利支出：反映单位开支的在职职工和编制外长期聘用人员的各类劳动报酬，以及为上述人员缴纳的各项社会保险费等。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津贴补贴：反映经国家批准建立的机关事业单位艰苦边远地区津贴、机关工作人员地区附加津贴、机关工作人员岗位津贴、事业单位工作人员特殊岗位津贴补贴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奖金：反映机关工作人员年终一次性奖金。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伙食补助费：反映单位发给职工的伙食补助费，如误餐补助等。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绩效工资：反映事业单位工作人员的绩效工资。</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机关事业单位基本养老保险缴费：反映机关事业单位缴纳的基本养老保险费。由单位代扣的工作人员基本养老保险缴费，不在此科目反映。</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职业年金缴费：反映机关事业单位实际缴纳的职业年金支出。由单位代扣的工作人员职业年金缴费，不在此科目反映。</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职工基本医疗保险缴费：反映单位为职工缴纳的基本医疗保险费。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公务员医疗补助缴费：反映按规定可享受公务员医疗补助单位为职工缴纳的公务员医疗补助费。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其他社会保障缴费：反映单位为职工缴纳的基本医疗、失业、工伤、生育等社会保险费，残疾人就业保障金，军队（含武警）为军人缴纳的伤亡、退役医疗等社会保险费。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住房公积金：反映行政事业单位按人力资源和社会保障部、财政部规定的基本工资和津贴补贴以及规定比例为职工缴纳的住房公积金。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医疗费：反映未参加医疗保险单位的医疗经费和单位按规定为职工支出的其他医疗费用。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商品和服务支出：反映单位购买商品和服务的支出（不包括用于购置固定资产的支出、战略性和应急储备支出）。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办公费：反映单位购买按财务会计制度规定不符合固定资产确认标准的日常办公用品、书报杂志等支出。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印刷费：反映单位的印刷费支出。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咨询费：反映单位咨询方面的支出。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水费：反映单位支付的水费、污水处理费等支出。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电费：反映单位的电费支出。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邮电费：反映单位开支的信函、包裹、货物等物品的邮寄费及电话费、电报费、传真费、网络通讯费等。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取暖费：反映单位取暖用燃料费、热力费、炉具购置费、锅炉临时工的工资、节煤奖以及由单位支付的未实行职工住房采暖补贴改革的在职职工和离退休人员宿舍取暖费。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物业管理费：反映单位开支的办公用房以及未实行职工住宅物业服务改革的在职职工和离退休人员宿舍等的物业管理费，包括综合治理、绿化、卫生等方面的支出。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差旅费：反映单位工作人员出差发生的城市间交通费、住宿费、伙食补贴费和市内交通费。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维修(护)费：反映单位日常开支的固定资产（不包括车船等交通工具）修理和维护费用，网络信息系统运行与维护费用，以及按规定提取的修购基金。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租赁费：反映租赁办公用房、宿舍、专用通讯网以及其他设备等方面的费用。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会议费：反映会议中按规定开支的住宿费、伙食费、会议室租金、交通费、文件印刷费、医药费等。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培训费：反映除因公出国（境）培训费以外的各类培训支出。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公务接待费：反映单位按规定开支的各类公务接待（含外宾接待）费用。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劳务费：反映支付给单位和个人的劳务费用，如临时聘用人员、钟点工工资，稿费、翻译费，评审费等。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委托业务费：反映因委托外单位办理业务而支付的委托业务费。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工会经费：反映单位按规定提取的工会经费。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福利费：反映单位按规定提取的福利费。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公务用车运行维护费：反映单位按规定保留的公务用车燃料费、维修费、过桥过路费、保险费、安全奖励费用等支出。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其他交通费用：反映单位除公务用车运行维护费以外的其他交通费用。如公务交通补贴，租车费用、出租车费用，飞机、船舶等的燃料费、维修费、保险费等。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税金及附加费用：反映单位提供劳务或销售产品应负担的税金及附加费用，包括营业税、消费税、城市维护建设税、资源税和教育附加等。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其他商品和服务支出：反映上述科目未包括的日常公用支出。如行政赔偿费和诉讼费、国内组织的会员费、来访费、广告宣传、其他劳务费及离休人员特需费、公用经费等。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对个人和家庭的补助：反映政府用于对个人和家庭的补助支出。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退休费：反映行政事业单位和军队移交政府安置的退休人员的退休费和其他补贴。</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抚恤金：反映按规定开支的烈士遗属、牺牲病故人员遗属的一次性和定期抚恤金，伤残人员的抚恤金，离退休人员等其他人员的各项抚恤金。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助学金：反映各类学校学生助学金、奖学金、学生贷款、出国留学（实习）人员生活费，青少年业余体校学员伙食补助费和生活费补贴，按照协议由我方负担或享受我方奖学金的来华留学生、进修生生活费等。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奖励金：反映政府各部门的奖励支出，如对个体私营经济的奖励、计划生育目标责任奖励、独生子女父母奖励等。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补贴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办公设备购置：反映用于购置并按财务会计制度规定纳入固定资产核算范围的办公家具和办公设备的支出，以及按规定提取的修购基金。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专用设备购置：反映用于购置具有专门用途、并按财务会计制度规定纳入固定资产核算范围的各类专用设备的支出。如通信设备、发电设备、交通监控设备、卫星转发器、气象设备、进出口监管设备等，以及按规定提取的修购基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信息网络及软件购置更新：反映政府用于信息网络方面的支出。如计算机硬件、软件购置、开发、应用支出等，如果购建的计算机硬件、软件等不符合财务会计制度规定的固定资产确认标准的，不在此科目反映。</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pPr>
        <w:ind w:firstLine="560" w:firstLineChars="200"/>
        <w:rPr>
          <w:rFonts w:hint="eastAsia" w:ascii="仿宋" w:hAnsi="仿宋" w:eastAsia="仿宋" w:cs="仿宋"/>
          <w:sz w:val="28"/>
          <w:szCs w:val="28"/>
        </w:rPr>
      </w:pPr>
    </w:p>
    <w:p>
      <w:pPr>
        <w:keepNext/>
        <w:keepLines/>
        <w:spacing w:beforeLines="0" w:afterLines="0"/>
        <w:rPr>
          <w:rFonts w:hint="eastAsia" w:ascii="仿宋" w:hAnsi="仿宋" w:eastAsia="仿宋" w:cs="仿宋"/>
          <w:color w:val="000000"/>
          <w:kern w:val="0"/>
          <w:sz w:val="28"/>
          <w:szCs w:val="28"/>
          <w:highlight w:val="white"/>
          <w:lang w:val="en-US"/>
        </w:rPr>
      </w:pPr>
    </w:p>
    <w:p>
      <w:pPr>
        <w:keepNext/>
        <w:keepLines/>
        <w:spacing w:beforeLines="0" w:afterLines="0"/>
        <w:ind w:firstLine="640"/>
        <w:rPr>
          <w:rFonts w:hint="eastAsia" w:ascii="仿宋" w:hAnsi="仿宋" w:eastAsia="仿宋" w:cs="仿宋"/>
          <w:color w:val="auto"/>
          <w:sz w:val="28"/>
          <w:szCs w:val="28"/>
          <w:highlight w:val="white"/>
          <w:lang w:val="en-US"/>
        </w:rPr>
      </w:pPr>
      <w:r>
        <w:rPr>
          <w:rFonts w:hint="eastAsia" w:ascii="仿宋" w:hAnsi="仿宋" w:eastAsia="仿宋" w:cs="仿宋"/>
          <w:color w:val="auto"/>
          <w:sz w:val="28"/>
          <w:szCs w:val="28"/>
          <w:highlight w:val="white"/>
          <w:lang w:val="en-US"/>
        </w:rPr>
        <w:t>第五部分 附件</w:t>
      </w:r>
    </w:p>
    <w:p>
      <w:pPr>
        <w:keepNext/>
        <w:keepLines/>
        <w:spacing w:beforeLines="0" w:afterLines="0"/>
        <w:ind w:firstLine="640"/>
        <w:rPr>
          <w:rFonts w:hint="eastAsia" w:ascii="仿宋" w:hAnsi="仿宋" w:eastAsia="仿宋" w:cs="仿宋"/>
          <w:color w:val="auto"/>
          <w:sz w:val="28"/>
          <w:szCs w:val="28"/>
          <w:highlight w:val="white"/>
          <w:lang w:val="en-US"/>
        </w:rPr>
      </w:pPr>
      <w:r>
        <w:rPr>
          <w:rFonts w:hint="eastAsia" w:ascii="仿宋" w:hAnsi="仿宋" w:eastAsia="仿宋" w:cs="仿宋"/>
          <w:color w:val="auto"/>
          <w:sz w:val="28"/>
          <w:szCs w:val="28"/>
          <w:highlight w:val="white"/>
          <w:lang w:val="en-US"/>
        </w:rPr>
        <w:t>2020年度岳阳市不动产产权交易中心部门决算公开表格</w:t>
      </w:r>
    </w:p>
    <w:p>
      <w:pPr>
        <w:keepNext/>
        <w:keepLines/>
        <w:spacing w:beforeLines="0" w:afterLines="0"/>
        <w:ind w:firstLine="640"/>
        <w:rPr>
          <w:rFonts w:hint="eastAsia" w:ascii="仿宋" w:hAnsi="仿宋" w:eastAsia="仿宋" w:cs="仿宋"/>
          <w:color w:val="auto"/>
          <w:sz w:val="32"/>
          <w:szCs w:val="24"/>
          <w:highlight w:val="white"/>
          <w:lang w:val="en-US"/>
        </w:rPr>
      </w:pPr>
    </w:p>
    <w:p>
      <w:pPr>
        <w:pStyle w:val="2"/>
        <w:rPr>
          <w:rFonts w:hint="eastAsia"/>
          <w:lang w:val="en-US"/>
        </w:rPr>
      </w:pPr>
    </w:p>
    <w:p>
      <w:pPr>
        <w:shd w:val="clear" w:color="auto" w:fill="FFFFFF"/>
        <w:spacing w:line="720" w:lineRule="atLeast"/>
        <w:ind w:firstLine="300"/>
        <w:jc w:val="center"/>
        <w:rPr>
          <w:rFonts w:hint="eastAsia" w:ascii="宋体" w:hAnsi="宋体" w:cs="宋体"/>
          <w:color w:val="333333"/>
          <w:kern w:val="0"/>
          <w:sz w:val="44"/>
          <w:szCs w:val="44"/>
          <w:lang w:val="en-US" w:eastAsia="zh-CN"/>
        </w:rPr>
      </w:pPr>
      <w:r>
        <w:rPr>
          <w:rFonts w:hint="eastAsia" w:ascii="宋体" w:hAnsi="宋体" w:cs="宋体"/>
          <w:color w:val="333333"/>
          <w:kern w:val="0"/>
          <w:sz w:val="44"/>
          <w:szCs w:val="44"/>
        </w:rPr>
        <w:t>岳阳市</w:t>
      </w:r>
      <w:r>
        <w:rPr>
          <w:rFonts w:hint="eastAsia" w:ascii="宋体" w:hAnsi="宋体" w:cs="宋体"/>
          <w:color w:val="333333"/>
          <w:kern w:val="0"/>
          <w:sz w:val="44"/>
          <w:szCs w:val="44"/>
          <w:lang w:eastAsia="zh-CN"/>
        </w:rPr>
        <w:t>不动产产权交易中心</w:t>
      </w:r>
    </w:p>
    <w:p>
      <w:pPr>
        <w:shd w:val="clear" w:color="auto" w:fill="FFFFFF"/>
        <w:spacing w:line="720" w:lineRule="atLeast"/>
        <w:ind w:firstLine="300"/>
        <w:jc w:val="center"/>
        <w:rPr>
          <w:rFonts w:hint="eastAsia" w:ascii="宋体" w:hAnsi="宋体" w:cs="宋体"/>
          <w:color w:val="333333"/>
          <w:kern w:val="0"/>
          <w:sz w:val="21"/>
          <w:szCs w:val="21"/>
        </w:rPr>
      </w:pPr>
      <w:r>
        <w:rPr>
          <w:rFonts w:hint="eastAsia" w:ascii="宋体" w:hAnsi="宋体" w:cs="Times New Roman"/>
          <w:color w:val="333333"/>
          <w:kern w:val="0"/>
          <w:sz w:val="44"/>
          <w:szCs w:val="44"/>
        </w:rPr>
        <w:t>2020年部门整体支出绩效情况表</w:t>
      </w:r>
    </w:p>
    <w:p>
      <w:pPr>
        <w:shd w:val="clear" w:color="auto" w:fill="FFFFFF"/>
        <w:spacing w:line="450" w:lineRule="atLeast"/>
        <w:ind w:firstLine="544"/>
        <w:jc w:val="left"/>
        <w:rPr>
          <w:rFonts w:hint="eastAsia" w:ascii="微软雅黑" w:hAnsi="微软雅黑" w:eastAsia="微软雅黑" w:cs="宋体"/>
          <w:color w:val="333333"/>
          <w:kern w:val="0"/>
          <w:sz w:val="21"/>
          <w:szCs w:val="21"/>
        </w:rPr>
      </w:pPr>
      <w:r>
        <w:rPr>
          <w:rFonts w:hint="default" w:eastAsia="微软雅黑" w:cs="Times New Roman"/>
          <w:b/>
          <w:color w:val="333333"/>
          <w:kern w:val="0"/>
          <w:sz w:val="28"/>
          <w:szCs w:val="28"/>
        </w:rPr>
        <w:t> </w:t>
      </w:r>
    </w:p>
    <w:tbl>
      <w:tblPr>
        <w:tblStyle w:val="4"/>
        <w:tblW w:w="93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黑体" w:hAnsi="黑体" w:eastAsia="黑体" w:cs="黑体"/>
                <w:color w:val="000000"/>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人员编制</w:t>
            </w:r>
          </w:p>
        </w:tc>
        <w:tc>
          <w:tcPr>
            <w:tcW w:w="3561" w:type="dxa"/>
            <w:gridSpan w:val="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16</w:t>
            </w:r>
          </w:p>
        </w:tc>
        <w:tc>
          <w:tcPr>
            <w:tcW w:w="715"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实有人数</w:t>
            </w:r>
          </w:p>
        </w:tc>
        <w:tc>
          <w:tcPr>
            <w:tcW w:w="3464" w:type="dxa"/>
            <w:gridSpan w:val="7"/>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120"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职能职责概述</w:t>
            </w:r>
          </w:p>
        </w:tc>
        <w:tc>
          <w:tcPr>
            <w:tcW w:w="7740" w:type="dxa"/>
            <w:gridSpan w:val="18"/>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rPr>
              <w:t>主要职能是建设房地产交易网签备案系统，负责商品房和存量房买卖合同示范文本推广和备案，办理网签备案系统入网认证；负责商品房项目现售备案，负责楼盘表管理，商品房买卖合同、存量房买卖合同、房地产租赁合同、房地产抵押合同的网签备案及其变更、撤销工作；负责加强房地产中介管理，做好中介机构备案，加强存量房交易资金监管；负责落实房地产成交价格申报制度，定期组织测算各类房屋的重置价格</w:t>
            </w:r>
            <w:r>
              <w:rPr>
                <w:rFonts w:hint="eastAsia" w:ascii="仿宋_GB2312" w:hAnsi="仿宋_GB2312" w:eastAsia="仿宋_GB2312" w:cs="仿宋_GB2312"/>
                <w:color w:val="000000"/>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78"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年度主要</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工作内容</w:t>
            </w:r>
          </w:p>
        </w:tc>
        <w:tc>
          <w:tcPr>
            <w:tcW w:w="7740" w:type="dxa"/>
            <w:gridSpan w:val="18"/>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1、</w:t>
            </w:r>
            <w:r>
              <w:rPr>
                <w:rFonts w:hint="eastAsia" w:ascii="仿宋_GB2312" w:hAnsi="仿宋_GB2312" w:eastAsia="仿宋_GB2312" w:cs="仿宋_GB2312"/>
                <w:color w:val="000000"/>
                <w:sz w:val="21"/>
                <w:szCs w:val="21"/>
                <w:lang w:eastAsia="zh-CN"/>
              </w:rPr>
              <w:t>规范高效运行，扎实开展交易备案。</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2、</w:t>
            </w:r>
            <w:r>
              <w:rPr>
                <w:rFonts w:hint="eastAsia" w:ascii="仿宋_GB2312" w:hAnsi="仿宋_GB2312" w:eastAsia="仿宋_GB2312" w:cs="仿宋_GB2312"/>
                <w:color w:val="000000"/>
                <w:sz w:val="21"/>
                <w:szCs w:val="21"/>
                <w:lang w:eastAsia="zh-CN"/>
              </w:rPr>
              <w:t>促进增速提效，持续优化营商环境。</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3、</w:t>
            </w:r>
            <w:r>
              <w:rPr>
                <w:rFonts w:hint="eastAsia" w:ascii="仿宋_GB2312" w:hAnsi="仿宋_GB2312" w:eastAsia="仿宋_GB2312" w:cs="仿宋_GB2312"/>
                <w:color w:val="000000"/>
                <w:sz w:val="21"/>
                <w:szCs w:val="21"/>
                <w:lang w:eastAsia="zh-CN"/>
              </w:rPr>
              <w:t>实行多措并举，逐步加强市场监管。</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lang w:eastAsia="zh-CN"/>
              </w:rPr>
              <w:t>全员高度重视，扎实做好疫情防控。</w:t>
            </w:r>
          </w:p>
          <w:p>
            <w:pPr>
              <w:autoSpaceDN w:val="0"/>
              <w:spacing w:line="320" w:lineRule="exact"/>
              <w:jc w:val="left"/>
              <w:textAlignment w:val="center"/>
              <w:rPr>
                <w:rFonts w:hint="eastAsia"/>
                <w:b/>
                <w:bCs/>
                <w:lang w:eastAsia="zh-CN"/>
              </w:rPr>
            </w:pPr>
            <w:r>
              <w:rPr>
                <w:rFonts w:hint="eastAsia" w:ascii="仿宋_GB2312" w:hAnsi="仿宋_GB2312" w:eastAsia="仿宋_GB2312" w:cs="仿宋_GB2312"/>
                <w:color w:val="000000"/>
                <w:sz w:val="21"/>
                <w:szCs w:val="21"/>
                <w:lang w:val="en-US" w:eastAsia="zh-CN"/>
              </w:rPr>
              <w:t>5、</w:t>
            </w:r>
            <w:r>
              <w:rPr>
                <w:rFonts w:hint="eastAsia" w:ascii="仿宋_GB2312" w:hAnsi="仿宋_GB2312" w:eastAsia="仿宋_GB2312" w:cs="仿宋_GB2312"/>
                <w:color w:val="000000"/>
                <w:sz w:val="21"/>
                <w:szCs w:val="21"/>
                <w:lang w:eastAsia="zh-CN"/>
              </w:rPr>
              <w:t>提高政治站位，聚力开展党建工作。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515"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szCs w:val="24"/>
              </w:rPr>
            </w:pPr>
            <w:r>
              <w:rPr>
                <w:rFonts w:hint="eastAsia" w:ascii="仿宋_GB2312" w:hAnsi="仿宋_GB2312" w:eastAsia="仿宋_GB2312" w:cs="仿宋_GB2312"/>
                <w:color w:val="000000"/>
                <w:spacing w:val="-6"/>
                <w:sz w:val="24"/>
                <w:szCs w:val="24"/>
              </w:rPr>
              <w:t>总体运行情况及取得的成绩</w:t>
            </w:r>
          </w:p>
        </w:tc>
        <w:tc>
          <w:tcPr>
            <w:tcW w:w="7740" w:type="dxa"/>
            <w:gridSpan w:val="18"/>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1、全市中心城区共办理各类房屋备案27192件，其中新建商品房交易备案22040起，面积258万m2，存量房交易备案5152起，面积52万m2，签订存量房网签合同5409份。</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以优化营商环境为目标，依托两个交易备案实体大厅和网上平台，持续开展“互联网+”模式，推行房屋交易网签备案智能化办理。</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2、积极推进“交房即交证”试点工作；开展存量房网签点授权；配合开展系统建设；加强房地产市场管理；积极处理涉房纠纷；积极化解涉房遗留问题。</w:t>
            </w:r>
          </w:p>
          <w:p>
            <w:pPr>
              <w:autoSpaceDN w:val="0"/>
              <w:spacing w:line="320" w:lineRule="exact"/>
              <w:jc w:val="left"/>
              <w:textAlignment w:val="center"/>
              <w:rPr>
                <w:rFonts w:hint="default"/>
                <w:lang w:val="en-US" w:eastAsia="zh-CN"/>
              </w:rPr>
            </w:pPr>
            <w:r>
              <w:rPr>
                <w:rFonts w:hint="eastAsia" w:ascii="仿宋_GB2312" w:hAnsi="仿宋_GB2312" w:eastAsia="仿宋_GB2312" w:cs="仿宋_GB2312"/>
                <w:color w:val="000000"/>
                <w:sz w:val="21"/>
                <w:szCs w:val="21"/>
                <w:lang w:val="en-US" w:eastAsia="zh-CN"/>
              </w:rPr>
              <w:t>3、</w:t>
            </w:r>
            <w:r>
              <w:rPr>
                <w:rFonts w:hint="default" w:ascii="仿宋_GB2312" w:hAnsi="仿宋_GB2312" w:eastAsia="仿宋_GB2312" w:cs="仿宋_GB2312"/>
                <w:color w:val="000000"/>
                <w:sz w:val="21"/>
                <w:szCs w:val="21"/>
                <w:lang w:val="en-US" w:eastAsia="zh-CN"/>
              </w:rPr>
              <w:t>随着新冠肺炎疫情的控制和复工复产工作的推进，我中心积极引导中介企业有序复工复产，要求中介机构要进行全面消杀，做好防控、排查和内部管理工作，并向有看房要求的客户优先推荐网上看房等。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color w:val="000000"/>
                <w:sz w:val="24"/>
                <w:szCs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收入合计</w:t>
            </w:r>
          </w:p>
        </w:tc>
        <w:tc>
          <w:tcPr>
            <w:tcW w:w="7740" w:type="dxa"/>
            <w:gridSpan w:val="18"/>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654" w:type="dxa"/>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548"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上年结转</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公共财</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政拨款</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政府基金拨款</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纳入专户管理的非税收入</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拨款</w:t>
            </w:r>
          </w:p>
        </w:tc>
        <w:tc>
          <w:tcPr>
            <w:tcW w:w="1548"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54" w:hRule="atLeast"/>
          <w:jc w:val="center"/>
        </w:trPr>
        <w:tc>
          <w:tcPr>
            <w:tcW w:w="1654"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307.97</w:t>
            </w:r>
          </w:p>
        </w:tc>
        <w:tc>
          <w:tcPr>
            <w:tcW w:w="1548"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64.39</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132.94</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548"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110.65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color w:val="000000"/>
                <w:sz w:val="24"/>
                <w:szCs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6" w:hRule="atLeast"/>
          <w:jc w:val="center"/>
        </w:trPr>
        <w:tc>
          <w:tcPr>
            <w:tcW w:w="1700" w:type="dxa"/>
            <w:gridSpan w:val="2"/>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支出合计</w:t>
            </w:r>
          </w:p>
        </w:tc>
        <w:tc>
          <w:tcPr>
            <w:tcW w:w="1419" w:type="dxa"/>
            <w:gridSpan w:val="2"/>
            <w:vMerge w:val="restart"/>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基本支出</w:t>
            </w:r>
          </w:p>
        </w:tc>
        <w:tc>
          <w:tcPr>
            <w:tcW w:w="2811" w:type="dxa"/>
            <w:gridSpan w:val="8"/>
            <w:tcBorders>
              <w:top w:val="single" w:color="000000" w:sz="4" w:space="0"/>
              <w:left w:val="single" w:color="auto" w:sz="4" w:space="0"/>
              <w:bottom w:val="single" w:color="auto"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1413" w:type="dxa"/>
            <w:gridSpan w:val="3"/>
            <w:vMerge w:val="restart"/>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项目支出</w:t>
            </w:r>
          </w:p>
        </w:tc>
        <w:tc>
          <w:tcPr>
            <w:tcW w:w="2051" w:type="dxa"/>
            <w:gridSpan w:val="4"/>
            <w:tcBorders>
              <w:top w:val="single" w:color="000000" w:sz="4" w:space="0"/>
              <w:left w:val="single" w:color="auto" w:sz="4" w:space="0"/>
              <w:bottom w:val="single" w:color="auto"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00" w:type="dxa"/>
            <w:gridSpan w:val="2"/>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419" w:type="dxa"/>
            <w:gridSpan w:val="2"/>
            <w:vMerge w:val="continue"/>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401" w:type="dxa"/>
            <w:gridSpan w:val="4"/>
            <w:tcBorders>
              <w:top w:val="single" w:color="auto"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人员支出</w:t>
            </w:r>
          </w:p>
        </w:tc>
        <w:tc>
          <w:tcPr>
            <w:tcW w:w="1410" w:type="dxa"/>
            <w:gridSpan w:val="4"/>
            <w:tcBorders>
              <w:top w:val="single" w:color="auto"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公用支出</w:t>
            </w:r>
          </w:p>
        </w:tc>
        <w:tc>
          <w:tcPr>
            <w:tcW w:w="1413" w:type="dxa"/>
            <w:gridSpan w:val="3"/>
            <w:vMerge w:val="continue"/>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61" w:type="dxa"/>
            <w:gridSpan w:val="3"/>
            <w:tcBorders>
              <w:top w:val="single" w:color="auto"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当年结余</w:t>
            </w:r>
          </w:p>
        </w:tc>
        <w:tc>
          <w:tcPr>
            <w:tcW w:w="990" w:type="dxa"/>
            <w:tcBorders>
              <w:top w:val="single" w:color="auto"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24" w:hRule="atLeast"/>
          <w:jc w:val="center"/>
        </w:trPr>
        <w:tc>
          <w:tcPr>
            <w:tcW w:w="1700" w:type="dxa"/>
            <w:gridSpan w:val="2"/>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306.88</w:t>
            </w:r>
          </w:p>
        </w:tc>
        <w:tc>
          <w:tcPr>
            <w:tcW w:w="1410" w:type="dxa"/>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306.88</w:t>
            </w:r>
          </w:p>
        </w:tc>
        <w:tc>
          <w:tcPr>
            <w:tcW w:w="1410"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119.77</w:t>
            </w:r>
          </w:p>
        </w:tc>
        <w:tc>
          <w:tcPr>
            <w:tcW w:w="141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13.12</w:t>
            </w:r>
          </w:p>
        </w:tc>
        <w:tc>
          <w:tcPr>
            <w:tcW w:w="1413" w:type="dxa"/>
            <w:gridSpan w:val="3"/>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061" w:type="dxa"/>
            <w:gridSpan w:val="3"/>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both"/>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990" w:type="dxa"/>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三公经费合计</w:t>
            </w:r>
          </w:p>
        </w:tc>
        <w:tc>
          <w:tcPr>
            <w:tcW w:w="7694" w:type="dxa"/>
            <w:gridSpan w:val="17"/>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23"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公务接待费</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公务用车运维费</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公务用车购置费</w:t>
            </w:r>
          </w:p>
        </w:tc>
        <w:tc>
          <w:tcPr>
            <w:tcW w:w="1925"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24" w:hRule="atLeast"/>
          <w:jc w:val="center"/>
        </w:trPr>
        <w:tc>
          <w:tcPr>
            <w:tcW w:w="1700" w:type="dxa"/>
            <w:gridSpan w:val="2"/>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923"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925"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固定资产合计</w:t>
            </w:r>
          </w:p>
        </w:tc>
        <w:tc>
          <w:tcPr>
            <w:tcW w:w="5331" w:type="dxa"/>
            <w:gridSpan w:val="12"/>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2363" w:type="dxa"/>
            <w:gridSpan w:val="5"/>
            <w:vMerge w:val="restart"/>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665" w:type="dxa"/>
            <w:gridSpan w:val="5"/>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在用固定资产</w:t>
            </w:r>
          </w:p>
        </w:tc>
        <w:tc>
          <w:tcPr>
            <w:tcW w:w="2666" w:type="dxa"/>
            <w:gridSpan w:val="7"/>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出租固定资产</w:t>
            </w:r>
          </w:p>
        </w:tc>
        <w:tc>
          <w:tcPr>
            <w:tcW w:w="2363" w:type="dxa"/>
            <w:gridSpan w:val="5"/>
            <w:vMerge w:val="continue"/>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49" w:hRule="atLeast"/>
          <w:jc w:val="center"/>
        </w:trPr>
        <w:tc>
          <w:tcPr>
            <w:tcW w:w="1700" w:type="dxa"/>
            <w:gridSpan w:val="2"/>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571.81</w:t>
            </w:r>
          </w:p>
        </w:tc>
        <w:tc>
          <w:tcPr>
            <w:tcW w:w="2665" w:type="dxa"/>
            <w:gridSpan w:val="5"/>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571.81</w:t>
            </w:r>
          </w:p>
        </w:tc>
        <w:tc>
          <w:tcPr>
            <w:tcW w:w="2666" w:type="dxa"/>
            <w:gridSpan w:val="7"/>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2363" w:type="dxa"/>
            <w:gridSpan w:val="5"/>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bookmarkStart w:id="0" w:name="_GoBack"/>
            <w:bookmarkEnd w:id="0"/>
          </w:p>
        </w:tc>
      </w:tr>
    </w:tbl>
    <w:p>
      <w:pPr>
        <w:keepNext/>
        <w:keepLines/>
        <w:spacing w:beforeLines="0" w:afterLines="0"/>
        <w:ind w:firstLine="640"/>
        <w:rPr>
          <w:rFonts w:hint="eastAsia" w:ascii="仿宋" w:hAnsi="仿宋" w:eastAsia="仿宋" w:cs="仿宋"/>
          <w:color w:val="auto"/>
          <w:sz w:val="32"/>
          <w:szCs w:val="24"/>
          <w:highlight w:val="white"/>
          <w:lang w:val="en-US"/>
        </w:rPr>
      </w:pPr>
    </w:p>
    <w:p/>
    <w:sectPr>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D195D3"/>
    <w:multiLevelType w:val="multilevel"/>
    <w:tmpl w:val="89D195D3"/>
    <w:lvl w:ilvl="0" w:tentative="0">
      <w:start w:val="4"/>
      <w:numFmt w:val="chineseCounting"/>
      <w:suff w:val="space"/>
      <w:lvlText w:val="第%1部分"/>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1">
    <w:nsid w:val="4B1C098F"/>
    <w:multiLevelType w:val="multilevel"/>
    <w:tmpl w:val="4B1C098F"/>
    <w:lvl w:ilvl="0" w:tentative="0">
      <w:start w:val="1"/>
      <w:numFmt w:val="chineseCounting"/>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A0119D"/>
    <w:rsid w:val="1809055C"/>
    <w:rsid w:val="29AF1A5C"/>
    <w:rsid w:val="2BE02ACA"/>
    <w:rsid w:val="2EFE3E02"/>
    <w:rsid w:val="37533A8E"/>
    <w:rsid w:val="4A0337FF"/>
    <w:rsid w:val="54D074D8"/>
    <w:rsid w:val="55830897"/>
    <w:rsid w:val="5691613F"/>
    <w:rsid w:val="5AD938A2"/>
    <w:rsid w:val="61384800"/>
    <w:rsid w:val="621C77AC"/>
    <w:rsid w:val="68191E5A"/>
    <w:rsid w:val="6C8859AD"/>
    <w:rsid w:val="760B4F58"/>
    <w:rsid w:val="76894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uiPriority w:val="0"/>
    <w:pPr>
      <w:spacing w:beforeLines="0" w:afterLines="0"/>
      <w:jc w:val="both"/>
    </w:pPr>
    <w:rPr>
      <w:rFonts w:hint="default" w:ascii="Times New Roman" w:hAnsi="Times New Roman" w:eastAsia="宋体" w:cs="Times New Roman"/>
      <w:kern w:val="2"/>
      <w:sz w:val="21"/>
      <w:szCs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Default"/>
    <w:unhideWhenUsed/>
    <w:qFormat/>
    <w:uiPriority w:val="0"/>
    <w:pPr>
      <w:widowControl w:val="0"/>
      <w:autoSpaceDE w:val="0"/>
      <w:autoSpaceDN w:val="0"/>
      <w:adjustRightInd w:val="0"/>
      <w:spacing w:beforeLines="0" w:afterLines="0"/>
    </w:pPr>
    <w:rPr>
      <w:rFonts w:hint="eastAsia"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2022-04-25T02:28:00Z</dcterms:created>
  <dc:creator>Administrator</dc:creator>
  <cp:lastModifiedBy>Pan</cp:lastModifiedBy>
  <dcterms:modified xsi:type="dcterms:W3CDTF">2022-06-14T00:57:01Z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4B4BCDDB9B3E470B96B86D042E9702C3</vt:lpwstr>
  </property>
</Properties>
</file>