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eastAsia="黑体"/>
          <w:sz w:val="56"/>
          <w:szCs w:val="56"/>
          <w:lang w:val="en-US" w:eastAsia="zh-CN"/>
        </w:rPr>
      </w:pPr>
      <w:r>
        <w:rPr>
          <w:rFonts w:hint="eastAsia"/>
          <w:sz w:val="56"/>
          <w:szCs w:val="56"/>
          <w:lang w:val="en-US" w:eastAsia="zh-CN"/>
        </w:rPr>
        <w:t xml:space="preserve"> </w:t>
      </w: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lang w:eastAsia="zh-CN"/>
        </w:rPr>
        <w:t>岳阳市生态环境局南湖新区分局</w:t>
      </w: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keepNext w:val="0"/>
        <w:keepLines w:val="0"/>
        <w:pageBreakBefore w:val="0"/>
        <w:widowControl w:val="0"/>
        <w:kinsoku/>
        <w:wordWrap/>
        <w:overflowPunct/>
        <w:topLinePunct w:val="0"/>
        <w:bidi w:val="0"/>
        <w:snapToGrid/>
        <w:spacing w:line="480" w:lineRule="exact"/>
        <w:jc w:val="center"/>
        <w:textAlignment w:val="auto"/>
        <w:rPr>
          <w:b/>
          <w:sz w:val="36"/>
          <w:szCs w:val="28"/>
        </w:rPr>
      </w:pPr>
      <w:r>
        <w:rPr>
          <w:rFonts w:hint="eastAsia"/>
          <w:b/>
          <w:sz w:val="36"/>
          <w:szCs w:val="28"/>
        </w:rPr>
        <w:t>目录</w:t>
      </w:r>
    </w:p>
    <w:p>
      <w:pPr>
        <w:pStyle w:val="10"/>
        <w:keepNext w:val="0"/>
        <w:keepLines w:val="0"/>
        <w:pageBreakBefore w:val="0"/>
        <w:widowControl w:val="0"/>
        <w:kinsoku/>
        <w:wordWrap/>
        <w:overflowPunct/>
        <w:topLinePunct w:val="0"/>
        <w:bidi w:val="0"/>
        <w:snapToGrid/>
        <w:spacing w:line="480" w:lineRule="exact"/>
        <w:ind w:firstLine="562" w:firstLineChars="200"/>
        <w:textAlignment w:val="auto"/>
        <w:rPr>
          <w:rFonts w:ascii="仿宋_GB2312" w:hAnsi="仿宋_GB2312" w:cs="仿宋_GB2312"/>
          <w:b/>
          <w:sz w:val="28"/>
          <w:szCs w:val="28"/>
        </w:rPr>
      </w:pPr>
      <w:r>
        <w:rPr>
          <w:rFonts w:hint="eastAsia"/>
          <w:b/>
          <w:sz w:val="28"/>
          <w:szCs w:val="28"/>
        </w:rPr>
        <w:t>第一部分</w:t>
      </w:r>
      <w:r>
        <w:rPr>
          <w:rFonts w:hint="eastAsia"/>
          <w:b/>
          <w:sz w:val="28"/>
          <w:szCs w:val="28"/>
          <w:lang w:eastAsia="zh-CN"/>
        </w:rPr>
        <w:t>岳阳市生态环境局南湖新区分局</w:t>
      </w:r>
      <w:r>
        <w:rPr>
          <w:rFonts w:hint="eastAsia"/>
          <w:b/>
          <w:sz w:val="28"/>
          <w:szCs w:val="28"/>
        </w:rPr>
        <w:t>单位概况</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keepNext w:val="0"/>
        <w:keepLines w:val="0"/>
        <w:pageBreakBefore w:val="0"/>
        <w:widowControl w:val="0"/>
        <w:kinsoku/>
        <w:wordWrap/>
        <w:overflowPunct/>
        <w:topLinePunct w:val="0"/>
        <w:bidi w:val="0"/>
        <w:snapToGrid/>
        <w:spacing w:line="480" w:lineRule="exact"/>
        <w:ind w:firstLine="562" w:firstLineChars="200"/>
        <w:textAlignment w:val="auto"/>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keepNext w:val="0"/>
        <w:keepLines w:val="0"/>
        <w:pageBreakBefore w:val="0"/>
        <w:widowControl w:val="0"/>
        <w:kinsoku/>
        <w:wordWrap/>
        <w:overflowPunct/>
        <w:topLinePunct w:val="0"/>
        <w:bidi w:val="0"/>
        <w:snapToGrid/>
        <w:spacing w:line="480" w:lineRule="exact"/>
        <w:ind w:firstLine="562" w:firstLineChars="200"/>
        <w:textAlignment w:val="auto"/>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jc w:val="left"/>
        <w:textAlignment w:val="auto"/>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jc w:val="left"/>
        <w:textAlignment w:val="auto"/>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r>
        <w:rPr>
          <w:rFonts w:hint="eastAsia"/>
          <w:sz w:val="84"/>
          <w:szCs w:val="84"/>
          <w:lang w:eastAsia="zh-CN"/>
        </w:rPr>
        <w:t>岳阳市生态环境局南湖新区分局</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numPr>
          <w:ilvl w:val="0"/>
          <w:numId w:val="0"/>
        </w:numPr>
        <w:ind w:leftChars="0" w:firstLine="640" w:firstLineChars="200"/>
        <w:jc w:val="left"/>
        <w:rPr>
          <w:rFonts w:hint="eastAsia" w:ascii="黑体" w:hAnsi="黑体" w:eastAsia="黑体"/>
          <w:sz w:val="32"/>
          <w:szCs w:val="32"/>
          <w:lang w:eastAsia="zh-CN"/>
        </w:rPr>
      </w:pPr>
    </w:p>
    <w:p>
      <w:pPr>
        <w:pStyle w:val="11"/>
        <w:numPr>
          <w:ilvl w:val="0"/>
          <w:numId w:val="0"/>
        </w:numPr>
        <w:ind w:leftChars="0" w:firstLine="640" w:firstLineChars="200"/>
        <w:jc w:val="left"/>
        <w:rPr>
          <w:rFonts w:hint="eastAsia" w:ascii="黑体" w:hAnsi="黑体" w:eastAsia="黑体"/>
          <w:sz w:val="32"/>
          <w:szCs w:val="32"/>
          <w:lang w:eastAsia="zh-CN"/>
        </w:rPr>
      </w:pPr>
    </w:p>
    <w:p>
      <w:pPr>
        <w:pStyle w:val="11"/>
        <w:numPr>
          <w:ilvl w:val="0"/>
          <w:numId w:val="0"/>
        </w:numPr>
        <w:ind w:leftChars="0" w:firstLine="640" w:firstLineChars="200"/>
        <w:jc w:val="left"/>
        <w:rPr>
          <w:rFonts w:ascii="黑体" w:hAnsi="黑体" w:eastAsia="黑体"/>
          <w:sz w:val="32"/>
          <w:szCs w:val="32"/>
        </w:rPr>
      </w:pPr>
      <w:r>
        <w:rPr>
          <w:rFonts w:hint="eastAsia" w:ascii="黑体" w:hAnsi="黑体" w:eastAsia="黑体"/>
          <w:sz w:val="32"/>
          <w:szCs w:val="32"/>
          <w:lang w:eastAsia="zh-CN"/>
        </w:rPr>
        <w:t>一、</w:t>
      </w:r>
      <w:r>
        <w:rPr>
          <w:rFonts w:ascii="黑体" w:hAnsi="黑体" w:eastAsia="黑体"/>
          <w:sz w:val="32"/>
          <w:szCs w:val="32"/>
        </w:rPr>
        <w:t>部门职责</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受岳阳市生态环境局委托,主要是贯彻落实环境保护政策，执行国家环保法律法规。负责辖区内环境规划、环境管理、环境宣传教育、环境监察等工作。</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0" w:firstLineChars="200"/>
        <w:rPr>
          <w:rFonts w:asciiTheme="minorEastAsia" w:hAnsiTheme="minorEastAsia"/>
          <w:bCs/>
          <w:kern w:val="0"/>
          <w:sz w:val="32"/>
          <w:szCs w:val="32"/>
        </w:rPr>
      </w:pPr>
      <w:r>
        <w:rPr>
          <w:rFonts w:hint="eastAsia" w:ascii="仿宋_GB2312" w:hAnsi="仿宋_GB2312" w:eastAsia="仿宋_GB2312" w:cs="仿宋_GB2312"/>
          <w:bCs/>
          <w:kern w:val="0"/>
          <w:sz w:val="32"/>
          <w:szCs w:val="32"/>
        </w:rPr>
        <w:t>（一）内设机构设置。</w:t>
      </w:r>
      <w:r>
        <w:rPr>
          <w:rFonts w:hint="eastAsia" w:ascii="仿宋_GB2312" w:hAnsi="仿宋_GB2312" w:eastAsia="仿宋_GB2312" w:cs="仿宋_GB2312"/>
          <w:bCs/>
          <w:kern w:val="0"/>
          <w:sz w:val="32"/>
          <w:szCs w:val="32"/>
          <w:lang w:eastAsia="zh-CN"/>
        </w:rPr>
        <w:t>岳阳市生态环境局南湖新区分局</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kern w:val="0"/>
          <w:sz w:val="32"/>
          <w:szCs w:val="32"/>
        </w:rPr>
        <w:t>独立编制、核算机构数1个，核定编制数为10人，现在实有编制人员</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人，为岳阳市生态环境局的派出机构。下设</w:t>
      </w:r>
      <w:r>
        <w:rPr>
          <w:rFonts w:hint="eastAsia" w:ascii="仿宋_GB2312" w:hAnsi="仿宋_GB2312" w:eastAsia="仿宋_GB2312" w:cs="仿宋_GB2312"/>
          <w:kern w:val="0"/>
          <w:sz w:val="32"/>
          <w:szCs w:val="32"/>
          <w:lang w:eastAsia="zh-CN"/>
        </w:rPr>
        <w:t>股</w:t>
      </w:r>
      <w:r>
        <w:rPr>
          <w:rFonts w:hint="eastAsia" w:ascii="仿宋_GB2312" w:hAnsi="仿宋_GB2312" w:eastAsia="仿宋_GB2312" w:cs="仿宋_GB2312"/>
          <w:kern w:val="0"/>
          <w:sz w:val="32"/>
          <w:szCs w:val="32"/>
        </w:rPr>
        <w:t>室：办公室、管理股、监察大队。</w:t>
      </w:r>
    </w:p>
    <w:p>
      <w:pPr>
        <w:widowControl/>
        <w:spacing w:line="600" w:lineRule="exact"/>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（二）决算单位构成。</w:t>
      </w:r>
      <w:r>
        <w:rPr>
          <w:rFonts w:hint="eastAsia" w:ascii="仿宋_GB2312" w:hAnsi="仿宋_GB2312" w:eastAsia="仿宋_GB2312" w:cs="仿宋_GB2312"/>
          <w:bCs/>
          <w:kern w:val="0"/>
          <w:sz w:val="32"/>
          <w:szCs w:val="32"/>
          <w:lang w:eastAsia="zh-CN"/>
        </w:rPr>
        <w:t>岳阳市生态环境局南湖新区分局。</w:t>
      </w:r>
    </w:p>
    <w:p>
      <w:pPr>
        <w:jc w:val="left"/>
        <w:rPr>
          <w:rFonts w:hint="eastAsia" w:ascii="仿宋_GB2312" w:hAnsi="仿宋_GB2312" w:eastAsia="仿宋_GB2312" w:cs="仿宋_GB2312"/>
          <w:sz w:val="32"/>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rFonts w:hint="default" w:asciiTheme="minorEastAsia" w:hAnsiTheme="minorEastAsia"/>
          <w:sz w:val="32"/>
          <w:szCs w:val="32"/>
          <w:lang w:val="en-US"/>
        </w:rPr>
        <w:sectPr>
          <w:pgSz w:w="11906" w:h="16838"/>
          <w:pgMar w:top="720" w:right="720" w:bottom="720" w:left="720" w:header="851" w:footer="992" w:gutter="0"/>
          <w:cols w:space="425" w:num="1"/>
          <w:docGrid w:type="lines" w:linePitch="312" w:charSpace="0"/>
        </w:sectPr>
      </w:pPr>
      <w:r>
        <w:rPr>
          <w:rFonts w:hint="eastAsia"/>
          <w:sz w:val="72"/>
          <w:szCs w:val="72"/>
        </w:rPr>
        <w:t>部门决算表</w:t>
      </w:r>
      <w:r>
        <w:rPr>
          <w:rFonts w:hint="eastAsia"/>
          <w:sz w:val="72"/>
          <w:szCs w:val="72"/>
          <w:lang w:eastAsia="zh-CN"/>
        </w:rPr>
        <w:t>（见附表</w:t>
      </w:r>
      <w:r>
        <w:rPr>
          <w:rFonts w:hint="eastAsia"/>
          <w:sz w:val="72"/>
          <w:szCs w:val="72"/>
          <w:lang w:val="en-US" w:eastAsia="zh-CN"/>
        </w:rPr>
        <w:t>1）</w:t>
      </w:r>
    </w:p>
    <w:p>
      <w:pPr>
        <w:pStyle w:val="10"/>
        <w:jc w:val="center"/>
        <w:rPr>
          <w:sz w:val="72"/>
          <w:szCs w:val="72"/>
        </w:rPr>
      </w:pPr>
      <w:bookmarkStart w:id="0" w:name="RANGE!A1:I22"/>
      <w:bookmarkEnd w:id="0"/>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ind w:firstLine="640" w:firstLineChars="200"/>
        <w:rPr>
          <w:rFonts w:hAnsi="黑体"/>
          <w:b/>
          <w:sz w:val="32"/>
          <w:szCs w:val="32"/>
        </w:rPr>
      </w:pPr>
      <w:r>
        <w:rPr>
          <w:rFonts w:hint="eastAsia" w:hAnsi="黑体"/>
          <w:b/>
          <w:sz w:val="32"/>
          <w:szCs w:val="32"/>
        </w:rPr>
        <w:t>一、收入支出决算总体情况说明</w:t>
      </w:r>
    </w:p>
    <w:p>
      <w:pPr>
        <w:pStyle w:val="1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2020年度收、支总计</w:t>
      </w:r>
      <w:r>
        <w:rPr>
          <w:rFonts w:hint="eastAsia" w:ascii="仿宋_GB2312" w:hAnsi="仿宋_GB2312" w:eastAsia="仿宋_GB2312" w:cs="仿宋_GB2312"/>
          <w:sz w:val="32"/>
          <w:szCs w:val="32"/>
          <w:lang w:val="en-US" w:eastAsia="zh-CN"/>
        </w:rPr>
        <w:t>308.08</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5.38</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1.72</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：从严控制经费支出，全年支出比上年有所压减，历行节约的宗旨</w:t>
      </w:r>
      <w:r>
        <w:rPr>
          <w:rFonts w:hint="eastAsia" w:ascii="仿宋_GB2312" w:hAnsi="仿宋_GB2312" w:eastAsia="仿宋_GB2312" w:cs="仿宋_GB2312"/>
          <w:sz w:val="32"/>
          <w:szCs w:val="32"/>
        </w:rPr>
        <w:t>。</w:t>
      </w:r>
    </w:p>
    <w:p>
      <w:pPr>
        <w:pStyle w:val="10"/>
        <w:ind w:firstLine="640" w:firstLineChars="200"/>
        <w:rPr>
          <w:rFonts w:hAnsi="黑体"/>
          <w:b/>
          <w:sz w:val="32"/>
          <w:szCs w:val="32"/>
        </w:rPr>
      </w:pPr>
      <w:r>
        <w:rPr>
          <w:rFonts w:hint="eastAsia" w:hAnsi="黑体"/>
          <w:b/>
          <w:sz w:val="32"/>
          <w:szCs w:val="32"/>
        </w:rPr>
        <w:t>二、收入决算情况说明</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本年收入合计</w:t>
      </w:r>
      <w:r>
        <w:rPr>
          <w:rFonts w:hint="eastAsia" w:ascii="仿宋_GB2312" w:hAnsi="仿宋_GB2312" w:eastAsia="仿宋_GB2312" w:cs="仿宋_GB2312"/>
          <w:sz w:val="32"/>
          <w:szCs w:val="32"/>
          <w:lang w:val="en-US" w:eastAsia="zh-CN"/>
        </w:rPr>
        <w:t>293.33</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133.26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45.43</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160.07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54.57</w:t>
      </w:r>
      <w:r>
        <w:rPr>
          <w:rFonts w:hint="eastAsia" w:ascii="仿宋_GB2312" w:hAnsi="仿宋_GB2312" w:eastAsia="仿宋_GB2312" w:cs="仿宋_GB2312"/>
          <w:sz w:val="32"/>
          <w:szCs w:val="32"/>
        </w:rPr>
        <w:t>%。</w:t>
      </w:r>
    </w:p>
    <w:p>
      <w:pPr>
        <w:pStyle w:val="10"/>
        <w:ind w:firstLine="640" w:firstLineChars="200"/>
        <w:rPr>
          <w:rFonts w:hAnsi="黑体"/>
          <w:b/>
          <w:sz w:val="32"/>
          <w:szCs w:val="32"/>
        </w:rPr>
      </w:pPr>
      <w:r>
        <w:rPr>
          <w:rFonts w:hint="eastAsia" w:hAnsi="黑体"/>
          <w:b/>
          <w:sz w:val="32"/>
          <w:szCs w:val="32"/>
        </w:rPr>
        <w:t>三、支出决算情况说明</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本年支出合计</w:t>
      </w:r>
      <w:r>
        <w:rPr>
          <w:rFonts w:hint="eastAsia" w:ascii="仿宋_GB2312" w:hAnsi="仿宋_GB2312" w:eastAsia="仿宋_GB2312" w:cs="仿宋_GB2312"/>
          <w:sz w:val="32"/>
          <w:szCs w:val="32"/>
          <w:lang w:val="en-US" w:eastAsia="zh-CN"/>
        </w:rPr>
        <w:t>210.48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208.18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98.91</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1.09</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0"/>
        <w:ind w:firstLine="640" w:firstLineChars="200"/>
        <w:rPr>
          <w:rFonts w:hAnsi="黑体"/>
          <w:b/>
          <w:sz w:val="32"/>
          <w:szCs w:val="32"/>
        </w:rPr>
      </w:pPr>
      <w:r>
        <w:rPr>
          <w:rFonts w:hint="eastAsia" w:hAnsi="黑体"/>
          <w:b/>
          <w:sz w:val="32"/>
          <w:szCs w:val="32"/>
        </w:rPr>
        <w:t>四、财政拨款收入支出决算总体情况说明</w:t>
      </w:r>
    </w:p>
    <w:p>
      <w:pPr>
        <w:pStyle w:val="1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w:t>
      </w:r>
      <w:r>
        <w:rPr>
          <w:rFonts w:hint="eastAsia" w:ascii="仿宋_GB2312" w:hAnsi="仿宋_GB2312" w:eastAsia="仿宋_GB2312" w:cs="仿宋_GB2312"/>
          <w:sz w:val="32"/>
          <w:szCs w:val="32"/>
        </w:rPr>
        <w:t>2020年度财政拨款收、支总计</w:t>
      </w:r>
      <w:r>
        <w:rPr>
          <w:rFonts w:hint="eastAsia" w:ascii="仿宋_GB2312" w:hAnsi="仿宋_GB2312" w:eastAsia="仿宋_GB2312" w:cs="仿宋_GB2312"/>
          <w:sz w:val="32"/>
          <w:szCs w:val="32"/>
          <w:lang w:val="en-US" w:eastAsia="zh-CN"/>
        </w:rPr>
        <w:t>135.56</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3.82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人员经费增加。</w:t>
      </w:r>
    </w:p>
    <w:p>
      <w:pPr>
        <w:pStyle w:val="10"/>
        <w:ind w:firstLine="640" w:firstLineChars="20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2020年度财政拨款支出</w:t>
      </w:r>
      <w:r>
        <w:rPr>
          <w:rFonts w:hint="eastAsia" w:ascii="仿宋_GB2312" w:hAnsi="仿宋_GB2312" w:eastAsia="仿宋_GB2312" w:cs="仿宋_GB2312"/>
          <w:sz w:val="32"/>
          <w:szCs w:val="32"/>
          <w:lang w:val="en-US" w:eastAsia="zh-CN"/>
        </w:rPr>
        <w:t>130.30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61.91</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1.44</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1.09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收入减少。</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2020年度财政拨款支出</w:t>
      </w:r>
      <w:r>
        <w:rPr>
          <w:rFonts w:hint="eastAsia" w:ascii="仿宋_GB2312" w:hAnsi="仿宋_GB2312" w:eastAsia="仿宋_GB2312" w:cs="仿宋_GB2312"/>
          <w:sz w:val="32"/>
          <w:szCs w:val="32"/>
          <w:lang w:val="en-US" w:eastAsia="zh-CN"/>
        </w:rPr>
        <w:t>130.30</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lang w:val="en-US" w:eastAsia="zh-CN"/>
        </w:rPr>
        <w:t>6.69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lang w:val="en-US" w:eastAsia="zh-CN"/>
        </w:rPr>
        <w:t>2.91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节能环保支出</w:t>
      </w:r>
      <w:r>
        <w:rPr>
          <w:rFonts w:hint="eastAsia" w:ascii="仿宋_GB2312" w:hAnsi="仿宋_GB2312" w:eastAsia="仿宋_GB2312" w:cs="仿宋_GB2312"/>
          <w:sz w:val="32"/>
          <w:szCs w:val="32"/>
          <w:lang w:val="en-US" w:eastAsia="zh-CN"/>
        </w:rPr>
        <w:t>120.70万元，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92.64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2020年度财政拨款支出年初预算数为</w:t>
      </w:r>
      <w:r>
        <w:rPr>
          <w:rFonts w:hint="eastAsia" w:ascii="仿宋_GB2312" w:hAnsi="仿宋_GB2312" w:eastAsia="仿宋_GB2312" w:cs="仿宋_GB2312"/>
          <w:sz w:val="32"/>
          <w:szCs w:val="32"/>
          <w:lang w:val="en-US" w:eastAsia="zh-CN"/>
        </w:rPr>
        <w:t>133.26</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130.30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97.78</w:t>
      </w:r>
      <w:r>
        <w:rPr>
          <w:rFonts w:hint="eastAsia" w:ascii="仿宋_GB2312" w:hAnsi="仿宋_GB2312" w:eastAsia="仿宋_GB2312" w:cs="仿宋_GB2312"/>
          <w:sz w:val="32"/>
          <w:szCs w:val="32"/>
        </w:rPr>
        <w:t>%，其中：</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、社会保障和就业（类）行政事业养老支出（款）机关事业单位基本养老保险缴费支出（项）</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6.28</w:t>
      </w:r>
      <w:r>
        <w:rPr>
          <w:rFonts w:hint="eastAsia" w:ascii="仿宋_GB2312" w:hAnsi="仿宋_GB2312" w:eastAsia="仿宋_GB2312" w:cs="仿宋_GB2312"/>
          <w:sz w:val="32"/>
          <w:szCs w:val="32"/>
        </w:rPr>
        <w:t>元，支出决算为</w:t>
      </w:r>
      <w:r>
        <w:rPr>
          <w:rFonts w:hint="eastAsia" w:ascii="仿宋_GB2312" w:hAnsi="仿宋_GB2312" w:eastAsia="仿宋_GB2312" w:cs="仿宋_GB2312"/>
          <w:sz w:val="32"/>
          <w:szCs w:val="32"/>
          <w:lang w:val="en-US" w:eastAsia="zh-CN"/>
        </w:rPr>
        <w:t>6.28</w:t>
      </w:r>
      <w:r>
        <w:rPr>
          <w:rFonts w:hint="eastAsia" w:ascii="仿宋_GB2312" w:hAnsi="仿宋_GB2312" w:eastAsia="仿宋_GB2312" w:cs="仿宋_GB2312"/>
          <w:sz w:val="32"/>
          <w:szCs w:val="32"/>
        </w:rPr>
        <w:t>万元，完成年初预算的100%。</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、社会保障和就业（类）残疾人事业（款）残疾事业支出（项）</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0.41</w:t>
      </w:r>
      <w:r>
        <w:rPr>
          <w:rFonts w:hint="eastAsia" w:ascii="仿宋_GB2312" w:hAnsi="仿宋_GB2312" w:eastAsia="仿宋_GB2312" w:cs="仿宋_GB2312"/>
          <w:sz w:val="32"/>
          <w:szCs w:val="32"/>
        </w:rPr>
        <w:t>万元，支出决算为0.</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万元，完成年初预算的100%。</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卫生健康（类）行政事业单位医疗（支出）行政单位医疗（项）</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2.91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2.91</w:t>
      </w:r>
      <w:r>
        <w:rPr>
          <w:rFonts w:hint="eastAsia" w:ascii="仿宋_GB2312" w:hAnsi="仿宋_GB2312" w:eastAsia="仿宋_GB2312" w:cs="仿宋_GB2312"/>
          <w:sz w:val="32"/>
          <w:szCs w:val="32"/>
        </w:rPr>
        <w:t>万元，完成年初预算的100%。</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、节能环保（类）环境保护管理事务支出（款）其他环境保护管理事物支出（项）</w:t>
      </w:r>
    </w:p>
    <w:p>
      <w:pPr>
        <w:pStyle w:val="1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54.2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56.5</w:t>
      </w:r>
      <w:r>
        <w:rPr>
          <w:rFonts w:hint="eastAsia" w:ascii="仿宋_GB2312" w:hAnsi="仿宋_GB2312" w:eastAsia="仿宋_GB2312" w:cs="仿宋_GB2312"/>
          <w:sz w:val="32"/>
          <w:szCs w:val="32"/>
        </w:rPr>
        <w:t>元，完成年初预算的</w:t>
      </w:r>
      <w:r>
        <w:rPr>
          <w:rFonts w:hint="eastAsia" w:ascii="仿宋_GB2312" w:hAnsi="仿宋_GB2312" w:eastAsia="仿宋_GB2312" w:cs="仿宋_GB2312"/>
          <w:sz w:val="32"/>
          <w:szCs w:val="32"/>
          <w:lang w:val="en-US" w:eastAsia="zh-CN"/>
        </w:rPr>
        <w:t>104.24</w:t>
      </w:r>
      <w:r>
        <w:rPr>
          <w:rFonts w:hint="eastAsia" w:ascii="仿宋_GB2312" w:hAnsi="仿宋_GB2312" w:eastAsia="仿宋_GB2312" w:cs="仿宋_GB2312"/>
          <w:sz w:val="32"/>
          <w:szCs w:val="32"/>
        </w:rPr>
        <w:t>%。决算数大于年初预算数的主要原因</w:t>
      </w:r>
      <w:r>
        <w:rPr>
          <w:rFonts w:hint="eastAsia" w:ascii="仿宋_GB2312" w:hAnsi="仿宋_GB2312" w:eastAsia="仿宋_GB2312" w:cs="仿宋_GB2312"/>
          <w:sz w:val="32"/>
          <w:szCs w:val="32"/>
          <w:lang w:eastAsia="zh-CN"/>
        </w:rPr>
        <w:t>：人员增加导致支出经费增加。</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、节能环保（类）环境监测与监察支出（款）其他环境监测与监察支出（项）</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万元，完成年初预算的100%。</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、节能环保（类）污染防治支出（款）其他污染防治支出（项）</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万元，完成年初预算的100%。</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、节能环保（类）污染减排支出（款）减排专项支出（项）</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年初预算1</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万元，支出决算为1</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万元，完成年初预算的100%。</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、节能环保（类）其他节能环保支出（款）其他节能环保支出（项）</w:t>
      </w:r>
    </w:p>
    <w:p>
      <w:pPr>
        <w:pStyle w:val="1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28.96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23.71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81.87</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于年初预算数的主要原因</w:t>
      </w:r>
      <w:r>
        <w:rPr>
          <w:rFonts w:hint="eastAsia" w:ascii="仿宋_GB2312" w:hAnsi="仿宋_GB2312" w:eastAsia="仿宋_GB2312" w:cs="仿宋_GB2312"/>
          <w:sz w:val="32"/>
          <w:szCs w:val="32"/>
          <w:lang w:eastAsia="zh-CN"/>
        </w:rPr>
        <w:t>：办案费超收未支出结转至下一年。</w:t>
      </w:r>
    </w:p>
    <w:p>
      <w:pPr>
        <w:pStyle w:val="10"/>
        <w:ind w:firstLine="640" w:firstLineChars="20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2020年度财政拨款基本支出</w:t>
      </w:r>
      <w:r>
        <w:rPr>
          <w:rFonts w:hint="eastAsia" w:ascii="仿宋_GB2312" w:hAnsi="仿宋_GB2312" w:eastAsia="仿宋_GB2312" w:cs="仿宋_GB2312"/>
          <w:sz w:val="32"/>
          <w:szCs w:val="32"/>
          <w:lang w:val="en-US" w:eastAsia="zh-CN"/>
        </w:rPr>
        <w:t>128.01</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68.76</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53.71</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、机关事业单位基本养老保险缴费、职工基本医疗保险费缴费、其他社会保障缴费</w:t>
      </w: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59.25</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46.29</w:t>
      </w:r>
      <w:r>
        <w:rPr>
          <w:rFonts w:hint="eastAsia" w:ascii="仿宋_GB2312" w:hAnsi="仿宋_GB2312" w:eastAsia="仿宋_GB2312" w:cs="仿宋_GB2312"/>
          <w:sz w:val="32"/>
          <w:szCs w:val="32"/>
        </w:rPr>
        <w:t>%，主要包括办公费、印刷费、咨询费、</w:t>
      </w:r>
      <w:r>
        <w:rPr>
          <w:rFonts w:hint="eastAsia" w:ascii="仿宋_GB2312" w:hAnsi="仿宋_GB2312" w:eastAsia="仿宋_GB2312" w:cs="仿宋_GB2312"/>
          <w:sz w:val="32"/>
          <w:szCs w:val="32"/>
          <w:lang w:eastAsia="zh-CN"/>
        </w:rPr>
        <w:t>邮电费、差旅费、维修（护）费、会议费、培训费、公务接待费、劳务费、委托业务费、工会经费、公务用车运行维护费、其他具体费用、其他商品和服务支出</w:t>
      </w:r>
      <w:r>
        <w:rPr>
          <w:rFonts w:hint="eastAsia" w:ascii="仿宋_GB2312" w:hAnsi="仿宋_GB2312" w:eastAsia="仿宋_GB2312" w:cs="仿宋_GB2312"/>
          <w:sz w:val="32"/>
          <w:szCs w:val="32"/>
        </w:rPr>
        <w:t>。</w:t>
      </w:r>
    </w:p>
    <w:p>
      <w:pPr>
        <w:pStyle w:val="10"/>
        <w:ind w:firstLine="640" w:firstLineChars="200"/>
        <w:rPr>
          <w:rFonts w:hAnsi="黑体"/>
          <w:b/>
          <w:sz w:val="32"/>
          <w:szCs w:val="32"/>
        </w:rPr>
      </w:pPr>
      <w:r>
        <w:rPr>
          <w:rFonts w:hint="eastAsia" w:hAnsi="黑体"/>
          <w:b/>
          <w:sz w:val="32"/>
          <w:szCs w:val="32"/>
        </w:rPr>
        <w:t>七、一般公共预算财政拨款三公经费支出决算情况说明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4.82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80.33</w:t>
      </w:r>
      <w:r>
        <w:rPr>
          <w:rFonts w:hint="eastAsia" w:ascii="仿宋_GB2312" w:hAnsi="仿宋_GB2312" w:eastAsia="仿宋_GB2312" w:cs="仿宋_GB2312"/>
          <w:sz w:val="32"/>
          <w:szCs w:val="32"/>
        </w:rPr>
        <w:t>%，其中：</w:t>
      </w:r>
    </w:p>
    <w:p>
      <w:pPr>
        <w:pStyle w:val="10"/>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%，与上年相比减少（增加）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万元，减少（增长）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10"/>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0.13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0.14</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51.85</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从严控制接待费用开支，全年支出比上年有所压减，历行节约的宗旨</w:t>
      </w:r>
      <w:r>
        <w:rPr>
          <w:rFonts w:hint="eastAsia" w:ascii="仿宋_GB2312" w:hAnsi="仿宋_GB2312" w:eastAsia="仿宋_GB2312" w:cs="仿宋_GB2312"/>
          <w:sz w:val="32"/>
          <w:szCs w:val="32"/>
        </w:rPr>
        <w:t>。</w:t>
      </w:r>
    </w:p>
    <w:p>
      <w:pPr>
        <w:pStyle w:val="10"/>
        <w:ind w:firstLine="640" w:firstLineChars="200"/>
        <w:rPr>
          <w:rFonts w:asciiTheme="minorEastAsia" w:hAnsiTheme="minorEastAsia" w:eastAsiaTheme="minorEastAsia"/>
          <w:sz w:val="32"/>
          <w:szCs w:val="32"/>
        </w:rPr>
      </w:pPr>
      <w:r>
        <w:rPr>
          <w:rFonts w:hint="eastAsia" w:ascii="仿宋_GB2312" w:hAnsi="仿宋_GB2312" w:eastAsia="仿宋_GB2312" w:cs="仿宋_GB2312"/>
          <w:sz w:val="32"/>
          <w:szCs w:val="32"/>
        </w:rPr>
        <w:t>公务用车购置费及运行维护费支出预算为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4.69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93.8</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0.93</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16.55</w:t>
      </w:r>
      <w:r>
        <w:rPr>
          <w:rFonts w:hint="eastAsia" w:ascii="仿宋_GB2312" w:hAnsi="仿宋_GB2312" w:eastAsia="仿宋_GB2312" w:cs="仿宋_GB2312"/>
          <w:sz w:val="32"/>
          <w:szCs w:val="32"/>
        </w:rPr>
        <w:t>%,减少的主要原因</w:t>
      </w:r>
      <w:r>
        <w:rPr>
          <w:rFonts w:hint="eastAsia" w:ascii="仿宋_GB2312" w:hAnsi="仿宋_GB2312" w:eastAsia="仿宋_GB2312" w:cs="仿宋_GB2312"/>
          <w:sz w:val="32"/>
          <w:szCs w:val="32"/>
          <w:lang w:eastAsia="zh-CN"/>
        </w:rPr>
        <w:t>加强公务用车管理，从严控制费用开支，降低了公务用车成本，历行节约的宗旨</w:t>
      </w:r>
      <w:r>
        <w:rPr>
          <w:rFonts w:hint="eastAsia" w:ascii="仿宋_GB2312" w:hAnsi="仿宋_GB2312" w:eastAsia="仿宋_GB2312" w:cs="仿宋_GB2312"/>
          <w:sz w:val="32"/>
          <w:szCs w:val="32"/>
        </w:rPr>
        <w:t>。</w:t>
      </w:r>
      <w:r>
        <w:rPr>
          <w:rFonts w:hint="eastAsia" w:asciiTheme="minorEastAsia" w:hAnsiTheme="minorEastAsia" w:eastAsiaTheme="minorEastAsia"/>
          <w:sz w:val="32"/>
          <w:szCs w:val="32"/>
          <w:lang w:val="en-US" w:eastAsia="zh-CN"/>
        </w:rPr>
        <w:t xml:space="preserve">    </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2020年度“三公”经费财政拨款支出决算中，公务接待费支出决算</w:t>
      </w:r>
      <w:r>
        <w:rPr>
          <w:rFonts w:hint="eastAsia" w:ascii="仿宋_GB2312" w:hAnsi="仿宋_GB2312" w:eastAsia="仿宋_GB2312" w:cs="仿宋_GB2312"/>
          <w:sz w:val="32"/>
          <w:szCs w:val="32"/>
          <w:lang w:val="en-US" w:eastAsia="zh-CN"/>
        </w:rPr>
        <w:t>0.13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2.70</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4.69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97.3</w:t>
      </w:r>
      <w:r>
        <w:rPr>
          <w:rFonts w:hint="eastAsia" w:ascii="仿宋_GB2312" w:hAnsi="仿宋_GB2312" w:eastAsia="仿宋_GB2312" w:cs="仿宋_GB2312"/>
          <w:sz w:val="32"/>
          <w:szCs w:val="32"/>
        </w:rPr>
        <w:t>%。</w:t>
      </w:r>
    </w:p>
    <w:p>
      <w:pPr>
        <w:pStyle w:val="1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开支内容</w:t>
      </w:r>
      <w:r>
        <w:rPr>
          <w:rFonts w:hint="eastAsia" w:ascii="仿宋_GB2312" w:hAnsi="仿宋_GB2312" w:eastAsia="仿宋_GB2312" w:cs="仿宋_GB2312"/>
          <w:sz w:val="32"/>
          <w:szCs w:val="32"/>
          <w:lang w:eastAsia="zh-CN"/>
        </w:rPr>
        <w:t>。</w:t>
      </w:r>
    </w:p>
    <w:p>
      <w:pPr>
        <w:pStyle w:val="10"/>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0.13</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人次，主要是</w:t>
      </w:r>
      <w:r>
        <w:rPr>
          <w:rFonts w:hint="eastAsia" w:ascii="仿宋_GB2312" w:hAnsi="仿宋_GB2312" w:eastAsia="仿宋_GB2312" w:cs="仿宋_GB2312"/>
          <w:sz w:val="32"/>
          <w:szCs w:val="32"/>
          <w:lang w:eastAsia="zh-CN"/>
        </w:rPr>
        <w:t>专项审计、督察</w:t>
      </w:r>
      <w:r>
        <w:rPr>
          <w:rFonts w:hint="eastAsia" w:ascii="仿宋_GB2312" w:hAnsi="仿宋_GB2312" w:eastAsia="仿宋_GB2312" w:cs="仿宋_GB2312"/>
          <w:sz w:val="32"/>
          <w:szCs w:val="32"/>
        </w:rPr>
        <w:t>发生的接待支出。</w:t>
      </w:r>
    </w:p>
    <w:p>
      <w:pPr>
        <w:ind w:firstLine="800" w:firstLineChars="2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4.69</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4.69</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保险费、燃油费和维修费</w:t>
      </w:r>
      <w:r>
        <w:rPr>
          <w:rFonts w:hint="eastAsia" w:ascii="仿宋_GB2312" w:hAnsi="仿宋_GB2312" w:eastAsia="仿宋_GB2312" w:cs="仿宋_GB2312"/>
          <w:sz w:val="32"/>
          <w:szCs w:val="32"/>
        </w:rPr>
        <w:t>支出，截止2020年12月31日，我单位开支财政拨款的公务用车保有量为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p>
    <w:p>
      <w:pPr>
        <w:pStyle w:val="10"/>
        <w:ind w:firstLine="640" w:firstLineChars="200"/>
        <w:rPr>
          <w:rFonts w:hAnsi="黑体"/>
          <w:b/>
          <w:sz w:val="32"/>
          <w:szCs w:val="32"/>
        </w:rPr>
      </w:pPr>
      <w:r>
        <w:rPr>
          <w:rFonts w:hint="eastAsia" w:hAnsi="黑体"/>
          <w:b/>
          <w:sz w:val="32"/>
          <w:szCs w:val="32"/>
        </w:rPr>
        <w:t>八、政府性基金预算收入支出决算情况</w:t>
      </w:r>
    </w:p>
    <w:p>
      <w:pPr>
        <w:pStyle w:val="10"/>
        <w:rPr>
          <w:rFonts w:hint="eastAsia" w:ascii="仿宋_GB2312" w:hAnsi="仿宋_GB2312" w:eastAsia="仿宋_GB2312" w:cs="仿宋_GB2312"/>
          <w:sz w:val="32"/>
          <w:szCs w:val="32"/>
          <w:lang w:eastAsia="zh-CN"/>
        </w:rPr>
      </w:pPr>
      <w:r>
        <w:rPr>
          <w:rFonts w:hint="eastAsia" w:asciiTheme="minorEastAsia" w:hAnsiTheme="minorEastAsia" w:eastAsiaTheme="minorEastAsia"/>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本单位无政府性基金收支。</w:t>
      </w:r>
    </w:p>
    <w:p>
      <w:pPr>
        <w:pStyle w:val="10"/>
        <w:ind w:firstLine="640" w:firstLineChars="200"/>
        <w:rPr>
          <w:rFonts w:hAnsi="黑体"/>
          <w:b/>
          <w:sz w:val="32"/>
          <w:szCs w:val="32"/>
        </w:rPr>
      </w:pPr>
      <w:r>
        <w:rPr>
          <w:rFonts w:hint="eastAsia" w:hAnsi="黑体"/>
          <w:b/>
          <w:sz w:val="32"/>
          <w:szCs w:val="32"/>
        </w:rPr>
        <w:t>九、国有资本经营预算财政拨款支出决算情况</w:t>
      </w:r>
    </w:p>
    <w:p>
      <w:pPr>
        <w:pStyle w:val="1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岳阳市生态环境局南湖新区分局</w:t>
      </w:r>
      <w:r>
        <w:rPr>
          <w:rFonts w:hint="eastAsia" w:ascii="仿宋_GB2312" w:hAnsi="仿宋_GB2312" w:eastAsia="仿宋_GB2312" w:cs="仿宋_GB2312"/>
          <w:sz w:val="32"/>
          <w:szCs w:val="32"/>
        </w:rPr>
        <w:t>无国有资本经营预算财政拨款支出。</w:t>
      </w:r>
    </w:p>
    <w:p>
      <w:pPr>
        <w:pStyle w:val="10"/>
        <w:ind w:firstLine="640"/>
        <w:rPr>
          <w:rFonts w:hAnsi="黑体"/>
          <w:b/>
          <w:sz w:val="32"/>
          <w:szCs w:val="32"/>
        </w:rPr>
      </w:pPr>
      <w:r>
        <w:rPr>
          <w:rFonts w:hint="eastAsia" w:hAnsi="黑体"/>
          <w:b/>
          <w:sz w:val="32"/>
          <w:szCs w:val="32"/>
        </w:rPr>
        <w:t>十、关于机关运行经费支出说明</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本部门2020年度机关运行经费支出</w:t>
      </w:r>
      <w:r>
        <w:rPr>
          <w:rFonts w:hint="eastAsia" w:ascii="仿宋_GB2312" w:hAnsi="仿宋_GB2312" w:eastAsia="仿宋_GB2312" w:cs="仿宋_GB2312"/>
          <w:sz w:val="32"/>
          <w:szCs w:val="32"/>
          <w:lang w:val="en-US" w:eastAsia="zh-CN"/>
        </w:rPr>
        <w:t>59.25</w:t>
      </w:r>
      <w:r>
        <w:rPr>
          <w:rFonts w:hint="eastAsia" w:ascii="仿宋_GB2312" w:hAnsi="仿宋_GB2312" w:eastAsia="仿宋_GB2312" w:cs="仿宋_GB2312"/>
          <w:sz w:val="32"/>
          <w:szCs w:val="32"/>
        </w:rPr>
        <w:t>万元，比上年决算数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降低</w:t>
      </w:r>
      <w:r>
        <w:rPr>
          <w:rFonts w:hint="eastAsia" w:ascii="仿宋_GB2312" w:hAnsi="仿宋_GB2312" w:eastAsia="仿宋_GB2312" w:cs="仿宋_GB2312"/>
          <w:sz w:val="32"/>
          <w:szCs w:val="32"/>
          <w:lang w:val="en-US" w:eastAsia="zh-CN"/>
        </w:rPr>
        <w:t>3.49</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从严控制“三公”经费开支，历行节约的宗旨</w:t>
      </w:r>
      <w:r>
        <w:rPr>
          <w:rFonts w:hint="eastAsia" w:ascii="仿宋_GB2312" w:hAnsi="仿宋_GB2312" w:eastAsia="仿宋_GB2312" w:cs="仿宋_GB2312"/>
          <w:sz w:val="32"/>
          <w:szCs w:val="32"/>
        </w:rPr>
        <w:t>。</w:t>
      </w:r>
    </w:p>
    <w:p>
      <w:pPr>
        <w:pStyle w:val="10"/>
        <w:ind w:firstLine="640" w:firstLineChars="200"/>
        <w:rPr>
          <w:rFonts w:hAnsi="黑体"/>
          <w:b/>
          <w:sz w:val="32"/>
          <w:szCs w:val="32"/>
        </w:rPr>
      </w:pPr>
      <w:r>
        <w:rPr>
          <w:rFonts w:hint="eastAsia" w:hAnsi="黑体"/>
          <w:b/>
          <w:sz w:val="32"/>
          <w:szCs w:val="32"/>
          <w:lang w:val="en-US" w:eastAsia="zh-CN"/>
        </w:rPr>
        <w:t>十一</w:t>
      </w:r>
      <w:r>
        <w:rPr>
          <w:rFonts w:hint="eastAsia" w:hAnsi="黑体"/>
          <w:b/>
          <w:sz w:val="32"/>
          <w:szCs w:val="32"/>
        </w:rPr>
        <w:t>、一般性支出情况</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2020年本部门开支会议费</w:t>
      </w:r>
      <w:r>
        <w:rPr>
          <w:rFonts w:hint="eastAsia" w:ascii="仿宋_GB2312" w:hAnsi="仿宋_GB2312" w:eastAsia="仿宋_GB2312" w:cs="仿宋_GB2312"/>
          <w:sz w:val="32"/>
          <w:szCs w:val="32"/>
          <w:lang w:val="en-US" w:eastAsia="zh-CN"/>
        </w:rPr>
        <w:t>0.09</w:t>
      </w:r>
      <w:r>
        <w:rPr>
          <w:rFonts w:hint="eastAsia" w:ascii="仿宋_GB2312" w:hAnsi="仿宋_GB2312" w:eastAsia="仿宋_GB2312" w:cs="仿宋_GB2312"/>
          <w:sz w:val="32"/>
          <w:szCs w:val="32"/>
        </w:rPr>
        <w:t>万元，用于召开</w:t>
      </w:r>
      <w:r>
        <w:rPr>
          <w:rFonts w:hint="eastAsia" w:ascii="仿宋_GB2312" w:hAnsi="仿宋_GB2312" w:eastAsia="仿宋_GB2312" w:cs="仿宋_GB2312"/>
          <w:sz w:val="32"/>
          <w:szCs w:val="32"/>
          <w:lang w:eastAsia="zh-CN"/>
        </w:rPr>
        <w:t>项目评审</w:t>
      </w:r>
      <w:r>
        <w:rPr>
          <w:rFonts w:hint="eastAsia" w:ascii="仿宋_GB2312" w:hAnsi="仿宋_GB2312" w:eastAsia="仿宋_GB2312" w:cs="仿宋_GB2312"/>
          <w:sz w:val="32"/>
          <w:szCs w:val="32"/>
        </w:rPr>
        <w:t>会议，人数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开支</w:t>
      </w:r>
      <w:r>
        <w:rPr>
          <w:rFonts w:hint="eastAsia" w:ascii="仿宋_GB2312" w:hAnsi="仿宋_GB2312" w:eastAsia="仿宋_GB2312" w:cs="仿宋_GB2312"/>
          <w:sz w:val="32"/>
          <w:szCs w:val="32"/>
        </w:rPr>
        <w:t>内容为</w:t>
      </w:r>
      <w:r>
        <w:rPr>
          <w:rFonts w:hint="eastAsia" w:ascii="仿宋_GB2312" w:hAnsi="仿宋_GB2312" w:eastAsia="仿宋_GB2312" w:cs="仿宋_GB2312"/>
          <w:sz w:val="32"/>
          <w:szCs w:val="32"/>
          <w:lang w:eastAsia="zh-CN"/>
        </w:rPr>
        <w:t>场地费</w:t>
      </w:r>
      <w:r>
        <w:rPr>
          <w:rFonts w:hint="eastAsia" w:ascii="仿宋_GB2312" w:hAnsi="仿宋_GB2312" w:eastAsia="仿宋_GB2312" w:cs="仿宋_GB2312"/>
          <w:sz w:val="32"/>
          <w:szCs w:val="32"/>
        </w:rPr>
        <w:t>；开支培训费</w:t>
      </w:r>
      <w:r>
        <w:rPr>
          <w:rFonts w:hint="eastAsia" w:ascii="仿宋_GB2312" w:hAnsi="仿宋_GB2312" w:eastAsia="仿宋_GB2312" w:cs="仿宋_GB2312"/>
          <w:sz w:val="32"/>
          <w:szCs w:val="32"/>
          <w:lang w:val="en-US" w:eastAsia="zh-CN"/>
        </w:rPr>
        <w:t>0.05</w:t>
      </w:r>
      <w:r>
        <w:rPr>
          <w:rFonts w:hint="eastAsia" w:ascii="仿宋_GB2312" w:hAnsi="仿宋_GB2312" w:eastAsia="仿宋_GB2312" w:cs="仿宋_GB2312"/>
          <w:sz w:val="32"/>
          <w:szCs w:val="32"/>
        </w:rPr>
        <w:t>万元，用于开展</w:t>
      </w:r>
      <w:r>
        <w:rPr>
          <w:rFonts w:hint="eastAsia" w:ascii="仿宋_GB2312" w:hAnsi="仿宋_GB2312" w:eastAsia="仿宋_GB2312" w:cs="仿宋_GB2312"/>
          <w:sz w:val="32"/>
          <w:szCs w:val="32"/>
          <w:lang w:eastAsia="zh-CN"/>
        </w:rPr>
        <w:t>危险废物</w:t>
      </w:r>
      <w:r>
        <w:rPr>
          <w:rFonts w:hint="eastAsia" w:ascii="仿宋_GB2312" w:hAnsi="仿宋_GB2312" w:eastAsia="仿宋_GB2312" w:cs="仿宋_GB2312"/>
          <w:sz w:val="32"/>
          <w:szCs w:val="32"/>
        </w:rPr>
        <w:t>培训，人数</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开支</w:t>
      </w:r>
      <w:r>
        <w:rPr>
          <w:rFonts w:hint="eastAsia" w:ascii="仿宋_GB2312" w:hAnsi="仿宋_GB2312" w:eastAsia="仿宋_GB2312" w:cs="仿宋_GB2312"/>
          <w:sz w:val="32"/>
          <w:szCs w:val="32"/>
        </w:rPr>
        <w:t>内容为</w:t>
      </w:r>
      <w:r>
        <w:rPr>
          <w:rFonts w:hint="eastAsia" w:ascii="仿宋_GB2312" w:hAnsi="仿宋_GB2312" w:eastAsia="仿宋_GB2312" w:cs="仿宋_GB2312"/>
          <w:sz w:val="32"/>
          <w:szCs w:val="32"/>
          <w:lang w:eastAsia="zh-CN"/>
        </w:rPr>
        <w:t>资料费。未举办节庆、晚会、论坛、赛事等活动。</w:t>
      </w:r>
    </w:p>
    <w:p>
      <w:pPr>
        <w:pStyle w:val="10"/>
        <w:ind w:firstLine="640" w:firstLineChars="200"/>
        <w:rPr>
          <w:rFonts w:hAnsi="黑体"/>
          <w:b/>
          <w:sz w:val="32"/>
          <w:szCs w:val="32"/>
        </w:rPr>
      </w:pPr>
      <w:r>
        <w:rPr>
          <w:rFonts w:hint="eastAsia" w:hAnsi="黑体"/>
          <w:b/>
          <w:sz w:val="32"/>
          <w:szCs w:val="32"/>
        </w:rPr>
        <w:t>十二、关于政府采购支出说明</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本部门2020年度政府采购支出总额</w:t>
      </w:r>
      <w:r>
        <w:rPr>
          <w:rFonts w:hint="eastAsia" w:ascii="仿宋_GB2312" w:hAnsi="仿宋_GB2312" w:eastAsia="仿宋_GB2312" w:cs="仿宋_GB2312"/>
          <w:sz w:val="32"/>
          <w:szCs w:val="32"/>
          <w:lang w:val="en-US" w:eastAsia="zh-CN"/>
        </w:rPr>
        <w:t>56.49</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0.49</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万元、政府采购服务支出</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0"/>
        <w:ind w:firstLine="640" w:firstLineChars="200"/>
        <w:rPr>
          <w:rFonts w:hAnsi="黑体"/>
          <w:b/>
          <w:sz w:val="32"/>
          <w:szCs w:val="32"/>
        </w:rPr>
      </w:pPr>
      <w:r>
        <w:rPr>
          <w:rFonts w:hint="eastAsia" w:hAnsi="黑体"/>
          <w:b/>
          <w:sz w:val="32"/>
          <w:szCs w:val="32"/>
        </w:rPr>
        <w:t>十三、关于国有资产占用情况说明</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截至2020年12月31日，本单位共有车辆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辆；单位价值50万元以上通用设备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台（套）；单位价值100万元以上专用设备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pStyle w:val="10"/>
        <w:ind w:firstLine="640" w:firstLineChars="200"/>
        <w:rPr>
          <w:rFonts w:hAnsi="黑体"/>
          <w:b/>
          <w:sz w:val="32"/>
          <w:szCs w:val="32"/>
        </w:rPr>
      </w:pPr>
      <w:r>
        <w:rPr>
          <w:rFonts w:hint="eastAsia" w:hAnsi="黑体"/>
          <w:b/>
          <w:sz w:val="32"/>
          <w:szCs w:val="32"/>
        </w:rPr>
        <w:t>十四、关于2020年度预算绩效情况的说明</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本部门预算绩效管理开展情况、绩效目标和绩效评价报告等……（</w:t>
      </w:r>
    </w:p>
    <w:p>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按照财政绩效部门要求已公开或其他有关部门要求需随同部门决算一同公开的绩效信息，作为附件公开）</w:t>
      </w:r>
    </w:p>
    <w:p>
      <w:pPr>
        <w:pStyle w:val="10"/>
        <w:rPr>
          <w:rFonts w:hAnsi="黑体"/>
          <w:b/>
          <w:sz w:val="32"/>
          <w:szCs w:val="32"/>
        </w:rPr>
      </w:pPr>
    </w:p>
    <w:p>
      <w:pPr>
        <w:pStyle w:val="10"/>
        <w:jc w:val="center"/>
        <w:rPr>
          <w:sz w:val="72"/>
          <w:szCs w:val="72"/>
        </w:rPr>
      </w:pPr>
      <w:bookmarkStart w:id="1" w:name="_GoBack"/>
      <w:bookmarkEnd w:id="1"/>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ind w:firstLine="640" w:firstLineChars="200"/>
        <w:jc w:val="left"/>
        <w:rPr>
          <w:rFonts w:hint="eastAsia" w:ascii="仿宋" w:hAnsi="仿宋" w:eastAsia="仿宋" w:cs="仿宋"/>
          <w:color w:val="000000"/>
          <w:sz w:val="32"/>
          <w:szCs w:val="32"/>
          <w:shd w:val="clear" w:color="auto" w:fill="FFFFFF"/>
        </w:rPr>
      </w:pPr>
    </w:p>
    <w:p>
      <w:pPr>
        <w:widowControl/>
        <w:ind w:firstLine="640" w:firstLineChars="200"/>
        <w:jc w:val="left"/>
        <w:rPr>
          <w:rFonts w:hint="eastAsia" w:ascii="仿宋" w:hAnsi="仿宋" w:eastAsia="仿宋" w:cs="仿宋"/>
          <w:color w:val="000000"/>
          <w:sz w:val="32"/>
          <w:szCs w:val="32"/>
          <w:shd w:val="clear" w:color="auto" w:fill="FFFFFF"/>
        </w:rPr>
      </w:pPr>
    </w:p>
    <w:p>
      <w:pPr>
        <w:widowControl/>
        <w:ind w:firstLine="640" w:firstLineChars="200"/>
        <w:jc w:val="left"/>
        <w:rPr>
          <w:rFonts w:hint="eastAsia" w:ascii="仿宋" w:hAnsi="仿宋" w:eastAsia="仿宋" w:cs="仿宋"/>
          <w:color w:val="000000"/>
          <w:sz w:val="32"/>
          <w:szCs w:val="32"/>
          <w:shd w:val="clear" w:color="auto" w:fill="FFFFFF"/>
        </w:rPr>
      </w:pPr>
    </w:p>
    <w:p>
      <w:pPr>
        <w:widowControl/>
        <w:ind w:firstLine="640" w:firstLineChars="200"/>
        <w:jc w:val="left"/>
        <w:rPr>
          <w:rFonts w:hint="eastAsia" w:ascii="仿宋" w:hAnsi="仿宋" w:eastAsia="仿宋" w:cs="仿宋"/>
          <w:color w:val="000000"/>
          <w:sz w:val="32"/>
          <w:szCs w:val="32"/>
          <w:shd w:val="clear" w:color="auto" w:fill="FFFFFF"/>
        </w:rPr>
      </w:pPr>
    </w:p>
    <w:p>
      <w:pPr>
        <w:widowControl/>
        <w:ind w:firstLine="640" w:firstLineChars="200"/>
        <w:jc w:val="left"/>
        <w:rPr>
          <w:rFonts w:hint="eastAsia" w:ascii="仿宋" w:hAnsi="仿宋" w:eastAsia="仿宋" w:cs="仿宋"/>
          <w:color w:val="000000"/>
          <w:sz w:val="32"/>
          <w:szCs w:val="32"/>
          <w:shd w:val="clear" w:color="auto" w:fill="FFFFFF"/>
        </w:rPr>
      </w:pPr>
    </w:p>
    <w:p>
      <w:pPr>
        <w:widowControl/>
        <w:ind w:firstLine="640" w:firstLineChars="200"/>
        <w:jc w:val="left"/>
        <w:rPr>
          <w:rFonts w:hint="eastAsia" w:ascii="仿宋" w:hAnsi="仿宋" w:eastAsia="仿宋" w:cs="仿宋"/>
          <w:color w:val="000000"/>
          <w:sz w:val="32"/>
          <w:szCs w:val="32"/>
          <w:shd w:val="clear" w:color="auto" w:fill="FFFFFF"/>
        </w:rPr>
      </w:pPr>
    </w:p>
    <w:p>
      <w:pPr>
        <w:widowControl/>
        <w:ind w:firstLine="640" w:firstLineChars="200"/>
        <w:jc w:val="left"/>
        <w:rPr>
          <w:rFonts w:hint="eastAsia" w:ascii="仿宋" w:hAnsi="仿宋" w:eastAsia="仿宋" w:cs="仿宋"/>
          <w:color w:val="000000"/>
          <w:sz w:val="32"/>
          <w:szCs w:val="32"/>
          <w:shd w:val="clear" w:color="auto" w:fill="FFFFFF"/>
        </w:rPr>
      </w:pPr>
    </w:p>
    <w:p>
      <w:pPr>
        <w:widowControl/>
        <w:ind w:firstLine="640" w:firstLineChars="200"/>
        <w:jc w:val="left"/>
        <w:rPr>
          <w:rFonts w:hint="eastAsia" w:ascii="仿宋" w:hAnsi="仿宋" w:eastAsia="仿宋" w:cs="仿宋"/>
          <w:color w:val="000000"/>
          <w:sz w:val="32"/>
          <w:szCs w:val="32"/>
          <w:shd w:val="clear" w:color="auto" w:fill="FFFFFF"/>
        </w:rPr>
      </w:pPr>
    </w:p>
    <w:p>
      <w:pPr>
        <w:widowControl/>
        <w:ind w:firstLine="640" w:firstLineChars="200"/>
        <w:jc w:val="left"/>
        <w:rPr>
          <w:rFonts w:hint="eastAsia" w:ascii="仿宋" w:hAnsi="仿宋" w:eastAsia="仿宋" w:cs="仿宋"/>
          <w:color w:val="000000"/>
          <w:sz w:val="32"/>
          <w:szCs w:val="32"/>
          <w:shd w:val="clear" w:color="auto" w:fill="FFFFFF"/>
        </w:rPr>
      </w:pPr>
    </w:p>
    <w:p>
      <w:pPr>
        <w:widowControl/>
        <w:ind w:firstLine="640" w:firstLineChars="200"/>
        <w:jc w:val="left"/>
        <w:rPr>
          <w:rFonts w:hint="eastAsia" w:ascii="仿宋" w:hAnsi="仿宋" w:eastAsia="仿宋" w:cs="仿宋"/>
          <w:color w:val="000000"/>
          <w:sz w:val="32"/>
          <w:szCs w:val="32"/>
          <w:shd w:val="clear" w:color="auto" w:fill="FFFFFF"/>
        </w:rPr>
      </w:pPr>
    </w:p>
    <w:p>
      <w:pPr>
        <w:widowControl/>
        <w:ind w:firstLine="640" w:firstLineChars="200"/>
        <w:jc w:val="left"/>
        <w:rPr>
          <w:rFonts w:hint="eastAsia" w:ascii="仿宋" w:hAnsi="仿宋" w:eastAsia="仿宋" w:cs="仿宋"/>
          <w:color w:val="000000"/>
          <w:sz w:val="32"/>
          <w:szCs w:val="32"/>
          <w:shd w:val="clear" w:color="auto" w:fill="FFFFFF"/>
        </w:rPr>
      </w:pPr>
    </w:p>
    <w:p>
      <w:pPr>
        <w:widowControl/>
        <w:ind w:firstLine="640" w:firstLineChars="200"/>
        <w:jc w:val="left"/>
        <w:rPr>
          <w:rFonts w:hint="eastAsia" w:ascii="仿宋" w:hAnsi="仿宋" w:eastAsia="仿宋" w:cs="仿宋"/>
          <w:color w:val="000000"/>
          <w:sz w:val="32"/>
          <w:szCs w:val="32"/>
          <w:shd w:val="clear" w:color="auto" w:fill="FFFFFF"/>
        </w:rPr>
      </w:pPr>
    </w:p>
    <w:p>
      <w:pPr>
        <w:widowControl/>
        <w:ind w:firstLine="640" w:firstLineChars="200"/>
        <w:jc w:val="left"/>
        <w:rPr>
          <w:rFonts w:hint="eastAsia" w:ascii="仿宋" w:hAnsi="仿宋" w:eastAsia="仿宋" w:cs="仿宋"/>
          <w:color w:val="000000"/>
          <w:sz w:val="32"/>
          <w:szCs w:val="32"/>
          <w:shd w:val="clear" w:color="auto" w:fill="FFFFFF"/>
        </w:rPr>
      </w:pPr>
    </w:p>
    <w:p>
      <w:pPr>
        <w:widowControl/>
        <w:ind w:firstLine="640" w:firstLineChars="200"/>
        <w:jc w:val="left"/>
        <w:rPr>
          <w:rFonts w:hint="eastAsia" w:ascii="仿宋" w:hAnsi="仿宋" w:eastAsia="仿宋" w:cs="仿宋"/>
          <w:color w:val="000000"/>
          <w:sz w:val="32"/>
          <w:szCs w:val="32"/>
          <w:shd w:val="clear" w:color="auto" w:fill="FFFFFF"/>
        </w:rPr>
      </w:pPr>
    </w:p>
    <w:p>
      <w:pPr>
        <w:widowControl/>
        <w:ind w:firstLine="640" w:firstLineChars="200"/>
        <w:jc w:val="left"/>
        <w:rPr>
          <w:rFonts w:hint="eastAsia" w:ascii="仿宋" w:hAnsi="仿宋" w:eastAsia="仿宋" w:cs="仿宋"/>
          <w:color w:val="000000"/>
          <w:sz w:val="32"/>
          <w:szCs w:val="32"/>
          <w:shd w:val="clear" w:color="auto" w:fill="FFFFFF"/>
        </w:rPr>
      </w:pPr>
    </w:p>
    <w:p>
      <w:pPr>
        <w:widowControl/>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第四部分  名词解释</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财政拨款收入：指本级财政当年拨付的资金。</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其他收入：指除上述“财政拨款收入”、“上级补助收入”、“事业收入”、“经营收入”、“附属单位上缴收入”等以外的收入。</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pPr>
        <w:widowControl/>
        <w:ind w:firstLine="640" w:firstLineChars="200"/>
        <w:jc w:val="left"/>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shd w:val="clear" w:color="auto" w:fill="FFFFFF"/>
        </w:rPr>
        <w:t>上年结转和结余：指以前年度尚未完成、结转到本年</w:t>
      </w:r>
      <w:r>
        <w:rPr>
          <w:rFonts w:hint="eastAsia" w:ascii="仿宋_GB2312" w:hAnsi="仿宋_GB2312" w:eastAsia="仿宋_GB2312" w:cs="仿宋_GB2312"/>
          <w:color w:val="000000"/>
          <w:sz w:val="32"/>
          <w:szCs w:val="32"/>
          <w:shd w:val="clear" w:color="auto" w:fill="FFFFFF"/>
        </w:rPr>
        <w:t>按有关规定继续使用的资金。</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结余分配：指事业单位按规定对非财政补助结余资金提取的职工福利基金、事业基金和缴纳的所得税，以及减少单位按规定应缴回的基本建设竣工项目结余资金。</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年末结转和结余资金：指本年度或以前年度预算安排、因客观条件发生变化无法按原计划实施，需要延迟到以后年度按有关规定继续使用的资金。</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科学技术支出（类）：是指用于科学技术方面的支出，包括保障机构正常运转、完成日常和特定的工作任务或事业发展目标的支出。</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节能环保支出（类）：是指用于节能环保支出，包括保障机构正常运转、完成日常和特定的工作任务或事业发展目标的支出。</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农林水支出（类）：是指用于农林水事务支出，包括保障机构正常运转、完成日常和特定的工作任务或事业发展目标的支出。</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基本支出：指保障机构正常运转、完成支日常工作任务而发生的人员支出和公用支出。</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项目支出：指在基本支出之外为完成特定行政任务和事业发展目标所发生的支出。</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商品和服务支出：反映单位购买商品和服务的支出（不包括用于购置固定资产的支出、战略性和应急储备支出）。</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因公出国（境）费用：反映单位公务出国(境)的住宿费、旅费、伙食补助费、杂费、培训费等支出。</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会议费：反映会议中按规定开支的住宿费、伙食费、会议室租金、交通费、文件印刷费、医药费等。</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培训费：反映除因公出国（境）培训费以外的各类培训支出。</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公务接待费：反映单位按规定开支的各类公务接待（含外宾接待）费用。</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公务用车运行维护费：反映单位按规定保留的公务用车燃料费、维修费、过桥过路费、保险费、安全奖励费用等支出。</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其他交通费用：反映单位除公务用车运行维护费以外的其他交通费用。如公务交通补贴，租车费用、出租车费用，飞机、船舶等的燃料费、维修费、保险费等。</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其他商品和服务支出：反映上述科目未包括的日常公用支出。如行政赔偿费和诉讼费、国内组织的会员费、来访费、广告宣传、其他劳务费及离休人员特需费、公用经费等。</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公务用车购置：反映公务用车车辆购置支出（含车辆购置税）。</w:t>
      </w:r>
    </w:p>
    <w:p>
      <w:pPr>
        <w:widowControl/>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widowControl/>
        <w:ind w:firstLine="640" w:firstLineChars="200"/>
        <w:jc w:val="left"/>
        <w:rPr>
          <w:rFonts w:hint="eastAsia" w:ascii="仿宋" w:hAnsi="仿宋" w:eastAsia="仿宋" w:cs="仿宋"/>
          <w:color w:val="000000"/>
          <w:sz w:val="32"/>
          <w:szCs w:val="32"/>
          <w:shd w:val="clear" w:color="auto" w:fill="FFFFFF"/>
        </w:rPr>
      </w:pPr>
    </w:p>
    <w:p>
      <w:pPr>
        <w:widowControl/>
        <w:ind w:firstLine="640" w:firstLineChars="200"/>
        <w:jc w:val="left"/>
        <w:rPr>
          <w:rFonts w:hint="eastAsia" w:ascii="仿宋" w:hAnsi="仿宋" w:eastAsia="仿宋" w:cs="仿宋"/>
          <w:color w:val="000000"/>
          <w:sz w:val="32"/>
          <w:szCs w:val="32"/>
          <w:shd w:val="clear" w:color="auto" w:fill="FFFFFF"/>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keepNext w:val="0"/>
        <w:keepLines w:val="0"/>
        <w:pageBreakBefore w:val="0"/>
        <w:kinsoku/>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kinsoku/>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kinsoku/>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南湖新区分局</w:t>
      </w:r>
      <w:r>
        <w:rPr>
          <w:rFonts w:hint="eastAsia" w:ascii="方正小标宋简体" w:hAnsi="方正小标宋简体" w:eastAsia="方正小标宋简体" w:cs="方正小标宋简体"/>
          <w:b w:val="0"/>
          <w:bCs w:val="0"/>
          <w:sz w:val="44"/>
          <w:szCs w:val="44"/>
        </w:rPr>
        <w:t>20</w:t>
      </w:r>
      <w:r>
        <w:rPr>
          <w:rFonts w:hint="eastAsia" w:ascii="方正小标宋简体" w:hAnsi="方正小标宋简体" w:eastAsia="方正小标宋简体" w:cs="方正小标宋简体"/>
          <w:b w:val="0"/>
          <w:bCs w:val="0"/>
          <w:sz w:val="44"/>
          <w:szCs w:val="44"/>
          <w:lang w:val="en-US" w:eastAsia="zh-CN"/>
        </w:rPr>
        <w:t>20</w:t>
      </w:r>
      <w:r>
        <w:rPr>
          <w:rFonts w:hint="eastAsia" w:ascii="方正小标宋简体" w:hAnsi="方正小标宋简体" w:eastAsia="方正小标宋简体" w:cs="方正小标宋简体"/>
          <w:b w:val="0"/>
          <w:bCs w:val="0"/>
          <w:sz w:val="44"/>
          <w:szCs w:val="44"/>
        </w:rPr>
        <w:t>年整体支出绩效</w:t>
      </w:r>
    </w:p>
    <w:p>
      <w:pPr>
        <w:keepNext w:val="0"/>
        <w:keepLines w:val="0"/>
        <w:pageBreakBefore w:val="0"/>
        <w:kinsoku/>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评价自评报告</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b/>
          <w:bCs/>
          <w:sz w:val="32"/>
          <w:szCs w:val="32"/>
        </w:rPr>
      </w:pPr>
    </w:p>
    <w:p>
      <w:pPr>
        <w:keepNext w:val="0"/>
        <w:keepLines w:val="0"/>
        <w:pageBreakBefore w:val="0"/>
        <w:kinsoku/>
        <w:overflowPunct/>
        <w:topLinePunct w:val="0"/>
        <w:autoSpaceDE/>
        <w:autoSpaceDN/>
        <w:bidi w:val="0"/>
        <w:adjustRightInd/>
        <w:spacing w:line="600" w:lineRule="exact"/>
        <w:ind w:firstLine="627" w:firstLineChars="196"/>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一、部门概况</w:t>
      </w:r>
    </w:p>
    <w:p>
      <w:pPr>
        <w:keepNext w:val="0"/>
        <w:keepLines w:val="0"/>
        <w:pageBreakBefore w:val="0"/>
        <w:kinsoku/>
        <w:overflowPunct/>
        <w:topLinePunct w:val="0"/>
        <w:autoSpaceDE/>
        <w:autoSpaceDN/>
        <w:bidi w:val="0"/>
        <w:adjustRightInd/>
        <w:spacing w:line="600" w:lineRule="exact"/>
        <w:ind w:firstLine="645"/>
        <w:textAlignment w:val="auto"/>
        <w:rPr>
          <w:rFonts w:ascii="仿宋_GB2312" w:hAnsi="仿宋" w:eastAsia="仿宋_GB2312"/>
          <w:sz w:val="32"/>
          <w:szCs w:val="32"/>
        </w:rPr>
      </w:pPr>
      <w:r>
        <w:rPr>
          <w:rFonts w:hint="eastAsia" w:ascii="仿宋_GB2312" w:hAnsi="仿宋" w:eastAsia="仿宋_GB2312" w:cs="仿宋_GB2312"/>
          <w:sz w:val="32"/>
          <w:szCs w:val="32"/>
        </w:rPr>
        <w:t>岳阳市生态环境局</w:t>
      </w:r>
      <w:r>
        <w:rPr>
          <w:rFonts w:hint="eastAsia" w:ascii="仿宋_GB2312" w:hAnsi="仿宋" w:eastAsia="仿宋_GB2312" w:cs="仿宋_GB2312"/>
          <w:sz w:val="32"/>
          <w:szCs w:val="32"/>
          <w:lang w:eastAsia="zh-CN"/>
        </w:rPr>
        <w:t>南湖新区分局</w:t>
      </w:r>
      <w:r>
        <w:rPr>
          <w:rFonts w:hint="eastAsia" w:ascii="仿宋_GB2312" w:hAnsi="仿宋" w:eastAsia="仿宋_GB2312" w:cs="仿宋_GB2312"/>
          <w:sz w:val="32"/>
          <w:szCs w:val="32"/>
        </w:rPr>
        <w:t>为正科级行政支持类事业单位，隶属于市生态环境局。市编办核定</w:t>
      </w:r>
      <w:r>
        <w:rPr>
          <w:rFonts w:hint="eastAsia" w:ascii="仿宋_GB2312" w:hAnsi="仿宋" w:eastAsia="仿宋_GB2312" w:cs="仿宋_GB2312"/>
          <w:sz w:val="32"/>
          <w:szCs w:val="32"/>
          <w:lang w:eastAsia="zh-CN"/>
        </w:rPr>
        <w:t>市生态环境局南湖新区</w:t>
      </w:r>
      <w:r>
        <w:rPr>
          <w:rFonts w:hint="eastAsia" w:ascii="仿宋_GB2312" w:hAnsi="仿宋" w:eastAsia="仿宋_GB2312" w:cs="仿宋_GB2312"/>
          <w:sz w:val="32"/>
          <w:szCs w:val="32"/>
        </w:rPr>
        <w:t>分局全额拨款事业编制</w:t>
      </w:r>
      <w:r>
        <w:rPr>
          <w:rFonts w:ascii="仿宋_GB2312" w:hAnsi="仿宋" w:eastAsia="仿宋_GB2312" w:cs="仿宋_GB2312"/>
          <w:sz w:val="32"/>
          <w:szCs w:val="32"/>
        </w:rPr>
        <w:t>1</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名。根据分局的整体情况，分局下设</w:t>
      </w:r>
      <w:r>
        <w:rPr>
          <w:rFonts w:hint="eastAsia" w:ascii="仿宋_GB2312" w:hAnsi="仿宋" w:eastAsia="仿宋_GB2312" w:cs="仿宋_GB2312"/>
          <w:sz w:val="32"/>
          <w:szCs w:val="32"/>
          <w:lang w:eastAsia="zh-CN"/>
        </w:rPr>
        <w:t>三</w:t>
      </w:r>
      <w:r>
        <w:rPr>
          <w:rFonts w:hint="eastAsia" w:ascii="仿宋_GB2312" w:hAnsi="仿宋" w:eastAsia="仿宋_GB2312" w:cs="仿宋_GB2312"/>
          <w:sz w:val="32"/>
          <w:szCs w:val="32"/>
        </w:rPr>
        <w:t>个股室（办公室、监察大队、管理股）。分局目前共有工作人员</w:t>
      </w:r>
      <w:r>
        <w:rPr>
          <w:rFonts w:ascii="仿宋_GB2312" w:hAnsi="仿宋" w:eastAsia="仿宋_GB2312" w:cs="仿宋_GB2312"/>
          <w:sz w:val="32"/>
          <w:szCs w:val="32"/>
        </w:rPr>
        <w:t>1</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人，其中在编人员</w:t>
      </w:r>
      <w:r>
        <w:rPr>
          <w:rFonts w:hint="eastAsia" w:ascii="仿宋_GB2312" w:hAnsi="仿宋" w:eastAsia="仿宋_GB2312" w:cs="仿宋_GB2312"/>
          <w:sz w:val="32"/>
          <w:szCs w:val="32"/>
          <w:lang w:val="en-US" w:eastAsia="zh-CN"/>
        </w:rPr>
        <w:t>9</w:t>
      </w:r>
      <w:r>
        <w:rPr>
          <w:rFonts w:hint="eastAsia" w:ascii="仿宋_GB2312" w:hAnsi="仿宋" w:eastAsia="仿宋_GB2312" w:cs="仿宋_GB2312"/>
          <w:sz w:val="32"/>
          <w:szCs w:val="32"/>
        </w:rPr>
        <w:t>人，退休</w:t>
      </w:r>
      <w:r>
        <w:rPr>
          <w:rFonts w:ascii="仿宋_GB2312" w:hAnsi="仿宋" w:eastAsia="仿宋_GB2312" w:cs="仿宋_GB2312"/>
          <w:sz w:val="32"/>
          <w:szCs w:val="32"/>
        </w:rPr>
        <w:t>2</w:t>
      </w:r>
      <w:r>
        <w:rPr>
          <w:rFonts w:hint="eastAsia" w:ascii="仿宋_GB2312" w:hAnsi="仿宋" w:eastAsia="仿宋_GB2312" w:cs="仿宋_GB2312"/>
          <w:sz w:val="32"/>
          <w:szCs w:val="32"/>
        </w:rPr>
        <w:t>人，临聘人员</w:t>
      </w:r>
      <w:r>
        <w:rPr>
          <w:rFonts w:ascii="仿宋_GB2312" w:hAnsi="仿宋" w:eastAsia="仿宋_GB2312" w:cs="仿宋_GB2312"/>
          <w:sz w:val="32"/>
          <w:szCs w:val="32"/>
        </w:rPr>
        <w:t>3</w:t>
      </w:r>
      <w:r>
        <w:rPr>
          <w:rFonts w:hint="eastAsia" w:ascii="仿宋_GB2312" w:hAnsi="仿宋" w:eastAsia="仿宋_GB2312" w:cs="仿宋_GB2312"/>
          <w:sz w:val="32"/>
          <w:szCs w:val="32"/>
        </w:rPr>
        <w:t>人。主要职能是贯彻落实国家有关环境保护政策，执行国家环保法律法规，</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负责辖区内环境规划、</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环境管理</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、环境宣传教育、</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环境监察等工作。工作计划是加强水体、土壤、大气污染防治，推动辖区生态环境总体改善，促进人与自然和谐共生。</w:t>
      </w:r>
    </w:p>
    <w:p>
      <w:pPr>
        <w:keepNext w:val="0"/>
        <w:keepLines w:val="0"/>
        <w:pageBreakBefore w:val="0"/>
        <w:kinsoku/>
        <w:overflowPunct/>
        <w:topLinePunct w:val="0"/>
        <w:autoSpaceDE/>
        <w:autoSpaceDN/>
        <w:bidi w:val="0"/>
        <w:adjustRightInd/>
        <w:spacing w:line="600" w:lineRule="exact"/>
        <w:ind w:firstLine="627" w:firstLineChars="196"/>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pPr>
        <w:pStyle w:val="5"/>
        <w:keepNext w:val="0"/>
        <w:keepLines w:val="0"/>
        <w:pageBreakBefore w:val="0"/>
        <w:widowControl/>
        <w:kinsoku/>
        <w:wordWrap w:val="0"/>
        <w:overflowPunct/>
        <w:topLinePunct w:val="0"/>
        <w:autoSpaceDE/>
        <w:autoSpaceDN/>
        <w:bidi w:val="0"/>
        <w:adjustRightInd/>
        <w:snapToGrid w:val="0"/>
        <w:spacing w:before="150" w:after="150" w:line="60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本单位</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年度基本支出</w:t>
      </w:r>
      <w:r>
        <w:rPr>
          <w:rFonts w:hint="eastAsia" w:ascii="仿宋_GB2312" w:hAnsi="仿宋_GB2312" w:eastAsia="仿宋_GB2312" w:cs="仿宋_GB2312"/>
          <w:sz w:val="32"/>
          <w:szCs w:val="32"/>
          <w:lang w:val="en-US" w:eastAsia="zh-CN"/>
        </w:rPr>
        <w:t>210.48</w:t>
      </w:r>
      <w:r>
        <w:rPr>
          <w:rFonts w:hint="eastAsia" w:ascii="仿宋_GB2312" w:hAnsi="仿宋_GB2312" w:eastAsia="仿宋_GB2312" w:cs="仿宋_GB2312"/>
          <w:sz w:val="32"/>
          <w:szCs w:val="32"/>
        </w:rPr>
        <w:t>万元，其中：工资福利</w:t>
      </w:r>
      <w:r>
        <w:rPr>
          <w:rFonts w:hint="eastAsia" w:ascii="仿宋_GB2312" w:hAnsi="仿宋_GB2312" w:eastAsia="仿宋_GB2312" w:cs="仿宋_GB2312"/>
          <w:spacing w:val="-20"/>
          <w:sz w:val="32"/>
          <w:szCs w:val="32"/>
        </w:rPr>
        <w:t>支出</w:t>
      </w:r>
      <w:r>
        <w:rPr>
          <w:rFonts w:hint="eastAsia" w:ascii="仿宋_GB2312" w:hAnsi="仿宋_GB2312" w:eastAsia="仿宋_GB2312" w:cs="仿宋_GB2312"/>
          <w:spacing w:val="-20"/>
          <w:sz w:val="32"/>
          <w:szCs w:val="32"/>
          <w:lang w:val="en-US" w:eastAsia="zh-CN"/>
        </w:rPr>
        <w:t>98.55</w:t>
      </w:r>
      <w:r>
        <w:rPr>
          <w:rFonts w:hint="eastAsia" w:ascii="仿宋_GB2312" w:hAnsi="仿宋_GB2312" w:eastAsia="仿宋_GB2312" w:cs="仿宋_GB2312"/>
          <w:spacing w:val="-20"/>
          <w:sz w:val="32"/>
          <w:szCs w:val="32"/>
        </w:rPr>
        <w:t>万元；商品服务支出</w:t>
      </w:r>
      <w:r>
        <w:rPr>
          <w:rFonts w:hint="eastAsia" w:ascii="仿宋_GB2312" w:hAnsi="仿宋_GB2312" w:eastAsia="仿宋_GB2312" w:cs="仿宋_GB2312"/>
          <w:spacing w:val="-20"/>
          <w:sz w:val="32"/>
          <w:szCs w:val="32"/>
          <w:lang w:val="en-US" w:eastAsia="zh-CN"/>
        </w:rPr>
        <w:t>111.44</w:t>
      </w:r>
      <w:r>
        <w:rPr>
          <w:rFonts w:hint="eastAsia" w:ascii="仿宋_GB2312" w:hAnsi="仿宋_GB2312" w:eastAsia="仿宋_GB2312" w:cs="仿宋_GB2312"/>
          <w:spacing w:val="-20"/>
          <w:sz w:val="32"/>
          <w:szCs w:val="32"/>
        </w:rPr>
        <w:t>万元；资本性支出</w:t>
      </w:r>
      <w:r>
        <w:rPr>
          <w:rFonts w:hint="eastAsia" w:ascii="仿宋_GB2312" w:hAnsi="仿宋_GB2312" w:eastAsia="仿宋_GB2312" w:cs="仿宋_GB2312"/>
          <w:spacing w:val="-20"/>
          <w:sz w:val="32"/>
          <w:szCs w:val="32"/>
          <w:lang w:val="en-US" w:eastAsia="zh-CN"/>
        </w:rPr>
        <w:t>0.49</w:t>
      </w:r>
      <w:r>
        <w:rPr>
          <w:rFonts w:hint="eastAsia" w:ascii="仿宋_GB2312" w:hAnsi="仿宋_GB2312" w:eastAsia="仿宋_GB2312" w:cs="仿宋_GB2312"/>
          <w:spacing w:val="-20"/>
          <w:sz w:val="32"/>
          <w:szCs w:val="32"/>
        </w:rPr>
        <w:t>万元。</w:t>
      </w:r>
      <w:r>
        <w:rPr>
          <w:rFonts w:hint="eastAsia" w:ascii="仿宋_GB2312" w:hAnsi="仿宋_GB2312" w:eastAsia="仿宋_GB2312" w:cs="仿宋_GB2312"/>
          <w:sz w:val="32"/>
          <w:szCs w:val="32"/>
        </w:rPr>
        <w:t>其中：“三公”经费公务用车运行维护费</w:t>
      </w:r>
      <w:r>
        <w:rPr>
          <w:rFonts w:hint="eastAsia" w:ascii="仿宋_GB2312" w:hAnsi="仿宋_GB2312" w:eastAsia="仿宋_GB2312" w:cs="仿宋_GB2312"/>
          <w:sz w:val="32"/>
          <w:szCs w:val="32"/>
          <w:lang w:val="en-US" w:eastAsia="zh-CN"/>
        </w:rPr>
        <w:t>4.69</w:t>
      </w:r>
      <w:r>
        <w:rPr>
          <w:rFonts w:hint="eastAsia" w:ascii="仿宋_GB2312" w:hAnsi="仿宋_GB2312" w:eastAsia="仿宋_GB2312" w:cs="仿宋_GB2312"/>
          <w:sz w:val="32"/>
          <w:szCs w:val="32"/>
        </w:rPr>
        <w:t>万元较上年度</w:t>
      </w:r>
      <w:r>
        <w:rPr>
          <w:rFonts w:hint="eastAsia" w:ascii="仿宋_GB2312" w:hAnsi="仿宋_GB2312" w:eastAsia="仿宋_GB2312" w:cs="仿宋_GB2312"/>
          <w:sz w:val="32"/>
          <w:szCs w:val="32"/>
          <w:lang w:val="en-US" w:eastAsia="zh-CN"/>
        </w:rPr>
        <w:t>5.62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16.55</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0.13</w:t>
      </w:r>
      <w:r>
        <w:rPr>
          <w:rFonts w:hint="eastAsia" w:ascii="仿宋_GB2312" w:hAnsi="仿宋_GB2312" w:eastAsia="仿宋_GB2312" w:cs="仿宋_GB2312"/>
          <w:sz w:val="32"/>
          <w:szCs w:val="32"/>
        </w:rPr>
        <w:t>万元较上年度</w:t>
      </w:r>
      <w:r>
        <w:rPr>
          <w:rFonts w:hint="eastAsia" w:ascii="仿宋_GB2312" w:hAnsi="仿宋_GB2312" w:eastAsia="仿宋_GB2312" w:cs="仿宋_GB2312"/>
          <w:sz w:val="32"/>
          <w:szCs w:val="32"/>
          <w:lang w:val="en-US" w:eastAsia="zh-CN"/>
        </w:rPr>
        <w:t>0.27</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52</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rPr>
        <w:t>，实现了厉行节约的宗旨。</w:t>
      </w:r>
    </w:p>
    <w:p>
      <w:pPr>
        <w:keepNext w:val="0"/>
        <w:keepLines w:val="0"/>
        <w:pageBreakBefore w:val="0"/>
        <w:kinsoku/>
        <w:overflowPunct/>
        <w:topLinePunct w:val="0"/>
        <w:autoSpaceDE/>
        <w:autoSpaceDN/>
        <w:bidi w:val="0"/>
        <w:adjustRightInd/>
        <w:spacing w:line="600" w:lineRule="exact"/>
        <w:ind w:firstLine="627" w:firstLineChars="196"/>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三、部门整体支出绩效情况</w:t>
      </w:r>
    </w:p>
    <w:p>
      <w:pPr>
        <w:pStyle w:val="5"/>
        <w:keepNext w:val="0"/>
        <w:keepLines w:val="0"/>
        <w:pageBreakBefore w:val="0"/>
        <w:widowControl/>
        <w:kinsoku/>
        <w:wordWrap w:val="0"/>
        <w:overflowPunct/>
        <w:topLinePunct w:val="0"/>
        <w:autoSpaceDE/>
        <w:autoSpaceDN/>
        <w:bidi w:val="0"/>
        <w:adjustRightInd/>
        <w:spacing w:before="150" w:after="150" w:line="600" w:lineRule="exact"/>
        <w:ind w:firstLine="640" w:firstLineChars="200"/>
        <w:textAlignment w:val="auto"/>
        <w:rPr>
          <w:rFonts w:ascii="仿宋_GB2312" w:hAnsi="仿宋_GB2312" w:eastAsia="仿宋_GB2312" w:cs="Times New Roman"/>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我局积极履职，强化管理，较好地完成了年度工作目标。通过加强预算收支管理，不断建立健全内部管理制度，梳理内部管理流程，部门整体支出管理水平得到提升。根据部门整体支出绩效评价指标体系，我局</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年度评价得分为</w:t>
      </w:r>
      <w:r>
        <w:rPr>
          <w:rFonts w:ascii="仿宋_GB2312" w:hAnsi="仿宋_GB2312" w:eastAsia="仿宋_GB2312" w:cs="仿宋_GB2312"/>
          <w:sz w:val="32"/>
          <w:szCs w:val="32"/>
        </w:rPr>
        <w:t>99</w:t>
      </w:r>
      <w:r>
        <w:rPr>
          <w:rFonts w:hint="eastAsia" w:ascii="仿宋_GB2312" w:hAnsi="仿宋_GB2312" w:eastAsia="仿宋_GB2312" w:cs="仿宋_GB2312"/>
          <w:sz w:val="32"/>
          <w:szCs w:val="32"/>
        </w:rPr>
        <w:t>分。</w:t>
      </w:r>
    </w:p>
    <w:p>
      <w:pPr>
        <w:pStyle w:val="5"/>
        <w:keepNext w:val="0"/>
        <w:keepLines w:val="0"/>
        <w:pageBreakBefore w:val="0"/>
        <w:widowControl/>
        <w:kinsoku/>
        <w:wordWrap w:val="0"/>
        <w:overflowPunct/>
        <w:topLinePunct w:val="0"/>
        <w:autoSpaceDE/>
        <w:autoSpaceDN/>
        <w:bidi w:val="0"/>
        <w:adjustRightInd/>
        <w:spacing w:before="150" w:after="150" w:line="60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其中基本支出包括工资福利支出、商品和服务支出以及对个人和家庭的补助。用于保障单位正常运转的日常开支，包括基本工资、对个人和家庭补助等人员经费以及办公费、印刷费、邮电费、加班餐费、劳务费、培训费、咨询费等其他正常运转所需开支。　</w:t>
      </w:r>
    </w:p>
    <w:p>
      <w:pPr>
        <w:keepNext w:val="0"/>
        <w:keepLines w:val="0"/>
        <w:pageBreakBefore w:val="0"/>
        <w:kinsoku/>
        <w:overflowPunct/>
        <w:topLinePunct w:val="0"/>
        <w:autoSpaceDE/>
        <w:autoSpaceDN/>
        <w:bidi w:val="0"/>
        <w:adjustRightInd/>
        <w:spacing w:line="600" w:lineRule="exact"/>
        <w:ind w:firstLine="627" w:firstLineChars="196"/>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四、存在的主要问题及改进措施和有关建议</w:t>
      </w:r>
    </w:p>
    <w:p>
      <w:pPr>
        <w:pStyle w:val="5"/>
        <w:keepNext w:val="0"/>
        <w:keepLines w:val="0"/>
        <w:pageBreakBefore w:val="0"/>
        <w:widowControl/>
        <w:kinsoku/>
        <w:wordWrap w:val="0"/>
        <w:overflowPunct/>
        <w:topLinePunct w:val="0"/>
        <w:autoSpaceDE/>
        <w:autoSpaceDN/>
        <w:bidi w:val="0"/>
        <w:adjustRightInd/>
        <w:spacing w:before="150" w:after="150" w:line="600" w:lineRule="exact"/>
        <w:ind w:firstLine="645"/>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我局</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年部门支出与年初预算基本一致，达到预期绩效目标。但预算编制还需进一步细化，年初编制的预算不够精准，针对我局预算存在的问题，提出以下建议：</w:t>
      </w:r>
    </w:p>
    <w:p>
      <w:pPr>
        <w:keepNext w:val="0"/>
        <w:keepLines w:val="0"/>
        <w:pageBreakBefore w:val="0"/>
        <w:widowControl/>
        <w:shd w:val="clear" w:color="auto" w:fill="FFFFFF"/>
        <w:kinsoku/>
        <w:overflowPunct/>
        <w:topLinePunct w:val="0"/>
        <w:autoSpaceDE/>
        <w:autoSpaceDN/>
        <w:bidi w:val="0"/>
        <w:adjustRightInd/>
        <w:spacing w:line="600" w:lineRule="exact"/>
        <w:ind w:firstLine="480"/>
        <w:textAlignment w:val="auto"/>
        <w:rPr>
          <w:rFonts w:ascii="仿宋_GB2312" w:hAnsi="仿宋_GB2312" w:eastAsia="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遵循先有预算、后有支出的原则，加强财务管理和内部控制监督制度。在费用报账支付时，按照预算规定的费用项目和用途进行资金使用审核、列报支付、财务核算，杜绝超支现象的发生。严禁超预算和无预算安排支出，严格开支范围和标准，严格支出报销审核，不报销任何超</w:t>
      </w:r>
      <w:r>
        <w:rPr>
          <w:rFonts w:hint="eastAsia" w:ascii="仿宋_GB2312" w:hAnsi="仿宋_GB2312" w:eastAsia="仿宋_GB2312" w:cs="仿宋_GB2312"/>
          <w:kern w:val="0"/>
          <w:sz w:val="32"/>
          <w:szCs w:val="32"/>
          <w:lang w:eastAsia="zh-CN"/>
        </w:rPr>
        <w:t>范围和</w:t>
      </w:r>
      <w:r>
        <w:rPr>
          <w:rFonts w:hint="eastAsia" w:ascii="仿宋_GB2312" w:hAnsi="仿宋_GB2312" w:eastAsia="仿宋_GB2312" w:cs="仿宋_GB2312"/>
          <w:kern w:val="0"/>
          <w:sz w:val="32"/>
          <w:szCs w:val="32"/>
        </w:rPr>
        <w:t>标准的</w:t>
      </w:r>
      <w:r>
        <w:rPr>
          <w:rFonts w:hint="eastAsia" w:ascii="仿宋_GB2312" w:hAnsi="仿宋_GB2312" w:eastAsia="仿宋_GB2312" w:cs="仿宋_GB2312"/>
          <w:kern w:val="0"/>
          <w:sz w:val="32"/>
          <w:szCs w:val="32"/>
          <w:lang w:eastAsia="zh-CN"/>
        </w:rPr>
        <w:t>开支</w:t>
      </w:r>
      <w:r>
        <w:rPr>
          <w:rFonts w:hint="eastAsia" w:ascii="仿宋_GB2312" w:hAnsi="仿宋_GB2312" w:eastAsia="仿宋_GB2312" w:cs="仿宋_GB2312"/>
          <w:kern w:val="0"/>
          <w:sz w:val="32"/>
          <w:szCs w:val="32"/>
        </w:rPr>
        <w:t>。</w:t>
      </w:r>
    </w:p>
    <w:p>
      <w:pPr>
        <w:pStyle w:val="5"/>
        <w:keepNext w:val="0"/>
        <w:keepLines w:val="0"/>
        <w:pageBreakBefore w:val="0"/>
        <w:widowControl/>
        <w:kinsoku/>
        <w:wordWrap w:val="0"/>
        <w:overflowPunct/>
        <w:topLinePunct w:val="0"/>
        <w:autoSpaceDE/>
        <w:autoSpaceDN/>
        <w:bidi w:val="0"/>
        <w:adjustRightInd/>
        <w:spacing w:before="150" w:after="150" w:line="600" w:lineRule="exact"/>
        <w:ind w:firstLine="480" w:firstLineChars="150"/>
        <w:textAlignment w:val="auto"/>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、完善资产管理，抓好</w:t>
      </w:r>
      <w:r>
        <w:rPr>
          <w:rFonts w:ascii="仿宋_GB2312" w:hAnsi="仿宋_GB2312" w:eastAsia="仿宋_GB2312" w:cs="Times New Roman"/>
          <w:sz w:val="32"/>
          <w:szCs w:val="32"/>
        </w:rPr>
        <w:t>“</w:t>
      </w:r>
      <w:r>
        <w:rPr>
          <w:rFonts w:hint="eastAsia" w:ascii="仿宋_GB2312" w:hAnsi="仿宋_GB2312" w:eastAsia="仿宋_GB2312" w:cs="仿宋_GB2312"/>
          <w:sz w:val="32"/>
          <w:szCs w:val="32"/>
        </w:rPr>
        <w:t>三公</w:t>
      </w:r>
      <w:r>
        <w:rPr>
          <w:rFonts w:ascii="仿宋_GB2312" w:hAnsi="仿宋_GB2312" w:eastAsia="仿宋_GB2312" w:cs="Times New Roman"/>
          <w:sz w:val="32"/>
          <w:szCs w:val="32"/>
        </w:rPr>
        <w:t>”</w:t>
      </w:r>
      <w:r>
        <w:rPr>
          <w:rFonts w:hint="eastAsia" w:ascii="仿宋_GB2312" w:hAnsi="仿宋_GB2312" w:eastAsia="仿宋_GB2312" w:cs="仿宋_GB2312"/>
          <w:sz w:val="32"/>
          <w:szCs w:val="32"/>
        </w:rPr>
        <w:t>经费控制。严格编制政府采购年初预算和计划，规范各类资产的购置审批制度、资产采购制度、使用管理制度、资产处置和报废审批制度、资产管理岗位职责制度等，加强单位内部的资产管理工作。严格控制</w:t>
      </w:r>
      <w:r>
        <w:rPr>
          <w:rFonts w:ascii="仿宋_GB2312" w:hAnsi="仿宋_GB2312" w:eastAsia="仿宋_GB2312" w:cs="Times New Roman"/>
          <w:sz w:val="32"/>
          <w:szCs w:val="32"/>
        </w:rPr>
        <w:t>“</w:t>
      </w:r>
      <w:r>
        <w:rPr>
          <w:rFonts w:hint="eastAsia" w:ascii="仿宋_GB2312" w:hAnsi="仿宋_GB2312" w:eastAsia="仿宋_GB2312" w:cs="仿宋_GB2312"/>
          <w:sz w:val="32"/>
          <w:szCs w:val="32"/>
        </w:rPr>
        <w:t>三公</w:t>
      </w:r>
      <w:r>
        <w:rPr>
          <w:rFonts w:ascii="仿宋_GB2312" w:hAnsi="仿宋_GB2312" w:eastAsia="仿宋_GB2312" w:cs="Times New Roman"/>
          <w:sz w:val="32"/>
          <w:szCs w:val="32"/>
        </w:rPr>
        <w:t>”</w:t>
      </w:r>
      <w:r>
        <w:rPr>
          <w:rFonts w:hint="eastAsia" w:ascii="仿宋_GB2312" w:hAnsi="仿宋_GB2312" w:eastAsia="仿宋_GB2312" w:cs="仿宋_GB2312"/>
          <w:sz w:val="32"/>
          <w:szCs w:val="32"/>
        </w:rPr>
        <w:t>经费的规模和比例，认真贯彻落实中央，市委市政府和财政部门相关规定，严格“三公”经费支出的审核和审批。杜绝挪用和挤占其他预算资金行为；进一步细化</w:t>
      </w:r>
      <w:r>
        <w:rPr>
          <w:rFonts w:ascii="仿宋_GB2312" w:hAnsi="仿宋_GB2312" w:eastAsia="仿宋_GB2312" w:cs="Times New Roman"/>
          <w:sz w:val="32"/>
          <w:szCs w:val="32"/>
        </w:rPr>
        <w:t>“</w:t>
      </w:r>
      <w:r>
        <w:rPr>
          <w:rFonts w:hint="eastAsia" w:ascii="仿宋_GB2312" w:hAnsi="仿宋_GB2312" w:eastAsia="仿宋_GB2312" w:cs="仿宋_GB2312"/>
          <w:sz w:val="32"/>
          <w:szCs w:val="32"/>
        </w:rPr>
        <w:t>三公</w:t>
      </w:r>
      <w:r>
        <w:rPr>
          <w:rFonts w:ascii="仿宋_GB2312" w:hAnsi="仿宋_GB2312" w:eastAsia="仿宋_GB2312" w:cs="Times New Roman"/>
          <w:sz w:val="32"/>
          <w:szCs w:val="32"/>
        </w:rPr>
        <w:t>”</w:t>
      </w:r>
      <w:r>
        <w:rPr>
          <w:rFonts w:hint="eastAsia" w:ascii="仿宋_GB2312" w:hAnsi="仿宋_GB2312" w:eastAsia="仿宋_GB2312" w:cs="仿宋_GB2312"/>
          <w:sz w:val="32"/>
          <w:szCs w:val="32"/>
        </w:rPr>
        <w:t>经费的管理，合理压缩</w:t>
      </w:r>
      <w:r>
        <w:rPr>
          <w:rFonts w:ascii="仿宋_GB2312" w:hAnsi="仿宋_GB2312" w:eastAsia="仿宋_GB2312" w:cs="Times New Roman"/>
          <w:sz w:val="32"/>
          <w:szCs w:val="32"/>
        </w:rPr>
        <w:t>“</w:t>
      </w:r>
      <w:r>
        <w:rPr>
          <w:rFonts w:hint="eastAsia" w:ascii="仿宋_GB2312" w:hAnsi="仿宋_GB2312" w:eastAsia="仿宋_GB2312" w:cs="仿宋_GB2312"/>
          <w:sz w:val="32"/>
          <w:szCs w:val="32"/>
        </w:rPr>
        <w:t>三公</w:t>
      </w:r>
      <w:r>
        <w:rPr>
          <w:rFonts w:ascii="仿宋_GB2312" w:hAnsi="仿宋_GB2312" w:eastAsia="仿宋_GB2312" w:cs="Times New Roman"/>
          <w:sz w:val="32"/>
          <w:szCs w:val="32"/>
        </w:rPr>
        <w:t>”</w:t>
      </w:r>
      <w:r>
        <w:rPr>
          <w:rFonts w:hint="eastAsia" w:ascii="仿宋_GB2312" w:hAnsi="仿宋_GB2312" w:eastAsia="仿宋_GB2312" w:cs="仿宋_GB2312"/>
          <w:sz w:val="32"/>
          <w:szCs w:val="32"/>
        </w:rPr>
        <w:t>经费支出。</w:t>
      </w:r>
    </w:p>
    <w:p>
      <w:pPr>
        <w:pStyle w:val="5"/>
        <w:keepNext w:val="0"/>
        <w:keepLines w:val="0"/>
        <w:pageBreakBefore w:val="0"/>
        <w:widowControl/>
        <w:kinsoku/>
        <w:wordWrap w:val="0"/>
        <w:overflowPunct/>
        <w:topLinePunct w:val="0"/>
        <w:autoSpaceDE/>
        <w:autoSpaceDN/>
        <w:bidi w:val="0"/>
        <w:adjustRightInd/>
        <w:spacing w:before="150" w:after="150" w:line="600" w:lineRule="exact"/>
        <w:textAlignment w:val="auto"/>
        <w:rPr>
          <w:rFonts w:ascii="仿宋_GB2312" w:hAnsi="仿宋_GB2312" w:eastAsia="仿宋_GB2312" w:cs="Times New Roman"/>
          <w:sz w:val="32"/>
          <w:szCs w:val="32"/>
        </w:rPr>
      </w:pPr>
    </w:p>
    <w:p>
      <w:pPr>
        <w:keepNext w:val="0"/>
        <w:keepLines w:val="0"/>
        <w:pageBreakBefore w:val="0"/>
        <w:kinsoku/>
        <w:overflowPunct/>
        <w:topLinePunct w:val="0"/>
        <w:autoSpaceDE/>
        <w:autoSpaceDN/>
        <w:bidi w:val="0"/>
        <w:adjustRightInd/>
        <w:spacing w:line="600" w:lineRule="exact"/>
        <w:ind w:firstLine="645"/>
        <w:textAlignment w:val="auto"/>
        <w:rPr>
          <w:rFonts w:ascii="仿宋_GB2312" w:hAnsi="仿宋" w:eastAsia="仿宋_GB2312"/>
          <w:sz w:val="32"/>
          <w:szCs w:val="32"/>
        </w:rPr>
      </w:pPr>
    </w:p>
    <w:p>
      <w:pPr>
        <w:keepNext w:val="0"/>
        <w:keepLines w:val="0"/>
        <w:pageBreakBefore w:val="0"/>
        <w:kinsoku/>
        <w:overflowPunct/>
        <w:topLinePunct w:val="0"/>
        <w:autoSpaceDE/>
        <w:autoSpaceDN/>
        <w:bidi w:val="0"/>
        <w:adjustRightInd/>
        <w:spacing w:line="600" w:lineRule="exact"/>
        <w:jc w:val="center"/>
        <w:textAlignment w:val="auto"/>
        <w:rPr>
          <w:rFonts w:ascii="仿宋_GB2312" w:hAnsi="仿宋" w:eastAsia="仿宋_GB2312"/>
          <w:sz w:val="32"/>
          <w:szCs w:val="32"/>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岳阳市生态环境局</w:t>
      </w:r>
      <w:r>
        <w:rPr>
          <w:rFonts w:hint="eastAsia" w:ascii="仿宋_GB2312" w:hAnsi="仿宋" w:eastAsia="仿宋_GB2312" w:cs="仿宋_GB2312"/>
          <w:sz w:val="32"/>
          <w:szCs w:val="32"/>
          <w:lang w:eastAsia="zh-CN"/>
        </w:rPr>
        <w:t>南湖新区</w:t>
      </w:r>
      <w:r>
        <w:rPr>
          <w:rFonts w:hint="eastAsia" w:ascii="仿宋_GB2312" w:hAnsi="仿宋" w:eastAsia="仿宋_GB2312" w:cs="仿宋_GB2312"/>
          <w:sz w:val="32"/>
          <w:szCs w:val="32"/>
        </w:rPr>
        <w:t>分局</w:t>
      </w:r>
    </w:p>
    <w:p>
      <w:pPr>
        <w:keepNext w:val="0"/>
        <w:keepLines w:val="0"/>
        <w:pageBreakBefore w:val="0"/>
        <w:kinsoku/>
        <w:overflowPunct/>
        <w:topLinePunct w:val="0"/>
        <w:autoSpaceDE/>
        <w:autoSpaceDN/>
        <w:bidi w:val="0"/>
        <w:adjustRightInd/>
        <w:spacing w:line="600" w:lineRule="exact"/>
        <w:ind w:firstLine="5708" w:firstLineChars="1784"/>
        <w:textAlignment w:val="auto"/>
        <w:rPr>
          <w:rFonts w:cs="黑体" w:asciiTheme="minorEastAsia" w:hAnsiTheme="minorEastAsia"/>
          <w:color w:val="000000"/>
          <w:kern w:val="0"/>
          <w:sz w:val="32"/>
          <w:szCs w:val="32"/>
        </w:rPr>
      </w:pP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年</w:t>
      </w: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日</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YWI1NDJiNTZlMWRjNTIyMDVlMjRjYWQwZTQyZTQifQ=="/>
  </w:docVars>
  <w:rsids>
    <w:rsidRoot w:val="00172A27"/>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11A088A"/>
    <w:rsid w:val="02B76679"/>
    <w:rsid w:val="0BC62417"/>
    <w:rsid w:val="1A69759F"/>
    <w:rsid w:val="1AA7693E"/>
    <w:rsid w:val="1FBA1AA7"/>
    <w:rsid w:val="27F1148C"/>
    <w:rsid w:val="2B270416"/>
    <w:rsid w:val="2C820459"/>
    <w:rsid w:val="312329E9"/>
    <w:rsid w:val="37475870"/>
    <w:rsid w:val="3AA06925"/>
    <w:rsid w:val="3D974540"/>
    <w:rsid w:val="474D6FAF"/>
    <w:rsid w:val="48CB7629"/>
    <w:rsid w:val="4EDE529D"/>
    <w:rsid w:val="584E68B7"/>
    <w:rsid w:val="586F0014"/>
    <w:rsid w:val="5A9C632C"/>
    <w:rsid w:val="5E154168"/>
    <w:rsid w:val="5E533BE7"/>
    <w:rsid w:val="62A66708"/>
    <w:rsid w:val="6A0D65A5"/>
    <w:rsid w:val="727B424D"/>
    <w:rsid w:val="76521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line="432" w:lineRule="auto"/>
      <w:jc w:val="left"/>
    </w:pPr>
    <w:rPr>
      <w:rFonts w:ascii="Calibri" w:hAnsi="Calibri" w:cs="Calibri"/>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6011</Words>
  <Characters>6457</Characters>
  <Lines>63</Lines>
  <Paragraphs>17</Paragraphs>
  <TotalTime>7</TotalTime>
  <ScaleCrop>false</ScaleCrop>
  <LinksUpToDate>false</LinksUpToDate>
  <CharactersWithSpaces>6531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廖小玲</cp:lastModifiedBy>
  <cp:lastPrinted>2021-07-28T00:12:00Z</cp:lastPrinted>
  <dcterms:modified xsi:type="dcterms:W3CDTF">2022-06-13T04:25:44Z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BF307503D7BC400CB188C47AF1023389</vt:lpwstr>
  </property>
  <property fmtid="{D5CDD505-2E9C-101B-9397-08002B2CF9AE}" pid="4" name="commondata">
    <vt:lpwstr>eyJoZGlkIjoiZmRhYWI1NDJiNTZlMWRjNTIyMDVlMjRjYWQwZTQyZTQifQ==</vt:lpwstr>
  </property>
</Properties>
</file>