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3D" w:rsidRDefault="00ED343D">
      <w:pPr>
        <w:pStyle w:val="Default"/>
        <w:jc w:val="center"/>
        <w:rPr>
          <w:sz w:val="56"/>
          <w:szCs w:val="56"/>
        </w:rPr>
      </w:pPr>
    </w:p>
    <w:p w:rsidR="00ED343D" w:rsidRDefault="00ED343D">
      <w:pPr>
        <w:pStyle w:val="Default"/>
        <w:jc w:val="center"/>
        <w:rPr>
          <w:sz w:val="56"/>
          <w:szCs w:val="56"/>
        </w:rPr>
      </w:pPr>
    </w:p>
    <w:p w:rsidR="00ED343D" w:rsidRDefault="00ED343D">
      <w:pPr>
        <w:pStyle w:val="Default"/>
        <w:jc w:val="center"/>
        <w:rPr>
          <w:sz w:val="84"/>
          <w:szCs w:val="84"/>
        </w:rPr>
      </w:pPr>
    </w:p>
    <w:p w:rsidR="00ED343D" w:rsidRDefault="00ED343D">
      <w:pPr>
        <w:pStyle w:val="Default"/>
        <w:jc w:val="center"/>
        <w:rPr>
          <w:sz w:val="84"/>
          <w:szCs w:val="84"/>
        </w:rPr>
      </w:pPr>
    </w:p>
    <w:p w:rsidR="00ED343D" w:rsidRDefault="00A5623A">
      <w:pPr>
        <w:pStyle w:val="Default"/>
        <w:jc w:val="center"/>
        <w:rPr>
          <w:sz w:val="84"/>
          <w:szCs w:val="84"/>
        </w:rPr>
      </w:pPr>
      <w:r>
        <w:rPr>
          <w:rFonts w:hint="eastAsia"/>
          <w:sz w:val="84"/>
          <w:szCs w:val="84"/>
        </w:rPr>
        <w:t>2020</w:t>
      </w:r>
      <w:r>
        <w:rPr>
          <w:rFonts w:hint="eastAsia"/>
          <w:sz w:val="84"/>
          <w:szCs w:val="84"/>
        </w:rPr>
        <w:t>年度</w:t>
      </w:r>
    </w:p>
    <w:p w:rsidR="00ED343D" w:rsidRDefault="00A5623A">
      <w:pPr>
        <w:pStyle w:val="Default"/>
        <w:jc w:val="center"/>
        <w:rPr>
          <w:sz w:val="84"/>
          <w:szCs w:val="84"/>
        </w:rPr>
      </w:pPr>
      <w:r>
        <w:rPr>
          <w:rFonts w:hint="eastAsia"/>
          <w:sz w:val="84"/>
          <w:szCs w:val="84"/>
        </w:rPr>
        <w:t>湖南民院附小部门决算</w:t>
      </w:r>
    </w:p>
    <w:p w:rsidR="00ED343D" w:rsidRDefault="00ED343D">
      <w:pPr>
        <w:pStyle w:val="Default"/>
        <w:jc w:val="center"/>
        <w:rPr>
          <w:sz w:val="56"/>
          <w:szCs w:val="56"/>
        </w:rPr>
      </w:pPr>
    </w:p>
    <w:p w:rsidR="00ED343D" w:rsidRDefault="00ED343D">
      <w:pPr>
        <w:pStyle w:val="Default"/>
        <w:jc w:val="center"/>
        <w:rPr>
          <w:sz w:val="56"/>
          <w:szCs w:val="56"/>
        </w:rPr>
      </w:pPr>
    </w:p>
    <w:p w:rsidR="00ED343D" w:rsidRDefault="00ED343D">
      <w:pPr>
        <w:pStyle w:val="Default"/>
        <w:jc w:val="center"/>
        <w:rPr>
          <w:sz w:val="56"/>
          <w:szCs w:val="56"/>
        </w:rPr>
      </w:pPr>
    </w:p>
    <w:p w:rsidR="00ED343D" w:rsidRDefault="00ED343D">
      <w:pPr>
        <w:pStyle w:val="Default"/>
        <w:jc w:val="center"/>
        <w:rPr>
          <w:sz w:val="56"/>
          <w:szCs w:val="56"/>
        </w:rPr>
      </w:pPr>
    </w:p>
    <w:p w:rsidR="00ED343D" w:rsidRDefault="00ED343D">
      <w:pPr>
        <w:pStyle w:val="Default"/>
        <w:jc w:val="center"/>
        <w:rPr>
          <w:sz w:val="32"/>
          <w:szCs w:val="32"/>
        </w:rPr>
      </w:pPr>
    </w:p>
    <w:p w:rsidR="00ED343D" w:rsidRDefault="00ED343D">
      <w:pPr>
        <w:pStyle w:val="Default"/>
        <w:jc w:val="center"/>
        <w:rPr>
          <w:sz w:val="32"/>
          <w:szCs w:val="32"/>
        </w:rPr>
      </w:pPr>
    </w:p>
    <w:p w:rsidR="00ED343D" w:rsidRDefault="00ED343D">
      <w:pPr>
        <w:pStyle w:val="Default"/>
        <w:jc w:val="center"/>
        <w:rPr>
          <w:sz w:val="32"/>
          <w:szCs w:val="32"/>
        </w:rPr>
      </w:pPr>
    </w:p>
    <w:p w:rsidR="00ED343D" w:rsidRDefault="00ED343D">
      <w:pPr>
        <w:pStyle w:val="Default"/>
        <w:jc w:val="center"/>
        <w:rPr>
          <w:sz w:val="32"/>
          <w:szCs w:val="32"/>
        </w:rPr>
      </w:pPr>
    </w:p>
    <w:p w:rsidR="00ED343D" w:rsidRDefault="00ED343D">
      <w:pPr>
        <w:pStyle w:val="Default"/>
        <w:jc w:val="center"/>
        <w:rPr>
          <w:sz w:val="32"/>
          <w:szCs w:val="32"/>
        </w:rPr>
      </w:pPr>
    </w:p>
    <w:p w:rsidR="00ED343D" w:rsidRDefault="00ED343D">
      <w:pPr>
        <w:pStyle w:val="Default"/>
        <w:spacing w:line="540" w:lineRule="exact"/>
        <w:jc w:val="center"/>
        <w:rPr>
          <w:sz w:val="56"/>
          <w:szCs w:val="56"/>
        </w:rPr>
      </w:pPr>
    </w:p>
    <w:p w:rsidR="00ED343D" w:rsidRDefault="00ED343D">
      <w:pPr>
        <w:pStyle w:val="Default"/>
        <w:spacing w:line="500" w:lineRule="exact"/>
        <w:rPr>
          <w:b/>
          <w:sz w:val="36"/>
          <w:szCs w:val="28"/>
        </w:rPr>
      </w:pPr>
    </w:p>
    <w:p w:rsidR="00ED343D" w:rsidRDefault="00ED343D">
      <w:pPr>
        <w:pStyle w:val="Default"/>
        <w:spacing w:line="500" w:lineRule="exact"/>
        <w:rPr>
          <w:b/>
          <w:sz w:val="36"/>
          <w:szCs w:val="28"/>
        </w:rPr>
      </w:pPr>
    </w:p>
    <w:p w:rsidR="00ED343D" w:rsidRDefault="00A5623A">
      <w:pPr>
        <w:pStyle w:val="Default"/>
        <w:spacing w:line="500" w:lineRule="exact"/>
        <w:jc w:val="center"/>
        <w:rPr>
          <w:b/>
          <w:sz w:val="36"/>
          <w:szCs w:val="28"/>
        </w:rPr>
      </w:pPr>
      <w:r>
        <w:rPr>
          <w:rFonts w:hint="eastAsia"/>
          <w:b/>
          <w:sz w:val="36"/>
          <w:szCs w:val="28"/>
        </w:rPr>
        <w:lastRenderedPageBreak/>
        <w:t>目录</w:t>
      </w:r>
    </w:p>
    <w:p w:rsidR="00ED343D" w:rsidRDefault="00A5623A">
      <w:pPr>
        <w:pStyle w:val="Default"/>
        <w:spacing w:line="480" w:lineRule="exact"/>
        <w:rPr>
          <w:rFonts w:ascii="仿宋_GB2312" w:hAnsi="仿宋_GB2312" w:cs="仿宋_GB2312"/>
          <w:b/>
          <w:sz w:val="28"/>
          <w:szCs w:val="28"/>
        </w:rPr>
      </w:pPr>
      <w:r>
        <w:rPr>
          <w:rFonts w:hint="eastAsia"/>
          <w:b/>
          <w:sz w:val="28"/>
          <w:szCs w:val="28"/>
        </w:rPr>
        <w:t>第一部分湖南民院附小单位概况</w:t>
      </w:r>
    </w:p>
    <w:p w:rsidR="00ED343D" w:rsidRDefault="00A5623A">
      <w:pPr>
        <w:pStyle w:val="Default"/>
        <w:numPr>
          <w:ilvl w:val="0"/>
          <w:numId w:val="1"/>
        </w:numPr>
        <w:spacing w:line="480" w:lineRule="exact"/>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部门职责</w:t>
      </w:r>
    </w:p>
    <w:p w:rsidR="00ED343D" w:rsidRDefault="00A5623A">
      <w:pPr>
        <w:pStyle w:val="Default"/>
        <w:numPr>
          <w:ilvl w:val="0"/>
          <w:numId w:val="1"/>
        </w:numPr>
        <w:spacing w:line="480" w:lineRule="exact"/>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机构设置</w:t>
      </w:r>
    </w:p>
    <w:p w:rsidR="00ED343D" w:rsidRDefault="00A5623A">
      <w:pPr>
        <w:pStyle w:val="Default"/>
        <w:spacing w:line="48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年度部门决算表</w:t>
      </w:r>
    </w:p>
    <w:p w:rsidR="00ED343D" w:rsidRDefault="00A5623A">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ED343D" w:rsidRDefault="00A5623A">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ED343D" w:rsidRDefault="00A5623A">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ED343D" w:rsidRDefault="00A5623A">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ED343D" w:rsidRDefault="00A5623A">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ED343D" w:rsidRDefault="00A5623A">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ED343D" w:rsidRDefault="00A5623A">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ED343D" w:rsidRDefault="00A5623A">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ED343D" w:rsidRDefault="00A5623A">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ED343D" w:rsidRDefault="00A5623A">
      <w:pPr>
        <w:pStyle w:val="Default"/>
        <w:spacing w:line="48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年度部门决算情况说明</w:t>
      </w:r>
    </w:p>
    <w:p w:rsidR="00ED343D" w:rsidRDefault="00A5623A">
      <w:pPr>
        <w:pStyle w:val="Default"/>
        <w:spacing w:line="48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ED343D" w:rsidRDefault="00A5623A">
      <w:pPr>
        <w:spacing w:line="48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ED343D" w:rsidRDefault="00A5623A">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ED343D" w:rsidRDefault="00A5623A">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ED343D" w:rsidRDefault="00A5623A">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ED343D" w:rsidRDefault="00A5623A">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ED343D" w:rsidRDefault="00A5623A">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ED343D" w:rsidRDefault="00A5623A">
      <w:pPr>
        <w:autoSpaceDE w:val="0"/>
        <w:autoSpaceDN w:val="0"/>
        <w:adjustRightInd w:val="0"/>
        <w:spacing w:line="48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ED343D" w:rsidRDefault="00A5623A">
      <w:pPr>
        <w:autoSpaceDE w:val="0"/>
        <w:autoSpaceDN w:val="0"/>
        <w:adjustRightInd w:val="0"/>
        <w:spacing w:line="48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九、国有资本经营预算财政拨款支出决算情况</w:t>
      </w:r>
    </w:p>
    <w:p w:rsidR="00ED343D" w:rsidRDefault="00A5623A">
      <w:pPr>
        <w:autoSpaceDE w:val="0"/>
        <w:autoSpaceDN w:val="0"/>
        <w:adjustRightInd w:val="0"/>
        <w:spacing w:line="48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十、关于机关运行经费支出说明</w:t>
      </w:r>
    </w:p>
    <w:p w:rsidR="00ED343D" w:rsidRDefault="00A5623A">
      <w:pPr>
        <w:autoSpaceDE w:val="0"/>
        <w:autoSpaceDN w:val="0"/>
        <w:adjustRightInd w:val="0"/>
        <w:spacing w:line="48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十一、一般性支出情况</w:t>
      </w:r>
    </w:p>
    <w:p w:rsidR="00ED343D" w:rsidRDefault="00A5623A">
      <w:pPr>
        <w:autoSpaceDE w:val="0"/>
        <w:autoSpaceDN w:val="0"/>
        <w:adjustRightInd w:val="0"/>
        <w:spacing w:line="48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十二、关于政府采购支出说明</w:t>
      </w:r>
    </w:p>
    <w:p w:rsidR="00ED343D" w:rsidRDefault="00A5623A">
      <w:pPr>
        <w:autoSpaceDE w:val="0"/>
        <w:autoSpaceDN w:val="0"/>
        <w:adjustRightInd w:val="0"/>
        <w:spacing w:line="48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十三、关于国有资产占用情况说明</w:t>
      </w:r>
    </w:p>
    <w:p w:rsidR="00ED343D" w:rsidRDefault="00A5623A">
      <w:pPr>
        <w:autoSpaceDE w:val="0"/>
        <w:autoSpaceDN w:val="0"/>
        <w:adjustRightInd w:val="0"/>
        <w:spacing w:line="48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十四、关于</w:t>
      </w:r>
      <w:r>
        <w:rPr>
          <w:rFonts w:ascii="仿宋_GB2312" w:hAnsi="仿宋_GB2312" w:cs="仿宋_GB2312" w:hint="eastAsia"/>
          <w:color w:val="000000"/>
          <w:kern w:val="0"/>
          <w:sz w:val="28"/>
          <w:szCs w:val="28"/>
        </w:rPr>
        <w:t>2020</w:t>
      </w:r>
      <w:r>
        <w:rPr>
          <w:rFonts w:ascii="仿宋_GB2312" w:hAnsi="仿宋_GB2312" w:cs="仿宋_GB2312" w:hint="eastAsia"/>
          <w:color w:val="000000"/>
          <w:kern w:val="0"/>
          <w:sz w:val="28"/>
          <w:szCs w:val="28"/>
        </w:rPr>
        <w:t>年度预算绩效情况的说明</w:t>
      </w:r>
    </w:p>
    <w:p w:rsidR="00ED343D" w:rsidRDefault="00A5623A">
      <w:pPr>
        <w:autoSpaceDE w:val="0"/>
        <w:autoSpaceDN w:val="0"/>
        <w:adjustRightInd w:val="0"/>
        <w:spacing w:line="48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r>
        <w:rPr>
          <w:rFonts w:ascii="黑体" w:eastAsia="黑体" w:hAnsi="黑体" w:cs="黑体" w:hint="eastAsia"/>
          <w:b/>
          <w:color w:val="000000"/>
          <w:kern w:val="0"/>
          <w:sz w:val="28"/>
          <w:szCs w:val="28"/>
        </w:rPr>
        <w:t>：无</w:t>
      </w:r>
    </w:p>
    <w:p w:rsidR="00ED343D" w:rsidRDefault="00A5623A">
      <w:pPr>
        <w:autoSpaceDE w:val="0"/>
        <w:autoSpaceDN w:val="0"/>
        <w:adjustRightInd w:val="0"/>
        <w:spacing w:line="48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r>
        <w:rPr>
          <w:rFonts w:ascii="黑体" w:eastAsia="黑体" w:hAnsi="黑体" w:cs="黑体" w:hint="eastAsia"/>
          <w:b/>
          <w:color w:val="000000"/>
          <w:kern w:val="0"/>
          <w:sz w:val="28"/>
          <w:szCs w:val="28"/>
        </w:rPr>
        <w:t xml:space="preserve">:  </w:t>
      </w:r>
      <w:r>
        <w:rPr>
          <w:rFonts w:ascii="黑体" w:eastAsia="黑体" w:hAnsi="黑体" w:cs="黑体" w:hint="eastAsia"/>
          <w:b/>
          <w:color w:val="000000"/>
          <w:kern w:val="0"/>
          <w:sz w:val="28"/>
          <w:szCs w:val="28"/>
        </w:rPr>
        <w:t>无</w:t>
      </w:r>
    </w:p>
    <w:p w:rsidR="00ED343D" w:rsidRDefault="00ED343D">
      <w:pPr>
        <w:jc w:val="center"/>
        <w:rPr>
          <w:sz w:val="72"/>
          <w:szCs w:val="72"/>
        </w:rPr>
      </w:pPr>
    </w:p>
    <w:p w:rsidR="00ED343D" w:rsidRDefault="00ED343D">
      <w:pPr>
        <w:jc w:val="center"/>
        <w:rPr>
          <w:sz w:val="72"/>
          <w:szCs w:val="72"/>
        </w:rPr>
      </w:pPr>
    </w:p>
    <w:p w:rsidR="00ED343D" w:rsidRDefault="00ED343D">
      <w:pPr>
        <w:jc w:val="center"/>
        <w:rPr>
          <w:sz w:val="72"/>
          <w:szCs w:val="72"/>
        </w:rPr>
      </w:pPr>
    </w:p>
    <w:p w:rsidR="00ED343D" w:rsidRDefault="00ED343D">
      <w:pPr>
        <w:jc w:val="center"/>
        <w:rPr>
          <w:sz w:val="72"/>
          <w:szCs w:val="72"/>
        </w:rPr>
      </w:pPr>
    </w:p>
    <w:p w:rsidR="00ED343D" w:rsidRDefault="00ED343D">
      <w:pPr>
        <w:rPr>
          <w:sz w:val="72"/>
          <w:szCs w:val="72"/>
        </w:rPr>
      </w:pPr>
    </w:p>
    <w:p w:rsidR="00ED343D" w:rsidRDefault="00A5623A">
      <w:pPr>
        <w:pStyle w:val="Default"/>
        <w:jc w:val="center"/>
        <w:rPr>
          <w:sz w:val="84"/>
          <w:szCs w:val="84"/>
        </w:rPr>
      </w:pPr>
      <w:r>
        <w:rPr>
          <w:rFonts w:hint="eastAsia"/>
          <w:sz w:val="84"/>
          <w:szCs w:val="84"/>
        </w:rPr>
        <w:t>第一部分</w:t>
      </w:r>
      <w:r>
        <w:rPr>
          <w:sz w:val="84"/>
          <w:szCs w:val="84"/>
        </w:rPr>
        <w:t xml:space="preserve"> </w:t>
      </w:r>
    </w:p>
    <w:p w:rsidR="00ED343D" w:rsidRDefault="00ED343D">
      <w:pPr>
        <w:pStyle w:val="Default"/>
        <w:jc w:val="center"/>
        <w:rPr>
          <w:sz w:val="84"/>
          <w:szCs w:val="84"/>
        </w:rPr>
      </w:pPr>
    </w:p>
    <w:p w:rsidR="00ED343D" w:rsidRDefault="00A5623A">
      <w:pPr>
        <w:pStyle w:val="Default"/>
        <w:jc w:val="center"/>
        <w:rPr>
          <w:sz w:val="84"/>
          <w:szCs w:val="84"/>
        </w:rPr>
      </w:pPr>
      <w:r>
        <w:rPr>
          <w:rFonts w:hint="eastAsia"/>
          <w:sz w:val="84"/>
          <w:szCs w:val="84"/>
        </w:rPr>
        <w:t>湖南民院附小单位概况</w:t>
      </w:r>
    </w:p>
    <w:p w:rsidR="00ED343D" w:rsidRDefault="00ED343D">
      <w:pPr>
        <w:jc w:val="center"/>
        <w:rPr>
          <w:sz w:val="72"/>
          <w:szCs w:val="72"/>
        </w:rPr>
      </w:pPr>
    </w:p>
    <w:p w:rsidR="00ED343D" w:rsidRDefault="00ED343D">
      <w:pPr>
        <w:jc w:val="center"/>
        <w:rPr>
          <w:sz w:val="72"/>
          <w:szCs w:val="72"/>
        </w:rPr>
      </w:pPr>
    </w:p>
    <w:p w:rsidR="00ED343D" w:rsidRDefault="00ED343D">
      <w:pPr>
        <w:jc w:val="center"/>
        <w:rPr>
          <w:sz w:val="72"/>
          <w:szCs w:val="72"/>
        </w:rPr>
      </w:pPr>
    </w:p>
    <w:p w:rsidR="00ED343D" w:rsidRDefault="00ED343D">
      <w:pPr>
        <w:jc w:val="center"/>
        <w:rPr>
          <w:sz w:val="72"/>
          <w:szCs w:val="72"/>
        </w:rPr>
      </w:pPr>
    </w:p>
    <w:p w:rsidR="00ED343D" w:rsidRDefault="00ED343D">
      <w:pPr>
        <w:jc w:val="center"/>
        <w:rPr>
          <w:sz w:val="72"/>
          <w:szCs w:val="72"/>
        </w:rPr>
      </w:pPr>
    </w:p>
    <w:p w:rsidR="00ED343D" w:rsidRDefault="00ED343D">
      <w:pPr>
        <w:pStyle w:val="a6"/>
        <w:ind w:left="720" w:firstLineChars="0" w:firstLine="0"/>
        <w:jc w:val="left"/>
        <w:rPr>
          <w:rFonts w:ascii="黑体" w:eastAsia="黑体" w:hAnsi="黑体"/>
          <w:sz w:val="32"/>
          <w:szCs w:val="32"/>
        </w:rPr>
      </w:pPr>
    </w:p>
    <w:p w:rsidR="00ED343D" w:rsidRDefault="00ED343D">
      <w:pPr>
        <w:pStyle w:val="a6"/>
        <w:ind w:left="720" w:firstLineChars="0" w:firstLine="0"/>
        <w:jc w:val="left"/>
        <w:rPr>
          <w:rFonts w:ascii="黑体" w:eastAsia="黑体" w:hAnsi="黑体"/>
          <w:sz w:val="32"/>
          <w:szCs w:val="32"/>
        </w:rPr>
      </w:pPr>
    </w:p>
    <w:p w:rsidR="00ED343D" w:rsidRDefault="00ED343D">
      <w:pPr>
        <w:pStyle w:val="a6"/>
        <w:ind w:left="720" w:firstLineChars="0" w:firstLine="0"/>
        <w:jc w:val="left"/>
        <w:rPr>
          <w:rFonts w:ascii="黑体" w:eastAsia="黑体" w:hAnsi="黑体"/>
          <w:sz w:val="32"/>
          <w:szCs w:val="32"/>
        </w:rPr>
      </w:pPr>
    </w:p>
    <w:p w:rsidR="00ED343D" w:rsidRDefault="00A5623A">
      <w:pPr>
        <w:pStyle w:val="a6"/>
        <w:numPr>
          <w:ilvl w:val="0"/>
          <w:numId w:val="2"/>
        </w:numPr>
        <w:ind w:firstLineChars="0"/>
        <w:jc w:val="left"/>
        <w:rPr>
          <w:rFonts w:ascii="黑体" w:eastAsia="黑体" w:hAnsi="黑体"/>
          <w:sz w:val="32"/>
          <w:szCs w:val="32"/>
        </w:rPr>
      </w:pPr>
      <w:r>
        <w:rPr>
          <w:rFonts w:ascii="黑体" w:eastAsia="黑体" w:hAnsi="黑体"/>
          <w:sz w:val="32"/>
          <w:szCs w:val="32"/>
        </w:rPr>
        <w:lastRenderedPageBreak/>
        <w:t>部门职责</w:t>
      </w:r>
    </w:p>
    <w:p w:rsidR="00ED343D" w:rsidRDefault="00A5623A">
      <w:pPr>
        <w:snapToGrid w:val="0"/>
        <w:ind w:firstLineChars="200" w:firstLine="560"/>
        <w:rPr>
          <w:rFonts w:asciiTheme="minorEastAsia" w:hAnsiTheme="minorEastAsia" w:cs="黑体"/>
          <w:color w:val="000000"/>
          <w:kern w:val="0"/>
          <w:sz w:val="32"/>
          <w:szCs w:val="32"/>
        </w:rPr>
      </w:pPr>
      <w:r>
        <w:rPr>
          <w:rFonts w:ascii="仿宋" w:eastAsia="仿宋" w:hAnsi="仿宋" w:cs="Times New Roman" w:hint="eastAsia"/>
          <w:sz w:val="28"/>
          <w:szCs w:val="28"/>
        </w:rPr>
        <w:t>（</w:t>
      </w:r>
      <w:r>
        <w:rPr>
          <w:rFonts w:asciiTheme="minorEastAsia" w:hAnsiTheme="minorEastAsia" w:cs="黑体" w:hint="eastAsia"/>
          <w:color w:val="000000"/>
          <w:kern w:val="0"/>
          <w:sz w:val="32"/>
          <w:szCs w:val="32"/>
        </w:rPr>
        <w:t>一）湖南民族职业学院附属小学（简称湖南民院附小），原名南湖小学，岳阳师范附属小学。隶属湖南民族职业学院，为纯公益类事业单位。其主职可享受正科级待遇。</w:t>
      </w:r>
    </w:p>
    <w:p w:rsidR="00ED343D" w:rsidRDefault="00A5623A">
      <w:pPr>
        <w:spacing w:line="42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学校创办于</w:t>
      </w:r>
      <w:r>
        <w:rPr>
          <w:rFonts w:asciiTheme="minorEastAsia" w:hAnsiTheme="minorEastAsia" w:cs="黑体" w:hint="eastAsia"/>
          <w:color w:val="000000"/>
          <w:kern w:val="0"/>
          <w:sz w:val="32"/>
          <w:szCs w:val="32"/>
        </w:rPr>
        <w:t>1988</w:t>
      </w:r>
      <w:r>
        <w:rPr>
          <w:rFonts w:asciiTheme="minorEastAsia" w:hAnsiTheme="minorEastAsia" w:cs="黑体" w:hint="eastAsia"/>
          <w:color w:val="000000"/>
          <w:kern w:val="0"/>
          <w:sz w:val="32"/>
          <w:szCs w:val="32"/>
        </w:rPr>
        <w:t>年，位于风景秀丽的南湖之畔、金鹗山下。校园建筑古香古色，别致典雅。现有</w:t>
      </w:r>
      <w:r>
        <w:rPr>
          <w:rFonts w:asciiTheme="minorEastAsia" w:hAnsiTheme="minorEastAsia" w:cs="黑体" w:hint="eastAsia"/>
          <w:color w:val="000000"/>
          <w:kern w:val="0"/>
          <w:sz w:val="32"/>
          <w:szCs w:val="32"/>
        </w:rPr>
        <w:t>46</w:t>
      </w:r>
      <w:r>
        <w:rPr>
          <w:rFonts w:asciiTheme="minorEastAsia" w:hAnsiTheme="minorEastAsia" w:cs="黑体" w:hint="eastAsia"/>
          <w:color w:val="000000"/>
          <w:kern w:val="0"/>
          <w:sz w:val="32"/>
          <w:szCs w:val="32"/>
        </w:rPr>
        <w:t>个教学班，学生</w:t>
      </w:r>
      <w:r>
        <w:rPr>
          <w:rFonts w:asciiTheme="minorEastAsia" w:hAnsiTheme="minorEastAsia" w:cs="黑体" w:hint="eastAsia"/>
          <w:color w:val="000000"/>
          <w:kern w:val="0"/>
          <w:sz w:val="32"/>
          <w:szCs w:val="32"/>
        </w:rPr>
        <w:t>2213</w:t>
      </w:r>
      <w:r>
        <w:rPr>
          <w:rFonts w:asciiTheme="minorEastAsia" w:hAnsiTheme="minorEastAsia" w:cs="黑体" w:hint="eastAsia"/>
          <w:color w:val="000000"/>
          <w:kern w:val="0"/>
          <w:sz w:val="32"/>
          <w:szCs w:val="32"/>
        </w:rPr>
        <w:t>人，教职工</w:t>
      </w:r>
      <w:r>
        <w:rPr>
          <w:rFonts w:asciiTheme="minorEastAsia" w:hAnsiTheme="minorEastAsia" w:cs="黑体" w:hint="eastAsia"/>
          <w:color w:val="000000"/>
          <w:kern w:val="0"/>
          <w:sz w:val="32"/>
          <w:szCs w:val="32"/>
        </w:rPr>
        <w:t>115</w:t>
      </w:r>
      <w:r>
        <w:rPr>
          <w:rFonts w:asciiTheme="minorEastAsia" w:hAnsiTheme="minorEastAsia" w:cs="黑体" w:hint="eastAsia"/>
          <w:color w:val="000000"/>
          <w:kern w:val="0"/>
          <w:sz w:val="32"/>
          <w:szCs w:val="32"/>
        </w:rPr>
        <w:t>人，离退休</w:t>
      </w:r>
      <w:r>
        <w:rPr>
          <w:rFonts w:asciiTheme="minorEastAsia" w:hAnsiTheme="minorEastAsia" w:cs="黑体" w:hint="eastAsia"/>
          <w:color w:val="000000"/>
          <w:kern w:val="0"/>
          <w:sz w:val="32"/>
          <w:szCs w:val="32"/>
        </w:rPr>
        <w:t>52</w:t>
      </w:r>
      <w:r>
        <w:rPr>
          <w:rFonts w:asciiTheme="minorEastAsia" w:hAnsiTheme="minorEastAsia" w:cs="黑体" w:hint="eastAsia"/>
          <w:color w:val="000000"/>
          <w:kern w:val="0"/>
          <w:sz w:val="32"/>
          <w:szCs w:val="32"/>
        </w:rPr>
        <w:t>人。</w:t>
      </w:r>
    </w:p>
    <w:p w:rsidR="00ED343D" w:rsidRDefault="00ED343D">
      <w:pPr>
        <w:spacing w:line="400" w:lineRule="exact"/>
        <w:ind w:firstLineChars="200" w:firstLine="640"/>
        <w:rPr>
          <w:rFonts w:asciiTheme="minorEastAsia" w:hAnsiTheme="minorEastAsia" w:cs="黑体"/>
          <w:color w:val="000000"/>
          <w:kern w:val="0"/>
          <w:sz w:val="32"/>
          <w:szCs w:val="32"/>
        </w:rPr>
      </w:pPr>
    </w:p>
    <w:p w:rsidR="00ED343D" w:rsidRDefault="00A5623A">
      <w:pPr>
        <w:spacing w:line="40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（二）主要工作职责</w:t>
      </w:r>
    </w:p>
    <w:p w:rsidR="00ED343D" w:rsidRDefault="00A5623A">
      <w:pPr>
        <w:autoSpaceDN w:val="0"/>
        <w:spacing w:line="400" w:lineRule="exact"/>
        <w:jc w:val="left"/>
        <w:textAlignment w:val="center"/>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 xml:space="preserve">    1.</w:t>
      </w:r>
      <w:r>
        <w:rPr>
          <w:rFonts w:asciiTheme="minorEastAsia" w:hAnsiTheme="minorEastAsia" w:cs="黑体" w:hint="eastAsia"/>
          <w:color w:val="000000"/>
          <w:kern w:val="0"/>
          <w:sz w:val="32"/>
          <w:szCs w:val="32"/>
        </w:rPr>
        <w:t>承担本学区范围内学生的小学阶段义务教育，包括思想品德、科学文化、体育、美育及劳动技能教育；</w:t>
      </w:r>
    </w:p>
    <w:p w:rsidR="00ED343D" w:rsidRDefault="00A5623A">
      <w:pPr>
        <w:autoSpaceDN w:val="0"/>
        <w:spacing w:line="400" w:lineRule="exact"/>
        <w:jc w:val="left"/>
        <w:textAlignment w:val="center"/>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 xml:space="preserve">    2.</w:t>
      </w:r>
      <w:r>
        <w:rPr>
          <w:rFonts w:asciiTheme="minorEastAsia" w:hAnsiTheme="minorEastAsia" w:cs="黑体" w:hint="eastAsia"/>
          <w:color w:val="000000"/>
          <w:kern w:val="0"/>
          <w:sz w:val="32"/>
          <w:szCs w:val="32"/>
        </w:rPr>
        <w:t>负责本校教师的政治思想教育和业务培训；</w:t>
      </w:r>
    </w:p>
    <w:p w:rsidR="00ED343D" w:rsidRDefault="00A5623A">
      <w:pPr>
        <w:spacing w:line="40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负责师生的在校安全保卫及后勤服务。</w:t>
      </w:r>
    </w:p>
    <w:p w:rsidR="00ED343D" w:rsidRDefault="00A5623A">
      <w:pPr>
        <w:spacing w:line="40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4.</w:t>
      </w:r>
      <w:r>
        <w:rPr>
          <w:rFonts w:asciiTheme="minorEastAsia" w:hAnsiTheme="minorEastAsia" w:cs="黑体" w:hint="eastAsia"/>
          <w:color w:val="000000"/>
          <w:kern w:val="0"/>
          <w:sz w:val="32"/>
          <w:szCs w:val="32"/>
        </w:rPr>
        <w:t>完成民族职业学院交办的其它工作。</w:t>
      </w:r>
    </w:p>
    <w:p w:rsidR="00ED343D" w:rsidRDefault="00ED343D">
      <w:pPr>
        <w:ind w:firstLineChars="250" w:firstLine="800"/>
        <w:jc w:val="left"/>
        <w:rPr>
          <w:rFonts w:asciiTheme="minorEastAsia" w:hAnsiTheme="minorEastAsia"/>
          <w:sz w:val="32"/>
          <w:szCs w:val="32"/>
        </w:rPr>
      </w:pPr>
    </w:p>
    <w:p w:rsidR="00ED343D" w:rsidRDefault="00A5623A">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ED343D" w:rsidRDefault="00A5623A">
      <w:pPr>
        <w:spacing w:line="42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（一）内设机构设置。根据上述主要工作职责，湖南民院附小内设机构包括：行政办、教务处、德育处、后勤处、督导处、安全办六个内设机构。</w:t>
      </w:r>
    </w:p>
    <w:p w:rsidR="00ED343D" w:rsidRDefault="00ED343D">
      <w:pPr>
        <w:widowControl/>
        <w:spacing w:line="600" w:lineRule="exact"/>
        <w:rPr>
          <w:rFonts w:asciiTheme="minorEastAsia" w:hAnsiTheme="minorEastAsia" w:cs="黑体"/>
          <w:color w:val="000000"/>
          <w:kern w:val="0"/>
          <w:sz w:val="32"/>
          <w:szCs w:val="32"/>
        </w:rPr>
      </w:pPr>
    </w:p>
    <w:p w:rsidR="00ED343D" w:rsidRDefault="00A5623A">
      <w:pPr>
        <w:widowControl/>
        <w:spacing w:line="600" w:lineRule="exact"/>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（二）决算单位构成：湖南民院附小</w:t>
      </w:r>
      <w:r>
        <w:rPr>
          <w:rFonts w:asciiTheme="minorEastAsia" w:hAnsiTheme="minorEastAsia" w:cs="黑体"/>
          <w:color w:val="000000"/>
          <w:kern w:val="0"/>
          <w:sz w:val="32"/>
          <w:szCs w:val="32"/>
        </w:rPr>
        <w:t>20</w:t>
      </w:r>
      <w:r>
        <w:rPr>
          <w:rFonts w:asciiTheme="minorEastAsia" w:hAnsiTheme="minorEastAsia" w:cs="黑体" w:hint="eastAsia"/>
          <w:color w:val="000000"/>
          <w:kern w:val="0"/>
          <w:sz w:val="32"/>
          <w:szCs w:val="32"/>
        </w:rPr>
        <w:t>20</w:t>
      </w:r>
      <w:r>
        <w:rPr>
          <w:rFonts w:asciiTheme="minorEastAsia" w:hAnsiTheme="minorEastAsia" w:cs="黑体" w:hint="eastAsia"/>
          <w:color w:val="000000"/>
          <w:kern w:val="0"/>
          <w:sz w:val="32"/>
          <w:szCs w:val="32"/>
        </w:rPr>
        <w:t>年部门决算公开为单独公开单位。</w:t>
      </w:r>
    </w:p>
    <w:p w:rsidR="00ED343D" w:rsidRDefault="00ED343D">
      <w:pPr>
        <w:jc w:val="center"/>
        <w:rPr>
          <w:rFonts w:ascii="黑体" w:eastAsia="黑体" w:hAnsi="黑体"/>
          <w:sz w:val="28"/>
          <w:szCs w:val="28"/>
        </w:rPr>
      </w:pPr>
    </w:p>
    <w:p w:rsidR="00ED343D" w:rsidRDefault="00ED343D">
      <w:pPr>
        <w:jc w:val="center"/>
        <w:rPr>
          <w:rFonts w:ascii="黑体" w:eastAsia="黑体" w:hAnsi="黑体"/>
          <w:sz w:val="28"/>
          <w:szCs w:val="28"/>
        </w:rPr>
      </w:pPr>
    </w:p>
    <w:p w:rsidR="00ED343D" w:rsidRDefault="00ED343D">
      <w:pPr>
        <w:jc w:val="center"/>
        <w:rPr>
          <w:rFonts w:ascii="黑体" w:eastAsia="黑体" w:hAnsi="黑体"/>
          <w:sz w:val="28"/>
          <w:szCs w:val="28"/>
        </w:rPr>
      </w:pPr>
    </w:p>
    <w:p w:rsidR="00ED343D" w:rsidRDefault="00ED343D">
      <w:pPr>
        <w:jc w:val="center"/>
        <w:rPr>
          <w:rFonts w:ascii="黑体" w:eastAsia="黑体" w:hAnsi="黑体"/>
          <w:sz w:val="28"/>
          <w:szCs w:val="28"/>
        </w:rPr>
      </w:pPr>
    </w:p>
    <w:p w:rsidR="00ED343D" w:rsidRDefault="00ED343D">
      <w:pPr>
        <w:jc w:val="center"/>
        <w:rPr>
          <w:rFonts w:ascii="黑体" w:eastAsia="黑体" w:hAnsi="黑体"/>
          <w:sz w:val="28"/>
          <w:szCs w:val="28"/>
        </w:rPr>
      </w:pPr>
    </w:p>
    <w:p w:rsidR="00ED343D" w:rsidRDefault="00ED343D">
      <w:pPr>
        <w:jc w:val="center"/>
        <w:rPr>
          <w:rFonts w:ascii="黑体" w:eastAsia="黑体" w:hAnsi="黑体"/>
          <w:sz w:val="28"/>
          <w:szCs w:val="28"/>
        </w:rPr>
      </w:pPr>
    </w:p>
    <w:p w:rsidR="00ED343D" w:rsidRDefault="00ED343D">
      <w:pPr>
        <w:jc w:val="center"/>
        <w:rPr>
          <w:rFonts w:ascii="黑体" w:eastAsia="黑体" w:hAnsi="黑体"/>
          <w:sz w:val="28"/>
          <w:szCs w:val="28"/>
        </w:rPr>
      </w:pPr>
    </w:p>
    <w:p w:rsidR="00ED343D" w:rsidRDefault="00ED343D">
      <w:pPr>
        <w:jc w:val="center"/>
        <w:rPr>
          <w:rFonts w:ascii="黑体" w:eastAsia="黑体" w:hAnsi="黑体"/>
          <w:sz w:val="28"/>
          <w:szCs w:val="28"/>
        </w:rPr>
      </w:pPr>
    </w:p>
    <w:p w:rsidR="00ED343D" w:rsidRDefault="00ED343D">
      <w:pPr>
        <w:jc w:val="center"/>
        <w:rPr>
          <w:rFonts w:ascii="黑体" w:eastAsia="黑体" w:hAnsi="黑体"/>
          <w:sz w:val="28"/>
          <w:szCs w:val="28"/>
        </w:rPr>
      </w:pPr>
    </w:p>
    <w:p w:rsidR="00ED343D" w:rsidRDefault="00ED343D">
      <w:pPr>
        <w:jc w:val="center"/>
        <w:rPr>
          <w:rFonts w:ascii="黑体" w:eastAsia="黑体" w:hAnsi="黑体"/>
          <w:sz w:val="28"/>
          <w:szCs w:val="28"/>
        </w:rPr>
      </w:pPr>
    </w:p>
    <w:p w:rsidR="00ED343D" w:rsidRDefault="00ED343D">
      <w:pPr>
        <w:jc w:val="center"/>
        <w:rPr>
          <w:rFonts w:ascii="黑体" w:eastAsia="黑体" w:hAnsi="黑体"/>
          <w:sz w:val="28"/>
          <w:szCs w:val="28"/>
        </w:rPr>
      </w:pPr>
    </w:p>
    <w:p w:rsidR="00ED343D" w:rsidRDefault="00ED343D">
      <w:pPr>
        <w:jc w:val="center"/>
        <w:rPr>
          <w:sz w:val="72"/>
          <w:szCs w:val="72"/>
        </w:rPr>
      </w:pPr>
    </w:p>
    <w:p w:rsidR="00ED343D" w:rsidRDefault="00ED343D">
      <w:pPr>
        <w:jc w:val="center"/>
        <w:rPr>
          <w:sz w:val="72"/>
          <w:szCs w:val="72"/>
        </w:rPr>
      </w:pPr>
    </w:p>
    <w:p w:rsidR="00ED343D" w:rsidRDefault="00ED343D">
      <w:pPr>
        <w:jc w:val="center"/>
        <w:rPr>
          <w:sz w:val="72"/>
          <w:szCs w:val="72"/>
        </w:rPr>
      </w:pPr>
    </w:p>
    <w:p w:rsidR="00ED343D" w:rsidRDefault="00ED343D">
      <w:pPr>
        <w:jc w:val="center"/>
        <w:rPr>
          <w:sz w:val="72"/>
          <w:szCs w:val="72"/>
        </w:rPr>
      </w:pPr>
    </w:p>
    <w:p w:rsidR="00ED343D" w:rsidRDefault="00ED343D">
      <w:pPr>
        <w:jc w:val="center"/>
        <w:rPr>
          <w:sz w:val="72"/>
          <w:szCs w:val="72"/>
        </w:rPr>
      </w:pPr>
    </w:p>
    <w:p w:rsidR="00ED343D" w:rsidRDefault="00A5623A">
      <w:pPr>
        <w:jc w:val="center"/>
        <w:rPr>
          <w:sz w:val="72"/>
          <w:szCs w:val="72"/>
        </w:rPr>
      </w:pPr>
      <w:r>
        <w:rPr>
          <w:rFonts w:hint="eastAsia"/>
          <w:sz w:val="72"/>
          <w:szCs w:val="72"/>
        </w:rPr>
        <w:t>第二部分</w:t>
      </w:r>
    </w:p>
    <w:p w:rsidR="00ED343D" w:rsidRDefault="00ED343D">
      <w:pPr>
        <w:jc w:val="center"/>
        <w:rPr>
          <w:sz w:val="72"/>
          <w:szCs w:val="72"/>
        </w:rPr>
      </w:pPr>
    </w:p>
    <w:p w:rsidR="00ED343D" w:rsidRDefault="00A5623A">
      <w:pPr>
        <w:jc w:val="center"/>
        <w:rPr>
          <w:sz w:val="72"/>
          <w:szCs w:val="72"/>
        </w:rPr>
      </w:pPr>
      <w:r>
        <w:rPr>
          <w:rFonts w:hint="eastAsia"/>
          <w:sz w:val="72"/>
          <w:szCs w:val="72"/>
        </w:rPr>
        <w:t>部门决算表</w:t>
      </w:r>
    </w:p>
    <w:p w:rsidR="00ED343D" w:rsidRDefault="00ED343D">
      <w:pPr>
        <w:jc w:val="center"/>
        <w:rPr>
          <w:sz w:val="72"/>
          <w:szCs w:val="72"/>
        </w:rPr>
      </w:pPr>
    </w:p>
    <w:p w:rsidR="00ED343D" w:rsidRDefault="00ED343D">
      <w:pPr>
        <w:jc w:val="center"/>
        <w:rPr>
          <w:sz w:val="72"/>
          <w:szCs w:val="72"/>
        </w:rPr>
      </w:pPr>
    </w:p>
    <w:p w:rsidR="00ED343D" w:rsidRDefault="00ED343D">
      <w:pPr>
        <w:jc w:val="center"/>
        <w:rPr>
          <w:sz w:val="72"/>
          <w:szCs w:val="72"/>
        </w:rPr>
      </w:pPr>
    </w:p>
    <w:p w:rsidR="00ED343D" w:rsidRDefault="00ED343D">
      <w:pPr>
        <w:jc w:val="center"/>
        <w:rPr>
          <w:sz w:val="72"/>
          <w:szCs w:val="72"/>
        </w:rPr>
      </w:pPr>
    </w:p>
    <w:p w:rsidR="00ED343D" w:rsidRDefault="00ED343D">
      <w:pPr>
        <w:jc w:val="center"/>
        <w:rPr>
          <w:sz w:val="72"/>
          <w:szCs w:val="72"/>
        </w:rPr>
      </w:pPr>
    </w:p>
    <w:p w:rsidR="00ED343D" w:rsidRDefault="00ED343D">
      <w:pPr>
        <w:jc w:val="center"/>
        <w:rPr>
          <w:sz w:val="72"/>
          <w:szCs w:val="72"/>
        </w:rPr>
      </w:pPr>
    </w:p>
    <w:p w:rsidR="00ED343D" w:rsidRDefault="00ED343D">
      <w:pPr>
        <w:jc w:val="left"/>
        <w:rPr>
          <w:rFonts w:asciiTheme="minorEastAsia" w:hAnsiTheme="minorEastAsia"/>
          <w:sz w:val="32"/>
          <w:szCs w:val="32"/>
        </w:rPr>
        <w:sectPr w:rsidR="00ED343D">
          <w:pgSz w:w="11906" w:h="16838"/>
          <w:pgMar w:top="720" w:right="1134" w:bottom="720" w:left="1134" w:header="851" w:footer="992" w:gutter="0"/>
          <w:cols w:space="425"/>
          <w:docGrid w:type="lines" w:linePitch="312"/>
        </w:sectPr>
      </w:pPr>
    </w:p>
    <w:tbl>
      <w:tblPr>
        <w:tblW w:w="14081" w:type="dxa"/>
        <w:tblInd w:w="93" w:type="dxa"/>
        <w:tblLayout w:type="fixed"/>
        <w:tblLook w:val="04A0"/>
      </w:tblPr>
      <w:tblGrid>
        <w:gridCol w:w="4124"/>
        <w:gridCol w:w="448"/>
        <w:gridCol w:w="631"/>
        <w:gridCol w:w="599"/>
        <w:gridCol w:w="98"/>
        <w:gridCol w:w="236"/>
        <w:gridCol w:w="3467"/>
        <w:gridCol w:w="845"/>
        <w:gridCol w:w="1460"/>
        <w:gridCol w:w="657"/>
        <w:gridCol w:w="1516"/>
      </w:tblGrid>
      <w:tr w:rsidR="00ED343D">
        <w:trPr>
          <w:trHeight w:val="360"/>
        </w:trPr>
        <w:tc>
          <w:tcPr>
            <w:tcW w:w="14081" w:type="dxa"/>
            <w:gridSpan w:val="11"/>
            <w:tcBorders>
              <w:top w:val="nil"/>
              <w:left w:val="nil"/>
              <w:bottom w:val="nil"/>
              <w:right w:val="nil"/>
            </w:tcBorders>
            <w:shd w:val="clear" w:color="auto" w:fill="auto"/>
            <w:noWrap/>
            <w:vAlign w:val="center"/>
          </w:tcPr>
          <w:p w:rsidR="00ED343D" w:rsidRDefault="00A5623A">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收入支出决算总表</w:t>
            </w:r>
          </w:p>
        </w:tc>
      </w:tr>
      <w:tr w:rsidR="00ED343D">
        <w:trPr>
          <w:trHeight w:val="199"/>
        </w:trPr>
        <w:tc>
          <w:tcPr>
            <w:tcW w:w="5206" w:type="dxa"/>
            <w:gridSpan w:val="3"/>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01</w:t>
            </w:r>
            <w:r>
              <w:rPr>
                <w:rFonts w:ascii="宋体" w:eastAsia="宋体" w:hAnsi="宋体" w:cs="宋体" w:hint="eastAsia"/>
                <w:color w:val="000000"/>
                <w:kern w:val="0"/>
                <w:sz w:val="20"/>
                <w:szCs w:val="20"/>
              </w:rPr>
              <w:t>表</w:t>
            </w:r>
          </w:p>
        </w:tc>
      </w:tr>
      <w:tr w:rsidR="00ED343D">
        <w:trPr>
          <w:trHeight w:val="300"/>
        </w:trPr>
        <w:tc>
          <w:tcPr>
            <w:tcW w:w="5206" w:type="dxa"/>
            <w:gridSpan w:val="3"/>
            <w:tcBorders>
              <w:top w:val="nil"/>
              <w:left w:val="nil"/>
              <w:bottom w:val="nil"/>
              <w:right w:val="nil"/>
            </w:tcBorders>
            <w:shd w:val="clear" w:color="000000" w:fill="FFFFFF"/>
            <w:noWrap/>
            <w:vAlign w:val="center"/>
          </w:tcPr>
          <w:p w:rsidR="00ED343D" w:rsidRDefault="00A5623A">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r>
              <w:rPr>
                <w:rFonts w:ascii="宋体" w:eastAsia="宋体" w:hAnsi="宋体" w:cs="宋体"/>
                <w:color w:val="000000"/>
                <w:kern w:val="0"/>
                <w:sz w:val="20"/>
                <w:szCs w:val="20"/>
              </w:rPr>
              <w:t xml:space="preserve"> </w:t>
            </w:r>
            <w:r>
              <w:rPr>
                <w:rFonts w:ascii="宋体" w:eastAsia="宋体" w:hAnsi="宋体" w:cs="宋体" w:hint="eastAsia"/>
                <w:color w:val="000000"/>
                <w:kern w:val="0"/>
                <w:sz w:val="20"/>
                <w:szCs w:val="20"/>
              </w:rPr>
              <w:t>湖南民院附小</w:t>
            </w:r>
          </w:p>
        </w:tc>
        <w:tc>
          <w:tcPr>
            <w:tcW w:w="697" w:type="dxa"/>
            <w:gridSpan w:val="2"/>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ED343D">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ED343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r>
      <w:tr w:rsidR="00ED343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30" w:type="dxa"/>
            <w:gridSpan w:val="2"/>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798"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33"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2424.11</w:t>
            </w: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32</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p>
        </w:tc>
        <w:tc>
          <w:tcPr>
            <w:tcW w:w="3798"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33</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p>
        </w:tc>
        <w:tc>
          <w:tcPr>
            <w:tcW w:w="3798"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34</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p>
        </w:tc>
        <w:tc>
          <w:tcPr>
            <w:tcW w:w="3798"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35</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五、事业收入</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p>
        </w:tc>
        <w:tc>
          <w:tcPr>
            <w:tcW w:w="3798"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36</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2261.63</w:t>
            </w:r>
          </w:p>
        </w:tc>
      </w:tr>
      <w:tr w:rsidR="00ED343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六、经营收入</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p>
        </w:tc>
        <w:tc>
          <w:tcPr>
            <w:tcW w:w="3798"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37</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7</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七、文化旅游体育与传媒支出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38</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八、其他收入</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8</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八、社会保障和就业支出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39</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9</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九、卫生健康支出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40</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10</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十、节能环保支出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41</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11</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十一、城乡社区支出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42</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12</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十二、农林水支出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43</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13</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十三、交通运输支出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44</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14</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十四、资源勘探工业信息等支出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45</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15</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十五、商业服务业等支出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46</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16</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十六、金融支出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47</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17</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十七、援助其他地区支出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48</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18</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十八、自然资源海洋气象等支出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49</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19</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十九、住房保障支出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50</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20</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二十、粮油物资储备支出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51</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21</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二十一、国有资本经营预算支出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52</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二十二、灾害防治及应急管理支出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53</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23</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二十三、其他支出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54</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24</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二十四、债务还本支出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55</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25</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二十五、债务付息支出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56</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0"/>
                <w:szCs w:val="20"/>
              </w:rPr>
            </w:pP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26</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二十六、抗疫特别国债安排的支出</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57</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b/>
                <w:bCs/>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27</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2424.11</w:t>
            </w: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58</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2261.63</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使用非财政拨款结余</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28</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结余分配</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59</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年初结转和结余</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29</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53.54</w:t>
            </w: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年末结转和结余</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60</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216.02</w:t>
            </w:r>
          </w:p>
        </w:tc>
      </w:tr>
      <w:tr w:rsidR="00ED343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4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30</w:t>
            </w:r>
          </w:p>
        </w:tc>
        <w:tc>
          <w:tcPr>
            <w:tcW w:w="1230"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2477.65</w:t>
            </w:r>
            <w:r>
              <w:rPr>
                <w:rFonts w:ascii="宋体" w:eastAsia="宋体" w:hAnsi="宋体" w:cs="宋体" w:hint="eastAsia"/>
                <w:kern w:val="0"/>
                <w:sz w:val="22"/>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845"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61</w:t>
            </w:r>
          </w:p>
        </w:tc>
        <w:tc>
          <w:tcPr>
            <w:tcW w:w="3633" w:type="dxa"/>
            <w:gridSpan w:val="3"/>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bCs/>
                <w:kern w:val="0"/>
                <w:sz w:val="22"/>
              </w:rPr>
            </w:pPr>
            <w:r>
              <w:rPr>
                <w:rFonts w:ascii="宋体" w:eastAsia="宋体" w:hAnsi="宋体" w:cs="宋体" w:hint="eastAsia"/>
                <w:bCs/>
                <w:kern w:val="0"/>
                <w:sz w:val="22"/>
              </w:rPr>
              <w:t>2477.65</w:t>
            </w:r>
          </w:p>
        </w:tc>
      </w:tr>
      <w:tr w:rsidR="00ED343D">
        <w:trPr>
          <w:trHeight w:val="1020"/>
        </w:trPr>
        <w:tc>
          <w:tcPr>
            <w:tcW w:w="14081" w:type="dxa"/>
            <w:gridSpan w:val="11"/>
            <w:tcBorders>
              <w:top w:val="nil"/>
              <w:left w:val="nil"/>
              <w:bottom w:val="nil"/>
              <w:right w:val="nil"/>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注：</w:t>
            </w:r>
            <w:r>
              <w:rPr>
                <w:rFonts w:ascii="宋体" w:eastAsia="宋体" w:hAnsi="宋体" w:cs="宋体" w:hint="eastAsia"/>
                <w:kern w:val="0"/>
                <w:sz w:val="24"/>
                <w:szCs w:val="24"/>
              </w:rPr>
              <w:t>1.</w:t>
            </w:r>
            <w:r>
              <w:rPr>
                <w:rFonts w:ascii="宋体" w:eastAsia="宋体" w:hAnsi="宋体" w:cs="宋体" w:hint="eastAsia"/>
                <w:kern w:val="0"/>
                <w:sz w:val="24"/>
                <w:szCs w:val="24"/>
              </w:rPr>
              <w:t>本表反映部门本年度的总收支和年末结转结余情况。</w:t>
            </w:r>
            <w:r>
              <w:rPr>
                <w:rFonts w:ascii="宋体" w:eastAsia="宋体" w:hAnsi="宋体" w:cs="宋体" w:hint="eastAsia"/>
                <w:kern w:val="0"/>
                <w:sz w:val="24"/>
                <w:szCs w:val="24"/>
              </w:rPr>
              <w:br/>
              <w:t xml:space="preserve"> 2.</w:t>
            </w:r>
            <w:r>
              <w:rPr>
                <w:rFonts w:ascii="宋体" w:eastAsia="宋体" w:hAnsi="宋体" w:cs="宋体" w:hint="eastAsia"/>
                <w:kern w:val="0"/>
                <w:sz w:val="24"/>
                <w:szCs w:val="24"/>
              </w:rPr>
              <w:t>本套报表金额单位转换时可能存在尾数误差。</w:t>
            </w:r>
          </w:p>
        </w:tc>
      </w:tr>
    </w:tbl>
    <w:p w:rsidR="00ED343D" w:rsidRDefault="00ED343D">
      <w:pPr>
        <w:jc w:val="center"/>
        <w:rPr>
          <w:rFonts w:ascii="黑体" w:eastAsia="黑体" w:hAnsi="黑体"/>
          <w:sz w:val="28"/>
          <w:szCs w:val="28"/>
        </w:rPr>
        <w:sectPr w:rsidR="00ED343D">
          <w:pgSz w:w="16838" w:h="11906" w:orient="landscape"/>
          <w:pgMar w:top="1797" w:right="1440" w:bottom="1797" w:left="1440" w:header="851" w:footer="992" w:gutter="0"/>
          <w:cols w:space="425"/>
          <w:docGrid w:type="linesAndChars" w:linePitch="312"/>
        </w:sectPr>
      </w:pPr>
    </w:p>
    <w:tbl>
      <w:tblPr>
        <w:tblW w:w="15428" w:type="dxa"/>
        <w:tblLayout w:type="fixed"/>
        <w:tblCellMar>
          <w:left w:w="0" w:type="dxa"/>
          <w:right w:w="0" w:type="dxa"/>
        </w:tblCellMar>
        <w:tblLook w:val="04A0"/>
      </w:tblPr>
      <w:tblGrid>
        <w:gridCol w:w="367"/>
        <w:gridCol w:w="367"/>
        <w:gridCol w:w="1904"/>
        <w:gridCol w:w="1722"/>
        <w:gridCol w:w="1828"/>
        <w:gridCol w:w="1546"/>
        <w:gridCol w:w="1827"/>
        <w:gridCol w:w="1688"/>
        <w:gridCol w:w="2108"/>
        <w:gridCol w:w="2071"/>
      </w:tblGrid>
      <w:tr w:rsidR="00ED343D">
        <w:trPr>
          <w:trHeight w:val="435"/>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rsidR="00ED343D" w:rsidRDefault="00A5623A">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ED343D">
        <w:trPr>
          <w:trHeight w:val="285"/>
        </w:trPr>
        <w:tc>
          <w:tcPr>
            <w:tcW w:w="367"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367"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904"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722"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828"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546"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827"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688"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108"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071"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ED343D">
        <w:trPr>
          <w:trHeight w:val="285"/>
        </w:trPr>
        <w:tc>
          <w:tcPr>
            <w:tcW w:w="7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rPr>
                <w:rFonts w:ascii="宋体" w:eastAsia="宋体" w:hAnsi="宋体" w:cs="宋体"/>
                <w:color w:val="000000"/>
                <w:sz w:val="20"/>
                <w:szCs w:val="20"/>
              </w:rPr>
            </w:pPr>
            <w:r>
              <w:rPr>
                <w:rFonts w:hint="eastAsia"/>
                <w:color w:val="000000"/>
                <w:sz w:val="20"/>
                <w:szCs w:val="20"/>
              </w:rPr>
              <w:t>部门：</w:t>
            </w:r>
          </w:p>
        </w:tc>
        <w:tc>
          <w:tcPr>
            <w:tcW w:w="1904"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湖南民院附小　</w:t>
            </w:r>
          </w:p>
        </w:tc>
        <w:tc>
          <w:tcPr>
            <w:tcW w:w="1722"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828"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546"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center"/>
              <w:rPr>
                <w:rFonts w:ascii="宋体" w:eastAsia="宋体" w:hAnsi="宋体" w:cs="宋体"/>
                <w:color w:val="000000"/>
                <w:sz w:val="20"/>
                <w:szCs w:val="20"/>
              </w:rPr>
            </w:pPr>
            <w:r>
              <w:rPr>
                <w:rFonts w:hint="eastAsia"/>
                <w:color w:val="000000"/>
                <w:sz w:val="20"/>
                <w:szCs w:val="20"/>
              </w:rPr>
              <w:t xml:space="preserve">　</w:t>
            </w:r>
          </w:p>
        </w:tc>
        <w:tc>
          <w:tcPr>
            <w:tcW w:w="1827"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688"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108"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071" w:type="dxa"/>
            <w:tcBorders>
              <w:top w:val="nil"/>
              <w:left w:val="nil"/>
              <w:bottom w:val="nil"/>
              <w:right w:val="nil"/>
            </w:tcBorders>
            <w:shd w:val="clear" w:color="000000" w:fill="FFFFFF"/>
            <w:noWrap/>
            <w:tcMar>
              <w:top w:w="15" w:type="dxa"/>
              <w:left w:w="15" w:type="dxa"/>
              <w:bottom w:w="0" w:type="dxa"/>
              <w:right w:w="15" w:type="dxa"/>
            </w:tcMar>
            <w:vAlign w:val="center"/>
          </w:tcPr>
          <w:p w:rsidR="00ED343D" w:rsidRDefault="00A5623A">
            <w:pPr>
              <w:jc w:val="right"/>
              <w:rPr>
                <w:rFonts w:ascii="宋体" w:eastAsia="宋体" w:hAnsi="宋体" w:cs="宋体"/>
                <w:color w:val="000000"/>
                <w:sz w:val="20"/>
                <w:szCs w:val="20"/>
              </w:rPr>
            </w:pPr>
            <w:r>
              <w:rPr>
                <w:rFonts w:hint="eastAsia"/>
                <w:color w:val="000000"/>
                <w:sz w:val="20"/>
                <w:szCs w:val="20"/>
              </w:rPr>
              <w:t>单位：万元</w:t>
            </w:r>
          </w:p>
        </w:tc>
      </w:tr>
      <w:tr w:rsidR="00ED343D">
        <w:trPr>
          <w:trHeight w:val="450"/>
        </w:trPr>
        <w:tc>
          <w:tcPr>
            <w:tcW w:w="2638"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72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本年收入合计</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财政拨款收入</w:t>
            </w:r>
          </w:p>
        </w:tc>
        <w:tc>
          <w:tcPr>
            <w:tcW w:w="154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上级补助收入</w:t>
            </w:r>
          </w:p>
        </w:tc>
        <w:tc>
          <w:tcPr>
            <w:tcW w:w="182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事业收入</w:t>
            </w:r>
          </w:p>
        </w:tc>
        <w:tc>
          <w:tcPr>
            <w:tcW w:w="168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经营收入</w:t>
            </w:r>
          </w:p>
        </w:tc>
        <w:tc>
          <w:tcPr>
            <w:tcW w:w="210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附属单位上缴收入</w:t>
            </w:r>
          </w:p>
        </w:tc>
        <w:tc>
          <w:tcPr>
            <w:tcW w:w="207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其他收入</w:t>
            </w:r>
          </w:p>
        </w:tc>
      </w:tr>
      <w:tr w:rsidR="00ED343D">
        <w:trPr>
          <w:trHeight w:val="450"/>
        </w:trPr>
        <w:tc>
          <w:tcPr>
            <w:tcW w:w="734"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功能分类科目编码</w:t>
            </w:r>
          </w:p>
        </w:tc>
        <w:tc>
          <w:tcPr>
            <w:tcW w:w="1904"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科目名称</w:t>
            </w:r>
          </w:p>
        </w:tc>
        <w:tc>
          <w:tcPr>
            <w:tcW w:w="1722"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1828"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1546"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1827"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1688"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2108"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2071"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r>
      <w:tr w:rsidR="00ED343D">
        <w:trPr>
          <w:trHeight w:val="450"/>
        </w:trPr>
        <w:tc>
          <w:tcPr>
            <w:tcW w:w="734" w:type="dxa"/>
            <w:gridSpan w:val="2"/>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1904" w:type="dxa"/>
            <w:vMerge/>
            <w:tcBorders>
              <w:top w:val="nil"/>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1722"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1828"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1546"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1827"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1688"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2108"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c>
          <w:tcPr>
            <w:tcW w:w="2071" w:type="dxa"/>
            <w:vMerge/>
            <w:tcBorders>
              <w:top w:val="single" w:sz="4" w:space="0" w:color="auto"/>
              <w:left w:val="single" w:sz="4" w:space="0" w:color="auto"/>
              <w:bottom w:val="single" w:sz="4" w:space="0" w:color="auto"/>
              <w:right w:val="single" w:sz="4" w:space="0" w:color="auto"/>
            </w:tcBorders>
            <w:vAlign w:val="center"/>
          </w:tcPr>
          <w:p w:rsidR="00ED343D" w:rsidRDefault="00ED343D">
            <w:pPr>
              <w:rPr>
                <w:rFonts w:ascii="宋体" w:eastAsia="宋体" w:hAnsi="宋体" w:cs="宋体"/>
                <w:sz w:val="24"/>
                <w:szCs w:val="24"/>
              </w:rPr>
            </w:pPr>
          </w:p>
        </w:tc>
      </w:tr>
      <w:tr w:rsidR="00ED343D">
        <w:trPr>
          <w:trHeight w:val="450"/>
        </w:trPr>
        <w:tc>
          <w:tcPr>
            <w:tcW w:w="263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栏次</w:t>
            </w:r>
          </w:p>
        </w:tc>
        <w:tc>
          <w:tcPr>
            <w:tcW w:w="17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1</w:t>
            </w:r>
          </w:p>
        </w:tc>
        <w:tc>
          <w:tcPr>
            <w:tcW w:w="18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2</w:t>
            </w:r>
          </w:p>
        </w:tc>
        <w:tc>
          <w:tcPr>
            <w:tcW w:w="15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3</w:t>
            </w:r>
          </w:p>
        </w:tc>
        <w:tc>
          <w:tcPr>
            <w:tcW w:w="182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4</w:t>
            </w:r>
          </w:p>
        </w:tc>
        <w:tc>
          <w:tcPr>
            <w:tcW w:w="168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5</w:t>
            </w:r>
          </w:p>
        </w:tc>
        <w:tc>
          <w:tcPr>
            <w:tcW w:w="210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6</w:t>
            </w:r>
          </w:p>
        </w:tc>
        <w:tc>
          <w:tcPr>
            <w:tcW w:w="20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7</w:t>
            </w:r>
          </w:p>
        </w:tc>
      </w:tr>
      <w:tr w:rsidR="00ED343D">
        <w:trPr>
          <w:trHeight w:val="450"/>
        </w:trPr>
        <w:tc>
          <w:tcPr>
            <w:tcW w:w="2638"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jc w:val="center"/>
              <w:rPr>
                <w:rFonts w:ascii="宋体" w:eastAsia="宋体" w:hAnsi="宋体" w:cs="宋体"/>
                <w:sz w:val="24"/>
                <w:szCs w:val="24"/>
              </w:rPr>
            </w:pPr>
            <w:r>
              <w:rPr>
                <w:rFonts w:hint="eastAsia"/>
              </w:rPr>
              <w:t>合计</w:t>
            </w:r>
          </w:p>
        </w:tc>
        <w:tc>
          <w:tcPr>
            <w:tcW w:w="17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2477.65</w:t>
            </w:r>
          </w:p>
        </w:tc>
        <w:tc>
          <w:tcPr>
            <w:tcW w:w="18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2477.65</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2"/>
              </w:rPr>
              <w:t>0.00</w:t>
            </w:r>
          </w:p>
        </w:tc>
        <w:tc>
          <w:tcPr>
            <w:tcW w:w="1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2"/>
              </w:rPr>
              <w:t>0.00</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2"/>
              </w:rPr>
              <w:t>0.00</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2"/>
              </w:rPr>
              <w:t>0.00</w:t>
            </w:r>
          </w:p>
        </w:tc>
        <w:tc>
          <w:tcPr>
            <w:tcW w:w="20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2"/>
              </w:rPr>
              <w:t>0.00</w:t>
            </w:r>
          </w:p>
        </w:tc>
      </w:tr>
      <w:tr w:rsidR="00ED343D">
        <w:trPr>
          <w:trHeight w:val="450"/>
        </w:trPr>
        <w:tc>
          <w:tcPr>
            <w:tcW w:w="734"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widowControl/>
              <w:jc w:val="left"/>
              <w:rPr>
                <w:rFonts w:ascii="宋体" w:eastAsia="宋体" w:hAnsi="宋体" w:cs="宋体"/>
                <w:kern w:val="0"/>
                <w:szCs w:val="21"/>
              </w:rPr>
            </w:pPr>
            <w:r>
              <w:rPr>
                <w:rFonts w:ascii="宋体" w:eastAsia="宋体" w:hAnsi="宋体" w:cs="宋体" w:hint="eastAsia"/>
                <w:kern w:val="0"/>
                <w:szCs w:val="21"/>
              </w:rPr>
              <w:t>205</w:t>
            </w:r>
          </w:p>
        </w:tc>
        <w:tc>
          <w:tcPr>
            <w:tcW w:w="19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rPr>
                <w:rFonts w:ascii="宋体" w:eastAsia="宋体" w:hAnsi="宋体" w:cs="宋体"/>
                <w:sz w:val="24"/>
                <w:szCs w:val="24"/>
              </w:rPr>
            </w:pPr>
            <w:r>
              <w:rPr>
                <w:rFonts w:hint="eastAsia"/>
              </w:rPr>
              <w:t xml:space="preserve">　教育支出</w:t>
            </w:r>
          </w:p>
        </w:tc>
        <w:tc>
          <w:tcPr>
            <w:tcW w:w="17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2477.65</w:t>
            </w:r>
          </w:p>
        </w:tc>
        <w:tc>
          <w:tcPr>
            <w:tcW w:w="18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2477.65</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0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r>
      <w:tr w:rsidR="00ED343D">
        <w:trPr>
          <w:trHeight w:val="450"/>
        </w:trPr>
        <w:tc>
          <w:tcPr>
            <w:tcW w:w="734"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widowControl/>
              <w:jc w:val="left"/>
              <w:rPr>
                <w:rFonts w:ascii="宋体" w:eastAsia="宋体" w:hAnsi="宋体" w:cs="宋体"/>
                <w:kern w:val="0"/>
                <w:szCs w:val="21"/>
              </w:rPr>
            </w:pPr>
            <w:r>
              <w:rPr>
                <w:rFonts w:ascii="宋体" w:eastAsia="宋体" w:hAnsi="宋体" w:cs="宋体" w:hint="eastAsia"/>
                <w:kern w:val="0"/>
                <w:szCs w:val="21"/>
              </w:rPr>
              <w:t>20502</w:t>
            </w:r>
          </w:p>
        </w:tc>
        <w:tc>
          <w:tcPr>
            <w:tcW w:w="19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rPr>
                <w:rFonts w:ascii="宋体" w:eastAsia="宋体" w:hAnsi="宋体" w:cs="宋体"/>
                <w:sz w:val="24"/>
                <w:szCs w:val="24"/>
              </w:rPr>
            </w:pPr>
            <w:r>
              <w:rPr>
                <w:rFonts w:hint="eastAsia"/>
              </w:rPr>
              <w:t xml:space="preserve">　普通教育</w:t>
            </w:r>
          </w:p>
        </w:tc>
        <w:tc>
          <w:tcPr>
            <w:tcW w:w="17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2477.65</w:t>
            </w:r>
          </w:p>
        </w:tc>
        <w:tc>
          <w:tcPr>
            <w:tcW w:w="18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2477.65</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0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r>
      <w:tr w:rsidR="00ED343D">
        <w:trPr>
          <w:trHeight w:val="450"/>
        </w:trPr>
        <w:tc>
          <w:tcPr>
            <w:tcW w:w="734"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widowControl/>
              <w:jc w:val="left"/>
              <w:rPr>
                <w:rFonts w:ascii="宋体" w:eastAsia="宋体" w:hAnsi="宋体" w:cs="宋体"/>
                <w:kern w:val="0"/>
                <w:szCs w:val="21"/>
              </w:rPr>
            </w:pPr>
            <w:r>
              <w:rPr>
                <w:rFonts w:ascii="宋体" w:eastAsia="宋体" w:hAnsi="宋体" w:cs="宋体" w:hint="eastAsia"/>
                <w:kern w:val="0"/>
                <w:szCs w:val="21"/>
              </w:rPr>
              <w:t>2050202</w:t>
            </w:r>
          </w:p>
        </w:tc>
        <w:tc>
          <w:tcPr>
            <w:tcW w:w="19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rPr>
                <w:rFonts w:ascii="宋体" w:eastAsia="宋体" w:hAnsi="宋体" w:cs="宋体"/>
                <w:sz w:val="24"/>
                <w:szCs w:val="24"/>
              </w:rPr>
            </w:pPr>
            <w:r>
              <w:rPr>
                <w:rFonts w:hint="eastAsia"/>
              </w:rPr>
              <w:t xml:space="preserve">　小学教育</w:t>
            </w:r>
          </w:p>
        </w:tc>
        <w:tc>
          <w:tcPr>
            <w:tcW w:w="17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2471.65</w:t>
            </w:r>
          </w:p>
        </w:tc>
        <w:tc>
          <w:tcPr>
            <w:tcW w:w="18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2471.65</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0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r>
      <w:tr w:rsidR="00ED343D">
        <w:trPr>
          <w:trHeight w:val="450"/>
        </w:trPr>
        <w:tc>
          <w:tcPr>
            <w:tcW w:w="734"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widowControl/>
              <w:jc w:val="left"/>
              <w:rPr>
                <w:rFonts w:ascii="宋体" w:eastAsia="宋体" w:hAnsi="宋体" w:cs="宋体"/>
                <w:kern w:val="0"/>
                <w:szCs w:val="21"/>
              </w:rPr>
            </w:pPr>
            <w:r>
              <w:rPr>
                <w:rFonts w:ascii="宋体" w:eastAsia="宋体" w:hAnsi="宋体" w:cs="宋体" w:hint="eastAsia"/>
                <w:kern w:val="0"/>
                <w:szCs w:val="21"/>
              </w:rPr>
              <w:t>2050299</w:t>
            </w:r>
          </w:p>
        </w:tc>
        <w:tc>
          <w:tcPr>
            <w:tcW w:w="19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rPr>
                <w:rFonts w:ascii="宋体" w:eastAsia="宋体" w:hAnsi="宋体" w:cs="宋体"/>
                <w:sz w:val="24"/>
                <w:szCs w:val="24"/>
              </w:rPr>
            </w:pPr>
            <w:r>
              <w:rPr>
                <w:rFonts w:hint="eastAsia"/>
              </w:rPr>
              <w:t xml:space="preserve">　其他普通教育支出</w:t>
            </w:r>
          </w:p>
        </w:tc>
        <w:tc>
          <w:tcPr>
            <w:tcW w:w="17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6.00</w:t>
            </w:r>
          </w:p>
        </w:tc>
        <w:tc>
          <w:tcPr>
            <w:tcW w:w="18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6.00</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0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r>
      <w:tr w:rsidR="00ED343D">
        <w:trPr>
          <w:trHeight w:val="450"/>
        </w:trPr>
        <w:tc>
          <w:tcPr>
            <w:tcW w:w="734"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rPr>
                <w:rFonts w:ascii="宋体" w:eastAsia="宋体" w:hAnsi="宋体" w:cs="宋体"/>
                <w:sz w:val="24"/>
                <w:szCs w:val="24"/>
              </w:rPr>
            </w:pPr>
            <w:r>
              <w:rPr>
                <w:rFonts w:hint="eastAsia"/>
              </w:rPr>
              <w:t xml:space="preserve">　</w:t>
            </w:r>
          </w:p>
        </w:tc>
        <w:tc>
          <w:tcPr>
            <w:tcW w:w="19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rPr>
                <w:rFonts w:ascii="宋体" w:eastAsia="宋体" w:hAnsi="宋体" w:cs="宋体"/>
                <w:sz w:val="24"/>
                <w:szCs w:val="24"/>
              </w:rPr>
            </w:pPr>
            <w:r>
              <w:rPr>
                <w:rFonts w:hint="eastAsia"/>
              </w:rPr>
              <w:t xml:space="preserve">　</w:t>
            </w:r>
          </w:p>
        </w:tc>
        <w:tc>
          <w:tcPr>
            <w:tcW w:w="17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8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0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r>
      <w:tr w:rsidR="00ED343D">
        <w:trPr>
          <w:trHeight w:val="450"/>
        </w:trPr>
        <w:tc>
          <w:tcPr>
            <w:tcW w:w="734"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rPr>
                <w:rFonts w:ascii="宋体" w:eastAsia="宋体" w:hAnsi="宋体" w:cs="宋体"/>
                <w:sz w:val="24"/>
                <w:szCs w:val="24"/>
              </w:rPr>
            </w:pPr>
            <w:r>
              <w:rPr>
                <w:rFonts w:hint="eastAsia"/>
              </w:rPr>
              <w:t xml:space="preserve">　</w:t>
            </w:r>
          </w:p>
        </w:tc>
        <w:tc>
          <w:tcPr>
            <w:tcW w:w="19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D343D" w:rsidRDefault="00A5623A">
            <w:pPr>
              <w:rPr>
                <w:rFonts w:ascii="宋体" w:eastAsia="宋体" w:hAnsi="宋体" w:cs="宋体"/>
                <w:sz w:val="24"/>
                <w:szCs w:val="24"/>
              </w:rPr>
            </w:pPr>
            <w:r>
              <w:rPr>
                <w:rFonts w:hint="eastAsia"/>
              </w:rPr>
              <w:t xml:space="preserve">　</w:t>
            </w:r>
          </w:p>
        </w:tc>
        <w:tc>
          <w:tcPr>
            <w:tcW w:w="172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82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5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82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168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10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c>
          <w:tcPr>
            <w:tcW w:w="207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ED343D" w:rsidRDefault="00A5623A">
            <w:pPr>
              <w:jc w:val="right"/>
              <w:rPr>
                <w:rFonts w:ascii="宋体" w:eastAsia="宋体" w:hAnsi="宋体" w:cs="宋体"/>
                <w:sz w:val="24"/>
                <w:szCs w:val="24"/>
              </w:rPr>
            </w:pPr>
            <w:r>
              <w:rPr>
                <w:rFonts w:hint="eastAsia"/>
              </w:rPr>
              <w:t xml:space="preserve">　</w:t>
            </w:r>
          </w:p>
        </w:tc>
      </w:tr>
      <w:tr w:rsidR="00ED343D">
        <w:trPr>
          <w:trHeight w:val="615"/>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rsidR="00ED343D" w:rsidRDefault="00A5623A">
            <w:pPr>
              <w:rPr>
                <w:rFonts w:ascii="宋体" w:eastAsia="宋体" w:hAnsi="宋体" w:cs="宋体"/>
                <w:sz w:val="24"/>
                <w:szCs w:val="24"/>
              </w:rPr>
            </w:pPr>
            <w:r>
              <w:rPr>
                <w:rFonts w:hint="eastAsia"/>
              </w:rPr>
              <w:t>注：本表反映部门本年度取得的各项收入情况。</w:t>
            </w:r>
          </w:p>
        </w:tc>
      </w:tr>
    </w:tbl>
    <w:p w:rsidR="00ED343D" w:rsidRDefault="00A5623A">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ED343D" w:rsidRDefault="00ED343D">
      <w:pPr>
        <w:widowControl/>
        <w:rPr>
          <w:rFonts w:ascii="Times New Roman" w:eastAsia="方正小标宋_GBK" w:hAnsi="Times New Roman" w:cs="Times New Roman"/>
          <w:color w:val="000000"/>
          <w:kern w:val="0"/>
          <w:sz w:val="36"/>
          <w:szCs w:val="36"/>
        </w:rPr>
      </w:pPr>
    </w:p>
    <w:tbl>
      <w:tblPr>
        <w:tblW w:w="13183" w:type="dxa"/>
        <w:jc w:val="center"/>
        <w:tblInd w:w="93" w:type="dxa"/>
        <w:tblLayout w:type="fixed"/>
        <w:tblLook w:val="04A0"/>
      </w:tblPr>
      <w:tblGrid>
        <w:gridCol w:w="1042"/>
        <w:gridCol w:w="236"/>
        <w:gridCol w:w="14"/>
        <w:gridCol w:w="1234"/>
        <w:gridCol w:w="196"/>
        <w:gridCol w:w="1448"/>
        <w:gridCol w:w="1677"/>
        <w:gridCol w:w="1677"/>
        <w:gridCol w:w="1677"/>
        <w:gridCol w:w="1677"/>
        <w:gridCol w:w="2305"/>
      </w:tblGrid>
      <w:tr w:rsidR="00ED343D">
        <w:trPr>
          <w:trHeight w:val="435"/>
          <w:jc w:val="center"/>
        </w:trPr>
        <w:tc>
          <w:tcPr>
            <w:tcW w:w="13183" w:type="dxa"/>
            <w:gridSpan w:val="11"/>
            <w:tcBorders>
              <w:top w:val="nil"/>
              <w:left w:val="nil"/>
              <w:bottom w:val="nil"/>
              <w:right w:val="nil"/>
            </w:tcBorders>
            <w:shd w:val="clear" w:color="auto" w:fill="auto"/>
            <w:noWrap/>
            <w:vAlign w:val="center"/>
          </w:tcPr>
          <w:p w:rsidR="00ED343D" w:rsidRDefault="00A5623A">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ED343D">
        <w:trPr>
          <w:trHeight w:val="285"/>
          <w:jc w:val="center"/>
        </w:trPr>
        <w:tc>
          <w:tcPr>
            <w:tcW w:w="1042"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22"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49" w:type="dxa"/>
            <w:gridSpan w:val="2"/>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46" w:type="dxa"/>
            <w:gridSpan w:val="2"/>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08"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03</w:t>
            </w:r>
            <w:r>
              <w:rPr>
                <w:rFonts w:ascii="宋体" w:eastAsia="宋体" w:hAnsi="宋体" w:cs="宋体" w:hint="eastAsia"/>
                <w:color w:val="000000"/>
                <w:kern w:val="0"/>
                <w:sz w:val="20"/>
                <w:szCs w:val="20"/>
              </w:rPr>
              <w:t>表</w:t>
            </w:r>
          </w:p>
        </w:tc>
      </w:tr>
      <w:tr w:rsidR="00ED343D">
        <w:trPr>
          <w:trHeight w:val="285"/>
          <w:jc w:val="center"/>
        </w:trPr>
        <w:tc>
          <w:tcPr>
            <w:tcW w:w="1042" w:type="dxa"/>
            <w:tcBorders>
              <w:top w:val="nil"/>
              <w:left w:val="nil"/>
              <w:bottom w:val="nil"/>
              <w:right w:val="nil"/>
            </w:tcBorders>
            <w:shd w:val="clear" w:color="000000" w:fill="FFFFFF"/>
            <w:noWrap/>
            <w:vAlign w:val="center"/>
          </w:tcPr>
          <w:p w:rsidR="00ED343D" w:rsidRDefault="00A5623A">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236" w:type="dxa"/>
            <w:gridSpan w:val="2"/>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881" w:type="dxa"/>
            <w:gridSpan w:val="3"/>
            <w:tcBorders>
              <w:top w:val="nil"/>
              <w:left w:val="nil"/>
              <w:bottom w:val="nil"/>
              <w:right w:val="nil"/>
            </w:tcBorders>
            <w:shd w:val="clear" w:color="000000" w:fill="FFFFFF"/>
            <w:noWrap/>
            <w:vAlign w:val="center"/>
          </w:tcPr>
          <w:p w:rsidR="00ED343D" w:rsidRDefault="00A5623A">
            <w:pPr>
              <w:widowControl/>
              <w:ind w:right="100"/>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color w:val="000000"/>
                <w:kern w:val="0"/>
                <w:sz w:val="20"/>
                <w:szCs w:val="20"/>
              </w:rPr>
              <w:t>湖南民院附小</w:t>
            </w:r>
          </w:p>
        </w:tc>
        <w:tc>
          <w:tcPr>
            <w:tcW w:w="1679"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ED343D" w:rsidRDefault="00A5623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1679"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08"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ED343D">
        <w:trPr>
          <w:trHeight w:val="450"/>
          <w:jc w:val="center"/>
        </w:trPr>
        <w:tc>
          <w:tcPr>
            <w:tcW w:w="2709"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4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6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23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ED343D">
        <w:trPr>
          <w:trHeight w:val="450"/>
          <w:jc w:val="center"/>
        </w:trPr>
        <w:tc>
          <w:tcPr>
            <w:tcW w:w="12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1445"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450" w:type="dxa"/>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r>
      <w:tr w:rsidR="00ED343D">
        <w:trPr>
          <w:trHeight w:val="450"/>
          <w:jc w:val="center"/>
        </w:trPr>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1445" w:type="dxa"/>
            <w:gridSpan w:val="3"/>
            <w:vMerge/>
            <w:tcBorders>
              <w:top w:val="nil"/>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1450" w:type="dxa"/>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2308" w:type="dxa"/>
            <w:vMerge/>
            <w:tcBorders>
              <w:top w:val="single" w:sz="4" w:space="0" w:color="auto"/>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r>
      <w:tr w:rsidR="00ED343D">
        <w:trPr>
          <w:trHeight w:val="450"/>
          <w:jc w:val="center"/>
        </w:trPr>
        <w:tc>
          <w:tcPr>
            <w:tcW w:w="270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450"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67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67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67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679"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308"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ED343D">
        <w:trPr>
          <w:trHeight w:val="450"/>
          <w:jc w:val="center"/>
        </w:trPr>
        <w:tc>
          <w:tcPr>
            <w:tcW w:w="270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450" w:type="dxa"/>
            <w:tcBorders>
              <w:top w:val="nil"/>
              <w:left w:val="nil"/>
              <w:bottom w:val="single" w:sz="4" w:space="0" w:color="auto"/>
              <w:right w:val="single" w:sz="4" w:space="0" w:color="auto"/>
            </w:tcBorders>
            <w:shd w:val="clear" w:color="auto" w:fill="auto"/>
            <w:noWrap/>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2261.63</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2255.63</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jc w:val="center"/>
              <w:rPr>
                <w:rFonts w:ascii="宋体" w:eastAsia="宋体" w:hAnsi="宋体" w:cs="宋体"/>
                <w:kern w:val="0"/>
                <w:sz w:val="22"/>
              </w:rPr>
            </w:pPr>
            <w:r>
              <w:rPr>
                <w:rFonts w:ascii="宋体" w:eastAsia="宋体" w:hAnsi="宋体" w:cs="宋体" w:hint="eastAsia"/>
                <w:kern w:val="0"/>
                <w:sz w:val="22"/>
              </w:rPr>
              <w:t>6.00</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2"/>
              </w:rPr>
              <w:t>0.00</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2"/>
              </w:rPr>
              <w:t>0.00</w:t>
            </w:r>
          </w:p>
        </w:tc>
        <w:tc>
          <w:tcPr>
            <w:tcW w:w="230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2"/>
              </w:rPr>
              <w:t>0.00</w:t>
            </w:r>
          </w:p>
        </w:tc>
      </w:tr>
      <w:tr w:rsidR="00ED343D">
        <w:trPr>
          <w:trHeight w:val="450"/>
          <w:jc w:val="center"/>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205</w:t>
            </w:r>
          </w:p>
        </w:tc>
        <w:tc>
          <w:tcPr>
            <w:tcW w:w="1445"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教育支出</w:t>
            </w:r>
          </w:p>
        </w:tc>
        <w:tc>
          <w:tcPr>
            <w:tcW w:w="1450" w:type="dxa"/>
            <w:tcBorders>
              <w:top w:val="nil"/>
              <w:left w:val="nil"/>
              <w:bottom w:val="single" w:sz="4" w:space="0" w:color="auto"/>
              <w:right w:val="single" w:sz="4" w:space="0" w:color="auto"/>
            </w:tcBorders>
            <w:shd w:val="clear" w:color="auto" w:fill="auto"/>
            <w:noWrap/>
            <w:vAlign w:val="center"/>
          </w:tcPr>
          <w:p w:rsidR="00ED343D" w:rsidRDefault="00C74832">
            <w:pPr>
              <w:widowControl/>
              <w:jc w:val="center"/>
              <w:rPr>
                <w:rFonts w:ascii="宋体" w:eastAsia="宋体" w:hAnsi="宋体" w:cs="宋体"/>
                <w:kern w:val="0"/>
                <w:sz w:val="24"/>
                <w:szCs w:val="24"/>
              </w:rPr>
            </w:pPr>
            <w:r>
              <w:rPr>
                <w:rFonts w:ascii="宋体" w:eastAsia="宋体" w:hAnsi="宋体" w:cs="宋体" w:hint="eastAsia"/>
                <w:kern w:val="0"/>
                <w:sz w:val="22"/>
              </w:rPr>
              <w:t>2261.63</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2255.63</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6.00</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c>
          <w:tcPr>
            <w:tcW w:w="230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r>
      <w:tr w:rsidR="00ED343D">
        <w:trPr>
          <w:trHeight w:val="450"/>
          <w:jc w:val="center"/>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20502</w:t>
            </w:r>
          </w:p>
        </w:tc>
        <w:tc>
          <w:tcPr>
            <w:tcW w:w="1445"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普通教育</w:t>
            </w:r>
          </w:p>
        </w:tc>
        <w:tc>
          <w:tcPr>
            <w:tcW w:w="1450" w:type="dxa"/>
            <w:tcBorders>
              <w:top w:val="nil"/>
              <w:left w:val="nil"/>
              <w:bottom w:val="single" w:sz="4" w:space="0" w:color="auto"/>
              <w:right w:val="single" w:sz="4" w:space="0" w:color="auto"/>
            </w:tcBorders>
            <w:shd w:val="clear" w:color="auto" w:fill="auto"/>
            <w:noWrap/>
            <w:vAlign w:val="center"/>
          </w:tcPr>
          <w:p w:rsidR="00ED343D" w:rsidRDefault="00C74832">
            <w:pPr>
              <w:widowControl/>
              <w:jc w:val="center"/>
              <w:rPr>
                <w:rFonts w:ascii="宋体" w:eastAsia="宋体" w:hAnsi="宋体" w:cs="宋体"/>
                <w:kern w:val="0"/>
                <w:sz w:val="24"/>
                <w:szCs w:val="24"/>
              </w:rPr>
            </w:pPr>
            <w:r>
              <w:rPr>
                <w:rFonts w:ascii="宋体" w:eastAsia="宋体" w:hAnsi="宋体" w:cs="宋体" w:hint="eastAsia"/>
                <w:kern w:val="0"/>
                <w:sz w:val="22"/>
              </w:rPr>
              <w:t>2261.63</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2255.63</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6.00</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c>
          <w:tcPr>
            <w:tcW w:w="230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r>
      <w:tr w:rsidR="00ED343D">
        <w:trPr>
          <w:trHeight w:val="450"/>
          <w:jc w:val="center"/>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2050202</w:t>
            </w:r>
          </w:p>
        </w:tc>
        <w:tc>
          <w:tcPr>
            <w:tcW w:w="1445"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小学教育</w:t>
            </w:r>
          </w:p>
        </w:tc>
        <w:tc>
          <w:tcPr>
            <w:tcW w:w="145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2255.63</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ind w:right="240"/>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2255.63</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c>
          <w:tcPr>
            <w:tcW w:w="230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r>
      <w:tr w:rsidR="00ED343D">
        <w:trPr>
          <w:trHeight w:val="450"/>
          <w:jc w:val="center"/>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2050299</w:t>
            </w:r>
          </w:p>
        </w:tc>
        <w:tc>
          <w:tcPr>
            <w:tcW w:w="1445"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其他普通教育支出</w:t>
            </w:r>
          </w:p>
        </w:tc>
        <w:tc>
          <w:tcPr>
            <w:tcW w:w="145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6.00</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6.00</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c>
          <w:tcPr>
            <w:tcW w:w="1679"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c>
          <w:tcPr>
            <w:tcW w:w="230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kern w:val="0"/>
                <w:sz w:val="24"/>
                <w:szCs w:val="24"/>
              </w:rPr>
            </w:pPr>
          </w:p>
        </w:tc>
      </w:tr>
      <w:tr w:rsidR="00ED343D">
        <w:trPr>
          <w:trHeight w:val="450"/>
          <w:jc w:val="center"/>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45"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5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D343D">
        <w:trPr>
          <w:trHeight w:val="450"/>
          <w:jc w:val="center"/>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45" w:type="dxa"/>
            <w:gridSpan w:val="3"/>
            <w:tcBorders>
              <w:top w:val="nil"/>
              <w:left w:val="nil"/>
              <w:bottom w:val="single" w:sz="4" w:space="0" w:color="auto"/>
              <w:right w:val="single" w:sz="4" w:space="0" w:color="auto"/>
            </w:tcBorders>
            <w:shd w:val="clear" w:color="000000" w:fill="FFFFFF"/>
            <w:noWrap/>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5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79"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0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D343D">
        <w:trPr>
          <w:trHeight w:val="630"/>
          <w:jc w:val="center"/>
        </w:trPr>
        <w:tc>
          <w:tcPr>
            <w:tcW w:w="13183" w:type="dxa"/>
            <w:gridSpan w:val="11"/>
            <w:tcBorders>
              <w:top w:val="nil"/>
              <w:left w:val="nil"/>
              <w:bottom w:val="nil"/>
              <w:right w:val="nil"/>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ED343D" w:rsidRDefault="00ED343D">
      <w:pPr>
        <w:widowControl/>
        <w:ind w:left="93"/>
        <w:jc w:val="center"/>
        <w:rPr>
          <w:rFonts w:ascii="Times New Roman" w:eastAsia="方正小标宋_GBK" w:hAnsi="Times New Roman" w:cs="Times New Roman"/>
          <w:color w:val="000000"/>
          <w:kern w:val="0"/>
          <w:sz w:val="36"/>
          <w:szCs w:val="21"/>
        </w:rPr>
      </w:pPr>
    </w:p>
    <w:p w:rsidR="00ED343D" w:rsidRDefault="00ED343D">
      <w:pPr>
        <w:widowControl/>
        <w:ind w:left="93"/>
        <w:jc w:val="center"/>
        <w:rPr>
          <w:rFonts w:ascii="Times New Roman" w:eastAsia="方正小标宋_GBK" w:hAnsi="Times New Roman" w:cs="Times New Roman"/>
          <w:color w:val="000000"/>
          <w:kern w:val="0"/>
          <w:sz w:val="36"/>
          <w:szCs w:val="21"/>
        </w:rPr>
      </w:pPr>
    </w:p>
    <w:p w:rsidR="00ED343D" w:rsidRDefault="00ED343D">
      <w:pPr>
        <w:widowControl/>
        <w:ind w:left="93"/>
        <w:jc w:val="center"/>
        <w:rPr>
          <w:rFonts w:ascii="Times New Roman" w:eastAsia="方正小标宋_GBK" w:hAnsi="Times New Roman" w:cs="Times New Roman"/>
          <w:color w:val="000000"/>
          <w:kern w:val="0"/>
          <w:sz w:val="36"/>
          <w:szCs w:val="21"/>
        </w:rPr>
      </w:pPr>
    </w:p>
    <w:p w:rsidR="00ED343D" w:rsidRDefault="00ED343D">
      <w:pPr>
        <w:widowControl/>
        <w:ind w:left="93"/>
        <w:jc w:val="center"/>
        <w:rPr>
          <w:rFonts w:ascii="Times New Roman" w:eastAsia="方正小标宋_GBK" w:hAnsi="Times New Roman" w:cs="Times New Roman"/>
          <w:color w:val="000000"/>
          <w:kern w:val="0"/>
          <w:sz w:val="36"/>
          <w:szCs w:val="21"/>
        </w:rPr>
      </w:pPr>
    </w:p>
    <w:tbl>
      <w:tblPr>
        <w:tblW w:w="15521" w:type="dxa"/>
        <w:tblInd w:w="93" w:type="dxa"/>
        <w:tblLayout w:type="fixed"/>
        <w:tblLook w:val="04A0"/>
      </w:tblPr>
      <w:tblGrid>
        <w:gridCol w:w="3595"/>
        <w:gridCol w:w="436"/>
        <w:gridCol w:w="1078"/>
        <w:gridCol w:w="496"/>
        <w:gridCol w:w="2915"/>
        <w:gridCol w:w="632"/>
        <w:gridCol w:w="435"/>
        <w:gridCol w:w="1573"/>
        <w:gridCol w:w="1394"/>
        <w:gridCol w:w="1394"/>
        <w:gridCol w:w="1573"/>
      </w:tblGrid>
      <w:tr w:rsidR="00ED343D">
        <w:trPr>
          <w:trHeight w:val="285"/>
        </w:trPr>
        <w:tc>
          <w:tcPr>
            <w:tcW w:w="3595" w:type="dxa"/>
            <w:tcBorders>
              <w:top w:val="nil"/>
              <w:left w:val="nil"/>
              <w:bottom w:val="nil"/>
              <w:right w:val="nil"/>
            </w:tcBorders>
            <w:shd w:val="clear" w:color="auto" w:fill="auto"/>
            <w:noWrap/>
            <w:vAlign w:val="center"/>
          </w:tcPr>
          <w:p w:rsidR="00ED343D" w:rsidRDefault="00ED343D">
            <w:pPr>
              <w:widowControl/>
              <w:jc w:val="left"/>
              <w:rPr>
                <w:rFonts w:ascii="黑体" w:eastAsia="黑体" w:hAnsi="黑体" w:cs="宋体"/>
                <w:kern w:val="0"/>
                <w:sz w:val="24"/>
                <w:szCs w:val="24"/>
              </w:rPr>
            </w:pPr>
            <w:bookmarkStart w:id="0" w:name="RANGE!A1:I22"/>
            <w:bookmarkStart w:id="1" w:name="RANGE!A1:F16"/>
            <w:bookmarkEnd w:id="0"/>
          </w:p>
        </w:tc>
        <w:tc>
          <w:tcPr>
            <w:tcW w:w="436" w:type="dxa"/>
            <w:tcBorders>
              <w:top w:val="nil"/>
              <w:left w:val="nil"/>
              <w:bottom w:val="nil"/>
              <w:right w:val="nil"/>
            </w:tcBorders>
            <w:shd w:val="clear" w:color="auto" w:fill="auto"/>
            <w:noWrap/>
            <w:vAlign w:val="center"/>
          </w:tcPr>
          <w:p w:rsidR="00ED343D" w:rsidRDefault="00ED343D">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tcPr>
          <w:p w:rsidR="00ED343D" w:rsidRDefault="00ED343D">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tcPr>
          <w:p w:rsidR="00ED343D" w:rsidRDefault="00ED343D">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ED343D" w:rsidRDefault="00ED343D">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ED343D" w:rsidRDefault="00ED343D">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ED343D" w:rsidRDefault="00ED343D">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ED343D" w:rsidRDefault="00ED343D">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ED343D" w:rsidRDefault="00ED343D">
            <w:pPr>
              <w:widowControl/>
              <w:jc w:val="right"/>
              <w:rPr>
                <w:rFonts w:ascii="宋体" w:eastAsia="宋体" w:hAnsi="宋体" w:cs="宋体"/>
                <w:kern w:val="0"/>
                <w:sz w:val="24"/>
                <w:szCs w:val="24"/>
              </w:rPr>
            </w:pPr>
          </w:p>
        </w:tc>
      </w:tr>
      <w:tr w:rsidR="00ED343D">
        <w:trPr>
          <w:trHeight w:val="360"/>
        </w:trPr>
        <w:tc>
          <w:tcPr>
            <w:tcW w:w="15521" w:type="dxa"/>
            <w:gridSpan w:val="11"/>
            <w:tcBorders>
              <w:top w:val="nil"/>
              <w:left w:val="nil"/>
              <w:bottom w:val="nil"/>
              <w:right w:val="nil"/>
            </w:tcBorders>
            <w:shd w:val="clear" w:color="auto" w:fill="auto"/>
            <w:noWrap/>
            <w:vAlign w:val="center"/>
          </w:tcPr>
          <w:p w:rsidR="00ED343D" w:rsidRDefault="00A5623A">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ED343D">
        <w:trPr>
          <w:trHeight w:val="199"/>
        </w:trPr>
        <w:tc>
          <w:tcPr>
            <w:tcW w:w="3595"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04</w:t>
            </w:r>
            <w:r>
              <w:rPr>
                <w:rFonts w:ascii="宋体" w:eastAsia="宋体" w:hAnsi="宋体" w:cs="宋体" w:hint="eastAsia"/>
                <w:color w:val="000000"/>
                <w:kern w:val="0"/>
                <w:sz w:val="20"/>
                <w:szCs w:val="20"/>
              </w:rPr>
              <w:t>表</w:t>
            </w:r>
          </w:p>
        </w:tc>
      </w:tr>
      <w:tr w:rsidR="00ED343D">
        <w:trPr>
          <w:trHeight w:val="300"/>
        </w:trPr>
        <w:tc>
          <w:tcPr>
            <w:tcW w:w="3595" w:type="dxa"/>
            <w:tcBorders>
              <w:top w:val="nil"/>
              <w:left w:val="nil"/>
              <w:bottom w:val="nil"/>
              <w:right w:val="nil"/>
            </w:tcBorders>
            <w:shd w:val="clear" w:color="000000" w:fill="FFFFFF"/>
            <w:noWrap/>
            <w:vAlign w:val="center"/>
          </w:tcPr>
          <w:p w:rsidR="00ED343D" w:rsidRDefault="00A5623A">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部门：湖南民院附小</w:t>
            </w:r>
          </w:p>
        </w:tc>
        <w:tc>
          <w:tcPr>
            <w:tcW w:w="436"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ED343D">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ED343D">
        <w:trPr>
          <w:trHeight w:val="63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目</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栏</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次</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2424.11</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33</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34</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35</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jc w:val="right"/>
              <w:rPr>
                <w:rFonts w:ascii="宋体" w:eastAsia="宋体" w:hAnsi="宋体" w:cs="Arial"/>
                <w:color w:val="00000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36</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jc w:val="right"/>
              <w:rPr>
                <w:rFonts w:ascii="宋体" w:eastAsia="宋体" w:hAnsi="宋体" w:cs="Arial"/>
                <w:color w:val="00000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37</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2261.63</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2261.63</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jc w:val="right"/>
              <w:rPr>
                <w:rFonts w:ascii="宋体" w:eastAsia="宋体" w:hAnsi="宋体" w:cs="Arial"/>
                <w:color w:val="00000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38</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jc w:val="right"/>
              <w:rPr>
                <w:rFonts w:ascii="宋体" w:eastAsia="宋体" w:hAnsi="宋体" w:cs="Arial"/>
                <w:color w:val="00000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七、文化旅游体育与传媒支出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39</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jc w:val="right"/>
              <w:rPr>
                <w:rFonts w:ascii="宋体" w:eastAsia="宋体" w:hAnsi="宋体" w:cs="Arial"/>
                <w:color w:val="00000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八、社会保障和就业支出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九、卫生健康支出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41</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十、节能环保支出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42</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十一、城乡社区支出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43</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十二、农林水支出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44</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十三、交通运输支出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45</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十四、资源勘探工业信息等支出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46</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15</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十五、商业服务业等支出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47</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16</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十六、金融支出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48</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17</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十七、援助其他地区支出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49</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18</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十八、自然资源海洋气象等支出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19</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十九、住房保障支出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51</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20</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二十、粮油物资储备支出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52</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21</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二十一、国有资本经营预算支出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53</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二十二、灾害防治及应急管理支出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54</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23</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二十三、其他支出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55</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24</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二十四、债务还本支出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56</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25</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二十五、债务付息支出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57</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ED343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26</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rPr>
                <w:rFonts w:ascii="宋体" w:eastAsia="宋体" w:hAnsi="宋体" w:cs="Arial"/>
                <w:color w:val="000000"/>
                <w:sz w:val="22"/>
              </w:rPr>
            </w:pPr>
            <w:r>
              <w:rPr>
                <w:rFonts w:cs="Arial" w:hint="eastAsia"/>
                <w:color w:val="000000"/>
                <w:sz w:val="22"/>
              </w:rPr>
              <w:t>二十六、抗疫特别国债安排的支出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58</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27</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2424.11</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59</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2261.63</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2261.63</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28</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53.54</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216.02</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216.02</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29</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61</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30</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62</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ED343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31</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0.00</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63</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ED343D">
        <w:trPr>
          <w:trHeight w:val="402"/>
        </w:trPr>
        <w:tc>
          <w:tcPr>
            <w:tcW w:w="3595" w:type="dxa"/>
            <w:tcBorders>
              <w:top w:val="nil"/>
              <w:left w:val="single" w:sz="4" w:space="0" w:color="auto"/>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32</w:t>
            </w:r>
          </w:p>
        </w:tc>
        <w:tc>
          <w:tcPr>
            <w:tcW w:w="10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right"/>
              <w:rPr>
                <w:rFonts w:ascii="宋体" w:eastAsia="宋体" w:hAnsi="宋体" w:cs="宋体"/>
                <w:kern w:val="0"/>
                <w:sz w:val="22"/>
              </w:rPr>
            </w:pPr>
            <w:r>
              <w:rPr>
                <w:rFonts w:ascii="宋体" w:eastAsia="宋体" w:hAnsi="宋体" w:cs="宋体" w:hint="eastAsia"/>
                <w:kern w:val="0"/>
                <w:sz w:val="22"/>
              </w:rPr>
              <w:t>2477.65</w:t>
            </w: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64</w:t>
            </w:r>
          </w:p>
        </w:tc>
        <w:tc>
          <w:tcPr>
            <w:tcW w:w="1573"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hint="eastAsia"/>
                <w:kern w:val="0"/>
                <w:sz w:val="22"/>
              </w:rPr>
              <w:t>2477.65</w:t>
            </w:r>
          </w:p>
        </w:tc>
        <w:tc>
          <w:tcPr>
            <w:tcW w:w="1394" w:type="dxa"/>
            <w:tcBorders>
              <w:top w:val="nil"/>
              <w:left w:val="nil"/>
              <w:bottom w:val="single" w:sz="4" w:space="0" w:color="auto"/>
              <w:right w:val="single" w:sz="4" w:space="0" w:color="auto"/>
            </w:tcBorders>
            <w:shd w:val="clear" w:color="000000" w:fill="FFFFFF"/>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2477.65</w:t>
            </w: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c>
          <w:tcPr>
            <w:tcW w:w="1573"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0.00</w:t>
            </w:r>
          </w:p>
        </w:tc>
      </w:tr>
      <w:tr w:rsidR="00ED343D">
        <w:trPr>
          <w:trHeight w:val="585"/>
        </w:trPr>
        <w:tc>
          <w:tcPr>
            <w:tcW w:w="15521" w:type="dxa"/>
            <w:gridSpan w:val="11"/>
            <w:tcBorders>
              <w:top w:val="nil"/>
              <w:left w:val="nil"/>
              <w:bottom w:val="nil"/>
              <w:right w:val="nil"/>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ED343D" w:rsidRDefault="00ED343D">
      <w:pPr>
        <w:widowControl/>
        <w:jc w:val="center"/>
        <w:rPr>
          <w:rFonts w:ascii="Times New Roman" w:eastAsia="方正小标宋_GBK" w:hAnsi="Times New Roman" w:cs="Times New Roman"/>
          <w:kern w:val="0"/>
          <w:sz w:val="36"/>
          <w:szCs w:val="36"/>
        </w:rPr>
      </w:pPr>
    </w:p>
    <w:p w:rsidR="00ED343D" w:rsidRDefault="00ED343D">
      <w:pPr>
        <w:widowControl/>
        <w:jc w:val="center"/>
        <w:rPr>
          <w:rFonts w:ascii="Times New Roman" w:eastAsia="方正小标宋_GBK" w:hAnsi="Times New Roman" w:cs="Times New Roman"/>
          <w:kern w:val="0"/>
          <w:sz w:val="36"/>
          <w:szCs w:val="36"/>
        </w:rPr>
      </w:pPr>
    </w:p>
    <w:p w:rsidR="00ED343D" w:rsidRDefault="00ED343D">
      <w:pPr>
        <w:widowControl/>
        <w:jc w:val="center"/>
        <w:rPr>
          <w:rFonts w:ascii="Times New Roman" w:eastAsia="方正小标宋_GBK" w:hAnsi="Times New Roman" w:cs="Times New Roman"/>
          <w:kern w:val="0"/>
          <w:sz w:val="36"/>
          <w:szCs w:val="36"/>
        </w:rPr>
      </w:pPr>
    </w:p>
    <w:p w:rsidR="00ED343D" w:rsidRDefault="00ED343D">
      <w:pPr>
        <w:widowControl/>
        <w:jc w:val="center"/>
        <w:rPr>
          <w:rFonts w:ascii="Times New Roman" w:eastAsia="方正小标宋_GBK" w:hAnsi="Times New Roman" w:cs="Times New Roman"/>
          <w:kern w:val="0"/>
          <w:sz w:val="36"/>
          <w:szCs w:val="36"/>
        </w:rPr>
      </w:pPr>
    </w:p>
    <w:p w:rsidR="00ED343D" w:rsidRDefault="00ED343D">
      <w:pPr>
        <w:widowControl/>
        <w:jc w:val="center"/>
        <w:rPr>
          <w:rFonts w:ascii="Times New Roman" w:eastAsia="方正小标宋_GBK" w:hAnsi="Times New Roman" w:cs="Times New Roman"/>
          <w:kern w:val="0"/>
          <w:sz w:val="36"/>
          <w:szCs w:val="36"/>
        </w:rPr>
      </w:pPr>
    </w:p>
    <w:p w:rsidR="00ED343D" w:rsidRDefault="00A5623A">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lastRenderedPageBreak/>
        <w:t>一般公共预算财政拨款支出决算表</w:t>
      </w:r>
      <w:bookmarkEnd w:id="1"/>
    </w:p>
    <w:p w:rsidR="00ED343D" w:rsidRDefault="00A5623A" w:rsidP="00C74832">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湖南民院附小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ED343D" w:rsidRDefault="00A5623A">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ayout w:type="fixed"/>
        <w:tblLook w:val="04A0"/>
      </w:tblPr>
      <w:tblGrid>
        <w:gridCol w:w="1200"/>
        <w:gridCol w:w="3527"/>
        <w:gridCol w:w="3000"/>
        <w:gridCol w:w="3492"/>
        <w:gridCol w:w="3000"/>
      </w:tblGrid>
      <w:tr w:rsidR="00ED343D">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ED343D">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ED343D">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D343D" w:rsidRDefault="00ED343D">
            <w:pPr>
              <w:widowControl/>
              <w:jc w:val="left"/>
              <w:rPr>
                <w:rFonts w:ascii="Times New Roman" w:eastAsia="仿宋_GB2312" w:hAnsi="Times New Roman" w:cs="Times New Roman"/>
                <w:kern w:val="0"/>
                <w:szCs w:val="21"/>
              </w:rPr>
            </w:pPr>
          </w:p>
        </w:tc>
      </w:tr>
      <w:tr w:rsidR="00ED343D">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ED343D" w:rsidRDefault="00ED343D">
            <w:pPr>
              <w:widowControl/>
              <w:jc w:val="left"/>
              <w:rPr>
                <w:rFonts w:ascii="Times New Roman" w:eastAsia="仿宋_GB2312" w:hAnsi="Times New Roman" w:cs="Times New Roman"/>
                <w:kern w:val="0"/>
                <w:szCs w:val="21"/>
              </w:rPr>
            </w:pPr>
          </w:p>
        </w:tc>
      </w:tr>
      <w:tr w:rsidR="00ED343D">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ED343D">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2261.63</w:t>
            </w:r>
          </w:p>
        </w:tc>
        <w:tc>
          <w:tcPr>
            <w:tcW w:w="3492"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2255.63</w:t>
            </w:r>
          </w:p>
        </w:tc>
        <w:tc>
          <w:tcPr>
            <w:tcW w:w="3000" w:type="dxa"/>
            <w:tcBorders>
              <w:top w:val="nil"/>
              <w:left w:val="nil"/>
              <w:bottom w:val="single" w:sz="4" w:space="0" w:color="auto"/>
              <w:right w:val="single" w:sz="8" w:space="0" w:color="auto"/>
            </w:tcBorders>
            <w:shd w:val="clear" w:color="auto" w:fill="auto"/>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6.00</w:t>
            </w:r>
          </w:p>
        </w:tc>
      </w:tr>
      <w:tr w:rsidR="00ED343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205</w:t>
            </w:r>
          </w:p>
        </w:tc>
        <w:tc>
          <w:tcPr>
            <w:tcW w:w="3527" w:type="dxa"/>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教育支出</w:t>
            </w:r>
          </w:p>
        </w:tc>
        <w:tc>
          <w:tcPr>
            <w:tcW w:w="3000" w:type="dxa"/>
            <w:tcBorders>
              <w:top w:val="nil"/>
              <w:left w:val="nil"/>
              <w:bottom w:val="single" w:sz="4" w:space="0" w:color="auto"/>
              <w:right w:val="single" w:sz="4" w:space="0" w:color="auto"/>
            </w:tcBorders>
            <w:shd w:val="clear" w:color="auto" w:fill="auto"/>
            <w:vAlign w:val="center"/>
          </w:tcPr>
          <w:p w:rsidR="00ED343D" w:rsidRDefault="00C74832">
            <w:pPr>
              <w:widowControl/>
              <w:jc w:val="center"/>
              <w:rPr>
                <w:rFonts w:ascii="宋体" w:eastAsia="宋体" w:hAnsi="宋体" w:cs="宋体"/>
                <w:kern w:val="0"/>
                <w:sz w:val="22"/>
              </w:rPr>
            </w:pPr>
            <w:r>
              <w:rPr>
                <w:rFonts w:ascii="宋体" w:eastAsia="宋体" w:hAnsi="宋体" w:cs="宋体" w:hint="eastAsia"/>
                <w:kern w:val="0"/>
                <w:sz w:val="22"/>
              </w:rPr>
              <w:t>2261.63</w:t>
            </w:r>
          </w:p>
        </w:tc>
        <w:tc>
          <w:tcPr>
            <w:tcW w:w="3492"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2255.63</w:t>
            </w:r>
          </w:p>
        </w:tc>
        <w:tc>
          <w:tcPr>
            <w:tcW w:w="3000" w:type="dxa"/>
            <w:tcBorders>
              <w:top w:val="nil"/>
              <w:left w:val="nil"/>
              <w:bottom w:val="single" w:sz="4" w:space="0" w:color="auto"/>
              <w:right w:val="single" w:sz="8" w:space="0" w:color="auto"/>
            </w:tcBorders>
            <w:shd w:val="clear" w:color="auto" w:fill="auto"/>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6.00</w:t>
            </w:r>
          </w:p>
        </w:tc>
      </w:tr>
      <w:tr w:rsidR="00ED343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20502</w:t>
            </w:r>
          </w:p>
        </w:tc>
        <w:tc>
          <w:tcPr>
            <w:tcW w:w="3527" w:type="dxa"/>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普通教育</w:t>
            </w:r>
          </w:p>
        </w:tc>
        <w:tc>
          <w:tcPr>
            <w:tcW w:w="3000" w:type="dxa"/>
            <w:tcBorders>
              <w:top w:val="nil"/>
              <w:left w:val="nil"/>
              <w:bottom w:val="single" w:sz="4" w:space="0" w:color="auto"/>
              <w:right w:val="single" w:sz="4" w:space="0" w:color="auto"/>
            </w:tcBorders>
            <w:shd w:val="clear" w:color="auto" w:fill="auto"/>
            <w:vAlign w:val="center"/>
          </w:tcPr>
          <w:p w:rsidR="00ED343D" w:rsidRDefault="00C74832">
            <w:pPr>
              <w:widowControl/>
              <w:jc w:val="center"/>
              <w:rPr>
                <w:rFonts w:ascii="宋体" w:eastAsia="宋体" w:hAnsi="宋体" w:cs="宋体"/>
                <w:kern w:val="0"/>
                <w:sz w:val="22"/>
              </w:rPr>
            </w:pPr>
            <w:r>
              <w:rPr>
                <w:rFonts w:ascii="宋体" w:eastAsia="宋体" w:hAnsi="宋体" w:cs="宋体" w:hint="eastAsia"/>
                <w:kern w:val="0"/>
                <w:sz w:val="22"/>
              </w:rPr>
              <w:t>2261.63</w:t>
            </w:r>
          </w:p>
        </w:tc>
        <w:tc>
          <w:tcPr>
            <w:tcW w:w="3492"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2255.63</w:t>
            </w:r>
          </w:p>
        </w:tc>
        <w:tc>
          <w:tcPr>
            <w:tcW w:w="3000" w:type="dxa"/>
            <w:tcBorders>
              <w:top w:val="nil"/>
              <w:left w:val="nil"/>
              <w:bottom w:val="single" w:sz="4" w:space="0" w:color="auto"/>
              <w:right w:val="single" w:sz="8" w:space="0" w:color="auto"/>
            </w:tcBorders>
            <w:shd w:val="clear" w:color="auto" w:fill="auto"/>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6.00</w:t>
            </w:r>
          </w:p>
        </w:tc>
      </w:tr>
      <w:tr w:rsidR="00ED343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2050202</w:t>
            </w:r>
          </w:p>
        </w:tc>
        <w:tc>
          <w:tcPr>
            <w:tcW w:w="3527" w:type="dxa"/>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小学教育</w:t>
            </w:r>
          </w:p>
        </w:tc>
        <w:tc>
          <w:tcPr>
            <w:tcW w:w="300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2255.63</w:t>
            </w:r>
          </w:p>
        </w:tc>
        <w:tc>
          <w:tcPr>
            <w:tcW w:w="3492"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2255.63</w:t>
            </w:r>
          </w:p>
        </w:tc>
        <w:tc>
          <w:tcPr>
            <w:tcW w:w="3000" w:type="dxa"/>
            <w:tcBorders>
              <w:top w:val="nil"/>
              <w:left w:val="nil"/>
              <w:bottom w:val="single" w:sz="4" w:space="0" w:color="auto"/>
              <w:right w:val="single" w:sz="8" w:space="0" w:color="auto"/>
            </w:tcBorders>
            <w:shd w:val="clear" w:color="auto" w:fill="auto"/>
            <w:vAlign w:val="center"/>
          </w:tcPr>
          <w:p w:rsidR="00ED343D" w:rsidRDefault="00ED343D">
            <w:pPr>
              <w:widowControl/>
              <w:jc w:val="center"/>
              <w:rPr>
                <w:rFonts w:ascii="宋体" w:eastAsia="宋体" w:hAnsi="宋体" w:cs="宋体"/>
                <w:kern w:val="0"/>
                <w:sz w:val="22"/>
              </w:rPr>
            </w:pPr>
          </w:p>
        </w:tc>
      </w:tr>
      <w:tr w:rsidR="00ED343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2050299</w:t>
            </w:r>
          </w:p>
        </w:tc>
        <w:tc>
          <w:tcPr>
            <w:tcW w:w="3527" w:type="dxa"/>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其他普通教育支出</w:t>
            </w:r>
          </w:p>
        </w:tc>
        <w:tc>
          <w:tcPr>
            <w:tcW w:w="300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6.00</w:t>
            </w:r>
          </w:p>
        </w:tc>
        <w:tc>
          <w:tcPr>
            <w:tcW w:w="3492" w:type="dxa"/>
            <w:tcBorders>
              <w:top w:val="nil"/>
              <w:left w:val="nil"/>
              <w:bottom w:val="single" w:sz="4" w:space="0" w:color="auto"/>
              <w:right w:val="single" w:sz="4" w:space="0" w:color="auto"/>
            </w:tcBorders>
            <w:shd w:val="clear" w:color="auto" w:fill="auto"/>
            <w:vAlign w:val="center"/>
          </w:tcPr>
          <w:p w:rsidR="00ED343D" w:rsidRDefault="00ED343D">
            <w:pPr>
              <w:widowControl/>
              <w:jc w:val="center"/>
              <w:rPr>
                <w:rFonts w:ascii="宋体" w:eastAsia="宋体" w:hAnsi="宋体" w:cs="宋体"/>
                <w:kern w:val="0"/>
                <w:sz w:val="22"/>
              </w:rPr>
            </w:pPr>
          </w:p>
        </w:tc>
        <w:tc>
          <w:tcPr>
            <w:tcW w:w="3000" w:type="dxa"/>
            <w:tcBorders>
              <w:top w:val="nil"/>
              <w:left w:val="nil"/>
              <w:bottom w:val="single" w:sz="4" w:space="0" w:color="auto"/>
              <w:right w:val="single" w:sz="8" w:space="0" w:color="auto"/>
            </w:tcBorders>
            <w:shd w:val="clear" w:color="auto" w:fill="auto"/>
            <w:vAlign w:val="center"/>
          </w:tcPr>
          <w:p w:rsidR="00ED343D" w:rsidRDefault="00A5623A">
            <w:pPr>
              <w:widowControl/>
              <w:jc w:val="center"/>
              <w:rPr>
                <w:rFonts w:ascii="宋体" w:eastAsia="宋体" w:hAnsi="宋体" w:cs="宋体"/>
                <w:kern w:val="0"/>
                <w:sz w:val="22"/>
              </w:rPr>
            </w:pPr>
            <w:r>
              <w:rPr>
                <w:rFonts w:ascii="宋体" w:eastAsia="宋体" w:hAnsi="宋体" w:cs="宋体" w:hint="eastAsia"/>
                <w:kern w:val="0"/>
                <w:sz w:val="22"/>
              </w:rPr>
              <w:t>6.00</w:t>
            </w:r>
          </w:p>
        </w:tc>
      </w:tr>
      <w:tr w:rsidR="00ED343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ED343D">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527" w:type="dxa"/>
            <w:tcBorders>
              <w:top w:val="nil"/>
              <w:left w:val="nil"/>
              <w:bottom w:val="single" w:sz="8" w:space="0" w:color="auto"/>
              <w:right w:val="single" w:sz="4" w:space="0" w:color="auto"/>
            </w:tcBorders>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4" w:space="0" w:color="auto"/>
            </w:tcBorders>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492" w:type="dxa"/>
            <w:tcBorders>
              <w:top w:val="nil"/>
              <w:left w:val="nil"/>
              <w:bottom w:val="single" w:sz="8" w:space="0" w:color="auto"/>
              <w:right w:val="single" w:sz="4" w:space="0" w:color="auto"/>
            </w:tcBorders>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8" w:space="0" w:color="auto"/>
              <w:right w:val="single" w:sz="8" w:space="0" w:color="auto"/>
            </w:tcBorders>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ED343D">
        <w:trPr>
          <w:trHeight w:val="645"/>
          <w:jc w:val="center"/>
        </w:trPr>
        <w:tc>
          <w:tcPr>
            <w:tcW w:w="14219" w:type="dxa"/>
            <w:gridSpan w:val="5"/>
            <w:tcBorders>
              <w:top w:val="nil"/>
              <w:left w:val="nil"/>
              <w:bottom w:val="nil"/>
              <w:right w:val="nil"/>
            </w:tcBorders>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ED343D" w:rsidRDefault="00ED343D">
      <w:pPr>
        <w:widowControl/>
        <w:jc w:val="left"/>
        <w:rPr>
          <w:rFonts w:ascii="Times New Roman" w:eastAsia="仿宋_GB2312" w:hAnsi="Times New Roman" w:cs="Times New Roman"/>
          <w:bCs/>
          <w:kern w:val="0"/>
          <w:szCs w:val="21"/>
        </w:rPr>
      </w:pPr>
    </w:p>
    <w:p w:rsidR="00ED343D" w:rsidRDefault="00A5623A">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15506" w:type="dxa"/>
        <w:tblInd w:w="108" w:type="dxa"/>
        <w:tblLayout w:type="fixed"/>
        <w:tblLook w:val="04A0"/>
      </w:tblPr>
      <w:tblGrid>
        <w:gridCol w:w="955"/>
        <w:gridCol w:w="2270"/>
        <w:gridCol w:w="1878"/>
        <w:gridCol w:w="1276"/>
        <w:gridCol w:w="2410"/>
        <w:gridCol w:w="1276"/>
        <w:gridCol w:w="992"/>
        <w:gridCol w:w="3118"/>
        <w:gridCol w:w="1331"/>
      </w:tblGrid>
      <w:tr w:rsidR="00ED343D">
        <w:trPr>
          <w:trHeight w:val="113"/>
        </w:trPr>
        <w:tc>
          <w:tcPr>
            <w:tcW w:w="15506" w:type="dxa"/>
            <w:gridSpan w:val="9"/>
            <w:tcBorders>
              <w:top w:val="nil"/>
              <w:left w:val="nil"/>
              <w:bottom w:val="nil"/>
              <w:right w:val="nil"/>
            </w:tcBorders>
            <w:shd w:val="clear" w:color="auto" w:fill="auto"/>
            <w:noWrap/>
            <w:vAlign w:val="center"/>
          </w:tcPr>
          <w:p w:rsidR="00ED343D" w:rsidRDefault="00A5623A">
            <w:pPr>
              <w:widowControl/>
              <w:jc w:val="center"/>
              <w:rPr>
                <w:rFonts w:ascii="华文中宋" w:eastAsia="华文中宋" w:hAnsi="华文中宋" w:cs="宋体"/>
                <w:color w:val="000000"/>
                <w:kern w:val="0"/>
                <w:szCs w:val="32"/>
              </w:rPr>
            </w:pPr>
            <w:bookmarkStart w:id="2" w:name="RANGE!A1:I34"/>
            <w:r>
              <w:rPr>
                <w:rFonts w:ascii="华文中宋" w:eastAsia="华文中宋" w:hAnsi="华文中宋" w:cs="宋体" w:hint="eastAsia"/>
                <w:color w:val="000000"/>
                <w:kern w:val="0"/>
                <w:szCs w:val="32"/>
              </w:rPr>
              <w:lastRenderedPageBreak/>
              <w:t>一般公共预算财政拨款基本支出决算表</w:t>
            </w:r>
            <w:bookmarkEnd w:id="2"/>
          </w:p>
          <w:p w:rsidR="00ED343D" w:rsidRDefault="00A5623A">
            <w:pPr>
              <w:widowControl/>
              <w:wordWrap w:val="0"/>
              <w:spacing w:line="32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湖南民院附小</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表单位：万元</w:t>
            </w:r>
          </w:p>
        </w:tc>
      </w:tr>
      <w:tr w:rsidR="00ED343D">
        <w:trPr>
          <w:trHeight w:val="113"/>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2270" w:type="dxa"/>
            <w:tcBorders>
              <w:top w:val="single" w:sz="4" w:space="0" w:color="auto"/>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878" w:type="dxa"/>
            <w:tcBorders>
              <w:top w:val="single" w:sz="4" w:space="0" w:color="auto"/>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276" w:type="dxa"/>
            <w:tcBorders>
              <w:top w:val="single" w:sz="4" w:space="0" w:color="auto"/>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410" w:type="dxa"/>
            <w:tcBorders>
              <w:top w:val="single" w:sz="4" w:space="0" w:color="auto"/>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992" w:type="dxa"/>
            <w:tcBorders>
              <w:top w:val="single" w:sz="4" w:space="0" w:color="auto"/>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3118" w:type="dxa"/>
            <w:tcBorders>
              <w:top w:val="single" w:sz="4" w:space="0" w:color="auto"/>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331" w:type="dxa"/>
            <w:tcBorders>
              <w:top w:val="single" w:sz="4" w:space="0" w:color="auto"/>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1752.92</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418.53</w:t>
            </w:r>
            <w:r>
              <w:rPr>
                <w:rFonts w:ascii="宋体" w:eastAsia="宋体" w:hAnsi="宋体" w:cs="宋体" w:hint="eastAsia"/>
                <w:color w:val="000000"/>
                <w:kern w:val="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基本工资</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549.29</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7.98</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国内债务付息</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津贴补贴</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印刷费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ind w:rightChars="-145" w:right="-304"/>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34.89</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国外债务付息</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奖金</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379.30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咨询费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20.48</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76.05</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伙食补助费</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14.62</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手续费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ind w:rightChars="-78" w:right="-164"/>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房屋建筑物购建</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绩效工资</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322.49</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水费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14.95</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办公设备购置</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61.68</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机关事业单位基本养老保险缴费</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164.82</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电费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30.00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专用设备购置</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5.69</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职业年金缴费</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邮电费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1.89</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基础设施建设</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职工基本医疗保险缴费</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65.10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取暖费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大型修缮</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公务员医疗补助缴费</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33.94</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物业管理费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58.73</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信息网络及软件购置更新</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其他社会保障缴费</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5.52</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差旅费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1.91</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物资储备</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住房公积金</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102.16</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因公出国（境）费用</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土地补偿</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维修（护）费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140.40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安置补助</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其他工资福利支出</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115.68</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租赁费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地上附着物和青苗补偿</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14.13</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会议费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拆迁补偿</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离休费</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培训费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0.31</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公务用车购置</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退休费</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公务接待费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2.39</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其他交通工具购置</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退职（役）费</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专用材料费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6.42</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文物和陈列品购置</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抚恤金</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3.16</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被装购置费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无形资产购置</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生活补助</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专用燃料费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其他资本性支出</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8.68</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救济费</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劳务费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28.10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医疗费补助</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委托业务费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39906</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赠与</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助学金</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0.85</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工会经费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57.72</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国家赔偿费用支出</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奖励金</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9.42</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福利费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对民间非营利组织和群众性自治组织补贴</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个人农业生产补贴</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公务用车运行维护费</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其他支出</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代缴社会保险费</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其他交通费用</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2.99</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其他对个人和家庭的补助</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0.70</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税金及附加费用</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0.00</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D343D">
        <w:trPr>
          <w:trHeight w:hRule="exact" w:val="284"/>
        </w:trPr>
        <w:tc>
          <w:tcPr>
            <w:tcW w:w="955" w:type="dxa"/>
            <w:tcBorders>
              <w:top w:val="nil"/>
              <w:left w:val="single" w:sz="4" w:space="0" w:color="auto"/>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27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ED343D">
            <w:pPr>
              <w:widowControl/>
              <w:jc w:val="center"/>
              <w:rPr>
                <w:rFonts w:ascii="宋体" w:eastAsia="宋体" w:hAnsi="宋体" w:cs="宋体"/>
                <w:color w:val="000000"/>
                <w:kern w:val="0"/>
                <w:szCs w:val="20"/>
              </w:rPr>
            </w:pP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410"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其他商品和服务支出</w:t>
            </w:r>
          </w:p>
        </w:tc>
        <w:tc>
          <w:tcPr>
            <w:tcW w:w="1276"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r>
              <w:rPr>
                <w:rFonts w:ascii="宋体" w:eastAsia="宋体" w:hAnsi="宋体" w:cs="宋体" w:hint="eastAsia"/>
                <w:color w:val="000000"/>
                <w:kern w:val="0"/>
                <w:szCs w:val="20"/>
              </w:rPr>
              <w:t>9.37</w:t>
            </w:r>
          </w:p>
        </w:tc>
        <w:tc>
          <w:tcPr>
            <w:tcW w:w="992"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11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ED343D">
        <w:trPr>
          <w:trHeight w:hRule="exact" w:val="284"/>
        </w:trPr>
        <w:tc>
          <w:tcPr>
            <w:tcW w:w="3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1878"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1767.05</w:t>
            </w:r>
          </w:p>
        </w:tc>
        <w:tc>
          <w:tcPr>
            <w:tcW w:w="9072" w:type="dxa"/>
            <w:gridSpan w:val="5"/>
            <w:tcBorders>
              <w:top w:val="single" w:sz="4" w:space="0" w:color="auto"/>
              <w:left w:val="nil"/>
              <w:bottom w:val="single" w:sz="4" w:space="0" w:color="auto"/>
              <w:right w:val="single" w:sz="4" w:space="0" w:color="auto"/>
            </w:tcBorders>
            <w:shd w:val="clear" w:color="auto" w:fill="auto"/>
            <w:noWrap/>
            <w:vAlign w:val="center"/>
          </w:tcPr>
          <w:p w:rsidR="00ED343D" w:rsidRDefault="00A5623A">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1331" w:type="dxa"/>
            <w:tcBorders>
              <w:top w:val="nil"/>
              <w:left w:val="nil"/>
              <w:bottom w:val="single" w:sz="4" w:space="0" w:color="auto"/>
              <w:right w:val="single" w:sz="4" w:space="0" w:color="auto"/>
            </w:tcBorders>
            <w:shd w:val="clear" w:color="auto" w:fill="auto"/>
            <w:noWrap/>
            <w:vAlign w:val="center"/>
          </w:tcPr>
          <w:p w:rsidR="00ED343D" w:rsidRDefault="00A5623A">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r>
              <w:rPr>
                <w:rFonts w:ascii="宋体" w:eastAsia="宋体" w:hAnsi="宋体" w:cs="宋体" w:hint="eastAsia"/>
                <w:color w:val="000000"/>
                <w:kern w:val="0"/>
                <w:szCs w:val="18"/>
              </w:rPr>
              <w:t>2261.63</w:t>
            </w:r>
          </w:p>
        </w:tc>
      </w:tr>
      <w:tr w:rsidR="00ED343D">
        <w:trPr>
          <w:trHeight w:hRule="exact" w:val="284"/>
        </w:trPr>
        <w:tc>
          <w:tcPr>
            <w:tcW w:w="15506" w:type="dxa"/>
            <w:gridSpan w:val="9"/>
            <w:tcBorders>
              <w:top w:val="nil"/>
              <w:left w:val="nil"/>
              <w:bottom w:val="nil"/>
              <w:right w:val="nil"/>
            </w:tcBorders>
            <w:shd w:val="clear" w:color="auto" w:fill="auto"/>
            <w:noWrap/>
            <w:vAlign w:val="center"/>
          </w:tcPr>
          <w:p w:rsidR="00ED343D" w:rsidRDefault="00A5623A">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bl>
    <w:p w:rsidR="00ED343D" w:rsidRDefault="00ED343D">
      <w:pPr>
        <w:widowControl/>
        <w:jc w:val="center"/>
        <w:rPr>
          <w:rFonts w:ascii="Times New Roman" w:eastAsia="方正小标宋_GBK" w:hAnsi="Times New Roman" w:cs="Times New Roman"/>
          <w:color w:val="000000"/>
          <w:kern w:val="0"/>
          <w:sz w:val="36"/>
          <w:szCs w:val="36"/>
        </w:rPr>
      </w:pPr>
    </w:p>
    <w:p w:rsidR="00ED343D" w:rsidRDefault="00A5623A">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t>一般公共预算财政拨款“三公”经费支出决算表</w:t>
      </w:r>
    </w:p>
    <w:p w:rsidR="00ED343D" w:rsidRDefault="00A5623A">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湖南民院附小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p>
    <w:p w:rsidR="00ED343D" w:rsidRDefault="00A5623A">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ayout w:type="fixed"/>
        <w:tblLook w:val="04A0"/>
      </w:tblPr>
      <w:tblGrid>
        <w:gridCol w:w="1220"/>
        <w:gridCol w:w="1220"/>
        <w:gridCol w:w="1220"/>
        <w:gridCol w:w="1220"/>
        <w:gridCol w:w="1220"/>
        <w:gridCol w:w="1220"/>
        <w:gridCol w:w="1220"/>
        <w:gridCol w:w="1220"/>
        <w:gridCol w:w="1220"/>
        <w:gridCol w:w="1220"/>
        <w:gridCol w:w="1220"/>
        <w:gridCol w:w="1220"/>
      </w:tblGrid>
      <w:tr w:rsidR="00ED343D">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ED343D">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ED343D">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ED343D" w:rsidRDefault="00ED343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ED343D" w:rsidRDefault="00ED343D">
            <w:pPr>
              <w:widowControl/>
              <w:jc w:val="left"/>
              <w:rPr>
                <w:rFonts w:ascii="Times New Roman" w:eastAsia="仿宋_GB2312" w:hAnsi="Times New Roman" w:cs="Times New Roman"/>
                <w:kern w:val="0"/>
                <w:szCs w:val="21"/>
              </w:rPr>
            </w:pPr>
          </w:p>
        </w:tc>
      </w:tr>
      <w:tr w:rsidR="00ED343D">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ED343D">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14.85</w:t>
            </w:r>
          </w:p>
        </w:tc>
        <w:tc>
          <w:tcPr>
            <w:tcW w:w="1220" w:type="dxa"/>
            <w:tcBorders>
              <w:top w:val="nil"/>
              <w:left w:val="nil"/>
              <w:bottom w:val="single" w:sz="8"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2.70</w:t>
            </w:r>
          </w:p>
        </w:tc>
        <w:tc>
          <w:tcPr>
            <w:tcW w:w="1220" w:type="dxa"/>
            <w:tcBorders>
              <w:top w:val="nil"/>
              <w:left w:val="nil"/>
              <w:bottom w:val="single" w:sz="8"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5.40</w:t>
            </w:r>
          </w:p>
        </w:tc>
        <w:tc>
          <w:tcPr>
            <w:tcW w:w="1220" w:type="dxa"/>
            <w:tcBorders>
              <w:top w:val="nil"/>
              <w:left w:val="nil"/>
              <w:bottom w:val="single" w:sz="8"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5.40</w:t>
            </w:r>
          </w:p>
        </w:tc>
        <w:tc>
          <w:tcPr>
            <w:tcW w:w="1220" w:type="dxa"/>
            <w:tcBorders>
              <w:top w:val="nil"/>
              <w:left w:val="nil"/>
              <w:bottom w:val="single" w:sz="8"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6.75</w:t>
            </w:r>
          </w:p>
        </w:tc>
        <w:tc>
          <w:tcPr>
            <w:tcW w:w="1220" w:type="dxa"/>
            <w:tcBorders>
              <w:top w:val="nil"/>
              <w:left w:val="nil"/>
              <w:bottom w:val="single" w:sz="8"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2.39</w:t>
            </w:r>
          </w:p>
        </w:tc>
        <w:tc>
          <w:tcPr>
            <w:tcW w:w="1220" w:type="dxa"/>
            <w:tcBorders>
              <w:top w:val="nil"/>
              <w:left w:val="nil"/>
              <w:bottom w:val="single" w:sz="8"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nil"/>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single" w:sz="4" w:space="0" w:color="auto"/>
              <w:bottom w:val="single" w:sz="8" w:space="0" w:color="auto"/>
              <w:right w:val="single" w:sz="8" w:space="0" w:color="auto"/>
            </w:tcBorders>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2.39</w:t>
            </w:r>
          </w:p>
        </w:tc>
      </w:tr>
    </w:tbl>
    <w:p w:rsidR="00ED343D" w:rsidRDefault="00A5623A">
      <w:pPr>
        <w:widowControl/>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rsidR="00ED343D" w:rsidRDefault="00ED343D">
      <w:pPr>
        <w:autoSpaceDE w:val="0"/>
        <w:autoSpaceDN w:val="0"/>
        <w:adjustRightInd w:val="0"/>
        <w:ind w:leftChars="150" w:left="315"/>
        <w:jc w:val="left"/>
        <w:rPr>
          <w:rFonts w:ascii="宋体" w:eastAsia="宋体" w:cs="宋体"/>
          <w:kern w:val="0"/>
          <w:sz w:val="24"/>
          <w:szCs w:val="24"/>
        </w:rPr>
      </w:pPr>
    </w:p>
    <w:p w:rsidR="00ED343D" w:rsidRDefault="00A5623A">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ED343D" w:rsidRDefault="00A5623A">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湖南民院附小</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ED343D" w:rsidRDefault="00A5623A">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120"/>
        <w:gridCol w:w="1320"/>
        <w:gridCol w:w="2000"/>
        <w:gridCol w:w="2000"/>
        <w:gridCol w:w="2000"/>
        <w:gridCol w:w="2000"/>
        <w:gridCol w:w="2000"/>
        <w:gridCol w:w="2000"/>
      </w:tblGrid>
      <w:tr w:rsidR="00ED343D">
        <w:trPr>
          <w:trHeight w:val="454"/>
          <w:jc w:val="center"/>
        </w:trPr>
        <w:tc>
          <w:tcPr>
            <w:tcW w:w="2440" w:type="dxa"/>
            <w:gridSpan w:val="2"/>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2000" w:type="dxa"/>
            <w:vMerge w:val="restart"/>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ED343D">
        <w:trPr>
          <w:trHeight w:val="454"/>
          <w:jc w:val="center"/>
        </w:trPr>
        <w:tc>
          <w:tcPr>
            <w:tcW w:w="1120" w:type="dxa"/>
            <w:vMerge w:val="restart"/>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320" w:type="dxa"/>
            <w:vMerge w:val="restart"/>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000" w:type="dxa"/>
            <w:vMerge/>
            <w:vAlign w:val="center"/>
          </w:tcPr>
          <w:p w:rsidR="00ED343D" w:rsidRDefault="00ED343D">
            <w:pPr>
              <w:widowControl/>
              <w:jc w:val="left"/>
              <w:rPr>
                <w:rFonts w:ascii="Times New Roman" w:eastAsia="仿宋_GB2312" w:hAnsi="Times New Roman" w:cs="Times New Roman"/>
                <w:b/>
                <w:kern w:val="0"/>
                <w:szCs w:val="21"/>
              </w:rPr>
            </w:pPr>
          </w:p>
        </w:tc>
        <w:tc>
          <w:tcPr>
            <w:tcW w:w="2000" w:type="dxa"/>
            <w:vMerge/>
            <w:vAlign w:val="center"/>
          </w:tcPr>
          <w:p w:rsidR="00ED343D" w:rsidRDefault="00ED343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000" w:type="dxa"/>
            <w:vMerge w:val="restart"/>
            <w:shd w:val="clear" w:color="auto" w:fill="auto"/>
            <w:vAlign w:val="center"/>
          </w:tcPr>
          <w:p w:rsidR="00ED343D" w:rsidRDefault="00A5623A">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ED343D" w:rsidRDefault="00ED343D">
            <w:pPr>
              <w:widowControl/>
              <w:jc w:val="left"/>
              <w:rPr>
                <w:rFonts w:ascii="Times New Roman" w:eastAsia="仿宋_GB2312" w:hAnsi="Times New Roman" w:cs="Times New Roman"/>
                <w:b/>
                <w:kern w:val="0"/>
                <w:szCs w:val="21"/>
              </w:rPr>
            </w:pPr>
          </w:p>
        </w:tc>
      </w:tr>
      <w:tr w:rsidR="00ED343D">
        <w:trPr>
          <w:trHeight w:val="454"/>
          <w:jc w:val="center"/>
        </w:trPr>
        <w:tc>
          <w:tcPr>
            <w:tcW w:w="1120" w:type="dxa"/>
            <w:vMerge/>
            <w:vAlign w:val="center"/>
          </w:tcPr>
          <w:p w:rsidR="00ED343D" w:rsidRDefault="00ED343D">
            <w:pPr>
              <w:widowControl/>
              <w:jc w:val="left"/>
              <w:rPr>
                <w:rFonts w:ascii="Times New Roman" w:eastAsia="仿宋_GB2312" w:hAnsi="Times New Roman" w:cs="Times New Roman"/>
                <w:kern w:val="0"/>
                <w:szCs w:val="21"/>
              </w:rPr>
            </w:pPr>
          </w:p>
        </w:tc>
        <w:tc>
          <w:tcPr>
            <w:tcW w:w="1320" w:type="dxa"/>
            <w:vMerge/>
            <w:vAlign w:val="center"/>
          </w:tcPr>
          <w:p w:rsidR="00ED343D" w:rsidRDefault="00ED343D">
            <w:pPr>
              <w:widowControl/>
              <w:jc w:val="left"/>
              <w:rPr>
                <w:rFonts w:ascii="Times New Roman" w:eastAsia="仿宋_GB2312" w:hAnsi="Times New Roman" w:cs="Times New Roman"/>
                <w:kern w:val="0"/>
                <w:szCs w:val="21"/>
              </w:rPr>
            </w:pPr>
          </w:p>
        </w:tc>
        <w:tc>
          <w:tcPr>
            <w:tcW w:w="2000" w:type="dxa"/>
            <w:vMerge/>
            <w:vAlign w:val="center"/>
          </w:tcPr>
          <w:p w:rsidR="00ED343D" w:rsidRDefault="00ED343D">
            <w:pPr>
              <w:widowControl/>
              <w:jc w:val="left"/>
              <w:rPr>
                <w:rFonts w:ascii="Times New Roman" w:eastAsia="仿宋_GB2312" w:hAnsi="Times New Roman" w:cs="Times New Roman"/>
                <w:kern w:val="0"/>
                <w:szCs w:val="21"/>
              </w:rPr>
            </w:pPr>
          </w:p>
        </w:tc>
        <w:tc>
          <w:tcPr>
            <w:tcW w:w="2000" w:type="dxa"/>
            <w:vMerge/>
            <w:vAlign w:val="center"/>
          </w:tcPr>
          <w:p w:rsidR="00ED343D" w:rsidRDefault="00ED343D">
            <w:pPr>
              <w:widowControl/>
              <w:jc w:val="left"/>
              <w:rPr>
                <w:rFonts w:ascii="Times New Roman" w:eastAsia="仿宋_GB2312" w:hAnsi="Times New Roman" w:cs="Times New Roman"/>
                <w:kern w:val="0"/>
                <w:szCs w:val="21"/>
              </w:rPr>
            </w:pPr>
          </w:p>
        </w:tc>
        <w:tc>
          <w:tcPr>
            <w:tcW w:w="2000" w:type="dxa"/>
            <w:vMerge/>
            <w:vAlign w:val="center"/>
          </w:tcPr>
          <w:p w:rsidR="00ED343D" w:rsidRDefault="00ED343D">
            <w:pPr>
              <w:widowControl/>
              <w:jc w:val="left"/>
              <w:rPr>
                <w:rFonts w:ascii="Times New Roman" w:eastAsia="仿宋_GB2312" w:hAnsi="Times New Roman" w:cs="Times New Roman"/>
                <w:kern w:val="0"/>
                <w:szCs w:val="21"/>
              </w:rPr>
            </w:pPr>
          </w:p>
        </w:tc>
        <w:tc>
          <w:tcPr>
            <w:tcW w:w="2000" w:type="dxa"/>
            <w:vMerge/>
            <w:vAlign w:val="center"/>
          </w:tcPr>
          <w:p w:rsidR="00ED343D" w:rsidRDefault="00ED343D">
            <w:pPr>
              <w:widowControl/>
              <w:jc w:val="left"/>
              <w:rPr>
                <w:rFonts w:ascii="Times New Roman" w:eastAsia="仿宋_GB2312" w:hAnsi="Times New Roman" w:cs="Times New Roman"/>
                <w:kern w:val="0"/>
                <w:szCs w:val="21"/>
              </w:rPr>
            </w:pPr>
          </w:p>
        </w:tc>
        <w:tc>
          <w:tcPr>
            <w:tcW w:w="2000" w:type="dxa"/>
            <w:vMerge/>
            <w:vAlign w:val="center"/>
          </w:tcPr>
          <w:p w:rsidR="00ED343D" w:rsidRDefault="00ED343D">
            <w:pPr>
              <w:widowControl/>
              <w:jc w:val="left"/>
              <w:rPr>
                <w:rFonts w:ascii="Times New Roman" w:eastAsia="仿宋_GB2312" w:hAnsi="Times New Roman" w:cs="Times New Roman"/>
                <w:kern w:val="0"/>
                <w:szCs w:val="21"/>
              </w:rPr>
            </w:pPr>
          </w:p>
        </w:tc>
        <w:tc>
          <w:tcPr>
            <w:tcW w:w="2000" w:type="dxa"/>
            <w:vMerge/>
            <w:vAlign w:val="center"/>
          </w:tcPr>
          <w:p w:rsidR="00ED343D" w:rsidRDefault="00ED343D">
            <w:pPr>
              <w:widowControl/>
              <w:jc w:val="left"/>
              <w:rPr>
                <w:rFonts w:ascii="Times New Roman" w:eastAsia="仿宋_GB2312" w:hAnsi="Times New Roman" w:cs="Times New Roman"/>
                <w:kern w:val="0"/>
                <w:szCs w:val="21"/>
              </w:rPr>
            </w:pPr>
          </w:p>
        </w:tc>
      </w:tr>
      <w:tr w:rsidR="00ED343D">
        <w:trPr>
          <w:trHeight w:val="454"/>
          <w:jc w:val="center"/>
        </w:trPr>
        <w:tc>
          <w:tcPr>
            <w:tcW w:w="1120" w:type="dxa"/>
            <w:vMerge/>
            <w:vAlign w:val="center"/>
          </w:tcPr>
          <w:p w:rsidR="00ED343D" w:rsidRDefault="00ED343D">
            <w:pPr>
              <w:widowControl/>
              <w:jc w:val="left"/>
              <w:rPr>
                <w:rFonts w:ascii="Times New Roman" w:eastAsia="仿宋_GB2312" w:hAnsi="Times New Roman" w:cs="Times New Roman"/>
                <w:kern w:val="0"/>
                <w:szCs w:val="21"/>
              </w:rPr>
            </w:pPr>
          </w:p>
        </w:tc>
        <w:tc>
          <w:tcPr>
            <w:tcW w:w="1320" w:type="dxa"/>
            <w:vMerge/>
            <w:vAlign w:val="center"/>
          </w:tcPr>
          <w:p w:rsidR="00ED343D" w:rsidRDefault="00ED343D">
            <w:pPr>
              <w:widowControl/>
              <w:jc w:val="left"/>
              <w:rPr>
                <w:rFonts w:ascii="Times New Roman" w:eastAsia="仿宋_GB2312" w:hAnsi="Times New Roman" w:cs="Times New Roman"/>
                <w:kern w:val="0"/>
                <w:szCs w:val="21"/>
              </w:rPr>
            </w:pPr>
          </w:p>
        </w:tc>
        <w:tc>
          <w:tcPr>
            <w:tcW w:w="2000" w:type="dxa"/>
            <w:vMerge/>
            <w:vAlign w:val="center"/>
          </w:tcPr>
          <w:p w:rsidR="00ED343D" w:rsidRDefault="00ED343D">
            <w:pPr>
              <w:widowControl/>
              <w:jc w:val="left"/>
              <w:rPr>
                <w:rFonts w:ascii="Times New Roman" w:eastAsia="仿宋_GB2312" w:hAnsi="Times New Roman" w:cs="Times New Roman"/>
                <w:kern w:val="0"/>
                <w:szCs w:val="21"/>
              </w:rPr>
            </w:pPr>
          </w:p>
        </w:tc>
        <w:tc>
          <w:tcPr>
            <w:tcW w:w="2000" w:type="dxa"/>
            <w:vMerge/>
            <w:vAlign w:val="center"/>
          </w:tcPr>
          <w:p w:rsidR="00ED343D" w:rsidRDefault="00ED343D">
            <w:pPr>
              <w:widowControl/>
              <w:jc w:val="left"/>
              <w:rPr>
                <w:rFonts w:ascii="Times New Roman" w:eastAsia="仿宋_GB2312" w:hAnsi="Times New Roman" w:cs="Times New Roman"/>
                <w:kern w:val="0"/>
                <w:szCs w:val="21"/>
              </w:rPr>
            </w:pPr>
          </w:p>
        </w:tc>
        <w:tc>
          <w:tcPr>
            <w:tcW w:w="2000" w:type="dxa"/>
            <w:vMerge/>
            <w:vAlign w:val="center"/>
          </w:tcPr>
          <w:p w:rsidR="00ED343D" w:rsidRDefault="00ED343D">
            <w:pPr>
              <w:widowControl/>
              <w:jc w:val="left"/>
              <w:rPr>
                <w:rFonts w:ascii="Times New Roman" w:eastAsia="仿宋_GB2312" w:hAnsi="Times New Roman" w:cs="Times New Roman"/>
                <w:kern w:val="0"/>
                <w:szCs w:val="21"/>
              </w:rPr>
            </w:pPr>
          </w:p>
        </w:tc>
        <w:tc>
          <w:tcPr>
            <w:tcW w:w="2000" w:type="dxa"/>
            <w:vMerge/>
            <w:vAlign w:val="center"/>
          </w:tcPr>
          <w:p w:rsidR="00ED343D" w:rsidRDefault="00ED343D">
            <w:pPr>
              <w:widowControl/>
              <w:jc w:val="left"/>
              <w:rPr>
                <w:rFonts w:ascii="Times New Roman" w:eastAsia="仿宋_GB2312" w:hAnsi="Times New Roman" w:cs="Times New Roman"/>
                <w:kern w:val="0"/>
                <w:szCs w:val="21"/>
              </w:rPr>
            </w:pPr>
          </w:p>
        </w:tc>
        <w:tc>
          <w:tcPr>
            <w:tcW w:w="2000" w:type="dxa"/>
            <w:vMerge/>
            <w:vAlign w:val="center"/>
          </w:tcPr>
          <w:p w:rsidR="00ED343D" w:rsidRDefault="00ED343D">
            <w:pPr>
              <w:widowControl/>
              <w:jc w:val="left"/>
              <w:rPr>
                <w:rFonts w:ascii="Times New Roman" w:eastAsia="仿宋_GB2312" w:hAnsi="Times New Roman" w:cs="Times New Roman"/>
                <w:kern w:val="0"/>
                <w:szCs w:val="21"/>
              </w:rPr>
            </w:pPr>
          </w:p>
        </w:tc>
        <w:tc>
          <w:tcPr>
            <w:tcW w:w="2000" w:type="dxa"/>
            <w:vMerge/>
            <w:vAlign w:val="center"/>
          </w:tcPr>
          <w:p w:rsidR="00ED343D" w:rsidRDefault="00ED343D">
            <w:pPr>
              <w:widowControl/>
              <w:jc w:val="left"/>
              <w:rPr>
                <w:rFonts w:ascii="Times New Roman" w:eastAsia="仿宋_GB2312" w:hAnsi="Times New Roman" w:cs="Times New Roman"/>
                <w:kern w:val="0"/>
                <w:szCs w:val="21"/>
              </w:rPr>
            </w:pPr>
          </w:p>
        </w:tc>
      </w:tr>
      <w:tr w:rsidR="00ED343D">
        <w:trPr>
          <w:trHeight w:val="454"/>
          <w:jc w:val="center"/>
        </w:trPr>
        <w:tc>
          <w:tcPr>
            <w:tcW w:w="2440" w:type="dxa"/>
            <w:gridSpan w:val="2"/>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000" w:type="dxa"/>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2000" w:type="dxa"/>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2000" w:type="dxa"/>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2000" w:type="dxa"/>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2000" w:type="dxa"/>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2000" w:type="dxa"/>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ED343D">
        <w:trPr>
          <w:trHeight w:val="454"/>
          <w:jc w:val="center"/>
        </w:trPr>
        <w:tc>
          <w:tcPr>
            <w:tcW w:w="2440" w:type="dxa"/>
            <w:gridSpan w:val="2"/>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000" w:type="dxa"/>
            <w:gridSpan w:val="6"/>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湖南民院附小没有政府性基金收入，也没有使用政府性基金安排的支出，故本表无数据。</w:t>
            </w:r>
          </w:p>
        </w:tc>
      </w:tr>
      <w:tr w:rsidR="00ED343D">
        <w:trPr>
          <w:trHeight w:val="454"/>
          <w:jc w:val="center"/>
        </w:trPr>
        <w:tc>
          <w:tcPr>
            <w:tcW w:w="1120" w:type="dxa"/>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ED343D">
        <w:trPr>
          <w:trHeight w:val="454"/>
          <w:jc w:val="center"/>
        </w:trPr>
        <w:tc>
          <w:tcPr>
            <w:tcW w:w="1120" w:type="dxa"/>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ED343D">
        <w:trPr>
          <w:trHeight w:val="454"/>
          <w:jc w:val="center"/>
        </w:trPr>
        <w:tc>
          <w:tcPr>
            <w:tcW w:w="1120" w:type="dxa"/>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ED343D">
        <w:trPr>
          <w:trHeight w:val="454"/>
          <w:jc w:val="center"/>
        </w:trPr>
        <w:tc>
          <w:tcPr>
            <w:tcW w:w="1120" w:type="dxa"/>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ED343D">
        <w:trPr>
          <w:trHeight w:val="454"/>
          <w:jc w:val="center"/>
        </w:trPr>
        <w:tc>
          <w:tcPr>
            <w:tcW w:w="1120" w:type="dxa"/>
            <w:shd w:val="clear" w:color="auto" w:fill="auto"/>
            <w:vAlign w:val="center"/>
          </w:tcPr>
          <w:p w:rsidR="00ED343D" w:rsidRDefault="00A5623A">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ED343D" w:rsidRDefault="00A5623A">
      <w:pPr>
        <w:widowControl/>
        <w:jc w:val="left"/>
        <w:rPr>
          <w:rFonts w:ascii="黑体" w:eastAsia="黑体" w:hAnsi="黑体"/>
          <w:szCs w:val="21"/>
        </w:rPr>
      </w:pPr>
      <w:r>
        <w:rPr>
          <w:rFonts w:ascii="黑体" w:eastAsia="黑体" w:hAnsi="黑体"/>
          <w:szCs w:val="21"/>
        </w:rPr>
        <w:br w:type="page"/>
      </w:r>
    </w:p>
    <w:tbl>
      <w:tblPr>
        <w:tblW w:w="14190" w:type="dxa"/>
        <w:tblInd w:w="93" w:type="dxa"/>
        <w:tblLayout w:type="fixed"/>
        <w:tblLook w:val="04A0"/>
      </w:tblPr>
      <w:tblGrid>
        <w:gridCol w:w="1060"/>
        <w:gridCol w:w="560"/>
        <w:gridCol w:w="1089"/>
        <w:gridCol w:w="2126"/>
        <w:gridCol w:w="1225"/>
        <w:gridCol w:w="1326"/>
        <w:gridCol w:w="1294"/>
        <w:gridCol w:w="1683"/>
        <w:gridCol w:w="3827"/>
      </w:tblGrid>
      <w:tr w:rsidR="00ED343D">
        <w:trPr>
          <w:trHeight w:val="720"/>
        </w:trPr>
        <w:tc>
          <w:tcPr>
            <w:tcW w:w="14190" w:type="dxa"/>
            <w:gridSpan w:val="9"/>
            <w:tcBorders>
              <w:top w:val="nil"/>
              <w:left w:val="nil"/>
              <w:bottom w:val="nil"/>
              <w:right w:val="nil"/>
            </w:tcBorders>
            <w:shd w:val="clear" w:color="000000" w:fill="FFFFFF"/>
            <w:vAlign w:val="center"/>
          </w:tcPr>
          <w:p w:rsidR="00ED343D" w:rsidRDefault="00A5623A">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lastRenderedPageBreak/>
              <w:t>国有资本经营预算财政拨款支出决算表</w:t>
            </w:r>
          </w:p>
        </w:tc>
      </w:tr>
      <w:tr w:rsidR="00ED343D">
        <w:trPr>
          <w:trHeight w:val="285"/>
        </w:trPr>
        <w:tc>
          <w:tcPr>
            <w:tcW w:w="1060" w:type="dxa"/>
            <w:tcBorders>
              <w:top w:val="nil"/>
              <w:left w:val="nil"/>
              <w:bottom w:val="nil"/>
              <w:right w:val="nil"/>
            </w:tcBorders>
            <w:shd w:val="clear" w:color="000000" w:fill="FFFFFF"/>
            <w:vAlign w:val="center"/>
          </w:tcPr>
          <w:p w:rsidR="00ED343D" w:rsidRDefault="00A5623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tcPr>
          <w:p w:rsidR="00ED343D" w:rsidRDefault="00A5623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ED343D" w:rsidRDefault="00A5623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ED343D" w:rsidRDefault="00A5623A">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ED343D" w:rsidRDefault="00A5623A">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09</w:t>
            </w:r>
            <w:r>
              <w:rPr>
                <w:rFonts w:ascii="宋体" w:eastAsia="宋体" w:hAnsi="宋体" w:cs="宋体" w:hint="eastAsia"/>
                <w:color w:val="000000"/>
                <w:kern w:val="0"/>
                <w:sz w:val="20"/>
                <w:szCs w:val="20"/>
              </w:rPr>
              <w:t>表</w:t>
            </w:r>
          </w:p>
        </w:tc>
      </w:tr>
      <w:tr w:rsidR="00ED343D">
        <w:trPr>
          <w:trHeight w:val="285"/>
        </w:trPr>
        <w:tc>
          <w:tcPr>
            <w:tcW w:w="4835" w:type="dxa"/>
            <w:gridSpan w:val="4"/>
            <w:tcBorders>
              <w:top w:val="nil"/>
              <w:left w:val="nil"/>
              <w:bottom w:val="nil"/>
              <w:right w:val="nil"/>
            </w:tcBorders>
            <w:shd w:val="clear" w:color="000000" w:fill="FFFFFF"/>
            <w:noWrap/>
            <w:vAlign w:val="center"/>
          </w:tcPr>
          <w:p w:rsidR="00ED343D" w:rsidRDefault="00A5623A">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部门：湖南民院附小</w:t>
            </w:r>
            <w:r>
              <w:rPr>
                <w:rFonts w:ascii="宋体" w:eastAsia="宋体" w:hAnsi="宋体" w:cs="宋体" w:hint="eastAsia"/>
                <w:color w:val="000000"/>
                <w:kern w:val="0"/>
                <w:sz w:val="20"/>
                <w:szCs w:val="20"/>
              </w:rPr>
              <w:t xml:space="preserve"> </w:t>
            </w:r>
          </w:p>
          <w:p w:rsidR="00ED343D" w:rsidRDefault="00A5623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p w:rsidR="00ED343D" w:rsidRDefault="00A5623A">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single" w:sz="8" w:space="0" w:color="auto"/>
              <w:right w:val="nil"/>
            </w:tcBorders>
            <w:shd w:val="clear" w:color="000000" w:fill="FFFFFF"/>
            <w:vAlign w:val="center"/>
          </w:tcPr>
          <w:p w:rsidR="00ED343D" w:rsidRDefault="00A5623A">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ED343D" w:rsidRDefault="00A5623A">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ED343D" w:rsidRDefault="00A5623A">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ED343D">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项</w:t>
            </w:r>
            <w:r>
              <w:rPr>
                <w:rFonts w:ascii="宋体" w:eastAsia="宋体" w:hAnsi="宋体" w:cs="宋体" w:hint="eastAsia"/>
                <w:kern w:val="0"/>
                <w:sz w:val="24"/>
                <w:szCs w:val="24"/>
              </w:rPr>
              <w:t xml:space="preserve"> </w:t>
            </w:r>
            <w:r>
              <w:rPr>
                <w:rFonts w:ascii="宋体" w:eastAsia="宋体" w:hAnsi="宋体" w:cs="宋体" w:hint="eastAsia"/>
                <w:color w:val="000000"/>
                <w:kern w:val="0"/>
                <w:sz w:val="22"/>
              </w:rPr>
              <w:t xml:space="preserve">   </w:t>
            </w:r>
            <w:r>
              <w:rPr>
                <w:rFonts w:ascii="宋体" w:eastAsia="宋体" w:hAnsi="宋体" w:cs="宋体" w:hint="eastAsia"/>
                <w:kern w:val="0"/>
                <w:sz w:val="24"/>
                <w:szCs w:val="24"/>
              </w:rPr>
              <w:t>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w:t>
            </w:r>
          </w:p>
        </w:tc>
      </w:tr>
      <w:tr w:rsidR="00ED343D">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r>
              <w:rPr>
                <w:rFonts w:ascii="宋体" w:eastAsia="宋体" w:hAnsi="宋体" w:cs="宋体" w:hint="eastAsia"/>
                <w:kern w:val="0"/>
                <w:sz w:val="24"/>
                <w:szCs w:val="24"/>
              </w:rPr>
              <w:t xml:space="preserve">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r>
      <w:tr w:rsidR="00ED343D">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ED343D" w:rsidRDefault="00ED343D">
            <w:pPr>
              <w:widowControl/>
              <w:jc w:val="left"/>
              <w:rPr>
                <w:rFonts w:ascii="宋体" w:eastAsia="宋体" w:hAnsi="宋体" w:cs="宋体"/>
                <w:kern w:val="0"/>
                <w:sz w:val="24"/>
                <w:szCs w:val="24"/>
              </w:rPr>
            </w:pPr>
          </w:p>
        </w:tc>
      </w:tr>
      <w:tr w:rsidR="00ED343D">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ED343D" w:rsidRDefault="00ED343D">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ED343D" w:rsidRDefault="00ED343D">
            <w:pPr>
              <w:widowControl/>
              <w:jc w:val="left"/>
              <w:rPr>
                <w:rFonts w:ascii="宋体" w:eastAsia="宋体" w:hAnsi="宋体" w:cs="宋体"/>
                <w:kern w:val="0"/>
                <w:sz w:val="24"/>
                <w:szCs w:val="24"/>
              </w:rPr>
            </w:pPr>
          </w:p>
        </w:tc>
      </w:tr>
      <w:tr w:rsidR="00ED343D">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2977"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3827" w:type="dxa"/>
            <w:tcBorders>
              <w:top w:val="nil"/>
              <w:left w:val="nil"/>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ED343D">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9355" w:type="dxa"/>
            <w:gridSpan w:val="5"/>
            <w:tcBorders>
              <w:top w:val="nil"/>
              <w:left w:val="nil"/>
              <w:bottom w:val="single" w:sz="4" w:space="0" w:color="auto"/>
              <w:right w:val="single" w:sz="4" w:space="0" w:color="auto"/>
            </w:tcBorders>
            <w:shd w:val="clear" w:color="auto" w:fill="auto"/>
            <w:vAlign w:val="center"/>
          </w:tcPr>
          <w:p w:rsidR="00ED343D" w:rsidRDefault="00ED343D">
            <w:pPr>
              <w:widowControl/>
              <w:jc w:val="left"/>
              <w:rPr>
                <w:rFonts w:ascii="Times New Roman" w:eastAsia="仿宋_GB2312" w:hAnsi="Times New Roman" w:cs="Times New Roman"/>
                <w:kern w:val="0"/>
                <w:szCs w:val="21"/>
              </w:rPr>
            </w:pPr>
          </w:p>
          <w:p w:rsidR="00ED343D" w:rsidRDefault="00A5623A">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湖南民院附小</w:t>
            </w:r>
            <w:r>
              <w:rPr>
                <w:rFonts w:ascii="Times New Roman" w:eastAsia="仿宋_GB2312" w:hAnsi="Times New Roman" w:cs="Times New Roman"/>
                <w:kern w:val="0"/>
                <w:szCs w:val="21"/>
              </w:rPr>
              <w:t>没有使用国有资本经营预算安排的支出，故本表无数据</w:t>
            </w:r>
            <w:r>
              <w:rPr>
                <w:rFonts w:ascii="Times New Roman" w:eastAsia="仿宋_GB2312" w:hAnsi="Times New Roman" w:cs="Times New Roman" w:hint="eastAsia"/>
                <w:kern w:val="0"/>
                <w:szCs w:val="21"/>
              </w:rPr>
              <w:t>。</w:t>
            </w:r>
          </w:p>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D343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D343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D343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D343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D343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D343D">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ED343D" w:rsidRDefault="00A5623A">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ED343D">
        <w:trPr>
          <w:trHeight w:val="720"/>
        </w:trPr>
        <w:tc>
          <w:tcPr>
            <w:tcW w:w="14190" w:type="dxa"/>
            <w:gridSpan w:val="9"/>
            <w:tcBorders>
              <w:top w:val="single" w:sz="8" w:space="0" w:color="auto"/>
              <w:left w:val="nil"/>
              <w:bottom w:val="nil"/>
              <w:right w:val="nil"/>
            </w:tcBorders>
            <w:shd w:val="clear" w:color="auto" w:fill="auto"/>
            <w:vAlign w:val="center"/>
          </w:tcPr>
          <w:p w:rsidR="00ED343D" w:rsidRDefault="00A5623A">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注：本表反映部门本年度国有资本经营预算财政拨款支出情况。</w:t>
            </w:r>
          </w:p>
          <w:p w:rsidR="00ED343D" w:rsidRDefault="00ED343D">
            <w:pPr>
              <w:widowControl/>
              <w:jc w:val="left"/>
              <w:rPr>
                <w:rFonts w:ascii="宋体" w:eastAsia="宋体" w:hAnsi="宋体" w:cs="宋体"/>
                <w:kern w:val="0"/>
                <w:sz w:val="24"/>
                <w:szCs w:val="24"/>
              </w:rPr>
            </w:pPr>
          </w:p>
        </w:tc>
      </w:tr>
    </w:tbl>
    <w:p w:rsidR="00ED343D" w:rsidRDefault="00ED343D">
      <w:pPr>
        <w:pStyle w:val="Default"/>
        <w:rPr>
          <w:sz w:val="72"/>
          <w:szCs w:val="72"/>
        </w:rPr>
        <w:sectPr w:rsidR="00ED343D">
          <w:pgSz w:w="16838" w:h="11906" w:orient="landscape"/>
          <w:pgMar w:top="720" w:right="720" w:bottom="720" w:left="720" w:header="851" w:footer="992" w:gutter="0"/>
          <w:cols w:space="425"/>
          <w:docGrid w:type="lines" w:linePitch="312"/>
        </w:sect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A5623A">
      <w:pPr>
        <w:pStyle w:val="Default"/>
        <w:jc w:val="center"/>
        <w:rPr>
          <w:sz w:val="72"/>
          <w:szCs w:val="72"/>
        </w:rPr>
      </w:pPr>
      <w:r>
        <w:rPr>
          <w:rFonts w:hint="eastAsia"/>
          <w:sz w:val="72"/>
          <w:szCs w:val="72"/>
        </w:rPr>
        <w:t>第三部分</w:t>
      </w:r>
    </w:p>
    <w:p w:rsidR="00ED343D" w:rsidRDefault="00ED343D">
      <w:pPr>
        <w:pStyle w:val="Default"/>
        <w:jc w:val="center"/>
        <w:rPr>
          <w:sz w:val="70"/>
          <w:szCs w:val="70"/>
        </w:rPr>
      </w:pPr>
    </w:p>
    <w:p w:rsidR="00ED343D" w:rsidRDefault="00A5623A">
      <w:pPr>
        <w:pStyle w:val="Default"/>
        <w:jc w:val="center"/>
        <w:rPr>
          <w:sz w:val="70"/>
          <w:szCs w:val="70"/>
        </w:rPr>
      </w:pPr>
      <w:r>
        <w:rPr>
          <w:sz w:val="70"/>
          <w:szCs w:val="70"/>
        </w:rPr>
        <w:t>20</w:t>
      </w:r>
      <w:r>
        <w:rPr>
          <w:rFonts w:hint="eastAsia"/>
          <w:sz w:val="70"/>
          <w:szCs w:val="70"/>
        </w:rPr>
        <w:t>20</w:t>
      </w:r>
      <w:r>
        <w:rPr>
          <w:rFonts w:hint="eastAsia"/>
          <w:sz w:val="70"/>
          <w:szCs w:val="70"/>
        </w:rPr>
        <w:t>年度部门决算情况说明</w:t>
      </w:r>
    </w:p>
    <w:p w:rsidR="00ED343D" w:rsidRDefault="00A5623A">
      <w:pPr>
        <w:widowControl/>
        <w:jc w:val="left"/>
        <w:rPr>
          <w:rFonts w:ascii="黑体" w:eastAsia="黑体" w:cs="黑体"/>
          <w:color w:val="000000"/>
          <w:kern w:val="0"/>
          <w:sz w:val="70"/>
          <w:szCs w:val="70"/>
        </w:rPr>
      </w:pPr>
      <w:r>
        <w:rPr>
          <w:sz w:val="70"/>
          <w:szCs w:val="70"/>
        </w:rPr>
        <w:br w:type="page"/>
      </w:r>
    </w:p>
    <w:p w:rsidR="00ED343D" w:rsidRDefault="00A5623A">
      <w:pPr>
        <w:pStyle w:val="Default"/>
        <w:rPr>
          <w:rFonts w:hAnsi="黑体"/>
          <w:b/>
          <w:sz w:val="32"/>
          <w:szCs w:val="32"/>
        </w:rPr>
      </w:pPr>
      <w:r>
        <w:rPr>
          <w:rFonts w:hAnsi="黑体" w:hint="eastAsia"/>
          <w:b/>
          <w:sz w:val="32"/>
          <w:szCs w:val="32"/>
        </w:rPr>
        <w:lastRenderedPageBreak/>
        <w:t>一、收入支出决算总体情况说明</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年度收、支总计</w:t>
      </w:r>
      <w:r>
        <w:rPr>
          <w:rFonts w:asciiTheme="minorEastAsia" w:eastAsiaTheme="minorEastAsia" w:hAnsiTheme="minorEastAsia" w:hint="eastAsia"/>
          <w:sz w:val="32"/>
          <w:szCs w:val="32"/>
        </w:rPr>
        <w:t>2477.65</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538</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28%</w:t>
      </w:r>
      <w:r>
        <w:rPr>
          <w:rFonts w:asciiTheme="minorEastAsia" w:eastAsiaTheme="minorEastAsia" w:hAnsiTheme="minorEastAsia" w:hint="eastAsia"/>
          <w:sz w:val="32"/>
          <w:szCs w:val="32"/>
        </w:rPr>
        <w:t>，主要是因为政府加大了基础教育投入，人员经费增加</w:t>
      </w:r>
      <w:r>
        <w:rPr>
          <w:rFonts w:asciiTheme="minorEastAsia" w:eastAsiaTheme="minorEastAsia" w:hAnsiTheme="minorEastAsia" w:hint="eastAsia"/>
          <w:sz w:val="32"/>
          <w:szCs w:val="32"/>
        </w:rPr>
        <w:t>150</w:t>
      </w:r>
      <w:r>
        <w:rPr>
          <w:rFonts w:asciiTheme="minorEastAsia" w:eastAsiaTheme="minorEastAsia" w:hAnsiTheme="minorEastAsia" w:hint="eastAsia"/>
          <w:sz w:val="32"/>
          <w:szCs w:val="32"/>
        </w:rPr>
        <w:t>余万元，接收土桥小学分流</w:t>
      </w:r>
      <w:r>
        <w:rPr>
          <w:rFonts w:asciiTheme="minorEastAsia" w:eastAsiaTheme="minorEastAsia" w:hAnsiTheme="minorEastAsia" w:hint="eastAsia"/>
          <w:sz w:val="32"/>
          <w:szCs w:val="32"/>
        </w:rPr>
        <w:t>200</w:t>
      </w:r>
      <w:r>
        <w:rPr>
          <w:rFonts w:asciiTheme="minorEastAsia" w:eastAsiaTheme="minorEastAsia" w:hAnsiTheme="minorEastAsia" w:hint="eastAsia"/>
          <w:sz w:val="32"/>
          <w:szCs w:val="32"/>
        </w:rPr>
        <w:t>名学生配套经费</w:t>
      </w:r>
      <w:r>
        <w:rPr>
          <w:rFonts w:asciiTheme="minorEastAsia" w:eastAsiaTheme="minorEastAsia" w:hAnsiTheme="minorEastAsia" w:hint="eastAsia"/>
          <w:sz w:val="32"/>
          <w:szCs w:val="32"/>
        </w:rPr>
        <w:t>200</w:t>
      </w:r>
      <w:r>
        <w:rPr>
          <w:rFonts w:asciiTheme="minorEastAsia" w:eastAsiaTheme="minorEastAsia" w:hAnsiTheme="minorEastAsia" w:hint="eastAsia"/>
          <w:sz w:val="32"/>
          <w:szCs w:val="32"/>
        </w:rPr>
        <w:t>余万元，另外从</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年起为了减轻家长负担，学校坚持公益性非营利原则提供课后服务费，收费</w:t>
      </w:r>
      <w:r>
        <w:rPr>
          <w:rFonts w:asciiTheme="minorEastAsia" w:eastAsiaTheme="minorEastAsia" w:hAnsiTheme="minorEastAsia" w:hint="eastAsia"/>
          <w:sz w:val="32"/>
          <w:szCs w:val="32"/>
        </w:rPr>
        <w:t>170</w:t>
      </w:r>
      <w:r>
        <w:rPr>
          <w:rFonts w:asciiTheme="minorEastAsia" w:eastAsiaTheme="minorEastAsia" w:hAnsiTheme="minorEastAsia" w:hint="eastAsia"/>
          <w:sz w:val="32"/>
          <w:szCs w:val="32"/>
        </w:rPr>
        <w:t>余万元。</w:t>
      </w:r>
    </w:p>
    <w:p w:rsidR="00ED343D" w:rsidRDefault="00A5623A">
      <w:pPr>
        <w:pStyle w:val="Default"/>
        <w:rPr>
          <w:rFonts w:hAnsi="黑体"/>
          <w:b/>
          <w:sz w:val="32"/>
          <w:szCs w:val="32"/>
        </w:rPr>
      </w:pPr>
      <w:r>
        <w:rPr>
          <w:rFonts w:hAnsi="黑体" w:hint="eastAsia"/>
          <w:b/>
          <w:sz w:val="32"/>
          <w:szCs w:val="32"/>
        </w:rPr>
        <w:t>二、收入决算情况说明</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Pr>
          <w:rFonts w:asciiTheme="minorEastAsia" w:eastAsiaTheme="minorEastAsia" w:hAnsiTheme="minorEastAsia" w:hint="eastAsia"/>
          <w:sz w:val="32"/>
          <w:szCs w:val="32"/>
        </w:rPr>
        <w:t>2477.65</w:t>
      </w:r>
      <w:r>
        <w:rPr>
          <w:rFonts w:asciiTheme="minorEastAsia" w:eastAsiaTheme="minorEastAsia" w:hAnsiTheme="minorEastAsia" w:hint="eastAsia"/>
          <w:sz w:val="32"/>
          <w:szCs w:val="32"/>
        </w:rPr>
        <w:t>万元，全部为财政拨款收入。</w:t>
      </w:r>
    </w:p>
    <w:p w:rsidR="00ED343D" w:rsidRDefault="00A5623A">
      <w:pPr>
        <w:pStyle w:val="Default"/>
        <w:rPr>
          <w:rFonts w:hAnsi="黑体"/>
          <w:b/>
          <w:sz w:val="32"/>
          <w:szCs w:val="32"/>
        </w:rPr>
      </w:pPr>
      <w:r>
        <w:rPr>
          <w:rFonts w:hAnsi="黑体" w:hint="eastAsia"/>
          <w:b/>
          <w:sz w:val="32"/>
          <w:szCs w:val="32"/>
        </w:rPr>
        <w:t>三、支出决算情况说明</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Pr>
          <w:rFonts w:asciiTheme="minorEastAsia" w:eastAsiaTheme="minorEastAsia" w:hAnsiTheme="minorEastAsia" w:hint="eastAsia"/>
          <w:sz w:val="32"/>
          <w:szCs w:val="32"/>
        </w:rPr>
        <w:t>2261.63</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2255.63</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99.73%</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0.27%</w:t>
      </w:r>
      <w:r>
        <w:rPr>
          <w:rFonts w:asciiTheme="minorEastAsia" w:eastAsiaTheme="minorEastAsia" w:hAnsiTheme="minorEastAsia" w:hint="eastAsia"/>
          <w:sz w:val="32"/>
          <w:szCs w:val="32"/>
        </w:rPr>
        <w:t>。</w:t>
      </w:r>
    </w:p>
    <w:p w:rsidR="00ED343D" w:rsidRDefault="00A5623A">
      <w:pPr>
        <w:pStyle w:val="Default"/>
        <w:rPr>
          <w:rFonts w:hAnsi="黑体"/>
          <w:b/>
          <w:sz w:val="32"/>
          <w:szCs w:val="32"/>
        </w:rPr>
      </w:pPr>
      <w:r>
        <w:rPr>
          <w:rFonts w:hAnsi="黑体" w:hint="eastAsia"/>
          <w:b/>
          <w:sz w:val="32"/>
          <w:szCs w:val="32"/>
        </w:rPr>
        <w:t>四、财政拨款收入支出决算总体情况说明</w:t>
      </w:r>
    </w:p>
    <w:p w:rsidR="00ED343D" w:rsidRDefault="00A5623A">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2020</w:t>
      </w:r>
      <w:r>
        <w:rPr>
          <w:rFonts w:asciiTheme="minorEastAsia" w:eastAsiaTheme="minorEastAsia" w:hAnsiTheme="minorEastAsia" w:hint="eastAsia"/>
          <w:sz w:val="32"/>
          <w:szCs w:val="32"/>
        </w:rPr>
        <w:t>年度财政拨款收、支总计</w:t>
      </w:r>
      <w:r>
        <w:rPr>
          <w:rFonts w:asciiTheme="minorEastAsia" w:eastAsiaTheme="minorEastAsia" w:hAnsiTheme="minorEastAsia" w:hint="eastAsia"/>
          <w:sz w:val="32"/>
          <w:szCs w:val="32"/>
        </w:rPr>
        <w:t>2477.65</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538</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增长</w:t>
      </w:r>
      <w:r>
        <w:rPr>
          <w:rFonts w:asciiTheme="minorEastAsia" w:eastAsiaTheme="minorEastAsia" w:hAnsiTheme="minorEastAsia" w:hint="eastAsia"/>
          <w:sz w:val="32"/>
          <w:szCs w:val="32"/>
        </w:rPr>
        <w:t>28%</w:t>
      </w:r>
      <w:r>
        <w:rPr>
          <w:rFonts w:asciiTheme="minorEastAsia" w:eastAsiaTheme="minorEastAsia" w:hAnsiTheme="minorEastAsia" w:hint="eastAsia"/>
          <w:sz w:val="32"/>
          <w:szCs w:val="32"/>
        </w:rPr>
        <w:t>，主要是因为政府加大了基础教育投入。</w:t>
      </w:r>
    </w:p>
    <w:p w:rsidR="00ED343D" w:rsidRDefault="00A5623A">
      <w:pPr>
        <w:pStyle w:val="Default"/>
        <w:rPr>
          <w:rFonts w:hAnsi="黑体"/>
          <w:b/>
          <w:sz w:val="32"/>
          <w:szCs w:val="32"/>
        </w:rPr>
      </w:pPr>
      <w:r>
        <w:rPr>
          <w:rFonts w:hAnsi="黑体" w:hint="eastAsia"/>
          <w:b/>
          <w:sz w:val="32"/>
          <w:szCs w:val="32"/>
        </w:rPr>
        <w:t>五、一般公共预算财政拨款支出决算情况说明</w:t>
      </w:r>
    </w:p>
    <w:p w:rsidR="00ED343D" w:rsidRDefault="00A5623A" w:rsidP="00C74832">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ED343D" w:rsidRDefault="00A5623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2261.63</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，与上年相比，财政拨款支出增加</w:t>
      </w:r>
      <w:r>
        <w:rPr>
          <w:rFonts w:asciiTheme="minorEastAsia" w:eastAsiaTheme="minorEastAsia" w:hAnsiTheme="minorEastAsia" w:hint="eastAsia"/>
          <w:sz w:val="32"/>
          <w:szCs w:val="32"/>
        </w:rPr>
        <w:t>409</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22%</w:t>
      </w:r>
      <w:r>
        <w:rPr>
          <w:rFonts w:asciiTheme="minorEastAsia" w:eastAsiaTheme="minorEastAsia" w:hAnsiTheme="minorEastAsia" w:hint="eastAsia"/>
          <w:sz w:val="32"/>
          <w:szCs w:val="32"/>
        </w:rPr>
        <w:t>，主要是因为政府加大了对基础教育的投入。</w:t>
      </w:r>
    </w:p>
    <w:p w:rsidR="00ED343D" w:rsidRDefault="00A5623A" w:rsidP="00C74832">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2261.63</w:t>
      </w:r>
      <w:r>
        <w:rPr>
          <w:rFonts w:asciiTheme="minorEastAsia" w:eastAsiaTheme="minorEastAsia" w:hAnsiTheme="minorEastAsia" w:hint="eastAsia"/>
          <w:sz w:val="32"/>
          <w:szCs w:val="32"/>
        </w:rPr>
        <w:t>万元，全部为教育支出。</w:t>
      </w:r>
    </w:p>
    <w:p w:rsidR="00ED343D" w:rsidRDefault="00A5623A" w:rsidP="00C74832">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ED343D" w:rsidRDefault="00A5623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1266.64</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2261.63</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178%</w:t>
      </w:r>
      <w:r>
        <w:rPr>
          <w:rFonts w:asciiTheme="minorEastAsia" w:eastAsiaTheme="minorEastAsia" w:hAnsiTheme="minorEastAsia" w:hint="eastAsia"/>
          <w:sz w:val="32"/>
          <w:szCs w:val="32"/>
        </w:rPr>
        <w:t>，其中：</w:t>
      </w:r>
    </w:p>
    <w:p w:rsidR="00ED343D" w:rsidRDefault="00A5623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、教育支出（类）普通教育（款）小学教育（项）支出：</w:t>
      </w:r>
    </w:p>
    <w:p w:rsidR="00ED343D" w:rsidRDefault="00A5623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年初预算为</w:t>
      </w:r>
      <w:r>
        <w:rPr>
          <w:rFonts w:asciiTheme="minorEastAsia" w:eastAsiaTheme="minorEastAsia" w:hAnsiTheme="minorEastAsia" w:hint="eastAsia"/>
          <w:sz w:val="32"/>
          <w:szCs w:val="32"/>
        </w:rPr>
        <w:t>1044.85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1366.9</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130%</w:t>
      </w:r>
      <w:r>
        <w:rPr>
          <w:rFonts w:asciiTheme="minorEastAsia" w:eastAsiaTheme="minorEastAsia" w:hAnsiTheme="minorEastAsia" w:hint="eastAsia"/>
          <w:sz w:val="32"/>
          <w:szCs w:val="32"/>
        </w:rPr>
        <w:t>，决算数大于年初预算数的主要原因是：年中增加支持小学教育发展经费等；</w:t>
      </w:r>
    </w:p>
    <w:p w:rsidR="00ED343D" w:rsidRDefault="00A5623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、教育支出（类）教育附加安排的支出（款）其他教育附加安排的支出（项）年初预算为</w:t>
      </w:r>
      <w:r>
        <w:rPr>
          <w:rFonts w:asciiTheme="minorEastAsia" w:eastAsiaTheme="minorEastAsia" w:hAnsiTheme="minorEastAsia" w:hint="eastAsia"/>
          <w:sz w:val="32"/>
          <w:szCs w:val="32"/>
        </w:rPr>
        <w:t>6</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664.82</w:t>
      </w:r>
      <w:r>
        <w:rPr>
          <w:rFonts w:asciiTheme="minorEastAsia" w:eastAsiaTheme="minorEastAsia" w:hAnsiTheme="minorEastAsia" w:hint="eastAsia"/>
          <w:sz w:val="32"/>
          <w:szCs w:val="32"/>
        </w:rPr>
        <w:t>万元，决算数大于年初预算数的主要原因是年中增加</w:t>
      </w:r>
      <w:r>
        <w:rPr>
          <w:rFonts w:asciiTheme="minorEastAsia" w:eastAsiaTheme="minorEastAsia" w:hAnsiTheme="minorEastAsia" w:hint="eastAsia"/>
          <w:sz w:val="32"/>
          <w:szCs w:val="32"/>
        </w:rPr>
        <w:t>财政绩效考核奖等拨款以及接收土桥小学分流学生经费缺口等；</w:t>
      </w:r>
    </w:p>
    <w:p w:rsidR="00ED343D" w:rsidRDefault="00A5623A">
      <w:pPr>
        <w:pStyle w:val="Default"/>
        <w:ind w:firstLineChars="250" w:firstLine="800"/>
        <w:rPr>
          <w:rFonts w:asciiTheme="minorEastAsia" w:eastAsiaTheme="minorEastAsia" w:hAnsiTheme="minorEastAsia"/>
          <w:sz w:val="32"/>
          <w:szCs w:val="32"/>
          <w:highlight w:val="yellow"/>
        </w:rPr>
      </w:pP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、社会保障和就业支出（类）行政事业单位养老支出（款）机关事业单位基本养老保险缴费支出</w:t>
      </w:r>
      <w:r>
        <w:rPr>
          <w:rFonts w:asciiTheme="minorEastAsia" w:eastAsiaTheme="minorEastAsia" w:hAnsiTheme="minorEastAsia" w:hint="eastAsia"/>
          <w:sz w:val="32"/>
          <w:szCs w:val="32"/>
        </w:rPr>
        <w:t>164.81</w:t>
      </w:r>
      <w:r>
        <w:rPr>
          <w:rFonts w:asciiTheme="minorEastAsia" w:eastAsiaTheme="minorEastAsia" w:hAnsiTheme="minorEastAsia" w:hint="eastAsia"/>
          <w:sz w:val="32"/>
          <w:szCs w:val="32"/>
        </w:rPr>
        <w:t>万元和预算</w:t>
      </w:r>
      <w:r>
        <w:rPr>
          <w:rFonts w:asciiTheme="minorEastAsia" w:eastAsiaTheme="minorEastAsia" w:hAnsiTheme="minorEastAsia" w:hint="eastAsia"/>
          <w:sz w:val="32"/>
          <w:szCs w:val="32"/>
        </w:rPr>
        <w:t>152.74</w:t>
      </w:r>
      <w:r>
        <w:rPr>
          <w:rFonts w:asciiTheme="minorEastAsia" w:eastAsiaTheme="minorEastAsia" w:hAnsiTheme="minorEastAsia" w:hint="eastAsia"/>
          <w:sz w:val="32"/>
          <w:szCs w:val="32"/>
        </w:rPr>
        <w:t>万元基本一致无增减；</w:t>
      </w:r>
    </w:p>
    <w:p w:rsidR="00ED343D" w:rsidRDefault="00A5623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、卫生健康支出（类）行政事业单位医疗（款）事业单位医疗支出（项）</w:t>
      </w:r>
      <w:r>
        <w:rPr>
          <w:rFonts w:asciiTheme="minorEastAsia" w:eastAsiaTheme="minorEastAsia" w:hAnsiTheme="minorEastAsia" w:hint="eastAsia"/>
          <w:sz w:val="32"/>
          <w:szCs w:val="32"/>
        </w:rPr>
        <w:t>65.10</w:t>
      </w:r>
      <w:r>
        <w:rPr>
          <w:rFonts w:asciiTheme="minorEastAsia" w:eastAsiaTheme="minorEastAsia" w:hAnsiTheme="minorEastAsia" w:hint="eastAsia"/>
          <w:sz w:val="32"/>
          <w:szCs w:val="32"/>
        </w:rPr>
        <w:t>万元与年初预算</w:t>
      </w:r>
      <w:r>
        <w:rPr>
          <w:rFonts w:asciiTheme="minorEastAsia" w:eastAsiaTheme="minorEastAsia" w:hAnsiTheme="minorEastAsia" w:hint="eastAsia"/>
          <w:sz w:val="32"/>
          <w:szCs w:val="32"/>
        </w:rPr>
        <w:t>63.05</w:t>
      </w:r>
      <w:r>
        <w:rPr>
          <w:rFonts w:asciiTheme="minorEastAsia" w:eastAsiaTheme="minorEastAsia" w:hAnsiTheme="minorEastAsia" w:hint="eastAsia"/>
          <w:sz w:val="32"/>
          <w:szCs w:val="32"/>
        </w:rPr>
        <w:t>万元基本一致无增减。</w:t>
      </w:r>
    </w:p>
    <w:p w:rsidR="00ED343D" w:rsidRDefault="00ED343D">
      <w:pPr>
        <w:pStyle w:val="Default"/>
        <w:ind w:firstLineChars="250" w:firstLine="800"/>
        <w:rPr>
          <w:rFonts w:asciiTheme="minorEastAsia" w:eastAsiaTheme="minorEastAsia" w:hAnsiTheme="minorEastAsia"/>
          <w:sz w:val="32"/>
          <w:szCs w:val="32"/>
        </w:rPr>
      </w:pPr>
    </w:p>
    <w:p w:rsidR="00ED343D" w:rsidRDefault="00A5623A">
      <w:pPr>
        <w:pStyle w:val="Default"/>
        <w:rPr>
          <w:rFonts w:hAnsi="黑体"/>
          <w:b/>
          <w:sz w:val="32"/>
          <w:szCs w:val="32"/>
        </w:rPr>
      </w:pPr>
      <w:r>
        <w:rPr>
          <w:rFonts w:hAnsi="黑体" w:hint="eastAsia"/>
          <w:b/>
          <w:sz w:val="32"/>
          <w:szCs w:val="32"/>
        </w:rPr>
        <w:t>六、一般公共预算财政拨款基本支出决算情况说明</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2255.63</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1767.04</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78%,</w:t>
      </w:r>
      <w:r>
        <w:rPr>
          <w:rFonts w:asciiTheme="minorEastAsia" w:eastAsiaTheme="minorEastAsia" w:hAnsiTheme="minorEastAsia" w:hint="eastAsia"/>
          <w:sz w:val="32"/>
          <w:szCs w:val="32"/>
        </w:rPr>
        <w:t>主要包括基本工资、津贴补贴、奖金、伙食补</w:t>
      </w:r>
      <w:r>
        <w:rPr>
          <w:rFonts w:asciiTheme="minorEastAsia" w:eastAsiaTheme="minorEastAsia" w:hAnsiTheme="minorEastAsia" w:hint="eastAsia"/>
          <w:sz w:val="32"/>
          <w:szCs w:val="32"/>
        </w:rPr>
        <w:t>助费、绩效工资、社会保障费、公积金等；公用经费</w:t>
      </w:r>
      <w:r>
        <w:rPr>
          <w:rFonts w:asciiTheme="minorEastAsia" w:eastAsiaTheme="minorEastAsia" w:hAnsiTheme="minorEastAsia" w:hint="eastAsia"/>
          <w:sz w:val="32"/>
          <w:szCs w:val="32"/>
        </w:rPr>
        <w:t>488.59</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22%</w:t>
      </w:r>
      <w:r>
        <w:rPr>
          <w:rFonts w:asciiTheme="minorEastAsia" w:eastAsiaTheme="minorEastAsia" w:hAnsiTheme="minorEastAsia" w:hint="eastAsia"/>
          <w:sz w:val="32"/>
          <w:szCs w:val="32"/>
        </w:rPr>
        <w:t>，主要包括办公费、印刷费、咨询费、水电费、维修（护）费、劳务费、工会经费等。</w:t>
      </w:r>
    </w:p>
    <w:p w:rsidR="00ED343D" w:rsidRDefault="00A5623A">
      <w:pPr>
        <w:pStyle w:val="Default"/>
        <w:rPr>
          <w:rFonts w:hAnsi="黑体"/>
          <w:b/>
          <w:sz w:val="32"/>
          <w:szCs w:val="32"/>
        </w:rPr>
      </w:pPr>
      <w:r>
        <w:rPr>
          <w:rFonts w:hAnsi="黑体" w:hint="eastAsia"/>
          <w:b/>
          <w:sz w:val="32"/>
          <w:szCs w:val="32"/>
        </w:rPr>
        <w:t>七、一般公共预算财政拨款三公经费支出决算情况说明</w:t>
      </w:r>
    </w:p>
    <w:p w:rsidR="00ED343D" w:rsidRDefault="00A5623A">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ED343D" w:rsidRDefault="00A5623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w:t>
      </w:r>
      <w:r>
        <w:rPr>
          <w:rFonts w:asciiTheme="minorEastAsia" w:eastAsiaTheme="minorEastAsia" w:hAnsiTheme="minorEastAsia" w:hint="eastAsia"/>
          <w:sz w:val="32"/>
          <w:szCs w:val="32"/>
        </w:rPr>
        <w:t>14.85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2.39</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16%</w:t>
      </w:r>
      <w:r>
        <w:rPr>
          <w:rFonts w:asciiTheme="minorEastAsia" w:eastAsiaTheme="minorEastAsia" w:hAnsiTheme="minorEastAsia" w:hint="eastAsia"/>
          <w:sz w:val="32"/>
          <w:szCs w:val="32"/>
        </w:rPr>
        <w:t>，其中：</w:t>
      </w:r>
    </w:p>
    <w:p w:rsidR="00ED343D" w:rsidRDefault="00A5623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因公出国（境）费支出预算为</w:t>
      </w:r>
      <w:r>
        <w:rPr>
          <w:rFonts w:asciiTheme="minorEastAsia" w:eastAsiaTheme="minorEastAsia" w:hAnsiTheme="minorEastAsia" w:hint="eastAsia"/>
          <w:sz w:val="32"/>
          <w:szCs w:val="32"/>
        </w:rPr>
        <w:t>2.7</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决算数小于预算数的主要原因是，为了贯彻落实中央、省市要求，压</w:t>
      </w:r>
      <w:r>
        <w:rPr>
          <w:rFonts w:asciiTheme="minorEastAsia" w:eastAsiaTheme="minorEastAsia" w:hAnsiTheme="minorEastAsia" w:hint="eastAsia"/>
          <w:sz w:val="32"/>
          <w:szCs w:val="32"/>
        </w:rPr>
        <w:lastRenderedPageBreak/>
        <w:t>减一般性支出。所有因公出差</w:t>
      </w:r>
      <w:r>
        <w:rPr>
          <w:rFonts w:asciiTheme="minorEastAsia" w:eastAsiaTheme="minorEastAsia" w:hAnsiTheme="minorEastAsia" w:hint="eastAsia"/>
          <w:sz w:val="32"/>
          <w:szCs w:val="32"/>
        </w:rPr>
        <w:t>必须有明确公务目的，严禁以公务差旅为名变相旅游，加强经费预算管理，从严审批非必要支出。</w:t>
      </w:r>
    </w:p>
    <w:p w:rsidR="00ED343D" w:rsidRDefault="00A5623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6.75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2.39</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35%</w:t>
      </w:r>
      <w:r>
        <w:rPr>
          <w:rFonts w:asciiTheme="minorEastAsia" w:eastAsiaTheme="minorEastAsia" w:hAnsiTheme="minorEastAsia" w:hint="eastAsia"/>
          <w:sz w:val="32"/>
          <w:szCs w:val="32"/>
        </w:rPr>
        <w:t>，与上年相比减少</w:t>
      </w:r>
      <w:r>
        <w:rPr>
          <w:rFonts w:asciiTheme="minorEastAsia" w:eastAsiaTheme="minorEastAsia" w:hAnsiTheme="minorEastAsia" w:hint="eastAsia"/>
          <w:sz w:val="32"/>
          <w:szCs w:val="32"/>
        </w:rPr>
        <w:t>0.58</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19%</w:t>
      </w:r>
      <w:r>
        <w:rPr>
          <w:rFonts w:asciiTheme="minorEastAsia" w:eastAsiaTheme="minorEastAsia" w:hAnsiTheme="minorEastAsia" w:hint="eastAsia"/>
          <w:sz w:val="32"/>
          <w:szCs w:val="32"/>
        </w:rPr>
        <w:t>。决算数小于预算数的主要原因是响应市委市政府</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日“关于厉行节约反对浪费勤俭办一切事业的意见”，严明公务接待纪律，严格审批手续，严格控制接待范围和陪餐人数，接待资金支付严格按照有关规定执行。</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公务用车购置费及运行维护费支出预算为</w:t>
      </w:r>
      <w:r>
        <w:rPr>
          <w:rFonts w:asciiTheme="minorEastAsia" w:eastAsiaTheme="minorEastAsia" w:hAnsiTheme="minorEastAsia" w:hint="eastAsia"/>
          <w:sz w:val="32"/>
          <w:szCs w:val="32"/>
        </w:rPr>
        <w:t>5.4</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，决算数小于预算数的主要原</w:t>
      </w:r>
      <w:r>
        <w:rPr>
          <w:rFonts w:asciiTheme="minorEastAsia" w:eastAsiaTheme="minorEastAsia" w:hAnsiTheme="minorEastAsia" w:hint="eastAsia"/>
          <w:sz w:val="32"/>
          <w:szCs w:val="32"/>
        </w:rPr>
        <w:t>因是我校原有一台使用多年的工具车，于</w:t>
      </w:r>
      <w:r>
        <w:rPr>
          <w:rFonts w:asciiTheme="minorEastAsia" w:eastAsiaTheme="minorEastAsia" w:hAnsiTheme="minorEastAsia" w:hint="eastAsia"/>
          <w:sz w:val="32"/>
          <w:szCs w:val="32"/>
        </w:rPr>
        <w:t>2018</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月因达到使用年限已作报废处理。因工作实际需要学校曾打报告申请配备一台公务用车，后因市委市政府下文从严核定车辆编制，节约公车购买支出，故一直没有批下来。</w:t>
      </w:r>
    </w:p>
    <w:p w:rsidR="00ED343D" w:rsidRDefault="00A5623A">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2.39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。其中：</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w:t>
      </w:r>
      <w:r>
        <w:rPr>
          <w:rFonts w:asciiTheme="minorEastAsia" w:eastAsiaTheme="minorEastAsia" w:hAnsiTheme="minorEastAsia" w:hint="eastAsia"/>
          <w:sz w:val="32"/>
          <w:szCs w:val="32"/>
        </w:rPr>
        <w:t>、因公出国（境）费支出决算为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万元。全年没有安排因公出国（境）活动。和上年</w:t>
      </w: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.45</w:t>
      </w:r>
      <w:r>
        <w:rPr>
          <w:rFonts w:asciiTheme="minorEastAsia" w:eastAsiaTheme="minorEastAsia" w:hAnsiTheme="minorEastAsia" w:hint="eastAsia"/>
          <w:sz w:val="32"/>
          <w:szCs w:val="32"/>
        </w:rPr>
        <w:t>万元对比，减少</w:t>
      </w:r>
      <w:r>
        <w:rPr>
          <w:rFonts w:asciiTheme="minorEastAsia" w:eastAsiaTheme="minorEastAsia" w:hAnsiTheme="minorEastAsia" w:hint="eastAsia"/>
          <w:sz w:val="32"/>
          <w:szCs w:val="32"/>
        </w:rPr>
        <w:t>100%</w:t>
      </w:r>
    </w:p>
    <w:p w:rsidR="00ED343D" w:rsidRDefault="00A5623A">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2.39</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247</w:t>
      </w:r>
      <w:r>
        <w:rPr>
          <w:rFonts w:asciiTheme="minorEastAsia" w:eastAsiaTheme="minorEastAsia" w:hAnsiTheme="minorEastAsia" w:hint="eastAsia"/>
          <w:sz w:val="32"/>
          <w:szCs w:val="32"/>
        </w:rPr>
        <w:t>人次，主要是接待韩国松源小学师生一行游学及其他兄弟学校文化交流及学校老师因工作需要工作餐等发生的支出。和上年</w:t>
      </w:r>
      <w:r>
        <w:rPr>
          <w:rFonts w:asciiTheme="minorEastAsia" w:eastAsiaTheme="minorEastAsia" w:hAnsiTheme="minorEastAsia" w:hint="eastAsia"/>
          <w:sz w:val="32"/>
          <w:szCs w:val="32"/>
        </w:rPr>
        <w:t>2.97</w:t>
      </w:r>
      <w:r>
        <w:rPr>
          <w:rFonts w:asciiTheme="minorEastAsia" w:eastAsiaTheme="minorEastAsia" w:hAnsiTheme="minorEastAsia" w:hint="eastAsia"/>
          <w:sz w:val="32"/>
          <w:szCs w:val="32"/>
        </w:rPr>
        <w:t>万元对比，减少</w:t>
      </w:r>
      <w:r>
        <w:rPr>
          <w:rFonts w:asciiTheme="minorEastAsia" w:eastAsiaTheme="minorEastAsia" w:hAnsiTheme="minorEastAsia" w:hint="eastAsia"/>
          <w:sz w:val="32"/>
          <w:szCs w:val="32"/>
        </w:rPr>
        <w:t>19.5%</w:t>
      </w:r>
      <w:r>
        <w:rPr>
          <w:rFonts w:asciiTheme="minorEastAsia" w:eastAsiaTheme="minorEastAsia" w:hAnsiTheme="minorEastAsia" w:hint="eastAsia"/>
          <w:sz w:val="32"/>
          <w:szCs w:val="32"/>
        </w:rPr>
        <w:t>。</w:t>
      </w:r>
    </w:p>
    <w:p w:rsidR="00ED343D" w:rsidRDefault="00A5623A">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w:t>
      </w:r>
      <w:r>
        <w:rPr>
          <w:rFonts w:asciiTheme="minorEastAsia" w:hAnsiTheme="minorEastAsia" w:hint="eastAsia"/>
          <w:sz w:val="32"/>
          <w:szCs w:val="32"/>
        </w:rPr>
        <w:t>、公务用车购置费及运行维护费支出预算为</w:t>
      </w:r>
      <w:r>
        <w:rPr>
          <w:rFonts w:asciiTheme="minorEastAsia" w:hAnsiTheme="minorEastAsia" w:hint="eastAsia"/>
          <w:sz w:val="32"/>
          <w:szCs w:val="32"/>
        </w:rPr>
        <w:t>5.4</w:t>
      </w:r>
      <w:r>
        <w:rPr>
          <w:rFonts w:asciiTheme="minorEastAsia" w:hAnsiTheme="minorEastAsia" w:hint="eastAsia"/>
          <w:sz w:val="32"/>
          <w:szCs w:val="32"/>
        </w:rPr>
        <w:t>万元，其中：公务用车购置费</w:t>
      </w:r>
      <w:r>
        <w:rPr>
          <w:rFonts w:asciiTheme="minorEastAsia" w:hAnsiTheme="minorEastAsia" w:hint="eastAsia"/>
          <w:sz w:val="32"/>
          <w:szCs w:val="32"/>
        </w:rPr>
        <w:t>0</w:t>
      </w:r>
      <w:r>
        <w:rPr>
          <w:rFonts w:asciiTheme="minorEastAsia" w:hAnsiTheme="minorEastAsia" w:hint="eastAsia"/>
          <w:sz w:val="32"/>
          <w:szCs w:val="32"/>
        </w:rPr>
        <w:t>万元，公务用车运行维护费</w:t>
      </w:r>
      <w:r>
        <w:rPr>
          <w:rFonts w:asciiTheme="minorEastAsia" w:hAnsiTheme="minorEastAsia" w:hint="eastAsia"/>
          <w:sz w:val="32"/>
          <w:szCs w:val="32"/>
        </w:rPr>
        <w:t>5.4</w:t>
      </w:r>
      <w:r>
        <w:rPr>
          <w:rFonts w:asciiTheme="minorEastAsia" w:hAnsiTheme="minorEastAsia" w:hint="eastAsia"/>
          <w:sz w:val="32"/>
          <w:szCs w:val="32"/>
        </w:rPr>
        <w:t>万元，主要是计划用于因学</w:t>
      </w:r>
      <w:r>
        <w:rPr>
          <w:rFonts w:asciiTheme="minorEastAsia" w:hAnsiTheme="minorEastAsia" w:hint="eastAsia"/>
          <w:sz w:val="32"/>
          <w:szCs w:val="32"/>
        </w:rPr>
        <w:lastRenderedPageBreak/>
        <w:t>校没有公车而发生的其他交通费用支出，截止</w:t>
      </w:r>
      <w:r>
        <w:rPr>
          <w:rFonts w:asciiTheme="minorEastAsia" w:hAnsiTheme="minorEastAsia" w:hint="eastAsia"/>
          <w:sz w:val="32"/>
          <w:szCs w:val="32"/>
        </w:rPr>
        <w:t>2020</w:t>
      </w:r>
      <w:r>
        <w:rPr>
          <w:rFonts w:asciiTheme="minorEastAsia" w:hAnsiTheme="minorEastAsia" w:hint="eastAsia"/>
          <w:sz w:val="32"/>
          <w:szCs w:val="32"/>
        </w:rPr>
        <w:t>年</w:t>
      </w:r>
      <w:r>
        <w:rPr>
          <w:rFonts w:asciiTheme="minorEastAsia" w:hAnsiTheme="minorEastAsia" w:hint="eastAsia"/>
          <w:sz w:val="32"/>
          <w:szCs w:val="32"/>
        </w:rPr>
        <w:t>12</w:t>
      </w:r>
      <w:r>
        <w:rPr>
          <w:rFonts w:asciiTheme="minorEastAsia" w:hAnsiTheme="minorEastAsia" w:hint="eastAsia"/>
          <w:sz w:val="32"/>
          <w:szCs w:val="32"/>
        </w:rPr>
        <w:t>月</w:t>
      </w:r>
      <w:r>
        <w:rPr>
          <w:rFonts w:asciiTheme="minorEastAsia" w:hAnsiTheme="minorEastAsia" w:hint="eastAsia"/>
          <w:sz w:val="32"/>
          <w:szCs w:val="32"/>
        </w:rPr>
        <w:t>31</w:t>
      </w:r>
      <w:r>
        <w:rPr>
          <w:rFonts w:asciiTheme="minorEastAsia" w:hAnsiTheme="minorEastAsia" w:hint="eastAsia"/>
          <w:sz w:val="32"/>
          <w:szCs w:val="32"/>
        </w:rPr>
        <w:t>日，我单位开支财政拨款的公务用车保有量为</w:t>
      </w:r>
      <w:r>
        <w:rPr>
          <w:rFonts w:asciiTheme="minorEastAsia" w:hAnsiTheme="minorEastAsia" w:hint="eastAsia"/>
          <w:sz w:val="32"/>
          <w:szCs w:val="32"/>
        </w:rPr>
        <w:t>0</w:t>
      </w:r>
      <w:r>
        <w:rPr>
          <w:rFonts w:asciiTheme="minorEastAsia" w:hAnsiTheme="minorEastAsia" w:hint="eastAsia"/>
          <w:sz w:val="32"/>
          <w:szCs w:val="32"/>
        </w:rPr>
        <w:t>辆。和上年相同。</w:t>
      </w:r>
    </w:p>
    <w:p w:rsidR="00ED343D" w:rsidRDefault="00A5623A">
      <w:pPr>
        <w:pStyle w:val="Default"/>
        <w:rPr>
          <w:rFonts w:hAnsi="黑体"/>
          <w:b/>
          <w:sz w:val="32"/>
          <w:szCs w:val="32"/>
        </w:rPr>
      </w:pPr>
      <w:r>
        <w:rPr>
          <w:rFonts w:hAnsi="黑体" w:hint="eastAsia"/>
          <w:b/>
          <w:sz w:val="32"/>
          <w:szCs w:val="32"/>
        </w:rPr>
        <w:t>八、政府性基金预算收入支出决算情况</w:t>
      </w:r>
    </w:p>
    <w:p w:rsidR="00ED343D" w:rsidRDefault="00A5623A">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 xml:space="preserve">     2020</w:t>
      </w:r>
      <w:r>
        <w:rPr>
          <w:rFonts w:asciiTheme="minorEastAsia" w:eastAsiaTheme="minorEastAsia" w:hAnsiTheme="minorEastAsia" w:hint="eastAsia"/>
          <w:sz w:val="32"/>
          <w:szCs w:val="32"/>
        </w:rPr>
        <w:t>年度本单位无政府性基金收支。</w:t>
      </w:r>
    </w:p>
    <w:p w:rsidR="00ED343D" w:rsidRDefault="00A5623A">
      <w:pPr>
        <w:pStyle w:val="Default"/>
        <w:rPr>
          <w:rFonts w:hAnsi="黑体"/>
          <w:b/>
          <w:sz w:val="32"/>
          <w:szCs w:val="32"/>
        </w:rPr>
      </w:pPr>
      <w:r>
        <w:rPr>
          <w:rFonts w:hAnsi="黑体" w:hint="eastAsia"/>
          <w:b/>
          <w:sz w:val="32"/>
          <w:szCs w:val="32"/>
        </w:rPr>
        <w:t>九、国有资本经营预算财政拨款支出决算情况</w:t>
      </w:r>
    </w:p>
    <w:p w:rsidR="00ED343D" w:rsidRDefault="00A5623A">
      <w:pPr>
        <w:pStyle w:val="Default"/>
        <w:rPr>
          <w:rFonts w:hAnsi="黑体"/>
          <w:b/>
          <w:sz w:val="32"/>
          <w:szCs w:val="32"/>
        </w:rPr>
      </w:pPr>
      <w:r>
        <w:rPr>
          <w:rFonts w:asciiTheme="minorEastAsia" w:eastAsiaTheme="minorEastAsia" w:hAnsiTheme="minorEastAsia" w:hint="eastAsia"/>
          <w:sz w:val="32"/>
          <w:szCs w:val="32"/>
        </w:rPr>
        <w:t xml:space="preserve">    2020</w:t>
      </w:r>
      <w:r>
        <w:rPr>
          <w:rFonts w:asciiTheme="minorEastAsia" w:eastAsiaTheme="minorEastAsia" w:hAnsiTheme="minorEastAsia" w:hint="eastAsia"/>
          <w:sz w:val="32"/>
          <w:szCs w:val="32"/>
        </w:rPr>
        <w:t>年度本单位无国有资本经营预算财政拨款支出</w:t>
      </w:r>
      <w:r>
        <w:rPr>
          <w:rFonts w:asciiTheme="minorEastAsia" w:eastAsiaTheme="minorEastAsia" w:hAnsiTheme="minorEastAsia"/>
          <w:sz w:val="32"/>
          <w:szCs w:val="32"/>
        </w:rPr>
        <w:t>。</w:t>
      </w:r>
    </w:p>
    <w:p w:rsidR="00ED343D" w:rsidRDefault="00A5623A">
      <w:pPr>
        <w:pStyle w:val="Default"/>
        <w:rPr>
          <w:rFonts w:hAnsi="黑体"/>
          <w:b/>
          <w:sz w:val="32"/>
          <w:szCs w:val="32"/>
        </w:rPr>
      </w:pPr>
      <w:r>
        <w:rPr>
          <w:rFonts w:hAnsi="黑体" w:hint="eastAsia"/>
          <w:b/>
          <w:sz w:val="32"/>
          <w:szCs w:val="32"/>
        </w:rPr>
        <w:t>十、关于机关运行经费支出说明</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年度无机关运行经费支出。</w:t>
      </w:r>
    </w:p>
    <w:p w:rsidR="00ED343D" w:rsidRDefault="00A5623A">
      <w:pPr>
        <w:pStyle w:val="Default"/>
        <w:rPr>
          <w:rFonts w:hAnsi="黑体"/>
          <w:b/>
          <w:sz w:val="32"/>
          <w:szCs w:val="32"/>
        </w:rPr>
      </w:pPr>
      <w:r>
        <w:rPr>
          <w:rFonts w:hAnsi="黑体" w:hint="eastAsia"/>
          <w:b/>
          <w:sz w:val="32"/>
          <w:szCs w:val="32"/>
        </w:rPr>
        <w:t>十一、一般性支出情况</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年本部门开支会议费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万元，人数</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人；开支培训费</w:t>
      </w:r>
      <w:r>
        <w:rPr>
          <w:rFonts w:asciiTheme="minorEastAsia" w:eastAsiaTheme="minorEastAsia" w:hAnsiTheme="minorEastAsia" w:hint="eastAsia"/>
          <w:sz w:val="32"/>
          <w:szCs w:val="32"/>
        </w:rPr>
        <w:t>0.31</w:t>
      </w:r>
      <w:r>
        <w:rPr>
          <w:rFonts w:asciiTheme="minorEastAsia" w:eastAsiaTheme="minorEastAsia" w:hAnsiTheme="minorEastAsia" w:hint="eastAsia"/>
          <w:sz w:val="32"/>
          <w:szCs w:val="32"/>
        </w:rPr>
        <w:t>万元，用于开展教师培训，人数</w:t>
      </w:r>
      <w:r>
        <w:rPr>
          <w:rFonts w:asciiTheme="minorEastAsia" w:eastAsiaTheme="minorEastAsia" w:hAnsiTheme="minorEastAsia" w:hint="eastAsia"/>
          <w:sz w:val="32"/>
          <w:szCs w:val="32"/>
        </w:rPr>
        <w:t>13</w:t>
      </w:r>
      <w:r>
        <w:rPr>
          <w:rFonts w:asciiTheme="minorEastAsia" w:eastAsiaTheme="minorEastAsia" w:hAnsiTheme="minorEastAsia" w:hint="eastAsia"/>
          <w:sz w:val="32"/>
          <w:szCs w:val="32"/>
        </w:rPr>
        <w:t>人，内容为</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年教师继续教育网络培训。举办</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次节庆、晚会、论坛、赛事活动，开支</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p>
    <w:p w:rsidR="00ED343D" w:rsidRDefault="00A5623A">
      <w:pPr>
        <w:pStyle w:val="Default"/>
        <w:rPr>
          <w:rFonts w:hAnsi="黑体"/>
          <w:b/>
          <w:sz w:val="32"/>
          <w:szCs w:val="32"/>
        </w:rPr>
      </w:pPr>
      <w:r>
        <w:rPr>
          <w:rFonts w:hAnsi="黑体" w:hint="eastAsia"/>
          <w:b/>
          <w:sz w:val="32"/>
          <w:szCs w:val="32"/>
        </w:rPr>
        <w:t>十二、关于政府采购支出说明</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本单位</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年度无政府采购支出，政府采购支出总额</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万元，原因是年初没有政府采购预算。</w:t>
      </w:r>
    </w:p>
    <w:p w:rsidR="00ED343D" w:rsidRDefault="00A5623A">
      <w:pPr>
        <w:pStyle w:val="Default"/>
        <w:rPr>
          <w:rFonts w:hAnsi="黑体"/>
          <w:b/>
          <w:sz w:val="32"/>
          <w:szCs w:val="32"/>
        </w:rPr>
      </w:pPr>
      <w:r>
        <w:rPr>
          <w:rFonts w:hAnsi="黑体" w:hint="eastAsia"/>
          <w:b/>
          <w:sz w:val="32"/>
          <w:szCs w:val="32"/>
        </w:rPr>
        <w:t>十三、关于国有资产占用情况说明</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12</w:t>
      </w:r>
      <w:r>
        <w:rPr>
          <w:rFonts w:asciiTheme="minorEastAsia" w:eastAsiaTheme="minorEastAsia" w:hAnsiTheme="minorEastAsia" w:hint="eastAsia"/>
          <w:sz w:val="32"/>
          <w:szCs w:val="32"/>
        </w:rPr>
        <w:t>月</w:t>
      </w:r>
      <w:r>
        <w:rPr>
          <w:rFonts w:asciiTheme="minorEastAsia" w:eastAsiaTheme="minorEastAsia" w:hAnsiTheme="minorEastAsia" w:hint="eastAsia"/>
          <w:sz w:val="32"/>
          <w:szCs w:val="32"/>
        </w:rPr>
        <w:t>31</w:t>
      </w:r>
      <w:r>
        <w:rPr>
          <w:rFonts w:asciiTheme="minorEastAsia" w:eastAsiaTheme="minorEastAsia" w:hAnsiTheme="minorEastAsia" w:hint="eastAsia"/>
          <w:sz w:val="32"/>
          <w:szCs w:val="32"/>
        </w:rPr>
        <w:t>日，本单位共有车辆</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辆。无单位价值</w:t>
      </w:r>
      <w:r>
        <w:rPr>
          <w:rFonts w:ascii="Times New Roman" w:eastAsiaTheme="minorEastAsia" w:hAnsi="Times New Roman" w:hint="eastAsia"/>
          <w:sz w:val="32"/>
          <w:szCs w:val="32"/>
        </w:rPr>
        <w:t>50</w:t>
      </w:r>
      <w:r>
        <w:rPr>
          <w:rFonts w:asciiTheme="minorEastAsia" w:eastAsiaTheme="minorEastAsia" w:hAnsiTheme="minorEastAsia" w:hint="eastAsia"/>
          <w:sz w:val="32"/>
          <w:szCs w:val="32"/>
        </w:rPr>
        <w:t>万元以上通用设备和单位价值</w:t>
      </w:r>
      <w:r>
        <w:rPr>
          <w:rFonts w:ascii="Times New Roman" w:eastAsiaTheme="minorEastAsia" w:hAnsi="Times New Roman" w:hint="eastAsia"/>
          <w:sz w:val="32"/>
          <w:szCs w:val="32"/>
        </w:rPr>
        <w:t>100</w:t>
      </w:r>
      <w:r>
        <w:rPr>
          <w:rFonts w:asciiTheme="minorEastAsia" w:eastAsiaTheme="minorEastAsia" w:hAnsiTheme="minorEastAsia" w:hint="eastAsia"/>
          <w:sz w:val="32"/>
          <w:szCs w:val="32"/>
        </w:rPr>
        <w:t>万元以上专用设备。</w:t>
      </w:r>
    </w:p>
    <w:p w:rsidR="00ED343D" w:rsidRDefault="00A5623A">
      <w:pPr>
        <w:pStyle w:val="Default"/>
        <w:rPr>
          <w:rFonts w:hAnsi="黑体"/>
          <w:b/>
          <w:sz w:val="32"/>
          <w:szCs w:val="32"/>
        </w:rPr>
      </w:pPr>
      <w:r>
        <w:rPr>
          <w:rFonts w:hAnsi="黑体" w:hint="eastAsia"/>
          <w:b/>
          <w:sz w:val="32"/>
          <w:szCs w:val="32"/>
        </w:rPr>
        <w:t>十四、关于</w:t>
      </w:r>
      <w:r>
        <w:rPr>
          <w:rFonts w:hAnsi="黑体" w:hint="eastAsia"/>
          <w:b/>
          <w:sz w:val="32"/>
          <w:szCs w:val="32"/>
        </w:rPr>
        <w:t>2020</w:t>
      </w:r>
      <w:r>
        <w:rPr>
          <w:rFonts w:hAnsi="黑体" w:hint="eastAsia"/>
          <w:b/>
          <w:sz w:val="32"/>
          <w:szCs w:val="32"/>
        </w:rPr>
        <w:t>年度预算绩效情况的说明</w:t>
      </w:r>
    </w:p>
    <w:p w:rsidR="00ED343D" w:rsidRDefault="00A5623A">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本单位隶属于湖南民族职业学院</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是它的二级机构。每年学院都会根据年初的工作要求对我校各项工作进行绩效考核，往年都是将我校的决算数据上报民院后由其合并到民院的决</w:t>
      </w:r>
      <w:r>
        <w:rPr>
          <w:rFonts w:asciiTheme="minorEastAsia" w:eastAsiaTheme="minorEastAsia" w:hAnsiTheme="minorEastAsia" w:hint="eastAsia"/>
          <w:sz w:val="32"/>
          <w:szCs w:val="32"/>
        </w:rPr>
        <w:t>算里进行公开的</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从今年起由于财政部门要求所有的下属二级机构均要单独公开，便首次对我校</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年度的决算进行单独公开。</w:t>
      </w:r>
    </w:p>
    <w:p w:rsidR="00ED343D" w:rsidRDefault="00ED343D">
      <w:pPr>
        <w:pStyle w:val="Default"/>
        <w:rPr>
          <w:rFonts w:hAnsi="黑体"/>
          <w:b/>
          <w:sz w:val="32"/>
          <w:szCs w:val="3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A5623A">
      <w:pPr>
        <w:pStyle w:val="Default"/>
        <w:jc w:val="center"/>
        <w:rPr>
          <w:sz w:val="72"/>
          <w:szCs w:val="72"/>
        </w:rPr>
      </w:pPr>
      <w:r>
        <w:rPr>
          <w:rFonts w:hint="eastAsia"/>
          <w:sz w:val="72"/>
          <w:szCs w:val="72"/>
        </w:rPr>
        <w:t>第四部分</w:t>
      </w:r>
    </w:p>
    <w:p w:rsidR="00ED343D" w:rsidRDefault="00ED343D">
      <w:pPr>
        <w:jc w:val="center"/>
        <w:rPr>
          <w:rFonts w:ascii="黑体" w:eastAsia="黑体" w:cs="黑体"/>
          <w:color w:val="000000"/>
          <w:kern w:val="0"/>
          <w:sz w:val="70"/>
          <w:szCs w:val="70"/>
        </w:rPr>
      </w:pPr>
    </w:p>
    <w:p w:rsidR="00ED343D" w:rsidRDefault="00A5623A">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ED343D" w:rsidRDefault="00A5623A">
      <w:pPr>
        <w:widowControl/>
        <w:jc w:val="left"/>
        <w:rPr>
          <w:rFonts w:asciiTheme="minorEastAsia" w:hAnsiTheme="minorEastAsia" w:cs="黑体"/>
          <w:color w:val="000000"/>
          <w:kern w:val="0"/>
          <w:sz w:val="32"/>
          <w:szCs w:val="32"/>
        </w:rPr>
      </w:pPr>
      <w:r>
        <w:rPr>
          <w:rFonts w:ascii="黑体" w:eastAsia="黑体" w:cs="黑体"/>
          <w:color w:val="000000"/>
          <w:kern w:val="0"/>
          <w:sz w:val="70"/>
          <w:szCs w:val="70"/>
        </w:rPr>
        <w:br w:type="page"/>
      </w:r>
    </w:p>
    <w:p w:rsidR="00ED343D" w:rsidRDefault="00A5623A">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lastRenderedPageBreak/>
        <w:t>一、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ED343D" w:rsidRDefault="00A5623A">
      <w:pPr>
        <w:ind w:firstLineChars="200" w:firstLine="64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ED343D" w:rsidRDefault="00ED343D">
      <w:pPr>
        <w:widowControl/>
        <w:jc w:val="left"/>
        <w:rPr>
          <w:rFonts w:asciiTheme="minorEastAsia" w:eastAsia="黑体" w:hAnsiTheme="minorEastAsia" w:cs="黑体"/>
          <w:color w:val="000000"/>
          <w:kern w:val="0"/>
          <w:sz w:val="28"/>
          <w:szCs w:val="32"/>
        </w:rPr>
      </w:pPr>
    </w:p>
    <w:p w:rsidR="00ED343D" w:rsidRDefault="00ED343D">
      <w:pPr>
        <w:pStyle w:val="Default"/>
        <w:rPr>
          <w:sz w:val="72"/>
          <w:szCs w:val="72"/>
        </w:rPr>
      </w:pPr>
    </w:p>
    <w:p w:rsidR="00ED343D" w:rsidRDefault="00ED343D">
      <w:pPr>
        <w:pStyle w:val="Default"/>
        <w:rPr>
          <w:sz w:val="72"/>
          <w:szCs w:val="72"/>
        </w:rPr>
      </w:pPr>
    </w:p>
    <w:p w:rsidR="00ED343D" w:rsidRDefault="00ED343D">
      <w:pPr>
        <w:pStyle w:val="Default"/>
        <w:rPr>
          <w:sz w:val="72"/>
          <w:szCs w:val="72"/>
        </w:rPr>
      </w:pPr>
    </w:p>
    <w:p w:rsidR="00ED343D" w:rsidRDefault="00ED343D">
      <w:pPr>
        <w:pStyle w:val="Default"/>
        <w:rPr>
          <w:sz w:val="72"/>
          <w:szCs w:val="72"/>
        </w:rPr>
      </w:pPr>
    </w:p>
    <w:p w:rsidR="00ED343D" w:rsidRDefault="00ED343D">
      <w:pPr>
        <w:pStyle w:val="Default"/>
        <w:rPr>
          <w:sz w:val="72"/>
          <w:szCs w:val="72"/>
        </w:rPr>
      </w:pPr>
    </w:p>
    <w:p w:rsidR="00ED343D" w:rsidRDefault="00ED343D">
      <w:pPr>
        <w:pStyle w:val="Default"/>
        <w:rPr>
          <w:sz w:val="72"/>
          <w:szCs w:val="72"/>
        </w:rPr>
      </w:pPr>
    </w:p>
    <w:p w:rsidR="00ED343D" w:rsidRDefault="00ED343D">
      <w:pPr>
        <w:pStyle w:val="Default"/>
        <w:rPr>
          <w:sz w:val="72"/>
          <w:szCs w:val="72"/>
        </w:rPr>
      </w:pPr>
    </w:p>
    <w:p w:rsidR="00ED343D" w:rsidRDefault="00ED343D">
      <w:pPr>
        <w:pStyle w:val="Default"/>
        <w:rPr>
          <w:sz w:val="72"/>
          <w:szCs w:val="72"/>
        </w:rPr>
      </w:pPr>
    </w:p>
    <w:p w:rsidR="00ED343D" w:rsidRDefault="00ED343D">
      <w:pPr>
        <w:pStyle w:val="Default"/>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ED343D">
      <w:pPr>
        <w:pStyle w:val="Default"/>
        <w:jc w:val="center"/>
        <w:rPr>
          <w:sz w:val="72"/>
          <w:szCs w:val="72"/>
        </w:rPr>
      </w:pPr>
    </w:p>
    <w:p w:rsidR="00ED343D" w:rsidRDefault="00A5623A">
      <w:pPr>
        <w:pStyle w:val="Default"/>
        <w:jc w:val="center"/>
        <w:rPr>
          <w:sz w:val="72"/>
          <w:szCs w:val="72"/>
        </w:rPr>
      </w:pPr>
      <w:r>
        <w:rPr>
          <w:rFonts w:hint="eastAsia"/>
          <w:sz w:val="72"/>
          <w:szCs w:val="72"/>
        </w:rPr>
        <w:t>第五部分</w:t>
      </w:r>
    </w:p>
    <w:p w:rsidR="00ED343D" w:rsidRDefault="00A5623A" w:rsidP="00C74832">
      <w:pPr>
        <w:ind w:firstLineChars="200" w:firstLine="723"/>
        <w:jc w:val="center"/>
        <w:rPr>
          <w:rFonts w:asciiTheme="minorEastAsia" w:hAnsiTheme="minorEastAsia" w:cs="黑体"/>
          <w:b/>
          <w:color w:val="000000"/>
          <w:kern w:val="0"/>
          <w:sz w:val="36"/>
          <w:szCs w:val="32"/>
        </w:rPr>
      </w:pPr>
      <w:r>
        <w:rPr>
          <w:rFonts w:asciiTheme="minorEastAsia" w:hAnsiTheme="minorEastAsia" w:cs="黑体" w:hint="eastAsia"/>
          <w:b/>
          <w:color w:val="000000"/>
          <w:kern w:val="0"/>
          <w:sz w:val="36"/>
          <w:szCs w:val="32"/>
        </w:rPr>
        <w:t>2020</w:t>
      </w:r>
      <w:r>
        <w:rPr>
          <w:rFonts w:asciiTheme="minorEastAsia" w:hAnsiTheme="minorEastAsia" w:cs="黑体" w:hint="eastAsia"/>
          <w:b/>
          <w:color w:val="000000"/>
          <w:kern w:val="0"/>
          <w:sz w:val="36"/>
          <w:szCs w:val="32"/>
        </w:rPr>
        <w:t>年度部门整体支出绩效评价报告</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一、部门概况</w:t>
      </w:r>
    </w:p>
    <w:p w:rsidR="00ED343D" w:rsidRDefault="00A5623A">
      <w:pPr>
        <w:spacing w:line="312" w:lineRule="auto"/>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（一）基本情况</w:t>
      </w:r>
    </w:p>
    <w:p w:rsidR="00ED343D" w:rsidRDefault="00A5623A">
      <w:pPr>
        <w:widowControl/>
        <w:spacing w:line="312" w:lineRule="auto"/>
        <w:ind w:firstLine="43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、单位基本职能：</w:t>
      </w:r>
    </w:p>
    <w:p w:rsidR="00ED343D" w:rsidRDefault="00A5623A">
      <w:pPr>
        <w:autoSpaceDN w:val="0"/>
        <w:spacing w:line="480" w:lineRule="exact"/>
        <w:ind w:leftChars="400" w:left="840" w:firstLineChars="50" w:firstLine="160"/>
        <w:jc w:val="left"/>
        <w:textAlignment w:val="center"/>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承担本学区范围内学生的小学阶段义务教育，包括思想品德、科学文化、体育、美育及劳动技能教育；</w:t>
      </w:r>
    </w:p>
    <w:p w:rsidR="00ED343D" w:rsidRDefault="00A5623A">
      <w:pPr>
        <w:autoSpaceDN w:val="0"/>
        <w:spacing w:line="480" w:lineRule="exact"/>
        <w:ind w:firstLineChars="350" w:firstLine="1120"/>
        <w:jc w:val="left"/>
        <w:textAlignment w:val="center"/>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w:t>
      </w:r>
      <w:r>
        <w:rPr>
          <w:rFonts w:asciiTheme="minorEastAsia" w:hAnsiTheme="minorEastAsia" w:cs="黑体" w:hint="eastAsia"/>
          <w:color w:val="000000"/>
          <w:kern w:val="0"/>
          <w:sz w:val="32"/>
          <w:szCs w:val="32"/>
        </w:rPr>
        <w:t>负责本校教师的政治思想教育和业务培训；</w:t>
      </w:r>
    </w:p>
    <w:p w:rsidR="00ED343D" w:rsidRDefault="00A5623A">
      <w:pPr>
        <w:widowControl/>
        <w:spacing w:line="480" w:lineRule="exact"/>
        <w:ind w:firstLineChars="350" w:firstLine="1120"/>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负责师生的在校安全保卫及后勤服务。</w:t>
      </w:r>
    </w:p>
    <w:p w:rsidR="00ED343D" w:rsidRDefault="00A5623A">
      <w:pPr>
        <w:widowControl/>
        <w:spacing w:line="312" w:lineRule="auto"/>
        <w:ind w:firstLine="430"/>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t xml:space="preserve"> </w:t>
      </w:r>
    </w:p>
    <w:p w:rsidR="00ED343D" w:rsidRDefault="00A5623A">
      <w:pPr>
        <w:widowControl/>
        <w:ind w:leftChars="150" w:left="315"/>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w:t>
      </w:r>
      <w:r>
        <w:rPr>
          <w:rFonts w:asciiTheme="minorEastAsia" w:hAnsiTheme="minorEastAsia" w:cs="黑体" w:hint="eastAsia"/>
          <w:color w:val="000000"/>
          <w:kern w:val="0"/>
          <w:sz w:val="32"/>
          <w:szCs w:val="32"/>
        </w:rPr>
        <w:t>、学校设置有教导处、德育处、党办、安全办、行政办公室、工会、财务室等部门，共有教师</w:t>
      </w:r>
      <w:r>
        <w:rPr>
          <w:rFonts w:asciiTheme="minorEastAsia" w:hAnsiTheme="minorEastAsia" w:cs="黑体" w:hint="eastAsia"/>
          <w:color w:val="000000"/>
          <w:kern w:val="0"/>
          <w:sz w:val="32"/>
          <w:szCs w:val="32"/>
        </w:rPr>
        <w:t>115</w:t>
      </w:r>
      <w:r>
        <w:rPr>
          <w:rFonts w:asciiTheme="minorEastAsia" w:hAnsiTheme="minorEastAsia" w:cs="黑体" w:hint="eastAsia"/>
          <w:color w:val="000000"/>
          <w:kern w:val="0"/>
          <w:sz w:val="32"/>
          <w:szCs w:val="32"/>
        </w:rPr>
        <w:t>名。共有</w:t>
      </w:r>
      <w:r>
        <w:rPr>
          <w:rFonts w:asciiTheme="minorEastAsia" w:hAnsiTheme="minorEastAsia" w:cs="黑体" w:hint="eastAsia"/>
          <w:color w:val="000000"/>
          <w:kern w:val="0"/>
          <w:sz w:val="32"/>
          <w:szCs w:val="32"/>
        </w:rPr>
        <w:t>46</w:t>
      </w:r>
      <w:r>
        <w:rPr>
          <w:rFonts w:asciiTheme="minorEastAsia" w:hAnsiTheme="minorEastAsia" w:cs="黑体" w:hint="eastAsia"/>
          <w:color w:val="000000"/>
          <w:kern w:val="0"/>
          <w:sz w:val="32"/>
          <w:szCs w:val="32"/>
        </w:rPr>
        <w:t>个班级，学生</w:t>
      </w:r>
      <w:r>
        <w:rPr>
          <w:rFonts w:asciiTheme="minorEastAsia" w:hAnsiTheme="minorEastAsia" w:cs="黑体" w:hint="eastAsia"/>
          <w:color w:val="000000"/>
          <w:kern w:val="0"/>
          <w:sz w:val="32"/>
          <w:szCs w:val="32"/>
        </w:rPr>
        <w:t>2213</w:t>
      </w:r>
      <w:r>
        <w:rPr>
          <w:rFonts w:asciiTheme="minorEastAsia" w:hAnsiTheme="minorEastAsia" w:cs="黑体" w:hint="eastAsia"/>
          <w:color w:val="000000"/>
          <w:kern w:val="0"/>
          <w:sz w:val="32"/>
          <w:szCs w:val="32"/>
        </w:rPr>
        <w:t>人。</w:t>
      </w:r>
    </w:p>
    <w:p w:rsidR="00ED343D" w:rsidRDefault="00ED343D">
      <w:pPr>
        <w:widowControl/>
        <w:spacing w:line="312" w:lineRule="auto"/>
        <w:ind w:firstLine="430"/>
        <w:jc w:val="left"/>
        <w:rPr>
          <w:rFonts w:asciiTheme="minorEastAsia" w:hAnsiTheme="minorEastAsia" w:cs="黑体"/>
          <w:color w:val="000000"/>
          <w:kern w:val="0"/>
          <w:sz w:val="32"/>
          <w:szCs w:val="32"/>
        </w:rPr>
      </w:pP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2020</w:t>
      </w:r>
      <w:r>
        <w:rPr>
          <w:rFonts w:asciiTheme="minorEastAsia" w:hAnsiTheme="minorEastAsia" w:cs="黑体" w:hint="eastAsia"/>
          <w:color w:val="000000"/>
          <w:kern w:val="0"/>
          <w:sz w:val="32"/>
          <w:szCs w:val="32"/>
        </w:rPr>
        <w:t>年全年支出</w:t>
      </w:r>
      <w:r>
        <w:rPr>
          <w:rFonts w:asciiTheme="minorEastAsia" w:hAnsiTheme="minorEastAsia" w:cs="黑体" w:hint="eastAsia"/>
          <w:color w:val="000000"/>
          <w:kern w:val="0"/>
          <w:sz w:val="32"/>
          <w:szCs w:val="32"/>
        </w:rPr>
        <w:t>2261.63</w:t>
      </w:r>
      <w:r>
        <w:rPr>
          <w:rFonts w:asciiTheme="minorEastAsia" w:hAnsiTheme="minorEastAsia" w:cs="黑体" w:hint="eastAsia"/>
          <w:color w:val="000000"/>
          <w:kern w:val="0"/>
          <w:sz w:val="32"/>
          <w:szCs w:val="32"/>
        </w:rPr>
        <w:t>万元，主要用于人员经费和日常公用经费开支。</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二、部门整体支出管理及使用情况</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lastRenderedPageBreak/>
        <w:t>（一）基本支出</w:t>
      </w:r>
    </w:p>
    <w:p w:rsidR="00ED343D" w:rsidRDefault="00A5623A">
      <w:pPr>
        <w:widowControl/>
        <w:ind w:firstLineChars="200" w:firstLine="640"/>
        <w:jc w:val="left"/>
        <w:rPr>
          <w:rFonts w:asciiTheme="minorEastAsia" w:hAnsiTheme="minorEastAsia" w:cs="黑体"/>
          <w:color w:val="000000"/>
          <w:kern w:val="0"/>
          <w:sz w:val="32"/>
          <w:szCs w:val="32"/>
        </w:rPr>
      </w:pPr>
      <w:r>
        <w:rPr>
          <w:rFonts w:asciiTheme="minorEastAsia" w:hAnsiTheme="minorEastAsia" w:cs="黑体"/>
          <w:color w:val="000000"/>
          <w:kern w:val="0"/>
          <w:sz w:val="32"/>
          <w:szCs w:val="32"/>
        </w:rPr>
        <w:t>本年总支出为</w:t>
      </w:r>
      <w:r>
        <w:rPr>
          <w:rFonts w:asciiTheme="minorEastAsia" w:hAnsiTheme="minorEastAsia" w:cs="黑体"/>
          <w:color w:val="000000"/>
          <w:kern w:val="0"/>
          <w:sz w:val="32"/>
          <w:szCs w:val="32"/>
        </w:rPr>
        <w:t> </w:t>
      </w:r>
      <w:r>
        <w:rPr>
          <w:rFonts w:asciiTheme="minorEastAsia" w:hAnsiTheme="minorEastAsia" w:cs="黑体" w:hint="eastAsia"/>
          <w:color w:val="000000"/>
          <w:kern w:val="0"/>
          <w:sz w:val="32"/>
          <w:szCs w:val="32"/>
        </w:rPr>
        <w:t>2255.63</w:t>
      </w:r>
      <w:r>
        <w:rPr>
          <w:rFonts w:asciiTheme="minorEastAsia" w:hAnsiTheme="minorEastAsia" w:cs="黑体"/>
          <w:color w:val="000000"/>
          <w:kern w:val="0"/>
          <w:sz w:val="32"/>
          <w:szCs w:val="32"/>
        </w:rPr>
        <w:t>万元，其中工资福利支出</w:t>
      </w:r>
      <w:r>
        <w:rPr>
          <w:rFonts w:asciiTheme="minorEastAsia" w:hAnsiTheme="minorEastAsia" w:cs="黑体" w:hint="eastAsia"/>
          <w:color w:val="000000"/>
          <w:kern w:val="0"/>
          <w:sz w:val="32"/>
          <w:szCs w:val="32"/>
        </w:rPr>
        <w:t>1752.92</w:t>
      </w:r>
      <w:r>
        <w:rPr>
          <w:rFonts w:asciiTheme="minorEastAsia" w:hAnsiTheme="minorEastAsia" w:cs="黑体"/>
          <w:color w:val="000000"/>
          <w:kern w:val="0"/>
          <w:sz w:val="32"/>
          <w:szCs w:val="32"/>
        </w:rPr>
        <w:t>万元，占</w:t>
      </w:r>
      <w:r>
        <w:rPr>
          <w:rFonts w:asciiTheme="minorEastAsia" w:hAnsiTheme="minorEastAsia" w:cs="黑体" w:hint="eastAsia"/>
          <w:color w:val="000000"/>
          <w:kern w:val="0"/>
          <w:sz w:val="32"/>
          <w:szCs w:val="32"/>
        </w:rPr>
        <w:t>比</w:t>
      </w:r>
      <w:r>
        <w:rPr>
          <w:rFonts w:asciiTheme="minorEastAsia" w:hAnsiTheme="minorEastAsia" w:cs="黑体" w:hint="eastAsia"/>
          <w:color w:val="000000"/>
          <w:kern w:val="0"/>
          <w:sz w:val="32"/>
          <w:szCs w:val="32"/>
        </w:rPr>
        <w:t>77.70</w:t>
      </w:r>
      <w:r>
        <w:rPr>
          <w:rFonts w:asciiTheme="minorEastAsia" w:hAnsiTheme="minorEastAsia" w:cs="黑体"/>
          <w:color w:val="000000"/>
          <w:kern w:val="0"/>
          <w:sz w:val="32"/>
          <w:szCs w:val="32"/>
        </w:rPr>
        <w:t>%</w:t>
      </w:r>
      <w:r>
        <w:rPr>
          <w:rFonts w:asciiTheme="minorEastAsia" w:hAnsiTheme="minorEastAsia" w:cs="黑体"/>
          <w:color w:val="000000"/>
          <w:kern w:val="0"/>
          <w:sz w:val="32"/>
          <w:szCs w:val="32"/>
        </w:rPr>
        <w:t>，较上年</w:t>
      </w:r>
      <w:r>
        <w:rPr>
          <w:rFonts w:asciiTheme="minorEastAsia" w:hAnsiTheme="minorEastAsia" w:cs="黑体" w:hint="eastAsia"/>
          <w:color w:val="000000"/>
          <w:kern w:val="0"/>
          <w:sz w:val="32"/>
          <w:szCs w:val="32"/>
        </w:rPr>
        <w:t>增加</w:t>
      </w:r>
      <w:r>
        <w:rPr>
          <w:rFonts w:asciiTheme="minorEastAsia" w:hAnsiTheme="minorEastAsia" w:cs="黑体" w:hint="eastAsia"/>
          <w:color w:val="000000"/>
          <w:kern w:val="0"/>
          <w:sz w:val="32"/>
          <w:szCs w:val="32"/>
        </w:rPr>
        <w:t>137.36</w:t>
      </w:r>
      <w:r>
        <w:rPr>
          <w:rFonts w:asciiTheme="minorEastAsia" w:hAnsiTheme="minorEastAsia" w:cs="黑体"/>
          <w:color w:val="000000"/>
          <w:kern w:val="0"/>
          <w:sz w:val="32"/>
          <w:szCs w:val="32"/>
        </w:rPr>
        <w:t>万元，主要原</w:t>
      </w:r>
      <w:r>
        <w:rPr>
          <w:rFonts w:asciiTheme="minorEastAsia" w:hAnsiTheme="minorEastAsia" w:cs="黑体" w:hint="eastAsia"/>
          <w:color w:val="000000"/>
          <w:kern w:val="0"/>
          <w:sz w:val="32"/>
          <w:szCs w:val="32"/>
        </w:rPr>
        <w:t>因为</w:t>
      </w:r>
      <w:r>
        <w:rPr>
          <w:rFonts w:asciiTheme="minorEastAsia" w:hAnsiTheme="minorEastAsia" w:cs="黑体" w:hint="eastAsia"/>
          <w:color w:val="000000"/>
          <w:kern w:val="0"/>
          <w:sz w:val="32"/>
          <w:szCs w:val="32"/>
        </w:rPr>
        <w:t>2020</w:t>
      </w:r>
      <w:r>
        <w:rPr>
          <w:rFonts w:asciiTheme="minorEastAsia" w:hAnsiTheme="minorEastAsia" w:cs="黑体" w:hint="eastAsia"/>
          <w:color w:val="000000"/>
          <w:kern w:val="0"/>
          <w:sz w:val="32"/>
          <w:szCs w:val="32"/>
        </w:rPr>
        <w:t>年增加了课后服务费</w:t>
      </w:r>
      <w:r>
        <w:rPr>
          <w:rFonts w:asciiTheme="minorEastAsia" w:hAnsiTheme="minorEastAsia" w:cs="黑体"/>
          <w:color w:val="000000"/>
          <w:kern w:val="0"/>
          <w:sz w:val="32"/>
          <w:szCs w:val="32"/>
        </w:rPr>
        <w:t>；商品和服务支出</w:t>
      </w:r>
      <w:r>
        <w:rPr>
          <w:rFonts w:asciiTheme="minorEastAsia" w:hAnsiTheme="minorEastAsia" w:cs="黑体"/>
          <w:color w:val="000000"/>
          <w:kern w:val="0"/>
          <w:sz w:val="32"/>
          <w:szCs w:val="32"/>
        </w:rPr>
        <w:t xml:space="preserve"> </w:t>
      </w:r>
      <w:r>
        <w:rPr>
          <w:rFonts w:asciiTheme="minorEastAsia" w:hAnsiTheme="minorEastAsia" w:cs="黑体" w:hint="eastAsia"/>
          <w:color w:val="000000"/>
          <w:kern w:val="0"/>
          <w:sz w:val="32"/>
          <w:szCs w:val="32"/>
        </w:rPr>
        <w:t>502.71</w:t>
      </w:r>
      <w:r>
        <w:rPr>
          <w:rFonts w:asciiTheme="minorEastAsia" w:hAnsiTheme="minorEastAsia" w:cs="黑体"/>
          <w:color w:val="000000"/>
          <w:kern w:val="0"/>
          <w:sz w:val="32"/>
          <w:szCs w:val="32"/>
        </w:rPr>
        <w:t>万元，占比</w:t>
      </w:r>
      <w:r>
        <w:rPr>
          <w:rFonts w:asciiTheme="minorEastAsia" w:hAnsiTheme="minorEastAsia" w:cs="黑体" w:hint="eastAsia"/>
          <w:color w:val="000000"/>
          <w:kern w:val="0"/>
          <w:sz w:val="32"/>
          <w:szCs w:val="32"/>
        </w:rPr>
        <w:t>22.30</w:t>
      </w:r>
      <w:r>
        <w:rPr>
          <w:rFonts w:asciiTheme="minorEastAsia" w:hAnsiTheme="minorEastAsia" w:cs="黑体"/>
          <w:color w:val="000000"/>
          <w:kern w:val="0"/>
          <w:sz w:val="32"/>
          <w:szCs w:val="32"/>
        </w:rPr>
        <w:t xml:space="preserve">% </w:t>
      </w:r>
      <w:r>
        <w:rPr>
          <w:rFonts w:asciiTheme="minorEastAsia" w:hAnsiTheme="minorEastAsia" w:cs="黑体"/>
          <w:color w:val="000000"/>
          <w:kern w:val="0"/>
          <w:sz w:val="32"/>
          <w:szCs w:val="32"/>
        </w:rPr>
        <w:t>，较上年</w:t>
      </w:r>
      <w:r>
        <w:rPr>
          <w:rFonts w:asciiTheme="minorEastAsia" w:hAnsiTheme="minorEastAsia" w:cs="黑体" w:hint="eastAsia"/>
          <w:color w:val="000000"/>
          <w:kern w:val="0"/>
          <w:sz w:val="32"/>
          <w:szCs w:val="32"/>
        </w:rPr>
        <w:t>增加</w:t>
      </w:r>
      <w:r>
        <w:rPr>
          <w:rFonts w:asciiTheme="minorEastAsia" w:hAnsiTheme="minorEastAsia" w:cs="黑体" w:hint="eastAsia"/>
          <w:color w:val="000000"/>
          <w:kern w:val="0"/>
          <w:sz w:val="32"/>
          <w:szCs w:val="32"/>
        </w:rPr>
        <w:t>385.06</w:t>
      </w:r>
      <w:r>
        <w:rPr>
          <w:rFonts w:asciiTheme="minorEastAsia" w:hAnsiTheme="minorEastAsia" w:cs="黑体"/>
          <w:color w:val="000000"/>
          <w:kern w:val="0"/>
          <w:sz w:val="32"/>
          <w:szCs w:val="32"/>
        </w:rPr>
        <w:t>万元，主要原因为</w:t>
      </w:r>
      <w:r>
        <w:rPr>
          <w:rFonts w:asciiTheme="minorEastAsia" w:hAnsiTheme="minorEastAsia" w:cs="黑体" w:hint="eastAsia"/>
          <w:color w:val="000000"/>
          <w:kern w:val="0"/>
          <w:sz w:val="32"/>
          <w:szCs w:val="32"/>
        </w:rPr>
        <w:t>印刷费增加</w:t>
      </w:r>
      <w:r>
        <w:rPr>
          <w:rFonts w:asciiTheme="minorEastAsia" w:hAnsiTheme="minorEastAsia" w:cs="黑体" w:hint="eastAsia"/>
          <w:color w:val="000000"/>
          <w:kern w:val="0"/>
          <w:sz w:val="32"/>
          <w:szCs w:val="32"/>
        </w:rPr>
        <w:t>30</w:t>
      </w:r>
      <w:r>
        <w:rPr>
          <w:rFonts w:asciiTheme="minorEastAsia" w:hAnsiTheme="minorEastAsia" w:cs="黑体" w:hint="eastAsia"/>
          <w:color w:val="000000"/>
          <w:kern w:val="0"/>
          <w:sz w:val="32"/>
          <w:szCs w:val="32"/>
        </w:rPr>
        <w:t>万元，项目监理咨询费</w:t>
      </w:r>
      <w:r>
        <w:rPr>
          <w:rFonts w:asciiTheme="minorEastAsia" w:hAnsiTheme="minorEastAsia" w:cs="黑体" w:hint="eastAsia"/>
          <w:color w:val="000000"/>
          <w:kern w:val="0"/>
          <w:sz w:val="32"/>
          <w:szCs w:val="32"/>
        </w:rPr>
        <w:t>12</w:t>
      </w:r>
      <w:r>
        <w:rPr>
          <w:rFonts w:asciiTheme="minorEastAsia" w:hAnsiTheme="minorEastAsia" w:cs="黑体" w:hint="eastAsia"/>
          <w:color w:val="000000"/>
          <w:kern w:val="0"/>
          <w:sz w:val="32"/>
          <w:szCs w:val="32"/>
        </w:rPr>
        <w:t>万元，物业管理费增加</w:t>
      </w:r>
      <w:r>
        <w:rPr>
          <w:rFonts w:asciiTheme="minorEastAsia" w:hAnsiTheme="minorEastAsia" w:cs="黑体" w:hint="eastAsia"/>
          <w:color w:val="000000"/>
          <w:kern w:val="0"/>
          <w:sz w:val="32"/>
          <w:szCs w:val="32"/>
        </w:rPr>
        <w:t>50</w:t>
      </w:r>
      <w:r>
        <w:rPr>
          <w:rFonts w:asciiTheme="minorEastAsia" w:hAnsiTheme="minorEastAsia" w:cs="黑体" w:hint="eastAsia"/>
          <w:color w:val="000000"/>
          <w:kern w:val="0"/>
          <w:sz w:val="32"/>
          <w:szCs w:val="32"/>
        </w:rPr>
        <w:t>万元（</w:t>
      </w:r>
      <w:r>
        <w:rPr>
          <w:rFonts w:asciiTheme="minorEastAsia" w:hAnsiTheme="minorEastAsia" w:cs="黑体" w:hint="eastAsia"/>
          <w:color w:val="000000"/>
          <w:kern w:val="0"/>
          <w:sz w:val="32"/>
          <w:szCs w:val="32"/>
        </w:rPr>
        <w:t>2019</w:t>
      </w:r>
      <w:r>
        <w:rPr>
          <w:rFonts w:asciiTheme="minorEastAsia" w:hAnsiTheme="minorEastAsia" w:cs="黑体" w:hint="eastAsia"/>
          <w:color w:val="000000"/>
          <w:kern w:val="0"/>
          <w:sz w:val="32"/>
          <w:szCs w:val="32"/>
        </w:rPr>
        <w:t>年的</w:t>
      </w:r>
      <w:r>
        <w:rPr>
          <w:rFonts w:asciiTheme="minorEastAsia" w:hAnsiTheme="minorEastAsia" w:cs="黑体" w:hint="eastAsia"/>
          <w:color w:val="000000"/>
          <w:kern w:val="0"/>
          <w:sz w:val="32"/>
          <w:szCs w:val="32"/>
        </w:rPr>
        <w:t>23</w:t>
      </w:r>
      <w:r>
        <w:rPr>
          <w:rFonts w:asciiTheme="minorEastAsia" w:hAnsiTheme="minorEastAsia" w:cs="黑体" w:hint="eastAsia"/>
          <w:color w:val="000000"/>
          <w:kern w:val="0"/>
          <w:sz w:val="32"/>
          <w:szCs w:val="32"/>
        </w:rPr>
        <w:t>万元因资金紧张压到</w:t>
      </w:r>
      <w:r>
        <w:rPr>
          <w:rFonts w:asciiTheme="minorEastAsia" w:hAnsiTheme="minorEastAsia" w:cs="黑体" w:hint="eastAsia"/>
          <w:color w:val="000000"/>
          <w:kern w:val="0"/>
          <w:sz w:val="32"/>
          <w:szCs w:val="32"/>
        </w:rPr>
        <w:t>2020</w:t>
      </w:r>
      <w:r>
        <w:rPr>
          <w:rFonts w:asciiTheme="minorEastAsia" w:hAnsiTheme="minorEastAsia" w:cs="黑体" w:hint="eastAsia"/>
          <w:color w:val="000000"/>
          <w:kern w:val="0"/>
          <w:sz w:val="32"/>
          <w:szCs w:val="32"/>
        </w:rPr>
        <w:t>年才支付），维修</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护</w:t>
      </w:r>
      <w:r>
        <w:rPr>
          <w:rFonts w:asciiTheme="minorEastAsia" w:hAnsiTheme="minorEastAsia" w:cs="黑体" w:hint="eastAsia"/>
          <w:color w:val="000000"/>
          <w:kern w:val="0"/>
          <w:sz w:val="32"/>
          <w:szCs w:val="32"/>
        </w:rPr>
        <w:t>)</w:t>
      </w:r>
      <w:r>
        <w:rPr>
          <w:rFonts w:asciiTheme="minorEastAsia" w:hAnsiTheme="minorEastAsia" w:cs="黑体" w:hint="eastAsia"/>
          <w:color w:val="000000"/>
          <w:kern w:val="0"/>
          <w:sz w:val="32"/>
          <w:szCs w:val="32"/>
        </w:rPr>
        <w:t>费用增加</w:t>
      </w:r>
      <w:r>
        <w:rPr>
          <w:rFonts w:asciiTheme="minorEastAsia" w:hAnsiTheme="minorEastAsia" w:cs="黑体" w:hint="eastAsia"/>
          <w:color w:val="000000"/>
          <w:kern w:val="0"/>
          <w:sz w:val="32"/>
          <w:szCs w:val="32"/>
        </w:rPr>
        <w:t>213</w:t>
      </w:r>
      <w:r>
        <w:rPr>
          <w:rFonts w:asciiTheme="minorEastAsia" w:hAnsiTheme="minorEastAsia" w:cs="黑体" w:hint="eastAsia"/>
          <w:color w:val="000000"/>
          <w:kern w:val="0"/>
          <w:sz w:val="32"/>
          <w:szCs w:val="32"/>
        </w:rPr>
        <w:t>万元，劳务费增加</w:t>
      </w:r>
      <w:r>
        <w:rPr>
          <w:rFonts w:asciiTheme="minorEastAsia" w:hAnsiTheme="minorEastAsia" w:cs="黑体" w:hint="eastAsia"/>
          <w:color w:val="000000"/>
          <w:kern w:val="0"/>
          <w:sz w:val="32"/>
          <w:szCs w:val="32"/>
        </w:rPr>
        <w:t>19</w:t>
      </w:r>
      <w:r>
        <w:rPr>
          <w:rFonts w:asciiTheme="minorEastAsia" w:hAnsiTheme="minorEastAsia" w:cs="黑体" w:hint="eastAsia"/>
          <w:color w:val="000000"/>
          <w:kern w:val="0"/>
          <w:sz w:val="32"/>
          <w:szCs w:val="32"/>
        </w:rPr>
        <w:t>万元，工会经费增加</w:t>
      </w:r>
      <w:r>
        <w:rPr>
          <w:rFonts w:asciiTheme="minorEastAsia" w:hAnsiTheme="minorEastAsia" w:cs="黑体" w:hint="eastAsia"/>
          <w:color w:val="000000"/>
          <w:kern w:val="0"/>
          <w:sz w:val="32"/>
          <w:szCs w:val="32"/>
        </w:rPr>
        <w:t>31</w:t>
      </w:r>
      <w:r>
        <w:rPr>
          <w:rFonts w:asciiTheme="minorEastAsia" w:hAnsiTheme="minorEastAsia" w:cs="黑体" w:hint="eastAsia"/>
          <w:color w:val="000000"/>
          <w:kern w:val="0"/>
          <w:sz w:val="32"/>
          <w:szCs w:val="32"/>
        </w:rPr>
        <w:t>万元（原因是</w:t>
      </w:r>
      <w:r>
        <w:rPr>
          <w:rFonts w:asciiTheme="minorEastAsia" w:hAnsiTheme="minorEastAsia" w:cs="黑体" w:hint="eastAsia"/>
          <w:color w:val="000000"/>
          <w:kern w:val="0"/>
          <w:sz w:val="32"/>
          <w:szCs w:val="32"/>
        </w:rPr>
        <w:t>2019</w:t>
      </w:r>
      <w:r>
        <w:rPr>
          <w:rFonts w:asciiTheme="minorEastAsia" w:hAnsiTheme="minorEastAsia" w:cs="黑体" w:hint="eastAsia"/>
          <w:color w:val="000000"/>
          <w:kern w:val="0"/>
          <w:sz w:val="32"/>
          <w:szCs w:val="32"/>
        </w:rPr>
        <w:t>年教师国家规定福利因资金紧张压在</w:t>
      </w:r>
      <w:r>
        <w:rPr>
          <w:rFonts w:asciiTheme="minorEastAsia" w:hAnsiTheme="minorEastAsia" w:cs="黑体" w:hint="eastAsia"/>
          <w:color w:val="000000"/>
          <w:kern w:val="0"/>
          <w:sz w:val="32"/>
          <w:szCs w:val="32"/>
        </w:rPr>
        <w:t>2020</w:t>
      </w:r>
      <w:r>
        <w:rPr>
          <w:rFonts w:asciiTheme="minorEastAsia" w:hAnsiTheme="minorEastAsia" w:cs="黑体" w:hint="eastAsia"/>
          <w:color w:val="000000"/>
          <w:kern w:val="0"/>
          <w:sz w:val="32"/>
          <w:szCs w:val="32"/>
        </w:rPr>
        <w:t>年开支）。</w:t>
      </w:r>
    </w:p>
    <w:p w:rsidR="00ED343D" w:rsidRDefault="00ED343D">
      <w:pPr>
        <w:widowControl/>
        <w:spacing w:line="312" w:lineRule="auto"/>
        <w:ind w:firstLine="480"/>
        <w:rPr>
          <w:rFonts w:asciiTheme="minorEastAsia" w:hAnsiTheme="minorEastAsia" w:cs="黑体"/>
          <w:color w:val="000000"/>
          <w:kern w:val="0"/>
          <w:sz w:val="32"/>
          <w:szCs w:val="32"/>
        </w:rPr>
      </w:pPr>
    </w:p>
    <w:p w:rsidR="00ED343D" w:rsidRDefault="00A5623A">
      <w:pPr>
        <w:widowControl/>
        <w:shd w:val="clear" w:color="auto" w:fill="FFFFFF"/>
        <w:spacing w:line="312" w:lineRule="auto"/>
        <w:ind w:firstLine="645"/>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（二）专项支出</w:t>
      </w:r>
    </w:p>
    <w:p w:rsidR="00ED343D" w:rsidRDefault="00A5623A">
      <w:pPr>
        <w:widowControl/>
        <w:shd w:val="clear" w:color="auto" w:fill="FFFFFF"/>
        <w:spacing w:line="312" w:lineRule="auto"/>
        <w:ind w:firstLine="645"/>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我校全年项目支出</w:t>
      </w:r>
      <w:r>
        <w:rPr>
          <w:rFonts w:asciiTheme="minorEastAsia" w:hAnsiTheme="minorEastAsia" w:cs="黑体" w:hint="eastAsia"/>
          <w:color w:val="000000"/>
          <w:kern w:val="0"/>
          <w:sz w:val="32"/>
          <w:szCs w:val="32"/>
        </w:rPr>
        <w:t>6</w:t>
      </w:r>
      <w:r>
        <w:rPr>
          <w:rFonts w:asciiTheme="minorEastAsia" w:hAnsiTheme="minorEastAsia" w:cs="黑体" w:hint="eastAsia"/>
          <w:color w:val="000000"/>
          <w:kern w:val="0"/>
          <w:sz w:val="32"/>
          <w:szCs w:val="32"/>
        </w:rPr>
        <w:t>万元。全部为专职保安经费。</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（三）</w:t>
      </w:r>
      <w:r>
        <w:rPr>
          <w:rFonts w:asciiTheme="minorEastAsia" w:hAnsiTheme="minorEastAsia" w:cs="黑体" w:hint="eastAsia"/>
          <w:color w:val="000000"/>
          <w:kern w:val="0"/>
          <w:sz w:val="32"/>
          <w:szCs w:val="32"/>
        </w:rPr>
        <w:t>资产管理情况</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我校财务管理制度健全，执行制度严格合规，会计核算符合相关规定，资金专款专用，资金支付依据和开支标准合法合规，严格执行政府采购。资产分为流动资产固定资产，具体包括：银行存款、其他应收款、固定资产。固定资产、办公家具和用品严格按照内部控制规范的《资产管理办法》、《政府采购预算》、《政府采购管理办法》进行配置和处置。我校严格按照财务管理的相关要求，建立了《固定资产管理办法》、《货币资金管理、应收款和无形资产》和《政府采购预算》及《政府采购管理办法》等固定资产和办公用品使用、审批、稽核的内部管理规范。</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2020</w:t>
      </w:r>
      <w:r>
        <w:rPr>
          <w:rFonts w:asciiTheme="minorEastAsia" w:hAnsiTheme="minorEastAsia" w:cs="黑体" w:hint="eastAsia"/>
          <w:color w:val="000000"/>
          <w:kern w:val="0"/>
          <w:sz w:val="32"/>
          <w:szCs w:val="32"/>
        </w:rPr>
        <w:t>年末我校资产原值总额</w:t>
      </w:r>
      <w:r>
        <w:rPr>
          <w:rFonts w:asciiTheme="minorEastAsia" w:hAnsiTheme="minorEastAsia" w:cs="黑体" w:hint="eastAsia"/>
          <w:color w:val="000000"/>
          <w:kern w:val="0"/>
          <w:sz w:val="32"/>
          <w:szCs w:val="32"/>
        </w:rPr>
        <w:t>2568.10</w:t>
      </w:r>
      <w:r>
        <w:rPr>
          <w:rFonts w:asciiTheme="minorEastAsia" w:hAnsiTheme="minorEastAsia" w:cs="黑体" w:hint="eastAsia"/>
          <w:color w:val="000000"/>
          <w:kern w:val="0"/>
          <w:sz w:val="32"/>
          <w:szCs w:val="32"/>
        </w:rPr>
        <w:t>万元。</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三、部门专项组织实施情况</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lastRenderedPageBreak/>
        <w:t>按照市财政局预算科通知有关要求，及时完成相关预算的报送工作，按时完成</w:t>
      </w:r>
      <w:r>
        <w:rPr>
          <w:rFonts w:asciiTheme="minorEastAsia" w:hAnsiTheme="minorEastAsia" w:cs="黑体" w:hint="eastAsia"/>
          <w:color w:val="000000"/>
          <w:kern w:val="0"/>
          <w:sz w:val="32"/>
          <w:szCs w:val="32"/>
        </w:rPr>
        <w:t>2020</w:t>
      </w:r>
      <w:r>
        <w:rPr>
          <w:rFonts w:asciiTheme="minorEastAsia" w:hAnsiTheme="minorEastAsia" w:cs="黑体" w:hint="eastAsia"/>
          <w:color w:val="000000"/>
          <w:kern w:val="0"/>
          <w:sz w:val="32"/>
          <w:szCs w:val="32"/>
        </w:rPr>
        <w:t>年预算编制工作，并按时提交部门预算草案。按规定编制政府采购预算，预算编制全面、科学。</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2020</w:t>
      </w:r>
      <w:r>
        <w:rPr>
          <w:rFonts w:asciiTheme="minorEastAsia" w:hAnsiTheme="minorEastAsia" w:cs="黑体" w:hint="eastAsia"/>
          <w:color w:val="000000"/>
          <w:kern w:val="0"/>
          <w:sz w:val="32"/>
          <w:szCs w:val="32"/>
        </w:rPr>
        <w:t>年部门决算、绩效目标填报及年末结余结转都是严格按照市财政局的要求认真完成。</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财政拨款安排支出主要用于保障我校正常运转、完成日常工作任务以教学任务等相关工作。</w:t>
      </w:r>
      <w:r>
        <w:rPr>
          <w:rFonts w:asciiTheme="minorEastAsia" w:hAnsiTheme="minorEastAsia" w:cs="黑体" w:hint="eastAsia"/>
          <w:color w:val="000000"/>
          <w:kern w:val="0"/>
          <w:sz w:val="32"/>
          <w:szCs w:val="32"/>
        </w:rPr>
        <w:t xml:space="preserve"> </w:t>
      </w:r>
      <w:r>
        <w:rPr>
          <w:rFonts w:asciiTheme="minorEastAsia" w:hAnsiTheme="minorEastAsia" w:cs="黑体" w:hint="eastAsia"/>
          <w:color w:val="000000"/>
          <w:kern w:val="0"/>
          <w:sz w:val="32"/>
          <w:szCs w:val="32"/>
        </w:rPr>
        <w:t>基本支出用于保障我校正常运转的日常支出，包括基本工资、津贴补贴等人员经费以及办公费、印刷费、水电费、办公设</w:t>
      </w:r>
      <w:r>
        <w:rPr>
          <w:rFonts w:asciiTheme="minorEastAsia" w:hAnsiTheme="minorEastAsia" w:cs="黑体" w:hint="eastAsia"/>
          <w:color w:val="000000"/>
          <w:kern w:val="0"/>
          <w:sz w:val="32"/>
          <w:szCs w:val="32"/>
        </w:rPr>
        <w:t>备购置等日常公用经费和学生助学金等支出。项目支出，用于保障我校为完成特定发展目标，用于专项业务工作的经费支出。</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为加强专项项目管理，我校就重点专项项目制定了《专项资金管理制度》等多项专项业务管理办法，各专项业务按照国家相关法律法规、主管部门相关文件精神、业务管理制度和专项资金管理办法实施，并按照相关质量控制体系要求实施专项项目，通过满意度调查，评价为优秀。</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四、单位整体支出绩效评价</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（一）经济效益评价</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本年资金投入进度正常；“三公”经费总体控制较好，未超本年预算和上年决算支出。预算管理方面，建立了《预决算管</w:t>
      </w:r>
      <w:r>
        <w:rPr>
          <w:rFonts w:asciiTheme="minorEastAsia" w:hAnsiTheme="minorEastAsia" w:cs="黑体" w:hint="eastAsia"/>
          <w:color w:val="000000"/>
          <w:kern w:val="0"/>
          <w:sz w:val="32"/>
          <w:szCs w:val="32"/>
        </w:rPr>
        <w:t>理办法》，制度执行总体较为有效，仍需进一步强化；资金使用管理需进一步加强。资产管理方面，建立了《固定资产管理办法》、《货币资金、应收款和无形资产管理办法》、《资产清查办法》等资产管理制度，定期进行了盘点和资产清理，总体执行较好。</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（二）效率性评价和有效性评价</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lastRenderedPageBreak/>
        <w:t>近年来在市委、市政府及上级相关部门的高度重视和关怀下，学校得到了长足发展，基础建设和基本设施趋于完善：根据</w:t>
      </w:r>
      <w:r>
        <w:rPr>
          <w:rFonts w:asciiTheme="minorEastAsia" w:hAnsiTheme="minorEastAsia" w:cs="黑体" w:hint="eastAsia"/>
          <w:color w:val="000000"/>
          <w:kern w:val="0"/>
          <w:sz w:val="32"/>
          <w:szCs w:val="32"/>
        </w:rPr>
        <w:t>2020</w:t>
      </w:r>
      <w:r>
        <w:rPr>
          <w:rFonts w:asciiTheme="minorEastAsia" w:hAnsiTheme="minorEastAsia" w:cs="黑体" w:hint="eastAsia"/>
          <w:color w:val="000000"/>
          <w:kern w:val="0"/>
          <w:sz w:val="32"/>
          <w:szCs w:val="32"/>
        </w:rPr>
        <w:t>年度部门整体支出状况的概述和分析，部门整体支出绩效情况如下：</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学校的相关工程顺利完成，专款专用。项目预算和结算都经市财政投资评审办进行评审</w:t>
      </w:r>
      <w:r>
        <w:rPr>
          <w:rFonts w:asciiTheme="minorEastAsia" w:hAnsiTheme="minorEastAsia" w:cs="黑体" w:hint="eastAsia"/>
          <w:color w:val="000000"/>
          <w:kern w:val="0"/>
          <w:sz w:val="32"/>
          <w:szCs w:val="32"/>
        </w:rPr>
        <w:t>，严格控制成本，把成本降低到最低限度。根据学校实际情况，一般项目都在寒暑假进行，严格控制项目实施进度，不影响正常教学秩序，项目完成质量都是合格。接市财政局绩效自评工作通知，我校认真学习有关文件精神，组织财务、总务人员对照标准逐条予以自评，自我分析评价，总结经验找出不足，我们认为我校所有项目都在按规范走程序，有序进行，严格执行专款专用制度，无截留、挪用、擅自扩大资金使用范围，严格管理，会计核算真实规范。无任何违规现象，总的来说处于良好状态。</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 xml:space="preserve"> </w:t>
      </w:r>
      <w:r>
        <w:rPr>
          <w:rFonts w:asciiTheme="minorEastAsia" w:hAnsiTheme="minorEastAsia" w:cs="黑体" w:hint="eastAsia"/>
          <w:color w:val="000000"/>
          <w:kern w:val="0"/>
          <w:sz w:val="32"/>
          <w:szCs w:val="32"/>
        </w:rPr>
        <w:t>五、存在的主要问题</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学校建校时间较长，教室数量紧张，教学楼老师</w:t>
      </w:r>
      <w:r>
        <w:rPr>
          <w:rFonts w:asciiTheme="minorEastAsia" w:hAnsiTheme="minorEastAsia" w:cs="黑体" w:hint="eastAsia"/>
          <w:color w:val="000000"/>
          <w:kern w:val="0"/>
          <w:sz w:val="32"/>
          <w:szCs w:val="32"/>
        </w:rPr>
        <w:t>办公室不够，操场太小，学生活动空间小，无室内体育场馆等。</w:t>
      </w:r>
      <w:r>
        <w:rPr>
          <w:rFonts w:asciiTheme="minorEastAsia" w:hAnsiTheme="minorEastAsia" w:cs="黑体" w:hint="eastAsia"/>
          <w:color w:val="000000"/>
          <w:kern w:val="0"/>
          <w:sz w:val="32"/>
          <w:szCs w:val="32"/>
        </w:rPr>
        <w:t>2.</w:t>
      </w:r>
      <w:r>
        <w:rPr>
          <w:rFonts w:asciiTheme="minorEastAsia" w:hAnsiTheme="minorEastAsia" w:cs="黑体" w:hint="eastAsia"/>
          <w:color w:val="000000"/>
          <w:kern w:val="0"/>
          <w:sz w:val="32"/>
          <w:szCs w:val="32"/>
        </w:rPr>
        <w:t>公用经费不足，特别专职保安经费严重不足，</w:t>
      </w:r>
      <w:r>
        <w:rPr>
          <w:rFonts w:asciiTheme="minorEastAsia" w:hAnsiTheme="minorEastAsia" w:cs="黑体" w:hint="eastAsia"/>
          <w:color w:val="000000"/>
          <w:kern w:val="0"/>
          <w:sz w:val="32"/>
          <w:szCs w:val="32"/>
        </w:rPr>
        <w:t>2200</w:t>
      </w:r>
      <w:r>
        <w:rPr>
          <w:rFonts w:asciiTheme="minorEastAsia" w:hAnsiTheme="minorEastAsia" w:cs="黑体" w:hint="eastAsia"/>
          <w:color w:val="000000"/>
          <w:kern w:val="0"/>
          <w:sz w:val="32"/>
          <w:szCs w:val="32"/>
        </w:rPr>
        <w:t>多名学生只配套了两名保安经费。</w:t>
      </w:r>
      <w:r>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学校的信息化教学设备严重老化。</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六、有关建议</w:t>
      </w:r>
    </w:p>
    <w:p w:rsidR="00ED343D" w:rsidRDefault="00A5623A">
      <w:pPr>
        <w:widowControl/>
        <w:spacing w:line="312" w:lineRule="auto"/>
        <w:ind w:firstLine="48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w:t>
      </w:r>
      <w:r>
        <w:rPr>
          <w:rFonts w:asciiTheme="minorEastAsia" w:hAnsiTheme="minorEastAsia" w:cs="黑体" w:hint="eastAsia"/>
          <w:color w:val="000000"/>
          <w:kern w:val="0"/>
          <w:sz w:val="32"/>
          <w:szCs w:val="32"/>
        </w:rPr>
        <w:t>新建教学楼和室内体育场馆，</w:t>
      </w:r>
      <w:r>
        <w:rPr>
          <w:rFonts w:asciiTheme="minorEastAsia" w:hAnsiTheme="minorEastAsia" w:cs="黑体" w:hint="eastAsia"/>
          <w:color w:val="000000"/>
          <w:kern w:val="0"/>
          <w:sz w:val="32"/>
          <w:szCs w:val="32"/>
        </w:rPr>
        <w:t>2.</w:t>
      </w:r>
      <w:r>
        <w:rPr>
          <w:rFonts w:asciiTheme="minorEastAsia" w:hAnsiTheme="minorEastAsia" w:cs="黑体" w:hint="eastAsia"/>
          <w:color w:val="000000"/>
          <w:kern w:val="0"/>
          <w:sz w:val="32"/>
          <w:szCs w:val="32"/>
        </w:rPr>
        <w:t>更新教学一线的班班通设备和学生机房。</w:t>
      </w:r>
      <w:r>
        <w:rPr>
          <w:rFonts w:asciiTheme="minorEastAsia" w:hAnsiTheme="minorEastAsia" w:cs="黑体" w:hint="eastAsia"/>
          <w:color w:val="000000"/>
          <w:kern w:val="0"/>
          <w:sz w:val="32"/>
          <w:szCs w:val="32"/>
        </w:rPr>
        <w:t>3.</w:t>
      </w:r>
      <w:r>
        <w:rPr>
          <w:rFonts w:asciiTheme="minorEastAsia" w:hAnsiTheme="minorEastAsia" w:cs="黑体" w:hint="eastAsia"/>
          <w:color w:val="000000"/>
          <w:kern w:val="0"/>
          <w:sz w:val="32"/>
          <w:szCs w:val="32"/>
        </w:rPr>
        <w:t>提高公务卡使用效率，支出尽量采取刷卡或转账模式。</w:t>
      </w:r>
    </w:p>
    <w:p w:rsidR="00ED343D" w:rsidRDefault="00ED343D">
      <w:pPr>
        <w:ind w:firstLineChars="200" w:firstLine="640"/>
        <w:jc w:val="left"/>
        <w:rPr>
          <w:rFonts w:asciiTheme="minorEastAsia" w:hAnsiTheme="minorEastAsia" w:cs="黑体"/>
          <w:color w:val="000000"/>
          <w:kern w:val="0"/>
          <w:sz w:val="32"/>
          <w:szCs w:val="32"/>
        </w:rPr>
      </w:pPr>
    </w:p>
    <w:p w:rsidR="00ED343D" w:rsidRDefault="00ED343D">
      <w:pPr>
        <w:rPr>
          <w:rFonts w:asciiTheme="minorEastAsia" w:hAnsiTheme="minorEastAsia" w:cs="黑体"/>
          <w:color w:val="000000"/>
          <w:kern w:val="0"/>
          <w:sz w:val="32"/>
          <w:szCs w:val="32"/>
        </w:rPr>
      </w:pPr>
    </w:p>
    <w:p w:rsidR="00ED343D" w:rsidRDefault="00ED343D">
      <w:pPr>
        <w:jc w:val="center"/>
        <w:rPr>
          <w:rFonts w:asciiTheme="minorEastAsia" w:hAnsiTheme="minorEastAsia" w:cs="黑体"/>
          <w:color w:val="000000"/>
          <w:kern w:val="0"/>
          <w:sz w:val="32"/>
          <w:szCs w:val="32"/>
        </w:rPr>
      </w:pPr>
    </w:p>
    <w:p w:rsidR="00ED343D" w:rsidRDefault="00ED343D">
      <w:pPr>
        <w:widowControl/>
        <w:jc w:val="left"/>
        <w:rPr>
          <w:rFonts w:asciiTheme="minorEastAsia" w:hAnsiTheme="minorEastAsia" w:cs="黑体"/>
          <w:color w:val="000000"/>
          <w:kern w:val="0"/>
          <w:sz w:val="32"/>
          <w:szCs w:val="32"/>
        </w:rPr>
      </w:pPr>
    </w:p>
    <w:p w:rsidR="00ED343D" w:rsidRDefault="00ED343D">
      <w:pPr>
        <w:pStyle w:val="Default"/>
        <w:rPr>
          <w:rFonts w:asciiTheme="minorEastAsia" w:eastAsiaTheme="minorEastAsia" w:hAnsiTheme="minorEastAsia"/>
          <w:sz w:val="32"/>
          <w:szCs w:val="32"/>
        </w:rPr>
      </w:pPr>
    </w:p>
    <w:p w:rsidR="00ED343D" w:rsidRDefault="00ED343D">
      <w:pPr>
        <w:pStyle w:val="Default"/>
        <w:jc w:val="center"/>
        <w:rPr>
          <w:rFonts w:asciiTheme="minorEastAsia" w:eastAsiaTheme="minorEastAsia" w:hAnsiTheme="minorEastAsia"/>
          <w:sz w:val="32"/>
          <w:szCs w:val="32"/>
        </w:rPr>
      </w:pPr>
    </w:p>
    <w:p w:rsidR="00ED343D" w:rsidRDefault="00ED343D">
      <w:pPr>
        <w:pStyle w:val="Default"/>
        <w:jc w:val="center"/>
        <w:rPr>
          <w:rFonts w:asciiTheme="minorEastAsia" w:eastAsiaTheme="minorEastAsia" w:hAnsiTheme="minorEastAsia"/>
          <w:sz w:val="32"/>
          <w:szCs w:val="32"/>
        </w:rPr>
      </w:pPr>
    </w:p>
    <w:p w:rsidR="00ED343D" w:rsidRDefault="00ED343D">
      <w:pPr>
        <w:pStyle w:val="Default"/>
        <w:rPr>
          <w:rFonts w:asciiTheme="minorEastAsia" w:eastAsiaTheme="minorEastAsia" w:hAnsiTheme="minorEastAsia"/>
          <w:sz w:val="32"/>
          <w:szCs w:val="32"/>
        </w:rPr>
      </w:pPr>
    </w:p>
    <w:sectPr w:rsidR="00ED343D" w:rsidSect="00ED343D">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23A" w:rsidRDefault="00A5623A" w:rsidP="00C74832">
      <w:r>
        <w:separator/>
      </w:r>
    </w:p>
  </w:endnote>
  <w:endnote w:type="continuationSeparator" w:id="0">
    <w:p w:rsidR="00A5623A" w:rsidRDefault="00A5623A" w:rsidP="00C74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23A" w:rsidRDefault="00A5623A" w:rsidP="00C74832">
      <w:r>
        <w:separator/>
      </w:r>
    </w:p>
  </w:footnote>
  <w:footnote w:type="continuationSeparator" w:id="0">
    <w:p w:rsidR="00A5623A" w:rsidRDefault="00A5623A" w:rsidP="00C748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38E6FFB"/>
    <w:multiLevelType w:val="multilevel"/>
    <w:tmpl w:val="438E6FFB"/>
    <w:lvl w:ilvl="0">
      <w:start w:val="1"/>
      <w:numFmt w:val="japaneseCounting"/>
      <w:lvlText w:val="%1、"/>
      <w:lvlJc w:val="left"/>
      <w:pPr>
        <w:ind w:left="1420" w:hanging="72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06F9"/>
    <w:rsid w:val="00017B1F"/>
    <w:rsid w:val="0002229B"/>
    <w:rsid w:val="0002291F"/>
    <w:rsid w:val="00022C14"/>
    <w:rsid w:val="000273BD"/>
    <w:rsid w:val="00035D75"/>
    <w:rsid w:val="00037C7A"/>
    <w:rsid w:val="000415B7"/>
    <w:rsid w:val="00041E3F"/>
    <w:rsid w:val="00055DAA"/>
    <w:rsid w:val="000576D3"/>
    <w:rsid w:val="00061F7B"/>
    <w:rsid w:val="000658A3"/>
    <w:rsid w:val="00072D5B"/>
    <w:rsid w:val="00074155"/>
    <w:rsid w:val="00080E17"/>
    <w:rsid w:val="000A1998"/>
    <w:rsid w:val="000A3F69"/>
    <w:rsid w:val="000A5E85"/>
    <w:rsid w:val="000B6C55"/>
    <w:rsid w:val="000C342A"/>
    <w:rsid w:val="000E18B3"/>
    <w:rsid w:val="000E3059"/>
    <w:rsid w:val="000E3EB2"/>
    <w:rsid w:val="000F7F42"/>
    <w:rsid w:val="00103957"/>
    <w:rsid w:val="00104BD9"/>
    <w:rsid w:val="00114438"/>
    <w:rsid w:val="00124A27"/>
    <w:rsid w:val="0014512C"/>
    <w:rsid w:val="00152C6D"/>
    <w:rsid w:val="00162D39"/>
    <w:rsid w:val="001678BD"/>
    <w:rsid w:val="00173988"/>
    <w:rsid w:val="00185DB4"/>
    <w:rsid w:val="001A67DB"/>
    <w:rsid w:val="001A78BF"/>
    <w:rsid w:val="001C3C29"/>
    <w:rsid w:val="001C5B62"/>
    <w:rsid w:val="001D4F1A"/>
    <w:rsid w:val="001D51E5"/>
    <w:rsid w:val="001E080D"/>
    <w:rsid w:val="001E1C4D"/>
    <w:rsid w:val="001E53D0"/>
    <w:rsid w:val="001F0C3B"/>
    <w:rsid w:val="001F7913"/>
    <w:rsid w:val="00200D05"/>
    <w:rsid w:val="00202C82"/>
    <w:rsid w:val="00207625"/>
    <w:rsid w:val="00210B4D"/>
    <w:rsid w:val="00214427"/>
    <w:rsid w:val="002158BC"/>
    <w:rsid w:val="00223504"/>
    <w:rsid w:val="00226CB7"/>
    <w:rsid w:val="0025210D"/>
    <w:rsid w:val="002642D5"/>
    <w:rsid w:val="00264552"/>
    <w:rsid w:val="00264EF9"/>
    <w:rsid w:val="002653A9"/>
    <w:rsid w:val="00265724"/>
    <w:rsid w:val="00267DCD"/>
    <w:rsid w:val="0027426B"/>
    <w:rsid w:val="002D0BFA"/>
    <w:rsid w:val="002D7169"/>
    <w:rsid w:val="002E0A30"/>
    <w:rsid w:val="002E0BD3"/>
    <w:rsid w:val="003130C4"/>
    <w:rsid w:val="00316C4B"/>
    <w:rsid w:val="0032106F"/>
    <w:rsid w:val="0032192B"/>
    <w:rsid w:val="003342A8"/>
    <w:rsid w:val="003479BD"/>
    <w:rsid w:val="00353197"/>
    <w:rsid w:val="00366E34"/>
    <w:rsid w:val="0037197D"/>
    <w:rsid w:val="003768D5"/>
    <w:rsid w:val="003816D6"/>
    <w:rsid w:val="00392160"/>
    <w:rsid w:val="003B074B"/>
    <w:rsid w:val="003B14F3"/>
    <w:rsid w:val="003C47E6"/>
    <w:rsid w:val="003C4FC2"/>
    <w:rsid w:val="003D35A4"/>
    <w:rsid w:val="003D44E0"/>
    <w:rsid w:val="003F36D7"/>
    <w:rsid w:val="00416E61"/>
    <w:rsid w:val="00417A49"/>
    <w:rsid w:val="0042790C"/>
    <w:rsid w:val="00434CA7"/>
    <w:rsid w:val="004506F9"/>
    <w:rsid w:val="004532F5"/>
    <w:rsid w:val="004717A2"/>
    <w:rsid w:val="00473DF3"/>
    <w:rsid w:val="00487911"/>
    <w:rsid w:val="00491741"/>
    <w:rsid w:val="004B1B13"/>
    <w:rsid w:val="004C0F22"/>
    <w:rsid w:val="004C5CB5"/>
    <w:rsid w:val="004D0DEE"/>
    <w:rsid w:val="004D7FA0"/>
    <w:rsid w:val="004E1511"/>
    <w:rsid w:val="00500E5F"/>
    <w:rsid w:val="0051177F"/>
    <w:rsid w:val="005122EF"/>
    <w:rsid w:val="0051441A"/>
    <w:rsid w:val="00517C33"/>
    <w:rsid w:val="00523644"/>
    <w:rsid w:val="00525DDC"/>
    <w:rsid w:val="005264EE"/>
    <w:rsid w:val="0054069E"/>
    <w:rsid w:val="00544866"/>
    <w:rsid w:val="00560718"/>
    <w:rsid w:val="005721C0"/>
    <w:rsid w:val="0057316F"/>
    <w:rsid w:val="005767CC"/>
    <w:rsid w:val="005819AF"/>
    <w:rsid w:val="00590D9F"/>
    <w:rsid w:val="00595D26"/>
    <w:rsid w:val="005A74E6"/>
    <w:rsid w:val="005B404E"/>
    <w:rsid w:val="005B74B2"/>
    <w:rsid w:val="005C6B3C"/>
    <w:rsid w:val="005D4D55"/>
    <w:rsid w:val="005D5C12"/>
    <w:rsid w:val="005E1D47"/>
    <w:rsid w:val="005E2CFB"/>
    <w:rsid w:val="005F3D1C"/>
    <w:rsid w:val="00605692"/>
    <w:rsid w:val="00616024"/>
    <w:rsid w:val="00616134"/>
    <w:rsid w:val="0062090C"/>
    <w:rsid w:val="0062378F"/>
    <w:rsid w:val="00641842"/>
    <w:rsid w:val="00651EEC"/>
    <w:rsid w:val="0065575B"/>
    <w:rsid w:val="00666AE3"/>
    <w:rsid w:val="00672EAB"/>
    <w:rsid w:val="00691E8C"/>
    <w:rsid w:val="006A165E"/>
    <w:rsid w:val="006A22C4"/>
    <w:rsid w:val="006A351B"/>
    <w:rsid w:val="006B0422"/>
    <w:rsid w:val="006B7620"/>
    <w:rsid w:val="006C1B53"/>
    <w:rsid w:val="006C2A0E"/>
    <w:rsid w:val="006C475B"/>
    <w:rsid w:val="006C6290"/>
    <w:rsid w:val="006D7730"/>
    <w:rsid w:val="006E5284"/>
    <w:rsid w:val="006F3EB5"/>
    <w:rsid w:val="006F6E79"/>
    <w:rsid w:val="00702E34"/>
    <w:rsid w:val="00704395"/>
    <w:rsid w:val="00707299"/>
    <w:rsid w:val="00707E12"/>
    <w:rsid w:val="00712323"/>
    <w:rsid w:val="00714395"/>
    <w:rsid w:val="00717006"/>
    <w:rsid w:val="00717621"/>
    <w:rsid w:val="00720FF1"/>
    <w:rsid w:val="00727A53"/>
    <w:rsid w:val="00744C24"/>
    <w:rsid w:val="00761328"/>
    <w:rsid w:val="00770C9A"/>
    <w:rsid w:val="00787B42"/>
    <w:rsid w:val="00797C22"/>
    <w:rsid w:val="007A4759"/>
    <w:rsid w:val="007B4BD6"/>
    <w:rsid w:val="007C4539"/>
    <w:rsid w:val="007D4CB2"/>
    <w:rsid w:val="007E2F9B"/>
    <w:rsid w:val="007E64AA"/>
    <w:rsid w:val="007F1564"/>
    <w:rsid w:val="007F3657"/>
    <w:rsid w:val="007F741A"/>
    <w:rsid w:val="00812ED5"/>
    <w:rsid w:val="00822710"/>
    <w:rsid w:val="008277D9"/>
    <w:rsid w:val="00840C41"/>
    <w:rsid w:val="00841FC2"/>
    <w:rsid w:val="0084478C"/>
    <w:rsid w:val="00861C9D"/>
    <w:rsid w:val="0086638C"/>
    <w:rsid w:val="00866BB5"/>
    <w:rsid w:val="008A2F40"/>
    <w:rsid w:val="008A3E8D"/>
    <w:rsid w:val="008C2E3F"/>
    <w:rsid w:val="008D7558"/>
    <w:rsid w:val="009115C7"/>
    <w:rsid w:val="009237C4"/>
    <w:rsid w:val="00933D97"/>
    <w:rsid w:val="0093523C"/>
    <w:rsid w:val="00940CCF"/>
    <w:rsid w:val="00944C48"/>
    <w:rsid w:val="00950252"/>
    <w:rsid w:val="0095185A"/>
    <w:rsid w:val="00956010"/>
    <w:rsid w:val="00966355"/>
    <w:rsid w:val="00967F5D"/>
    <w:rsid w:val="009725C3"/>
    <w:rsid w:val="009737D5"/>
    <w:rsid w:val="00975E18"/>
    <w:rsid w:val="00985005"/>
    <w:rsid w:val="009A0F95"/>
    <w:rsid w:val="009B3ADF"/>
    <w:rsid w:val="009B426B"/>
    <w:rsid w:val="009B536B"/>
    <w:rsid w:val="009C225A"/>
    <w:rsid w:val="009C3B52"/>
    <w:rsid w:val="009E3A1B"/>
    <w:rsid w:val="009E622A"/>
    <w:rsid w:val="009E6817"/>
    <w:rsid w:val="009E6E9A"/>
    <w:rsid w:val="009F7C3B"/>
    <w:rsid w:val="00A01D2B"/>
    <w:rsid w:val="00A072A1"/>
    <w:rsid w:val="00A17150"/>
    <w:rsid w:val="00A27772"/>
    <w:rsid w:val="00A30943"/>
    <w:rsid w:val="00A42218"/>
    <w:rsid w:val="00A422F8"/>
    <w:rsid w:val="00A46FA5"/>
    <w:rsid w:val="00A5623A"/>
    <w:rsid w:val="00A6298B"/>
    <w:rsid w:val="00A6300E"/>
    <w:rsid w:val="00A642F1"/>
    <w:rsid w:val="00A70249"/>
    <w:rsid w:val="00A70B02"/>
    <w:rsid w:val="00A71421"/>
    <w:rsid w:val="00A71D9F"/>
    <w:rsid w:val="00A771EB"/>
    <w:rsid w:val="00A92278"/>
    <w:rsid w:val="00A92279"/>
    <w:rsid w:val="00A92E9F"/>
    <w:rsid w:val="00AA269E"/>
    <w:rsid w:val="00AA3EEE"/>
    <w:rsid w:val="00AC665B"/>
    <w:rsid w:val="00AD3A77"/>
    <w:rsid w:val="00B039B2"/>
    <w:rsid w:val="00B04FE4"/>
    <w:rsid w:val="00B0756F"/>
    <w:rsid w:val="00B2277B"/>
    <w:rsid w:val="00B33BEA"/>
    <w:rsid w:val="00B33C8A"/>
    <w:rsid w:val="00B44A22"/>
    <w:rsid w:val="00B57C9F"/>
    <w:rsid w:val="00B63572"/>
    <w:rsid w:val="00B67AC0"/>
    <w:rsid w:val="00B845B3"/>
    <w:rsid w:val="00B85D8B"/>
    <w:rsid w:val="00B8618C"/>
    <w:rsid w:val="00BB4A40"/>
    <w:rsid w:val="00BC25CB"/>
    <w:rsid w:val="00BC5D16"/>
    <w:rsid w:val="00BD331C"/>
    <w:rsid w:val="00BD6C3E"/>
    <w:rsid w:val="00BE3674"/>
    <w:rsid w:val="00BF7E33"/>
    <w:rsid w:val="00C03B68"/>
    <w:rsid w:val="00C10681"/>
    <w:rsid w:val="00C1079B"/>
    <w:rsid w:val="00C3049A"/>
    <w:rsid w:val="00C31B1E"/>
    <w:rsid w:val="00C42358"/>
    <w:rsid w:val="00C56019"/>
    <w:rsid w:val="00C6111C"/>
    <w:rsid w:val="00C622BA"/>
    <w:rsid w:val="00C7279B"/>
    <w:rsid w:val="00C74832"/>
    <w:rsid w:val="00C7757F"/>
    <w:rsid w:val="00C77645"/>
    <w:rsid w:val="00C97D5B"/>
    <w:rsid w:val="00CA0F6E"/>
    <w:rsid w:val="00CA5663"/>
    <w:rsid w:val="00CC73E9"/>
    <w:rsid w:val="00CD49D2"/>
    <w:rsid w:val="00CE04C3"/>
    <w:rsid w:val="00CE4249"/>
    <w:rsid w:val="00CE5608"/>
    <w:rsid w:val="00CE76A0"/>
    <w:rsid w:val="00CF47AE"/>
    <w:rsid w:val="00CF514D"/>
    <w:rsid w:val="00D05F0E"/>
    <w:rsid w:val="00D148C6"/>
    <w:rsid w:val="00D17A8A"/>
    <w:rsid w:val="00D2384F"/>
    <w:rsid w:val="00D415BA"/>
    <w:rsid w:val="00D567BB"/>
    <w:rsid w:val="00D644EE"/>
    <w:rsid w:val="00D801FA"/>
    <w:rsid w:val="00DB417E"/>
    <w:rsid w:val="00DD06FF"/>
    <w:rsid w:val="00DD5FE9"/>
    <w:rsid w:val="00DD60AC"/>
    <w:rsid w:val="00DF4EF6"/>
    <w:rsid w:val="00E00C7A"/>
    <w:rsid w:val="00E37D6C"/>
    <w:rsid w:val="00E5101A"/>
    <w:rsid w:val="00E55B68"/>
    <w:rsid w:val="00E606EA"/>
    <w:rsid w:val="00E67BE6"/>
    <w:rsid w:val="00E730A1"/>
    <w:rsid w:val="00E8683C"/>
    <w:rsid w:val="00E93D61"/>
    <w:rsid w:val="00EA2B72"/>
    <w:rsid w:val="00EC6CED"/>
    <w:rsid w:val="00ED1C79"/>
    <w:rsid w:val="00ED343D"/>
    <w:rsid w:val="00ED34B1"/>
    <w:rsid w:val="00ED6852"/>
    <w:rsid w:val="00ED72C4"/>
    <w:rsid w:val="00EF1666"/>
    <w:rsid w:val="00F14659"/>
    <w:rsid w:val="00F309E7"/>
    <w:rsid w:val="00F33303"/>
    <w:rsid w:val="00F74360"/>
    <w:rsid w:val="00FA29F0"/>
    <w:rsid w:val="00FB462F"/>
    <w:rsid w:val="00FD304E"/>
    <w:rsid w:val="00FE16FA"/>
    <w:rsid w:val="00FE328A"/>
    <w:rsid w:val="00FE6269"/>
    <w:rsid w:val="00FF7654"/>
    <w:rsid w:val="0B6E14E9"/>
    <w:rsid w:val="5F1C3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4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D343D"/>
    <w:rPr>
      <w:sz w:val="18"/>
      <w:szCs w:val="18"/>
    </w:rPr>
  </w:style>
  <w:style w:type="paragraph" w:styleId="a4">
    <w:name w:val="footer"/>
    <w:basedOn w:val="a"/>
    <w:link w:val="Char0"/>
    <w:uiPriority w:val="99"/>
    <w:unhideWhenUsed/>
    <w:qFormat/>
    <w:rsid w:val="00ED343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D343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D343D"/>
    <w:rPr>
      <w:sz w:val="18"/>
      <w:szCs w:val="18"/>
    </w:rPr>
  </w:style>
  <w:style w:type="character" w:customStyle="1" w:styleId="Char0">
    <w:name w:val="页脚 Char"/>
    <w:basedOn w:val="a0"/>
    <w:link w:val="a4"/>
    <w:uiPriority w:val="99"/>
    <w:qFormat/>
    <w:rsid w:val="00ED343D"/>
    <w:rPr>
      <w:sz w:val="18"/>
      <w:szCs w:val="18"/>
    </w:rPr>
  </w:style>
  <w:style w:type="paragraph" w:customStyle="1" w:styleId="Default">
    <w:name w:val="Default"/>
    <w:qFormat/>
    <w:rsid w:val="00ED343D"/>
    <w:pPr>
      <w:widowControl w:val="0"/>
      <w:autoSpaceDE w:val="0"/>
      <w:autoSpaceDN w:val="0"/>
      <w:adjustRightInd w:val="0"/>
    </w:pPr>
    <w:rPr>
      <w:rFonts w:ascii="黑体" w:eastAsia="黑体" w:cs="黑体"/>
      <w:color w:val="000000"/>
      <w:sz w:val="24"/>
      <w:szCs w:val="24"/>
    </w:rPr>
  </w:style>
  <w:style w:type="paragraph" w:styleId="a6">
    <w:name w:val="List Paragraph"/>
    <w:basedOn w:val="a"/>
    <w:uiPriority w:val="34"/>
    <w:qFormat/>
    <w:rsid w:val="00ED343D"/>
    <w:pPr>
      <w:ind w:firstLineChars="200" w:firstLine="420"/>
    </w:pPr>
  </w:style>
  <w:style w:type="character" w:customStyle="1" w:styleId="Char">
    <w:name w:val="批注框文本 Char"/>
    <w:basedOn w:val="a0"/>
    <w:link w:val="a3"/>
    <w:uiPriority w:val="99"/>
    <w:semiHidden/>
    <w:qFormat/>
    <w:rsid w:val="00ED343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0EC33-8983-4CB6-9677-AB966AFA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28</Pages>
  <Words>1959</Words>
  <Characters>11172</Characters>
  <Application>Microsoft Office Word</Application>
  <DocSecurity>0</DocSecurity>
  <Lines>93</Lines>
  <Paragraphs>26</Paragraphs>
  <ScaleCrop>false</ScaleCrop>
  <Company>Microsoft</Company>
  <LinksUpToDate>false</LinksUpToDate>
  <CharactersWithSpaces>13105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154</cp:revision>
  <cp:lastPrinted>2021-09-15T04:33:00Z</cp:lastPrinted>
  <dcterms:created xsi:type="dcterms:W3CDTF">2021-09-08T01:50:00Z</dcterms:created>
  <dcterms:modified xsi:type="dcterms:W3CDTF">2022-06-20T08:21:00Z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