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hint="eastAsia" w:eastAsia="仿宋_GB2312"/>
          <w:sz w:val="32"/>
          <w:szCs w:val="32"/>
          <w:u w:val="single"/>
          <w:lang w:eastAsia="zh-CN"/>
        </w:rPr>
      </w:pPr>
      <w:r>
        <w:rPr>
          <w:rFonts w:hint="eastAsia" w:eastAsia="仿宋_GB2312"/>
          <w:sz w:val="32"/>
          <w:szCs w:val="32"/>
        </w:rPr>
        <w:t>部门(单位)名称：</w:t>
      </w:r>
      <w:r>
        <w:rPr>
          <w:rFonts w:hint="eastAsia" w:eastAsia="仿宋_GB2312"/>
          <w:sz w:val="32"/>
          <w:szCs w:val="32"/>
          <w:u w:val="single"/>
          <w:lang w:eastAsia="zh-CN"/>
        </w:rPr>
        <w:t>岳阳市市场监督管理局</w:t>
      </w:r>
    </w:p>
    <w:p>
      <w:pPr>
        <w:spacing w:beforeLines="50" w:line="348" w:lineRule="auto"/>
        <w:ind w:firstLine="476" w:firstLineChars="150"/>
        <w:rPr>
          <w:rFonts w:hint="default" w:eastAsia="仿宋_GB2312"/>
          <w:spacing w:val="20"/>
          <w:sz w:val="32"/>
          <w:szCs w:val="32"/>
          <w:lang w:val="en-US" w:eastAsia="zh-CN"/>
        </w:rPr>
      </w:pPr>
      <w:r>
        <w:rPr>
          <w:rFonts w:hint="eastAsia" w:eastAsia="仿宋_GB2312"/>
          <w:sz w:val="32"/>
          <w:szCs w:val="32"/>
        </w:rPr>
        <w:t>预</w:t>
      </w:r>
      <w:r>
        <w:rPr>
          <w:rFonts w:hint="eastAsia" w:eastAsia="仿宋_GB2312"/>
          <w:spacing w:val="30"/>
          <w:sz w:val="32"/>
          <w:szCs w:val="32"/>
        </w:rPr>
        <w:t>算编码：</w:t>
      </w:r>
      <w:r>
        <w:rPr>
          <w:rFonts w:hint="eastAsia" w:eastAsia="仿宋_GB2312"/>
          <w:spacing w:val="20"/>
          <w:sz w:val="32"/>
          <w:szCs w:val="32"/>
          <w:u w:val="single"/>
          <w:lang w:val="en-US" w:eastAsia="zh-CN"/>
        </w:rPr>
        <w:t>250001</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w:t>
      </w:r>
      <w:r>
        <w:rPr>
          <w:rFonts w:hint="eastAsia" w:ascii="仿宋_GB2312" w:eastAsia="仿宋_GB2312"/>
          <w:sz w:val="32"/>
          <w:szCs w:val="32"/>
          <w:lang w:eastAsia="zh-CN"/>
        </w:rPr>
        <w:t>岳阳市市场监督管理局整体</w:t>
      </w:r>
      <w:r>
        <w:rPr>
          <w:rFonts w:hint="eastAsia" w:ascii="仿宋_GB2312" w:eastAsia="仿宋_GB2312"/>
          <w:sz w:val="32"/>
          <w:szCs w:val="32"/>
        </w:rPr>
        <w:t>绩效自评</w:t>
      </w:r>
    </w:p>
    <w:p>
      <w:pPr>
        <w:spacing w:beforeLines="50" w:line="348" w:lineRule="auto"/>
        <w:ind w:firstLine="476" w:firstLineChars="150"/>
        <w:rPr>
          <w:rFonts w:hint="eastAsia" w:eastAsia="仿宋_GB2312"/>
          <w:sz w:val="32"/>
          <w:szCs w:val="32"/>
          <w:lang w:eastAsia="zh-CN"/>
        </w:rPr>
      </w:pPr>
      <w:r>
        <w:rPr>
          <w:rFonts w:hint="eastAsia" w:eastAsia="仿宋_GB2312"/>
          <w:sz w:val="32"/>
          <w:szCs w:val="32"/>
        </w:rPr>
        <w:t>评价机构：</w:t>
      </w:r>
      <w:r>
        <w:rPr>
          <w:rFonts w:hint="eastAsia" w:ascii="仿宋_GB2312" w:eastAsia="仿宋_GB2312"/>
          <w:sz w:val="32"/>
          <w:szCs w:val="32"/>
          <w:lang w:eastAsia="zh-CN"/>
        </w:rPr>
        <w:t>岳阳市市场监督管理局绩效</w:t>
      </w:r>
      <w:r>
        <w:rPr>
          <w:rFonts w:hint="eastAsia" w:ascii="仿宋_GB2312" w:eastAsia="仿宋_GB2312"/>
          <w:sz w:val="32"/>
          <w:szCs w:val="32"/>
        </w:rPr>
        <w:t>评价组</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5</w:t>
      </w:r>
      <w:r>
        <w:rPr>
          <w:rFonts w:hint="eastAsia" w:eastAsia="仿宋_GB2312"/>
          <w:sz w:val="32"/>
        </w:rPr>
        <w:t>月</w:t>
      </w:r>
      <w:r>
        <w:rPr>
          <w:rFonts w:hint="eastAsia" w:eastAsia="仿宋_GB2312"/>
          <w:sz w:val="32"/>
          <w:lang w:val="en-US" w:eastAsia="zh-CN"/>
        </w:rPr>
        <w:t>30</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9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101"/>
        <w:gridCol w:w="125"/>
        <w:gridCol w:w="1060"/>
        <w:gridCol w:w="740"/>
        <w:gridCol w:w="139"/>
        <w:gridCol w:w="189"/>
        <w:gridCol w:w="885"/>
        <w:gridCol w:w="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徐瑶</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299"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0730-8224907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1"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539</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299"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339" w:type="dxa"/>
            <w:gridSpan w:val="15"/>
            <w:vAlign w:val="center"/>
          </w:tcPr>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（一）</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负责市场综合监督管理。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负责市场主体统一登记注册工作。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（三）</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负责组织指导市场监管综合执法工作。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（四）</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依委托开展反垄断统一执法调查工作。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（五）</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负责监督管理市场秩序。</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（六）</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负责宏观质量管理。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（七）</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负责产品质量安全监督管理。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（八）负责特种设备安全监督管理。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（九）负责食品安全监督管理综合协调。</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（十）负责食品安全监督管理。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（十一）负责统一管理计量工作。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（十二）负责统一管理标准化工作。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（十三）负责统一管理检验检测工作。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（十五）负责市场监督管理、知识产权领域科技和信息化建设、新闻宣传、对外交流与合作。按规定承担技术性贸易措施有关工作。</w:t>
            </w:r>
          </w:p>
          <w:p>
            <w:pPr>
              <w:spacing w:line="320" w:lineRule="exact"/>
              <w:jc w:val="left"/>
              <w:textAlignment w:val="center"/>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（十六）负责实施知识产权战略，推进知识产权强市建设。</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（十七）负责保护知识产权。</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（十八）负责知识产权创造运用。</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（十九）负责组织开展有关商品和服务领域消费维权工作。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（二十）负责药品（含中药、民族药，下同）、医疗器械和化妆品安全监督管理。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（二十一）监督实施药品、医疗器械、化妆品标准和分类管理制度，配合有关部门实施国家基本药物制度。</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（二十二）负责权限范围内药品、医疗器械和化妆品质量管理。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（二十三）负责权限范围内药品、医疗器械和化妆品上市后风险管理。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（二十四）负责组织实施药品、医疗器械和化妆品监督检查。</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（二十五）负责指导市县市场监督管理部门承担的药品、医疗器械、化妆品有关监督管理工作。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（二十六）按规定要求，承担对口事业服务机构业务工作的指导、协调和监督职责。</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333333"/>
                <w:sz w:val="24"/>
                <w:szCs w:val="24"/>
              </w:rPr>
              <w:t>（二十七）完成市委、市政府交办的其他任务。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1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339" w:type="dxa"/>
            <w:gridSpan w:val="15"/>
            <w:vAlign w:val="center"/>
          </w:tcPr>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楷体" w:eastAsia="仿宋_GB2312"/>
                <w:b w:val="0"/>
                <w:bCs/>
                <w:sz w:val="24"/>
                <w:szCs w:val="24"/>
              </w:rPr>
            </w:pPr>
            <w:r>
              <w:rPr>
                <w:rFonts w:hint="eastAsia" w:ascii="仿宋_GB2312" w:hAnsi="楷体" w:eastAsia="仿宋_GB2312"/>
                <w:b/>
                <w:bCs w:val="0"/>
                <w:sz w:val="24"/>
                <w:szCs w:val="24"/>
                <w:lang w:eastAsia="zh-CN"/>
              </w:rPr>
              <w:t>一是</w:t>
            </w:r>
            <w:r>
              <w:rPr>
                <w:rFonts w:hint="eastAsia" w:ascii="仿宋_GB2312" w:hAnsi="楷体" w:eastAsia="仿宋_GB2312"/>
                <w:b/>
                <w:bCs w:val="0"/>
                <w:sz w:val="24"/>
                <w:szCs w:val="24"/>
              </w:rPr>
              <w:t>突出主题</w:t>
            </w:r>
            <w:r>
              <w:rPr>
                <w:rFonts w:hint="eastAsia" w:ascii="仿宋_GB2312" w:hAnsi="楷体" w:eastAsia="仿宋_GB2312"/>
                <w:b/>
                <w:bCs w:val="0"/>
                <w:sz w:val="24"/>
                <w:szCs w:val="24"/>
                <w:lang w:eastAsia="zh-CN"/>
              </w:rPr>
              <w:t>。</w:t>
            </w:r>
            <w:r>
              <w:rPr>
                <w:rFonts w:hint="eastAsia" w:ascii="仿宋_GB2312" w:hAnsi="仿宋" w:eastAsia="仿宋_GB2312"/>
                <w:sz w:val="24"/>
                <w:szCs w:val="24"/>
              </w:rPr>
              <w:t>扎实开展“不忘初心、牢记使命”主题教育，</w:t>
            </w:r>
            <w:r>
              <w:rPr>
                <w:rFonts w:hint="eastAsia" w:ascii="仿宋_GB2312" w:hAnsi="仿宋" w:eastAsia="仿宋_GB2312"/>
                <w:sz w:val="24"/>
                <w:szCs w:val="24"/>
                <w:lang w:eastAsia="zh-CN"/>
              </w:rPr>
              <w:t>抓班子带队伍</w:t>
            </w:r>
            <w:r>
              <w:rPr>
                <w:rFonts w:hint="eastAsia" w:ascii="仿宋_GB2312" w:hAnsi="仿宋"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仿宋_GB2312" w:hAnsi="楷体" w:eastAsia="仿宋_GB2312"/>
                <w:b w:val="0"/>
                <w:bCs/>
                <w:sz w:val="24"/>
                <w:szCs w:val="24"/>
              </w:rPr>
            </w:pPr>
            <w:r>
              <w:rPr>
                <w:rFonts w:hint="eastAsia" w:ascii="仿宋_GB2312" w:hAnsi="楷体" w:eastAsia="仿宋_GB2312"/>
                <w:b/>
                <w:bCs w:val="0"/>
                <w:sz w:val="24"/>
                <w:szCs w:val="24"/>
                <w:lang w:eastAsia="zh-CN"/>
              </w:rPr>
              <w:t>二是</w:t>
            </w:r>
            <w:r>
              <w:rPr>
                <w:rFonts w:hint="eastAsia" w:ascii="仿宋_GB2312" w:hAnsi="楷体" w:eastAsia="仿宋_GB2312"/>
                <w:b/>
                <w:bCs w:val="0"/>
                <w:sz w:val="24"/>
                <w:szCs w:val="24"/>
              </w:rPr>
              <w:t>突出主线</w:t>
            </w:r>
            <w:r>
              <w:rPr>
                <w:rFonts w:hint="eastAsia" w:ascii="仿宋_GB2312" w:hAnsi="楷体" w:eastAsia="仿宋_GB2312"/>
                <w:b/>
                <w:bCs w:val="0"/>
                <w:sz w:val="24"/>
                <w:szCs w:val="24"/>
                <w:lang w:eastAsia="zh-CN"/>
              </w:rPr>
              <w:t>。</w:t>
            </w:r>
            <w:r>
              <w:rPr>
                <w:rFonts w:hint="eastAsia" w:ascii="仿宋_GB2312" w:hAnsi="仿宋_GB2312" w:eastAsia="仿宋_GB2312" w:cs="仿宋_GB2312"/>
                <w:sz w:val="24"/>
                <w:szCs w:val="24"/>
                <w:lang w:eastAsia="zh-CN"/>
              </w:rPr>
              <w:t>进一步深化</w:t>
            </w:r>
            <w:r>
              <w:rPr>
                <w:rFonts w:hint="eastAsia" w:ascii="仿宋_GB2312" w:hAnsi="仿宋_GB2312" w:eastAsia="仿宋_GB2312" w:cs="仿宋_GB2312"/>
                <w:sz w:val="24"/>
                <w:szCs w:val="24"/>
              </w:rPr>
              <w:t>商事制度</w:t>
            </w:r>
            <w:r>
              <w:rPr>
                <w:rFonts w:hint="eastAsia" w:ascii="仿宋_GB2312" w:hAnsi="仿宋_GB2312" w:eastAsia="仿宋_GB2312" w:cs="仿宋_GB2312"/>
                <w:sz w:val="24"/>
                <w:szCs w:val="24"/>
                <w:lang w:eastAsia="zh-CN"/>
              </w:rPr>
              <w:t>“放管服”</w:t>
            </w:r>
            <w:r>
              <w:rPr>
                <w:rFonts w:hint="eastAsia" w:ascii="仿宋_GB2312" w:hAnsi="仿宋_GB2312" w:eastAsia="仿宋_GB2312" w:cs="仿宋_GB2312"/>
                <w:sz w:val="24"/>
                <w:szCs w:val="24"/>
              </w:rPr>
              <w:t>改革，落实</w:t>
            </w:r>
            <w:r>
              <w:rPr>
                <w:rFonts w:hint="eastAsia" w:ascii="仿宋_GB2312" w:hAnsi="仿宋_GB2312" w:eastAsia="仿宋_GB2312" w:cs="仿宋_GB2312"/>
                <w:sz w:val="24"/>
                <w:szCs w:val="24"/>
                <w:lang w:eastAsia="zh-CN"/>
              </w:rPr>
              <w:t>“最多跑一次”</w:t>
            </w:r>
            <w:r>
              <w:rPr>
                <w:rFonts w:hint="eastAsia" w:ascii="仿宋_GB2312" w:hAnsi="仿宋_GB2312" w:eastAsia="仿宋_GB2312" w:cs="仿宋_GB2312"/>
                <w:sz w:val="24"/>
                <w:szCs w:val="24"/>
              </w:rPr>
              <w:t>“一件事一次办”</w:t>
            </w:r>
            <w:r>
              <w:rPr>
                <w:rFonts w:hint="eastAsia" w:ascii="仿宋_GB2312" w:hAnsi="仿宋_GB2312" w:eastAsia="仿宋_GB2312" w:cs="仿宋_GB2312"/>
                <w:sz w:val="24"/>
                <w:szCs w:val="24"/>
                <w:lang w:eastAsia="zh-CN"/>
              </w:rPr>
              <w:t>改革，巩固成果，形成特色。</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仿宋_GB2312" w:hAnsi="楷体" w:eastAsia="仿宋_GB2312"/>
                <w:b w:val="0"/>
                <w:bCs/>
                <w:sz w:val="24"/>
                <w:szCs w:val="24"/>
              </w:rPr>
            </w:pPr>
            <w:r>
              <w:rPr>
                <w:rFonts w:hint="eastAsia" w:ascii="仿宋_GB2312" w:hAnsi="楷体" w:eastAsia="仿宋_GB2312"/>
                <w:b/>
                <w:bCs w:val="0"/>
                <w:sz w:val="24"/>
                <w:szCs w:val="24"/>
                <w:lang w:eastAsia="zh-CN"/>
              </w:rPr>
              <w:t>三是突出主责。</w:t>
            </w:r>
            <w:r>
              <w:rPr>
                <w:rFonts w:hint="eastAsia" w:ascii="仿宋_GB2312" w:hAnsi="仿宋_GB2312" w:eastAsia="仿宋_GB2312" w:cs="仿宋_GB2312"/>
                <w:sz w:val="24"/>
                <w:szCs w:val="24"/>
                <w:lang w:eastAsia="zh-CN"/>
              </w:rPr>
              <w:t>聚焦食品药品、特种设备、重点工业产品</w:t>
            </w:r>
            <w:r>
              <w:rPr>
                <w:rFonts w:hint="eastAsia" w:ascii="仿宋_GB2312" w:hAnsi="仿宋_GB2312" w:eastAsia="仿宋_GB2312" w:cs="仿宋_GB2312"/>
                <w:sz w:val="24"/>
                <w:szCs w:val="24"/>
              </w:rPr>
              <w:t>监管，</w:t>
            </w:r>
            <w:r>
              <w:rPr>
                <w:rFonts w:hint="eastAsia" w:ascii="仿宋_GB2312" w:hAnsi="仿宋_GB2312" w:eastAsia="仿宋_GB2312" w:cs="仿宋_GB2312"/>
                <w:sz w:val="24"/>
                <w:szCs w:val="24"/>
                <w:lang w:eastAsia="zh-CN"/>
              </w:rPr>
              <w:t>防范风险，</w:t>
            </w:r>
            <w:r>
              <w:rPr>
                <w:rFonts w:hint="eastAsia" w:ascii="仿宋_GB2312" w:hAnsi="仿宋_GB2312" w:eastAsia="仿宋_GB2312" w:cs="仿宋_GB2312"/>
                <w:sz w:val="24"/>
                <w:szCs w:val="24"/>
              </w:rPr>
              <w:t>维护市场公平正义</w:t>
            </w:r>
            <w:r>
              <w:rPr>
                <w:rFonts w:hint="eastAsia" w:ascii="仿宋_GB2312" w:hAnsi="仿宋_GB2312" w:eastAsia="仿宋_GB2312" w:cs="仿宋_GB2312"/>
                <w:sz w:val="24"/>
                <w:szCs w:val="24"/>
                <w:lang w:eastAsia="zh-CN"/>
              </w:rPr>
              <w:t>，让群众买得放心、吃得放心、用得放心</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仿宋_GB2312" w:hAnsi="楷体" w:eastAsia="仿宋_GB2312"/>
                <w:b w:val="0"/>
                <w:bCs/>
                <w:sz w:val="24"/>
                <w:szCs w:val="24"/>
                <w:lang w:val="en-US" w:eastAsia="zh-CN"/>
              </w:rPr>
            </w:pPr>
            <w:r>
              <w:rPr>
                <w:rFonts w:hint="eastAsia" w:ascii="仿宋_GB2312" w:hAnsi="楷体" w:eastAsia="仿宋_GB2312"/>
                <w:b/>
                <w:bCs w:val="0"/>
                <w:sz w:val="24"/>
                <w:szCs w:val="24"/>
                <w:lang w:eastAsia="zh-CN"/>
              </w:rPr>
              <w:t>四是</w:t>
            </w:r>
            <w:r>
              <w:rPr>
                <w:rFonts w:hint="eastAsia" w:ascii="仿宋_GB2312" w:hAnsi="楷体" w:eastAsia="仿宋_GB2312"/>
                <w:b/>
                <w:bCs w:val="0"/>
                <w:sz w:val="24"/>
                <w:szCs w:val="24"/>
              </w:rPr>
              <w:t>突出主业</w:t>
            </w:r>
            <w:r>
              <w:rPr>
                <w:rFonts w:hint="eastAsia" w:ascii="仿宋_GB2312" w:hAnsi="楷体" w:eastAsia="仿宋_GB2312"/>
                <w:b/>
                <w:bCs w:val="0"/>
                <w:sz w:val="24"/>
                <w:szCs w:val="24"/>
                <w:lang w:eastAsia="zh-CN"/>
              </w:rPr>
              <w:t>。</w:t>
            </w:r>
            <w:r>
              <w:rPr>
                <w:rFonts w:hint="eastAsia" w:ascii="仿宋_GB2312" w:hAnsi="楷体" w:eastAsia="仿宋_GB2312"/>
                <w:b w:val="0"/>
                <w:bCs/>
                <w:sz w:val="24"/>
                <w:szCs w:val="24"/>
                <w:lang w:val="en-US" w:eastAsia="zh-CN"/>
              </w:rPr>
              <w:t>提高服务水平，维护消费者合法权益。</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仿宋_GB2312" w:hAnsi="楷体" w:eastAsia="仿宋_GB2312"/>
                <w:b w:val="0"/>
                <w:bCs/>
                <w:sz w:val="32"/>
                <w:szCs w:val="32"/>
                <w:lang w:val="en-US" w:eastAsia="zh-CN"/>
              </w:rPr>
            </w:pPr>
            <w:r>
              <w:rPr>
                <w:rFonts w:hint="eastAsia" w:ascii="仿宋_GB2312" w:hAnsi="楷体" w:eastAsia="仿宋_GB2312"/>
                <w:b/>
                <w:bCs w:val="0"/>
                <w:sz w:val="24"/>
                <w:szCs w:val="24"/>
                <w:lang w:eastAsia="zh-CN"/>
              </w:rPr>
              <w:t>五是</w:t>
            </w:r>
            <w:r>
              <w:rPr>
                <w:rFonts w:hint="eastAsia" w:ascii="仿宋_GB2312" w:hAnsi="楷体" w:eastAsia="仿宋_GB2312"/>
                <w:b/>
                <w:bCs w:val="0"/>
                <w:sz w:val="24"/>
                <w:szCs w:val="24"/>
              </w:rPr>
              <w:t>突出主调</w:t>
            </w:r>
            <w:r>
              <w:rPr>
                <w:rFonts w:hint="eastAsia" w:ascii="仿宋_GB2312" w:hAnsi="楷体" w:eastAsia="仿宋_GB2312"/>
                <w:b/>
                <w:bCs w:val="0"/>
                <w:sz w:val="24"/>
                <w:szCs w:val="24"/>
                <w:lang w:eastAsia="zh-CN"/>
              </w:rPr>
              <w:t>。</w:t>
            </w:r>
            <w:r>
              <w:rPr>
                <w:rFonts w:hint="eastAsia" w:ascii="仿宋_GB2312" w:hAnsi="楷体" w:eastAsia="仿宋_GB2312"/>
                <w:b w:val="0"/>
                <w:bCs/>
                <w:sz w:val="24"/>
                <w:szCs w:val="24"/>
              </w:rPr>
              <w:t>强基础、严执法、保安全、促稳定，打造一支忠诚可靠，</w:t>
            </w:r>
            <w:r>
              <w:rPr>
                <w:rFonts w:hint="eastAsia" w:ascii="仿宋_GB2312" w:hAnsi="楷体" w:eastAsia="仿宋_GB2312"/>
                <w:b w:val="0"/>
                <w:bCs/>
                <w:sz w:val="24"/>
                <w:szCs w:val="24"/>
                <w:lang w:eastAsia="zh-CN"/>
              </w:rPr>
              <w:t>本领高强，</w:t>
            </w:r>
            <w:r>
              <w:rPr>
                <w:rFonts w:hint="eastAsia" w:ascii="仿宋_GB2312" w:hAnsi="楷体" w:eastAsia="仿宋_GB2312"/>
                <w:b w:val="0"/>
                <w:bCs/>
                <w:sz w:val="24"/>
                <w:szCs w:val="24"/>
              </w:rPr>
              <w:t>能打胜仗的市场监管队伍。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339" w:type="dxa"/>
            <w:gridSpan w:val="15"/>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1、全省首创推进企业住所（经营场所）登记承诺制改革。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2、截至11月底，全市新设市场主体90145家，增速全省第一，全市实有市场主体430677户，位居全省第二。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b w:val="0"/>
                <w:bCs w:val="0"/>
                <w:kern w:val="2"/>
                <w:sz w:val="24"/>
                <w:szCs w:val="24"/>
                <w:lang w:val="en-US" w:eastAsia="zh-CN" w:bidi="ar-SA"/>
              </w:rPr>
              <w:t>3、</w:t>
            </w:r>
            <w:r>
              <w:rPr>
                <w:rStyle w:val="20"/>
                <w:rFonts w:ascii="仿宋_GB2312" w:hAnsi="仿宋_GB2312" w:eastAsia="仿宋_GB2312"/>
                <w:b w:val="0"/>
                <w:bCs w:val="0"/>
                <w:kern w:val="2"/>
                <w:sz w:val="24"/>
                <w:szCs w:val="24"/>
                <w:lang w:val="en-US" w:eastAsia="zh-CN" w:bidi="ar-SA"/>
              </w:rPr>
              <w:t>药食同源备案通关新模式</w:t>
            </w:r>
            <w:r>
              <w:rPr>
                <w:rStyle w:val="20"/>
                <w:rFonts w:hint="eastAsia" w:ascii="仿宋_GB2312" w:hAnsi="仿宋_GB2312" w:eastAsia="仿宋_GB2312"/>
                <w:kern w:val="2"/>
                <w:sz w:val="24"/>
                <w:szCs w:val="24"/>
                <w:lang w:val="en-US" w:eastAsia="zh-CN" w:bidi="ar-SA"/>
              </w:rPr>
              <w:t>，被省自贸办推荐参评全省自贸区制度创新典型案例，并</w:t>
            </w:r>
            <w:r>
              <w:rPr>
                <w:rStyle w:val="20"/>
                <w:rFonts w:ascii="仿宋_GB2312" w:hAnsi="仿宋_GB2312" w:eastAsia="仿宋_GB2312"/>
                <w:kern w:val="2"/>
                <w:sz w:val="24"/>
                <w:szCs w:val="24"/>
                <w:lang w:val="en-US" w:eastAsia="zh-CN" w:bidi="ar-SA"/>
              </w:rPr>
              <w:t>在岳阳自贸片区成立一周年巡礼上</w:t>
            </w:r>
            <w:r>
              <w:rPr>
                <w:rStyle w:val="20"/>
                <w:rFonts w:hint="eastAsia" w:ascii="仿宋_GB2312" w:hAnsi="仿宋_GB2312" w:eastAsia="仿宋_GB2312"/>
                <w:kern w:val="2"/>
                <w:sz w:val="24"/>
                <w:szCs w:val="24"/>
                <w:lang w:val="en-US" w:eastAsia="zh-CN" w:bidi="ar-SA"/>
              </w:rPr>
              <w:t>作为</w:t>
            </w:r>
            <w:r>
              <w:rPr>
                <w:rStyle w:val="20"/>
                <w:rFonts w:ascii="仿宋_GB2312" w:hAnsi="仿宋_GB2312" w:eastAsia="仿宋_GB2312"/>
                <w:kern w:val="2"/>
                <w:sz w:val="24"/>
                <w:szCs w:val="24"/>
                <w:lang w:val="en-US" w:eastAsia="zh-CN" w:bidi="ar-SA"/>
              </w:rPr>
              <w:t>15项“首创性”创新成果之一</w:t>
            </w:r>
            <w:r>
              <w:rPr>
                <w:rStyle w:val="20"/>
                <w:rFonts w:hint="eastAsia" w:ascii="仿宋_GB2312" w:hAnsi="仿宋_GB2312" w:eastAsia="仿宋_GB2312"/>
                <w:kern w:val="2"/>
                <w:sz w:val="24"/>
                <w:szCs w:val="24"/>
                <w:lang w:val="en-US" w:eastAsia="zh-CN" w:bidi="ar-SA"/>
              </w:rPr>
              <w:t>获</w:t>
            </w:r>
            <w:r>
              <w:rPr>
                <w:rStyle w:val="20"/>
                <w:rFonts w:ascii="仿宋_GB2312" w:hAnsi="仿宋_GB2312" w:eastAsia="仿宋_GB2312"/>
                <w:kern w:val="2"/>
                <w:sz w:val="24"/>
                <w:szCs w:val="24"/>
                <w:lang w:val="en-US" w:eastAsia="zh-CN" w:bidi="ar-SA"/>
              </w:rPr>
              <w:t>报道</w:t>
            </w:r>
            <w:r>
              <w:rPr>
                <w:rStyle w:val="20"/>
                <w:rFonts w:hint="eastAsia" w:ascii="仿宋_GB2312" w:hAnsi="仿宋_GB2312" w:eastAsia="仿宋_GB2312"/>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4、颁发全省首张“食品经营（仅销售预包装食品）”备案制营业执照。</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5、特种设备安全责任保险工作推进排名全省第一。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仿宋_GB2312" w:hAnsi="仿宋_GB2312" w:eastAsia="仿宋_GB2312" w:cs="仿宋_GB2312"/>
                <w:color w:val="000000"/>
                <w:sz w:val="24"/>
              </w:rPr>
            </w:pPr>
            <w:r>
              <w:rPr>
                <w:rStyle w:val="20"/>
                <w:rFonts w:hint="eastAsia" w:ascii="仿宋_GB2312" w:hAnsi="仿宋_GB2312" w:eastAsia="仿宋_GB2312"/>
                <w:kern w:val="2"/>
                <w:sz w:val="24"/>
                <w:szCs w:val="24"/>
                <w:lang w:val="en-US" w:eastAsia="zh-CN" w:bidi="ar-SA"/>
              </w:rPr>
              <w:t>6、我市药品生产企业共取得药品注册批准文号11个，一致性评价证书8张，位居全省前列。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213"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27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i w:val="0"/>
                <w:color w:val="000000"/>
                <w:kern w:val="0"/>
                <w:sz w:val="22"/>
                <w:szCs w:val="22"/>
                <w:u w:val="none"/>
                <w:lang w:val="en-US" w:eastAsia="zh-CN" w:bidi="ar"/>
              </w:rPr>
              <w:t>16943.96</w:t>
            </w:r>
          </w:p>
        </w:tc>
        <w:tc>
          <w:tcPr>
            <w:tcW w:w="1355" w:type="dxa"/>
            <w:gridSpan w:val="2"/>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i w:val="0"/>
                <w:color w:val="000000"/>
                <w:kern w:val="0"/>
                <w:sz w:val="22"/>
                <w:szCs w:val="22"/>
                <w:u w:val="none"/>
                <w:lang w:val="en-US" w:eastAsia="zh-CN" w:bidi="ar"/>
              </w:rPr>
              <w:t>1631.41</w:t>
            </w:r>
          </w:p>
        </w:tc>
        <w:tc>
          <w:tcPr>
            <w:tcW w:w="108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i w:val="0"/>
                <w:color w:val="000000"/>
                <w:kern w:val="0"/>
                <w:sz w:val="22"/>
                <w:szCs w:val="22"/>
                <w:u w:val="none"/>
                <w:lang w:val="en-US" w:eastAsia="zh-CN" w:bidi="ar"/>
              </w:rPr>
              <w:t>13345.68</w:t>
            </w:r>
          </w:p>
        </w:tc>
        <w:tc>
          <w:tcPr>
            <w:tcW w:w="1705" w:type="dxa"/>
            <w:gridSpan w:val="3"/>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rPr>
            </w:pPr>
          </w:p>
        </w:tc>
        <w:tc>
          <w:tcPr>
            <w:tcW w:w="180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rPr>
            </w:pPr>
          </w:p>
        </w:tc>
        <w:tc>
          <w:tcPr>
            <w:tcW w:w="1273" w:type="dxa"/>
            <w:gridSpan w:val="4"/>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i w:val="0"/>
                <w:color w:val="000000"/>
                <w:kern w:val="0"/>
                <w:sz w:val="22"/>
                <w:szCs w:val="22"/>
                <w:u w:val="none"/>
                <w:lang w:val="en-US" w:eastAsia="zh-CN" w:bidi="ar"/>
              </w:rPr>
              <w:t>1966.87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6999.64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904.76</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6053.63</w:t>
            </w:r>
          </w:p>
        </w:tc>
        <w:tc>
          <w:tcPr>
            <w:tcW w:w="1705"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2464.92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161.29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1707.43</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596.2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3、南湖分局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1311.34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150.20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843.15</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317.99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3</w:t>
            </w:r>
            <w:r>
              <w:rPr>
                <w:rFonts w:ascii="仿宋_GB2312" w:hAnsi="仿宋_GB2312" w:eastAsia="仿宋_GB2312" w:cs="仿宋_GB2312"/>
                <w:color w:val="000000"/>
                <w:sz w:val="24"/>
              </w:rPr>
              <w:t>55.96</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5</w:t>
            </w:r>
            <w:r>
              <w:rPr>
                <w:rFonts w:ascii="仿宋_GB2312" w:hAnsi="仿宋_GB2312" w:eastAsia="仿宋_GB2312" w:cs="仿宋_GB2312"/>
                <w:color w:val="000000"/>
                <w:sz w:val="24"/>
              </w:rPr>
              <w:t>6.33</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88.2</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012.14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ascii="仿宋_GB2312" w:hAnsi="仿宋_GB2312" w:eastAsia="仿宋_GB2312" w:cs="仿宋_GB2312"/>
                <w:color w:val="000000"/>
                <w:sz w:val="24"/>
              </w:rPr>
              <w:t>235.97</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776.17</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6、检验检测中心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3799.96</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122.86</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2677.1</w:t>
            </w:r>
          </w:p>
        </w:tc>
        <w:tc>
          <w:tcPr>
            <w:tcW w:w="1705"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200"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013" w:type="dxa"/>
            <w:gridSpan w:val="5"/>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660"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85"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068"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4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85"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68"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15835.73</w:t>
            </w:r>
          </w:p>
        </w:tc>
        <w:tc>
          <w:tcPr>
            <w:tcW w:w="1355" w:type="dxa"/>
            <w:gridSpan w:val="2"/>
            <w:tcBorders>
              <w:lef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10464.41</w:t>
            </w:r>
          </w:p>
        </w:tc>
        <w:tc>
          <w:tcPr>
            <w:tcW w:w="1080" w:type="dxa"/>
            <w:gridSpan w:val="2"/>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8987.32</w:t>
            </w:r>
          </w:p>
        </w:tc>
        <w:tc>
          <w:tcPr>
            <w:tcW w:w="158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1477.09</w:t>
            </w:r>
          </w:p>
        </w:tc>
        <w:tc>
          <w:tcPr>
            <w:tcW w:w="1185" w:type="dxa"/>
            <w:gridSpan w:val="2"/>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5371.32</w:t>
            </w:r>
          </w:p>
        </w:tc>
        <w:tc>
          <w:tcPr>
            <w:tcW w:w="1068" w:type="dxa"/>
            <w:gridSpan w:val="3"/>
            <w:tcBorders>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-523.17</w:t>
            </w:r>
          </w:p>
        </w:tc>
        <w:tc>
          <w:tcPr>
            <w:tcW w:w="945" w:type="dxa"/>
            <w:gridSpan w:val="2"/>
            <w:tcBorders>
              <w:lef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1108.23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6960.13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4904.64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4387.17</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517.47</w:t>
            </w:r>
          </w:p>
        </w:tc>
        <w:tc>
          <w:tcPr>
            <w:tcW w:w="118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2055.49</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-865.24</w:t>
            </w:r>
          </w:p>
        </w:tc>
        <w:tc>
          <w:tcPr>
            <w:tcW w:w="94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2084.74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1659.66</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1403.43</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256.23</w:t>
            </w:r>
          </w:p>
        </w:tc>
        <w:tc>
          <w:tcPr>
            <w:tcW w:w="118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425.08</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218.89</w:t>
            </w:r>
          </w:p>
        </w:tc>
        <w:tc>
          <w:tcPr>
            <w:tcW w:w="94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380.18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3、南湖分局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1156.32</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640.23</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535.77</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104.46</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516.09</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4.81</w:t>
            </w:r>
          </w:p>
        </w:tc>
        <w:tc>
          <w:tcPr>
            <w:tcW w:w="94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3</w:t>
            </w:r>
            <w:r>
              <w:rPr>
                <w:rFonts w:ascii="仿宋_GB2312" w:hAnsi="仿宋_GB2312" w:eastAsia="仿宋_GB2312" w:cs="仿宋_GB2312"/>
                <w:color w:val="000000"/>
                <w:sz w:val="24"/>
              </w:rPr>
              <w:t>44.62</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42.5</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97.25</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4</w:t>
            </w:r>
            <w:r>
              <w:rPr>
                <w:rFonts w:ascii="仿宋_GB2312" w:hAnsi="仿宋_GB2312" w:eastAsia="仿宋_GB2312" w:cs="仿宋_GB2312"/>
                <w:color w:val="000000"/>
                <w:sz w:val="24"/>
              </w:rPr>
              <w:t>5.25</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02.12</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-44.99</w:t>
            </w:r>
          </w:p>
        </w:tc>
        <w:tc>
          <w:tcPr>
            <w:tcW w:w="88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1.3</w:t>
            </w:r>
            <w:r>
              <w:rPr>
                <w:rFonts w:hint="eastAsia" w:ascii="仿宋_GB2312" w:hAnsi="仿宋_GB2312" w:eastAsia="仿宋_GB2312" w:cs="仿宋_GB2312"/>
                <w:color w:val="000000"/>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946.80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304.64</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ascii="仿宋_GB2312" w:hAnsi="仿宋_GB2312" w:eastAsia="仿宋_GB2312" w:cs="仿宋_GB2312"/>
                <w:color w:val="000000"/>
                <w:sz w:val="24"/>
              </w:rPr>
              <w:t>1133.39</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71.25</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ascii="仿宋_GB2312" w:hAnsi="仿宋_GB2312" w:eastAsia="仿宋_GB2312" w:cs="仿宋_GB2312"/>
                <w:color w:val="000000"/>
                <w:sz w:val="24"/>
              </w:rPr>
              <w:t>642.16</w:t>
            </w:r>
          </w:p>
        </w:tc>
        <w:tc>
          <w:tcPr>
            <w:tcW w:w="1068"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170.63</w:t>
            </w:r>
          </w:p>
        </w:tc>
        <w:tc>
          <w:tcPr>
            <w:tcW w:w="88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6</w:t>
            </w:r>
            <w:r>
              <w:rPr>
                <w:rFonts w:ascii="仿宋_GB2312" w:hAnsi="仿宋_GB2312" w:eastAsia="仿宋_GB2312" w:cs="仿宋_GB2312"/>
                <w:color w:val="000000"/>
                <w:sz w:val="24"/>
              </w:rPr>
              <w:t>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6、检验检测中心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3343.12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1712.74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1330.31</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382.43</w:t>
            </w:r>
          </w:p>
        </w:tc>
        <w:tc>
          <w:tcPr>
            <w:tcW w:w="118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1630.38</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333.98</w:t>
            </w:r>
          </w:p>
        </w:tc>
        <w:tc>
          <w:tcPr>
            <w:tcW w:w="88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456.84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53"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159.86</w:t>
            </w:r>
          </w:p>
        </w:tc>
        <w:tc>
          <w:tcPr>
            <w:tcW w:w="1355" w:type="dxa"/>
            <w:gridSpan w:val="2"/>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28.64</w:t>
            </w:r>
          </w:p>
        </w:tc>
        <w:tc>
          <w:tcPr>
            <w:tcW w:w="108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113.77</w:t>
            </w:r>
          </w:p>
        </w:tc>
        <w:tc>
          <w:tcPr>
            <w:tcW w:w="158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17.44</w:t>
            </w:r>
          </w:p>
        </w:tc>
        <w:tc>
          <w:tcPr>
            <w:tcW w:w="3138" w:type="dxa"/>
            <w:gridSpan w:val="6"/>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68.24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15.07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35.72</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17.44</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27.42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3.69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23.73</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3、南湖分局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10.71</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2.13</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8.58</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4</w:t>
            </w:r>
            <w:r>
              <w:rPr>
                <w:rFonts w:ascii="仿宋_GB2312" w:hAnsi="仿宋_GB2312" w:eastAsia="仿宋_GB2312" w:cs="仿宋_GB2312"/>
                <w:color w:val="000000"/>
                <w:sz w:val="24"/>
              </w:rPr>
              <w:t>.31</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w:t>
            </w:r>
            <w:r>
              <w:rPr>
                <w:rFonts w:ascii="仿宋_GB2312" w:hAnsi="仿宋_GB2312" w:eastAsia="仿宋_GB2312" w:cs="仿宋_GB2312"/>
                <w:color w:val="000000"/>
                <w:sz w:val="24"/>
              </w:rPr>
              <w:t>.51</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3</w:t>
            </w:r>
            <w:r>
              <w:rPr>
                <w:rFonts w:ascii="仿宋_GB2312" w:hAnsi="仿宋_GB2312" w:eastAsia="仿宋_GB2312" w:cs="仿宋_GB2312"/>
                <w:color w:val="000000"/>
                <w:sz w:val="24"/>
              </w:rPr>
              <w:t>.8</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1.93</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4</w:t>
            </w:r>
            <w:r>
              <w:rPr>
                <w:rFonts w:ascii="仿宋_GB2312" w:hAnsi="仿宋_GB2312" w:eastAsia="仿宋_GB2312" w:cs="仿宋_GB2312"/>
                <w:color w:val="000000"/>
                <w:sz w:val="24"/>
              </w:rPr>
              <w:t>.87</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7.06</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821"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6、检验检测中心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27.25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2.37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24.88</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74"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6"/>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074"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6533.32</w:t>
            </w:r>
          </w:p>
        </w:tc>
        <w:tc>
          <w:tcPr>
            <w:tcW w:w="2435" w:type="dxa"/>
            <w:gridSpan w:val="4"/>
            <w:tcBorders>
              <w:left w:val="single" w:color="auto" w:sz="4" w:space="0"/>
            </w:tcBorders>
            <w:vAlign w:val="center"/>
          </w:tcPr>
          <w:p>
            <w:pPr>
              <w:autoSpaceDN w:val="0"/>
              <w:spacing w:line="320" w:lineRule="exact"/>
              <w:ind w:firstLine="720" w:firstLineChars="300"/>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6533.32</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2663.14</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2663.14</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570.82</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570.82</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3、南湖分局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36.48</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36.48</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5</w:t>
            </w:r>
            <w:r>
              <w:rPr>
                <w:rFonts w:ascii="仿宋_GB2312" w:hAnsi="仿宋_GB2312" w:eastAsia="仿宋_GB2312" w:cs="仿宋_GB2312"/>
                <w:color w:val="000000"/>
                <w:sz w:val="24"/>
              </w:rPr>
              <w:t>5.52</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5</w:t>
            </w:r>
            <w:r>
              <w:rPr>
                <w:rFonts w:ascii="仿宋_GB2312" w:hAnsi="仿宋_GB2312" w:eastAsia="仿宋_GB2312" w:cs="仿宋_GB2312"/>
                <w:color w:val="000000"/>
                <w:sz w:val="24"/>
              </w:rPr>
              <w:t>5.52</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8</w:t>
            </w:r>
            <w:r>
              <w:rPr>
                <w:rFonts w:ascii="仿宋_GB2312" w:hAnsi="仿宋_GB2312" w:eastAsia="仿宋_GB2312" w:cs="仿宋_GB2312"/>
                <w:color w:val="000000"/>
                <w:sz w:val="24"/>
              </w:rPr>
              <w:t>4.58</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8</w:t>
            </w:r>
            <w:r>
              <w:rPr>
                <w:rFonts w:ascii="仿宋_GB2312" w:hAnsi="仿宋_GB2312" w:eastAsia="仿宋_GB2312" w:cs="仿宋_GB2312"/>
                <w:color w:val="000000"/>
                <w:sz w:val="24"/>
              </w:rPr>
              <w:t>4.58</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3122.78</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3122.78</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9933"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718"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24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楷体" w:eastAsia="仿宋_GB2312"/>
                <w:b w:val="0"/>
                <w:bCs/>
                <w:sz w:val="24"/>
                <w:szCs w:val="24"/>
              </w:rPr>
            </w:pPr>
            <w:r>
              <w:rPr>
                <w:rFonts w:hint="eastAsia" w:ascii="仿宋_GB2312" w:hAnsi="楷体" w:eastAsia="仿宋_GB2312"/>
                <w:b/>
                <w:bCs w:val="0"/>
                <w:sz w:val="24"/>
                <w:szCs w:val="24"/>
                <w:lang w:eastAsia="zh-CN"/>
              </w:rPr>
              <w:t>一是</w:t>
            </w:r>
            <w:r>
              <w:rPr>
                <w:rFonts w:hint="eastAsia" w:ascii="仿宋_GB2312" w:hAnsi="楷体" w:eastAsia="仿宋_GB2312"/>
                <w:b/>
                <w:bCs w:val="0"/>
                <w:sz w:val="24"/>
                <w:szCs w:val="24"/>
              </w:rPr>
              <w:t>突出主题</w:t>
            </w:r>
            <w:r>
              <w:rPr>
                <w:rFonts w:hint="eastAsia" w:ascii="仿宋_GB2312" w:hAnsi="楷体" w:eastAsia="仿宋_GB2312"/>
                <w:b/>
                <w:bCs w:val="0"/>
                <w:sz w:val="24"/>
                <w:szCs w:val="24"/>
                <w:lang w:eastAsia="zh-CN"/>
              </w:rPr>
              <w:t>。</w:t>
            </w:r>
            <w:r>
              <w:rPr>
                <w:rFonts w:hint="eastAsia" w:ascii="仿宋_GB2312" w:hAnsi="仿宋" w:eastAsia="仿宋_GB2312"/>
                <w:sz w:val="24"/>
                <w:szCs w:val="24"/>
              </w:rPr>
              <w:t>扎实开展“不忘初心、牢记使命”主题教育，</w:t>
            </w:r>
            <w:r>
              <w:rPr>
                <w:rFonts w:hint="eastAsia" w:ascii="仿宋_GB2312" w:hAnsi="仿宋" w:eastAsia="仿宋_GB2312"/>
                <w:sz w:val="24"/>
                <w:szCs w:val="24"/>
                <w:lang w:eastAsia="zh-CN"/>
              </w:rPr>
              <w:t>抓班子带队伍</w:t>
            </w:r>
            <w:r>
              <w:rPr>
                <w:rFonts w:hint="eastAsia" w:ascii="仿宋_GB2312" w:hAnsi="仿宋"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仿宋_GB2312" w:hAnsi="楷体" w:eastAsia="仿宋_GB2312"/>
                <w:b w:val="0"/>
                <w:bCs/>
                <w:sz w:val="24"/>
                <w:szCs w:val="24"/>
              </w:rPr>
            </w:pPr>
            <w:r>
              <w:rPr>
                <w:rFonts w:hint="eastAsia" w:ascii="仿宋_GB2312" w:hAnsi="楷体" w:eastAsia="仿宋_GB2312"/>
                <w:b/>
                <w:bCs w:val="0"/>
                <w:sz w:val="24"/>
                <w:szCs w:val="24"/>
                <w:lang w:eastAsia="zh-CN"/>
              </w:rPr>
              <w:t>二是</w:t>
            </w:r>
            <w:r>
              <w:rPr>
                <w:rFonts w:hint="eastAsia" w:ascii="仿宋_GB2312" w:hAnsi="楷体" w:eastAsia="仿宋_GB2312"/>
                <w:b/>
                <w:bCs w:val="0"/>
                <w:sz w:val="24"/>
                <w:szCs w:val="24"/>
              </w:rPr>
              <w:t>突出主线</w:t>
            </w:r>
            <w:r>
              <w:rPr>
                <w:rFonts w:hint="eastAsia" w:ascii="仿宋_GB2312" w:hAnsi="楷体" w:eastAsia="仿宋_GB2312"/>
                <w:b/>
                <w:bCs w:val="0"/>
                <w:sz w:val="24"/>
                <w:szCs w:val="24"/>
                <w:lang w:eastAsia="zh-CN"/>
              </w:rPr>
              <w:t>。</w:t>
            </w:r>
            <w:r>
              <w:rPr>
                <w:rFonts w:hint="eastAsia" w:ascii="仿宋_GB2312" w:hAnsi="仿宋_GB2312" w:eastAsia="仿宋_GB2312" w:cs="仿宋_GB2312"/>
                <w:sz w:val="24"/>
                <w:szCs w:val="24"/>
                <w:lang w:eastAsia="zh-CN"/>
              </w:rPr>
              <w:t>进一步深化</w:t>
            </w:r>
            <w:r>
              <w:rPr>
                <w:rFonts w:hint="eastAsia" w:ascii="仿宋_GB2312" w:hAnsi="仿宋_GB2312" w:eastAsia="仿宋_GB2312" w:cs="仿宋_GB2312"/>
                <w:sz w:val="24"/>
                <w:szCs w:val="24"/>
              </w:rPr>
              <w:t>商事制度</w:t>
            </w:r>
            <w:r>
              <w:rPr>
                <w:rFonts w:hint="eastAsia" w:ascii="仿宋_GB2312" w:hAnsi="仿宋_GB2312" w:eastAsia="仿宋_GB2312" w:cs="仿宋_GB2312"/>
                <w:sz w:val="24"/>
                <w:szCs w:val="24"/>
                <w:lang w:eastAsia="zh-CN"/>
              </w:rPr>
              <w:t>“放管服”</w:t>
            </w:r>
            <w:r>
              <w:rPr>
                <w:rFonts w:hint="eastAsia" w:ascii="仿宋_GB2312" w:hAnsi="仿宋_GB2312" w:eastAsia="仿宋_GB2312" w:cs="仿宋_GB2312"/>
                <w:sz w:val="24"/>
                <w:szCs w:val="24"/>
              </w:rPr>
              <w:t>改革，落实</w:t>
            </w:r>
            <w:r>
              <w:rPr>
                <w:rFonts w:hint="eastAsia" w:ascii="仿宋_GB2312" w:hAnsi="仿宋_GB2312" w:eastAsia="仿宋_GB2312" w:cs="仿宋_GB2312"/>
                <w:sz w:val="24"/>
                <w:szCs w:val="24"/>
                <w:lang w:eastAsia="zh-CN"/>
              </w:rPr>
              <w:t>“最多跑一次”</w:t>
            </w:r>
            <w:r>
              <w:rPr>
                <w:rFonts w:hint="eastAsia" w:ascii="仿宋_GB2312" w:hAnsi="仿宋_GB2312" w:eastAsia="仿宋_GB2312" w:cs="仿宋_GB2312"/>
                <w:sz w:val="24"/>
                <w:szCs w:val="24"/>
              </w:rPr>
              <w:t>“一件事一次办”</w:t>
            </w:r>
            <w:r>
              <w:rPr>
                <w:rFonts w:hint="eastAsia" w:ascii="仿宋_GB2312" w:hAnsi="仿宋_GB2312" w:eastAsia="仿宋_GB2312" w:cs="仿宋_GB2312"/>
                <w:sz w:val="24"/>
                <w:szCs w:val="24"/>
                <w:lang w:eastAsia="zh-CN"/>
              </w:rPr>
              <w:t>改革，巩固成果，形成特色。</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仿宋_GB2312" w:hAnsi="楷体" w:eastAsia="仿宋_GB2312"/>
                <w:b w:val="0"/>
                <w:bCs/>
                <w:sz w:val="24"/>
                <w:szCs w:val="24"/>
              </w:rPr>
            </w:pPr>
            <w:r>
              <w:rPr>
                <w:rFonts w:hint="eastAsia" w:ascii="仿宋_GB2312" w:hAnsi="楷体" w:eastAsia="仿宋_GB2312"/>
                <w:b/>
                <w:bCs w:val="0"/>
                <w:sz w:val="24"/>
                <w:szCs w:val="24"/>
                <w:lang w:eastAsia="zh-CN"/>
              </w:rPr>
              <w:t>三是突出主责。</w:t>
            </w:r>
            <w:r>
              <w:rPr>
                <w:rFonts w:hint="eastAsia" w:ascii="仿宋_GB2312" w:hAnsi="仿宋_GB2312" w:eastAsia="仿宋_GB2312" w:cs="仿宋_GB2312"/>
                <w:sz w:val="24"/>
                <w:szCs w:val="24"/>
                <w:lang w:eastAsia="zh-CN"/>
              </w:rPr>
              <w:t>聚焦食品药品、特种设备、重点工业产品</w:t>
            </w:r>
            <w:r>
              <w:rPr>
                <w:rFonts w:hint="eastAsia" w:ascii="仿宋_GB2312" w:hAnsi="仿宋_GB2312" w:eastAsia="仿宋_GB2312" w:cs="仿宋_GB2312"/>
                <w:sz w:val="24"/>
                <w:szCs w:val="24"/>
              </w:rPr>
              <w:t>监管，</w:t>
            </w:r>
            <w:r>
              <w:rPr>
                <w:rFonts w:hint="eastAsia" w:ascii="仿宋_GB2312" w:hAnsi="仿宋_GB2312" w:eastAsia="仿宋_GB2312" w:cs="仿宋_GB2312"/>
                <w:sz w:val="24"/>
                <w:szCs w:val="24"/>
                <w:lang w:eastAsia="zh-CN"/>
              </w:rPr>
              <w:t>防范风险，</w:t>
            </w:r>
            <w:r>
              <w:rPr>
                <w:rFonts w:hint="eastAsia" w:ascii="仿宋_GB2312" w:hAnsi="仿宋_GB2312" w:eastAsia="仿宋_GB2312" w:cs="仿宋_GB2312"/>
                <w:sz w:val="24"/>
                <w:szCs w:val="24"/>
              </w:rPr>
              <w:t>维护市场公平正义</w:t>
            </w:r>
            <w:r>
              <w:rPr>
                <w:rFonts w:hint="eastAsia" w:ascii="仿宋_GB2312" w:hAnsi="仿宋_GB2312" w:eastAsia="仿宋_GB2312" w:cs="仿宋_GB2312"/>
                <w:sz w:val="24"/>
                <w:szCs w:val="24"/>
                <w:lang w:eastAsia="zh-CN"/>
              </w:rPr>
              <w:t>，让群众买得放心、吃得放心、用得放心</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仿宋_GB2312" w:hAnsi="楷体" w:eastAsia="仿宋_GB2312"/>
                <w:b w:val="0"/>
                <w:bCs/>
                <w:sz w:val="24"/>
                <w:szCs w:val="24"/>
                <w:lang w:val="en-US" w:eastAsia="zh-CN"/>
              </w:rPr>
            </w:pPr>
            <w:r>
              <w:rPr>
                <w:rFonts w:hint="eastAsia" w:ascii="仿宋_GB2312" w:hAnsi="楷体" w:eastAsia="仿宋_GB2312"/>
                <w:b/>
                <w:bCs w:val="0"/>
                <w:sz w:val="24"/>
                <w:szCs w:val="24"/>
                <w:lang w:eastAsia="zh-CN"/>
              </w:rPr>
              <w:t>四是</w:t>
            </w:r>
            <w:r>
              <w:rPr>
                <w:rFonts w:hint="eastAsia" w:ascii="仿宋_GB2312" w:hAnsi="楷体" w:eastAsia="仿宋_GB2312"/>
                <w:b/>
                <w:bCs w:val="0"/>
                <w:sz w:val="24"/>
                <w:szCs w:val="24"/>
              </w:rPr>
              <w:t>突出主业</w:t>
            </w:r>
            <w:r>
              <w:rPr>
                <w:rFonts w:hint="eastAsia" w:ascii="仿宋_GB2312" w:hAnsi="楷体" w:eastAsia="仿宋_GB2312"/>
                <w:b/>
                <w:bCs w:val="0"/>
                <w:sz w:val="24"/>
                <w:szCs w:val="24"/>
                <w:lang w:eastAsia="zh-CN"/>
              </w:rPr>
              <w:t>。</w:t>
            </w:r>
            <w:r>
              <w:rPr>
                <w:rFonts w:hint="eastAsia" w:ascii="仿宋_GB2312" w:hAnsi="楷体" w:eastAsia="仿宋_GB2312"/>
                <w:b w:val="0"/>
                <w:bCs/>
                <w:sz w:val="24"/>
                <w:szCs w:val="24"/>
                <w:lang w:val="en-US" w:eastAsia="zh-CN"/>
              </w:rPr>
              <w:t>提高服务水平，维护消费者合法权益。</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楷体" w:eastAsia="仿宋_GB2312"/>
                <w:b/>
                <w:bCs w:val="0"/>
                <w:sz w:val="24"/>
                <w:szCs w:val="24"/>
                <w:lang w:eastAsia="zh-CN"/>
              </w:rPr>
              <w:t>五是</w:t>
            </w:r>
            <w:r>
              <w:rPr>
                <w:rFonts w:hint="eastAsia" w:ascii="仿宋_GB2312" w:hAnsi="楷体" w:eastAsia="仿宋_GB2312"/>
                <w:b/>
                <w:bCs w:val="0"/>
                <w:sz w:val="24"/>
                <w:szCs w:val="24"/>
              </w:rPr>
              <w:t>突出主调</w:t>
            </w:r>
            <w:r>
              <w:rPr>
                <w:rFonts w:hint="eastAsia" w:ascii="仿宋_GB2312" w:hAnsi="楷体" w:eastAsia="仿宋_GB2312"/>
                <w:b/>
                <w:bCs w:val="0"/>
                <w:sz w:val="24"/>
                <w:szCs w:val="24"/>
                <w:lang w:eastAsia="zh-CN"/>
              </w:rPr>
              <w:t>。</w:t>
            </w:r>
            <w:r>
              <w:rPr>
                <w:rFonts w:hint="eastAsia" w:ascii="仿宋_GB2312" w:hAnsi="楷体" w:eastAsia="仿宋_GB2312"/>
                <w:b w:val="0"/>
                <w:bCs/>
                <w:sz w:val="24"/>
                <w:szCs w:val="24"/>
              </w:rPr>
              <w:t>强基础、严执法、保安全、促稳定，打造一支忠诚可靠，</w:t>
            </w:r>
            <w:r>
              <w:rPr>
                <w:rFonts w:hint="eastAsia" w:ascii="仿宋_GB2312" w:hAnsi="楷体" w:eastAsia="仿宋_GB2312"/>
                <w:b w:val="0"/>
                <w:bCs/>
                <w:sz w:val="24"/>
                <w:szCs w:val="24"/>
                <w:lang w:eastAsia="zh-CN"/>
              </w:rPr>
              <w:t>本领高强，</w:t>
            </w:r>
            <w:r>
              <w:rPr>
                <w:rFonts w:hint="eastAsia" w:ascii="仿宋_GB2312" w:hAnsi="楷体" w:eastAsia="仿宋_GB2312"/>
                <w:b w:val="0"/>
                <w:bCs/>
                <w:sz w:val="24"/>
                <w:szCs w:val="24"/>
              </w:rPr>
              <w:t>能打胜仗的市场监管队伍。</w:t>
            </w:r>
          </w:p>
        </w:tc>
        <w:tc>
          <w:tcPr>
            <w:tcW w:w="4718" w:type="dxa"/>
            <w:gridSpan w:val="8"/>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1、全省首创推进企业住所（经营场所）登记承诺制改革。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2、截至11月底，全市新设市场主体90145家，增速全省第一，全市实有市场主体430677户，位居全省第二。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b w:val="0"/>
                <w:bCs w:val="0"/>
                <w:kern w:val="2"/>
                <w:sz w:val="24"/>
                <w:szCs w:val="24"/>
                <w:lang w:val="en-US" w:eastAsia="zh-CN" w:bidi="ar-SA"/>
              </w:rPr>
              <w:t>3、</w:t>
            </w:r>
            <w:r>
              <w:rPr>
                <w:rStyle w:val="20"/>
                <w:rFonts w:ascii="仿宋_GB2312" w:hAnsi="仿宋_GB2312" w:eastAsia="仿宋_GB2312"/>
                <w:b w:val="0"/>
                <w:bCs w:val="0"/>
                <w:kern w:val="2"/>
                <w:sz w:val="24"/>
                <w:szCs w:val="24"/>
                <w:lang w:val="en-US" w:eastAsia="zh-CN" w:bidi="ar-SA"/>
              </w:rPr>
              <w:t>药食同源备案通关新模式</w:t>
            </w:r>
            <w:r>
              <w:rPr>
                <w:rStyle w:val="20"/>
                <w:rFonts w:hint="eastAsia" w:ascii="仿宋_GB2312" w:hAnsi="仿宋_GB2312" w:eastAsia="仿宋_GB2312"/>
                <w:kern w:val="2"/>
                <w:sz w:val="24"/>
                <w:szCs w:val="24"/>
                <w:lang w:val="en-US" w:eastAsia="zh-CN" w:bidi="ar-SA"/>
              </w:rPr>
              <w:t>，被省自贸办推荐参评全省自贸区制度创新典型案例，并</w:t>
            </w:r>
            <w:r>
              <w:rPr>
                <w:rStyle w:val="20"/>
                <w:rFonts w:ascii="仿宋_GB2312" w:hAnsi="仿宋_GB2312" w:eastAsia="仿宋_GB2312"/>
                <w:kern w:val="2"/>
                <w:sz w:val="24"/>
                <w:szCs w:val="24"/>
                <w:lang w:val="en-US" w:eastAsia="zh-CN" w:bidi="ar-SA"/>
              </w:rPr>
              <w:t>在岳阳自贸片区成立一周年巡礼上</w:t>
            </w:r>
            <w:r>
              <w:rPr>
                <w:rStyle w:val="20"/>
                <w:rFonts w:hint="eastAsia" w:ascii="仿宋_GB2312" w:hAnsi="仿宋_GB2312" w:eastAsia="仿宋_GB2312"/>
                <w:kern w:val="2"/>
                <w:sz w:val="24"/>
                <w:szCs w:val="24"/>
                <w:lang w:val="en-US" w:eastAsia="zh-CN" w:bidi="ar-SA"/>
              </w:rPr>
              <w:t>作为</w:t>
            </w:r>
            <w:r>
              <w:rPr>
                <w:rStyle w:val="20"/>
                <w:rFonts w:ascii="仿宋_GB2312" w:hAnsi="仿宋_GB2312" w:eastAsia="仿宋_GB2312"/>
                <w:kern w:val="2"/>
                <w:sz w:val="24"/>
                <w:szCs w:val="24"/>
                <w:lang w:val="en-US" w:eastAsia="zh-CN" w:bidi="ar-SA"/>
              </w:rPr>
              <w:t>15项“首创性”创新成果之一</w:t>
            </w:r>
            <w:r>
              <w:rPr>
                <w:rStyle w:val="20"/>
                <w:rFonts w:hint="eastAsia" w:ascii="仿宋_GB2312" w:hAnsi="仿宋_GB2312" w:eastAsia="仿宋_GB2312"/>
                <w:kern w:val="2"/>
                <w:sz w:val="24"/>
                <w:szCs w:val="24"/>
                <w:lang w:val="en-US" w:eastAsia="zh-CN" w:bidi="ar-SA"/>
              </w:rPr>
              <w:t>获</w:t>
            </w:r>
            <w:r>
              <w:rPr>
                <w:rStyle w:val="20"/>
                <w:rFonts w:ascii="仿宋_GB2312" w:hAnsi="仿宋_GB2312" w:eastAsia="仿宋_GB2312"/>
                <w:kern w:val="2"/>
                <w:sz w:val="24"/>
                <w:szCs w:val="24"/>
                <w:lang w:val="en-US" w:eastAsia="zh-CN" w:bidi="ar-SA"/>
              </w:rPr>
              <w:t>报道</w:t>
            </w:r>
            <w:r>
              <w:rPr>
                <w:rStyle w:val="20"/>
                <w:rFonts w:hint="eastAsia" w:ascii="仿宋_GB2312" w:hAnsi="仿宋_GB2312" w:eastAsia="仿宋_GB2312"/>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4、颁发全省首张“食品经营（仅销售预包装食品）”备案制营业执照。</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5、特种设备安全责任保险工作推进排名全省第一。</w:t>
            </w:r>
          </w:p>
          <w:p>
            <w:pPr>
              <w:numPr>
                <w:ilvl w:val="0"/>
                <w:numId w:val="0"/>
              </w:numPr>
              <w:autoSpaceDN w:val="0"/>
              <w:spacing w:line="320" w:lineRule="exact"/>
              <w:ind w:leftChars="0"/>
              <w:jc w:val="both"/>
              <w:textAlignment w:val="center"/>
              <w:rPr>
                <w:rFonts w:hint="eastAsia" w:ascii="仿宋_GB2312" w:hAnsi="仿宋_GB2312" w:eastAsia="仿宋_GB2312" w:cs="仿宋_GB2312"/>
                <w:color w:val="auto"/>
                <w:sz w:val="24"/>
                <w:szCs w:val="24"/>
                <w:lang w:val="en-US" w:eastAsia="zh-CN"/>
              </w:rPr>
            </w:pPr>
            <w:r>
              <w:rPr>
                <w:rStyle w:val="20"/>
                <w:rFonts w:hint="eastAsia" w:ascii="仿宋_GB2312" w:hAnsi="仿宋_GB2312" w:eastAsia="仿宋_GB2312"/>
                <w:kern w:val="2"/>
                <w:sz w:val="24"/>
                <w:szCs w:val="24"/>
                <w:lang w:val="en-US" w:eastAsia="zh-CN" w:bidi="ar-SA"/>
              </w:rPr>
              <w:t>6、我市药品生产企业共取得药品注册批准文号11个，一致性评价证书8张，位居全省前列。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38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eastAsia="zh-CN"/>
              </w:rPr>
              <w:t>指标</w:t>
            </w:r>
            <w:r>
              <w:rPr>
                <w:rFonts w:hint="eastAsia" w:eastAsia="仿宋_GB2312"/>
                <w:sz w:val="24"/>
                <w:lang w:val="en-US" w:eastAsia="zh-CN"/>
              </w:rPr>
              <w:t>1：企业设立登记全程电子化使用率达到50%以上</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超过50%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i w:val="0"/>
                <w:caps w:val="0"/>
                <w:color w:val="333333"/>
                <w:spacing w:val="0"/>
                <w:sz w:val="24"/>
                <w:szCs w:val="24"/>
                <w:highlight w:val="none"/>
                <w:lang w:val="en-US" w:eastAsia="zh-CN"/>
              </w:rPr>
              <w:t>指标2：投诉举报回访率100%</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回访率</w:t>
            </w: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eastAsia="zh-CN"/>
              </w:rPr>
              <w:t>指标</w:t>
            </w:r>
            <w:r>
              <w:rPr>
                <w:rFonts w:hint="eastAsia" w:eastAsia="仿宋_GB2312"/>
                <w:sz w:val="24"/>
                <w:lang w:val="en-US" w:eastAsia="zh-CN"/>
              </w:rPr>
              <w:t>3：计量标准合格率达到90%以上</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达到92%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1：抽查特种设备使用家数大于1000家</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完成1000家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 xml:space="preserve">2：集贸市场衡器检定数2000台              </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完成2000台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 xml:space="preserve">3：食品、食用农产品、药品、化妆品抽检2430批次               </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完成食品抽检1400批次、食用农产品600批次、药品360批次、化妆品70批次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4：抽查工业产品类别20类</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完成20个类别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1：缩减企业开办时间</w:t>
            </w:r>
            <w:r>
              <w:rPr>
                <w:rFonts w:hint="eastAsia" w:ascii="东文宋体" w:hAnsi="东文宋体" w:eastAsia="东文宋体" w:cs="东文宋体"/>
                <w:sz w:val="24"/>
                <w:lang w:val="en-US" w:eastAsia="zh-CN"/>
              </w:rPr>
              <w:t>≤</w:t>
            </w:r>
            <w:r>
              <w:rPr>
                <w:rFonts w:hint="eastAsia" w:eastAsia="仿宋_GB2312"/>
                <w:sz w:val="24"/>
                <w:lang w:val="en-US" w:eastAsia="zh-CN"/>
              </w:rPr>
              <w:t>1天</w:t>
            </w:r>
          </w:p>
        </w:tc>
        <w:tc>
          <w:tcPr>
            <w:tcW w:w="3138" w:type="dxa"/>
            <w:gridSpan w:val="6"/>
            <w:vAlign w:val="center"/>
          </w:tcPr>
          <w:p>
            <w:pPr>
              <w:jc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已达到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2：进一步缩减企业注销时间</w:t>
            </w:r>
            <w:r>
              <w:rPr>
                <w:rFonts w:hint="eastAsia" w:ascii="东文宋体" w:hAnsi="东文宋体" w:eastAsia="东文宋体" w:cs="东文宋体"/>
                <w:sz w:val="24"/>
                <w:lang w:val="en-US" w:eastAsia="zh-CN"/>
              </w:rPr>
              <w:t>≤</w:t>
            </w:r>
            <w:r>
              <w:rPr>
                <w:rFonts w:hint="eastAsia" w:eastAsia="仿宋_GB2312"/>
                <w:sz w:val="24"/>
                <w:lang w:val="en-US" w:eastAsia="zh-CN"/>
              </w:rPr>
              <w:t>3天</w:t>
            </w:r>
          </w:p>
        </w:tc>
        <w:tc>
          <w:tcPr>
            <w:tcW w:w="3138" w:type="dxa"/>
            <w:gridSpan w:val="6"/>
            <w:vAlign w:val="center"/>
          </w:tcPr>
          <w:p>
            <w:pPr>
              <w:jc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已达到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388"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不断提升企业注销便利化程度</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val="0"/>
                <w:bCs/>
                <w:color w:val="000000"/>
                <w:sz w:val="24"/>
                <w:szCs w:val="24"/>
                <w:lang w:eastAsia="zh-CN"/>
              </w:rPr>
              <w:t>通过推行进一步完善企业简易注销登记改革、畅通“僵尸企业”注销通道、优化一般注销流程，提升企业注销便利</w:t>
            </w:r>
            <w:r>
              <w:rPr>
                <w:rFonts w:hint="eastAsia" w:ascii="仿宋_GB2312" w:hAnsi="仿宋_GB2312" w:eastAsia="仿宋_GB2312" w:cs="仿宋_GB2312"/>
                <w:b/>
                <w:color w:val="000000"/>
                <w:sz w:val="24"/>
                <w:szCs w:val="24"/>
                <w:lang w:eastAsia="zh-CN"/>
              </w:rPr>
              <w:t>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持续保护一江碧水的目标</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计量器局使用满意度</w:t>
            </w:r>
            <w:r>
              <w:rPr>
                <w:rFonts w:hint="eastAsia" w:ascii="东文宋体" w:hAnsi="东文宋体" w:eastAsia="东文宋体" w:cs="东文宋体"/>
                <w:color w:val="000000"/>
                <w:sz w:val="24"/>
                <w:lang w:eastAsia="zh-CN"/>
              </w:rPr>
              <w:t>≥</w:t>
            </w:r>
            <w:r>
              <w:rPr>
                <w:rFonts w:hint="eastAsia" w:ascii="仿宋_GB2312" w:hAnsi="仿宋_GB2312" w:eastAsia="仿宋_GB2312" w:cs="仿宋_GB2312"/>
                <w:color w:val="000000"/>
                <w:sz w:val="24"/>
                <w:lang w:val="en-US" w:eastAsia="zh-CN"/>
              </w:rPr>
              <w:t>95%</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388"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消费者对消费投诉处理的满意度</w:t>
            </w:r>
            <w:r>
              <w:rPr>
                <w:rFonts w:hint="eastAsia" w:ascii="东文宋体" w:hAnsi="东文宋体" w:eastAsia="东文宋体" w:cs="东文宋体"/>
                <w:color w:val="000000"/>
                <w:sz w:val="24"/>
                <w:lang w:eastAsia="zh-CN"/>
              </w:rPr>
              <w:t>≥</w:t>
            </w:r>
            <w:r>
              <w:rPr>
                <w:rFonts w:hint="eastAsia" w:ascii="东文宋体" w:hAnsi="东文宋体" w:eastAsia="东文宋体" w:cs="东文宋体"/>
                <w:color w:val="000000"/>
                <w:sz w:val="24"/>
                <w:lang w:val="en-US" w:eastAsia="zh-CN"/>
              </w:rPr>
              <w:t>95%</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43" w:type="dxa"/>
            <w:gridSpan w:val="11"/>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43" w:type="dxa"/>
            <w:gridSpan w:val="11"/>
            <w:vAlign w:val="center"/>
          </w:tcPr>
          <w:p>
            <w:pPr>
              <w:autoSpaceDN w:val="0"/>
              <w:spacing w:line="320" w:lineRule="exact"/>
              <w:jc w:val="both"/>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9933"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李青松</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局长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颜石湘</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主管财务副局长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钟辉雄</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财务科长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徐瑶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财务科副科长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2722" w:hRule="atLeast"/>
          <w:jc w:val="center"/>
        </w:trPr>
        <w:tc>
          <w:tcPr>
            <w:tcW w:w="9933"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2722" w:hRule="atLeast"/>
          <w:jc w:val="center"/>
        </w:trPr>
        <w:tc>
          <w:tcPr>
            <w:tcW w:w="9933"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993"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年月日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徐瑶</w:t>
      </w:r>
      <w:r>
        <w:rPr>
          <w:rFonts w:hint="eastAsia" w:eastAsia="仿宋_GB2312" w:cs="仿宋_GB2312"/>
          <w:bCs/>
          <w:sz w:val="28"/>
          <w:szCs w:val="28"/>
          <w:lang w:val="en-US" w:eastAsia="zh-CN"/>
        </w:rPr>
        <w:t xml:space="preserve">               </w:t>
      </w:r>
      <w:r>
        <w:rPr>
          <w:rFonts w:hint="eastAsia" w:eastAsia="仿宋_GB2312" w:cs="仿宋_GB2312"/>
          <w:bCs/>
          <w:sz w:val="28"/>
          <w:szCs w:val="28"/>
        </w:rPr>
        <w:t>联系电话：</w:t>
      </w:r>
      <w:r>
        <w:rPr>
          <w:rFonts w:hint="eastAsia" w:eastAsia="仿宋_GB2312" w:cs="仿宋_GB2312"/>
          <w:bCs/>
          <w:sz w:val="28"/>
          <w:szCs w:val="28"/>
          <w:lang w:val="en-US" w:eastAsia="zh-CN"/>
        </w:rPr>
        <w:t>0730-8224907</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pStyle w:val="6"/>
              <w:shd w:val="clear" w:color="auto" w:fill="FFFFFF"/>
              <w:spacing w:before="0" w:beforeAutospacing="0" w:after="0" w:afterAutospacing="0"/>
              <w:ind w:firstLine="421" w:firstLineChars="150"/>
              <w:rPr>
                <w:rFonts w:ascii="Arial" w:hAnsi="Arial" w:cs="Arial"/>
                <w:b/>
                <w:bCs w:val="0"/>
                <w:sz w:val="28"/>
              </w:rPr>
            </w:pPr>
            <w:r>
              <w:rPr>
                <w:rFonts w:hint="eastAsia" w:ascii="仿宋_GB2312" w:hAnsi="仿宋_GB2312" w:eastAsia="仿宋_GB2312" w:cs="仿宋_GB2312"/>
                <w:b/>
                <w:bCs w:val="0"/>
                <w:sz w:val="28"/>
                <w:szCs w:val="28"/>
                <w:lang w:val="en-US" w:eastAsia="zh-CN"/>
              </w:rPr>
              <w:t>1、机构设置</w:t>
            </w:r>
          </w:p>
          <w:p>
            <w:pPr>
              <w:pStyle w:val="6"/>
              <w:shd w:val="clear" w:color="auto" w:fill="FFFFFF"/>
              <w:spacing w:before="0" w:beforeAutospacing="0" w:after="0" w:afterAutospacing="0"/>
              <w:ind w:firstLine="57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根据</w:t>
            </w:r>
            <w:r>
              <w:rPr>
                <w:rFonts w:hint="eastAsia" w:ascii="仿宋_GB2312" w:hAnsi="仿宋_GB2312" w:eastAsia="仿宋_GB2312" w:cs="仿宋_GB2312"/>
                <w:color w:val="333333"/>
                <w:sz w:val="28"/>
                <w:szCs w:val="28"/>
                <w:lang w:eastAsia="zh-CN"/>
              </w:rPr>
              <w:t>市委</w:t>
            </w:r>
            <w:r>
              <w:rPr>
                <w:rFonts w:hint="eastAsia" w:ascii="仿宋_GB2312" w:hAnsi="仿宋_GB2312" w:eastAsia="仿宋_GB2312" w:cs="仿宋_GB2312"/>
                <w:color w:val="333333"/>
                <w:sz w:val="28"/>
                <w:szCs w:val="28"/>
              </w:rPr>
              <w:t>编</w:t>
            </w:r>
            <w:r>
              <w:rPr>
                <w:rFonts w:hint="eastAsia" w:ascii="仿宋_GB2312" w:hAnsi="仿宋_GB2312" w:eastAsia="仿宋_GB2312" w:cs="仿宋_GB2312"/>
                <w:color w:val="333333"/>
                <w:sz w:val="28"/>
                <w:szCs w:val="28"/>
                <w:lang w:eastAsia="zh-CN"/>
              </w:rPr>
              <w:t>办</w:t>
            </w:r>
            <w:r>
              <w:rPr>
                <w:rFonts w:hint="eastAsia" w:ascii="仿宋_GB2312" w:hAnsi="仿宋_GB2312" w:eastAsia="仿宋_GB2312" w:cs="仿宋_GB2312"/>
                <w:color w:val="333333"/>
                <w:sz w:val="28"/>
                <w:szCs w:val="28"/>
              </w:rPr>
              <w:t>核定，我局</w:t>
            </w:r>
            <w:r>
              <w:rPr>
                <w:rFonts w:hint="eastAsia" w:ascii="仿宋_GB2312" w:hAnsi="仿宋_GB2312" w:eastAsia="仿宋_GB2312" w:cs="仿宋_GB2312"/>
                <w:color w:val="333333"/>
                <w:sz w:val="28"/>
                <w:szCs w:val="28"/>
                <w:lang w:eastAsia="zh-CN"/>
              </w:rPr>
              <w:t>设置机构</w:t>
            </w:r>
            <w:r>
              <w:rPr>
                <w:rFonts w:hint="eastAsia" w:ascii="仿宋_GB2312" w:hAnsi="仿宋_GB2312" w:eastAsia="仿宋_GB2312" w:cs="仿宋_GB2312"/>
                <w:color w:val="333333"/>
                <w:sz w:val="28"/>
                <w:szCs w:val="28"/>
                <w:lang w:val="en-US" w:eastAsia="zh-CN"/>
              </w:rPr>
              <w:t>43个，其中</w:t>
            </w:r>
            <w:r>
              <w:rPr>
                <w:rFonts w:hint="eastAsia" w:ascii="仿宋_GB2312" w:hAnsi="仿宋_GB2312" w:eastAsia="仿宋_GB2312" w:cs="仿宋_GB2312"/>
                <w:color w:val="333333"/>
                <w:sz w:val="28"/>
                <w:szCs w:val="28"/>
              </w:rPr>
              <w:t>内设机构</w:t>
            </w:r>
            <w:r>
              <w:rPr>
                <w:rFonts w:hint="eastAsia" w:ascii="仿宋_GB2312" w:hAnsi="仿宋_GB2312" w:eastAsia="仿宋_GB2312" w:cs="仿宋_GB2312"/>
                <w:color w:val="333333"/>
                <w:sz w:val="28"/>
                <w:szCs w:val="28"/>
                <w:lang w:val="en-US" w:eastAsia="zh-CN"/>
              </w:rPr>
              <w:t>33</w:t>
            </w:r>
            <w:r>
              <w:rPr>
                <w:rFonts w:hint="eastAsia" w:ascii="仿宋_GB2312" w:hAnsi="仿宋_GB2312" w:eastAsia="仿宋_GB2312" w:cs="仿宋_GB2312"/>
                <w:color w:val="333333"/>
                <w:sz w:val="28"/>
                <w:szCs w:val="28"/>
              </w:rPr>
              <w:t>个，</w:t>
            </w:r>
            <w:r>
              <w:rPr>
                <w:rFonts w:hint="eastAsia" w:ascii="仿宋_GB2312" w:hAnsi="仿宋_GB2312" w:eastAsia="仿宋_GB2312" w:cs="仿宋_GB2312"/>
                <w:color w:val="333333"/>
                <w:sz w:val="28"/>
                <w:szCs w:val="28"/>
                <w:lang w:eastAsia="zh-CN"/>
              </w:rPr>
              <w:t>副处级综合行政执法支队</w:t>
            </w:r>
            <w:r>
              <w:rPr>
                <w:rFonts w:hint="eastAsia" w:ascii="仿宋_GB2312" w:hAnsi="仿宋_GB2312" w:eastAsia="仿宋_GB2312" w:cs="仿宋_GB2312"/>
                <w:color w:val="333333"/>
                <w:sz w:val="28"/>
                <w:szCs w:val="28"/>
                <w:lang w:val="en-US" w:eastAsia="zh-CN"/>
              </w:rPr>
              <w:t>1个，</w:t>
            </w:r>
            <w:r>
              <w:rPr>
                <w:rFonts w:hint="eastAsia" w:ascii="仿宋_GB2312" w:hAnsi="仿宋_GB2312" w:eastAsia="仿宋_GB2312" w:cs="仿宋_GB2312"/>
                <w:color w:val="333333"/>
                <w:sz w:val="28"/>
                <w:szCs w:val="28"/>
              </w:rPr>
              <w:t>直属事业</w:t>
            </w:r>
            <w:r>
              <w:rPr>
                <w:rFonts w:hint="eastAsia" w:ascii="仿宋_GB2312" w:hAnsi="仿宋_GB2312" w:eastAsia="仿宋_GB2312" w:cs="仿宋_GB2312"/>
                <w:color w:val="333333"/>
                <w:sz w:val="28"/>
                <w:szCs w:val="28"/>
                <w:lang w:eastAsia="zh-CN"/>
              </w:rPr>
              <w:t>单位</w:t>
            </w:r>
            <w:r>
              <w:rPr>
                <w:rFonts w:hint="eastAsia" w:ascii="仿宋_GB2312" w:hAnsi="仿宋_GB2312" w:eastAsia="仿宋_GB2312" w:cs="仿宋_GB2312"/>
                <w:color w:val="333333"/>
                <w:sz w:val="28"/>
                <w:szCs w:val="28"/>
                <w:lang w:val="en-US" w:eastAsia="zh-CN"/>
              </w:rPr>
              <w:t>4</w:t>
            </w:r>
            <w:r>
              <w:rPr>
                <w:rFonts w:hint="eastAsia" w:ascii="仿宋_GB2312" w:hAnsi="仿宋_GB2312" w:eastAsia="仿宋_GB2312" w:cs="仿宋_GB2312"/>
                <w:color w:val="333333"/>
                <w:sz w:val="28"/>
                <w:szCs w:val="28"/>
              </w:rPr>
              <w:t>个，</w:t>
            </w:r>
            <w:r>
              <w:rPr>
                <w:rFonts w:hint="eastAsia" w:ascii="仿宋_GB2312" w:hAnsi="仿宋_GB2312" w:eastAsia="仿宋_GB2312" w:cs="仿宋_GB2312"/>
                <w:color w:val="333333"/>
                <w:sz w:val="28"/>
                <w:szCs w:val="28"/>
                <w:lang w:eastAsia="zh-CN"/>
              </w:rPr>
              <w:t>直属分局</w:t>
            </w:r>
            <w:r>
              <w:rPr>
                <w:rFonts w:hint="eastAsia" w:ascii="仿宋_GB2312" w:hAnsi="仿宋_GB2312" w:eastAsia="仿宋_GB2312" w:cs="仿宋_GB2312"/>
                <w:color w:val="333333"/>
                <w:sz w:val="28"/>
                <w:szCs w:val="28"/>
                <w:lang w:val="en-US" w:eastAsia="zh-CN"/>
              </w:rPr>
              <w:t>3</w:t>
            </w:r>
            <w:r>
              <w:rPr>
                <w:rFonts w:hint="eastAsia" w:ascii="仿宋_GB2312" w:hAnsi="仿宋_GB2312" w:eastAsia="仿宋_GB2312" w:cs="仿宋_GB2312"/>
                <w:color w:val="333333"/>
                <w:sz w:val="28"/>
                <w:szCs w:val="28"/>
              </w:rPr>
              <w:t>个。</w:t>
            </w:r>
          </w:p>
          <w:p>
            <w:pPr>
              <w:pStyle w:val="6"/>
              <w:shd w:val="clear" w:color="auto" w:fill="FFFFFF"/>
              <w:spacing w:before="0" w:beforeAutospacing="0" w:after="0" w:afterAutospacing="0"/>
              <w:ind w:firstLine="570"/>
              <w:rPr>
                <w:rFonts w:hint="eastAsia" w:ascii="仿宋_GB2312" w:eastAsia="仿宋_GB2312"/>
                <w:sz w:val="28"/>
                <w:szCs w:val="28"/>
                <w:lang w:eastAsia="zh-CN"/>
              </w:rPr>
            </w:pPr>
            <w:r>
              <w:rPr>
                <w:rFonts w:hint="eastAsia" w:ascii="仿宋_GB2312" w:hAnsi="仿宋_GB2312" w:eastAsia="仿宋_GB2312" w:cs="仿宋_GB2312"/>
                <w:sz w:val="28"/>
                <w:szCs w:val="28"/>
              </w:rPr>
              <w:t>内设科室分别是办公室、</w:t>
            </w:r>
            <w:r>
              <w:rPr>
                <w:rFonts w:hint="eastAsia" w:ascii="仿宋_GB2312" w:eastAsia="仿宋_GB2312"/>
                <w:sz w:val="28"/>
                <w:szCs w:val="28"/>
              </w:rPr>
              <w:tab/>
            </w:r>
            <w:r>
              <w:rPr>
                <w:rFonts w:hint="eastAsia" w:ascii="仿宋_GB2312" w:eastAsia="仿宋_GB2312"/>
                <w:sz w:val="28"/>
                <w:szCs w:val="28"/>
              </w:rPr>
              <w:t>综合规划和科技信息化科</w:t>
            </w:r>
            <w:r>
              <w:rPr>
                <w:rFonts w:hint="eastAsia" w:ascii="仿宋_GB2312" w:hAnsi="仿宋_GB2312" w:eastAsia="仿宋_GB2312" w:cs="仿宋_GB2312"/>
                <w:sz w:val="28"/>
                <w:szCs w:val="28"/>
              </w:rPr>
              <w:t>、</w:t>
            </w:r>
            <w:r>
              <w:rPr>
                <w:rFonts w:hint="eastAsia" w:ascii="仿宋_GB2312" w:eastAsia="仿宋_GB2312"/>
                <w:sz w:val="28"/>
                <w:szCs w:val="28"/>
              </w:rPr>
              <w:t>政策法规科</w:t>
            </w:r>
            <w:r>
              <w:rPr>
                <w:rFonts w:hint="eastAsia" w:ascii="仿宋_GB2312" w:eastAsia="仿宋_GB2312"/>
                <w:sz w:val="28"/>
                <w:szCs w:val="28"/>
                <w:lang w:eastAsia="zh-CN"/>
              </w:rPr>
              <w:t>、</w:t>
            </w:r>
            <w:r>
              <w:rPr>
                <w:rFonts w:hint="eastAsia" w:ascii="仿宋_GB2312" w:eastAsia="仿宋_GB2312"/>
                <w:sz w:val="28"/>
                <w:szCs w:val="28"/>
              </w:rPr>
              <w:t>信用监督管理科</w:t>
            </w:r>
            <w:r>
              <w:rPr>
                <w:rFonts w:hint="eastAsia" w:ascii="仿宋_GB2312" w:eastAsia="仿宋_GB2312"/>
                <w:sz w:val="28"/>
                <w:szCs w:val="28"/>
                <w:lang w:eastAsia="zh-CN"/>
              </w:rPr>
              <w:t>、</w:t>
            </w:r>
            <w:r>
              <w:rPr>
                <w:rFonts w:hint="eastAsia" w:ascii="仿宋_GB2312" w:eastAsia="仿宋_GB2312"/>
                <w:sz w:val="28"/>
                <w:szCs w:val="28"/>
              </w:rPr>
              <w:t>网络交易监督管理科</w:t>
            </w:r>
            <w:r>
              <w:rPr>
                <w:rFonts w:hint="eastAsia" w:ascii="仿宋_GB2312" w:eastAsia="仿宋_GB2312"/>
                <w:sz w:val="28"/>
                <w:szCs w:val="28"/>
                <w:lang w:eastAsia="zh-CN"/>
              </w:rPr>
              <w:t>、</w:t>
            </w:r>
            <w:r>
              <w:rPr>
                <w:rFonts w:hint="eastAsia" w:ascii="仿宋_GB2312" w:eastAsia="仿宋_GB2312"/>
                <w:sz w:val="28"/>
                <w:szCs w:val="28"/>
              </w:rPr>
              <w:t>广告监督管理科</w:t>
            </w:r>
            <w:r>
              <w:rPr>
                <w:rFonts w:hint="eastAsia" w:ascii="仿宋_GB2312" w:hAnsi="仿宋_GB2312" w:eastAsia="仿宋_GB2312" w:cs="仿宋_GB2312"/>
                <w:sz w:val="28"/>
                <w:szCs w:val="28"/>
              </w:rPr>
              <w:t>、</w:t>
            </w:r>
            <w:r>
              <w:rPr>
                <w:rFonts w:hint="eastAsia" w:ascii="仿宋_GB2312" w:eastAsia="仿宋_GB2312"/>
                <w:sz w:val="28"/>
                <w:szCs w:val="28"/>
              </w:rPr>
              <w:t>登记注册科</w:t>
            </w:r>
            <w:r>
              <w:rPr>
                <w:rFonts w:hint="eastAsia" w:ascii="仿宋_GB2312" w:hAnsi="仿宋_GB2312" w:eastAsia="仿宋_GB2312" w:cs="仿宋_GB2312"/>
                <w:sz w:val="28"/>
                <w:szCs w:val="28"/>
              </w:rPr>
              <w:t>、</w:t>
            </w:r>
            <w:r>
              <w:rPr>
                <w:rFonts w:hint="eastAsia" w:ascii="仿宋_GB2312" w:eastAsia="仿宋_GB2312"/>
                <w:sz w:val="28"/>
                <w:szCs w:val="28"/>
              </w:rPr>
              <w:t>市场规范管理科</w:t>
            </w:r>
            <w:r>
              <w:rPr>
                <w:rFonts w:hint="eastAsia" w:ascii="仿宋_GB2312" w:hAnsi="仿宋_GB2312" w:eastAsia="仿宋_GB2312" w:cs="仿宋_GB2312"/>
                <w:sz w:val="28"/>
                <w:szCs w:val="28"/>
              </w:rPr>
              <w:t>、</w:t>
            </w:r>
            <w:r>
              <w:rPr>
                <w:rFonts w:hint="eastAsia" w:ascii="仿宋_GB2312" w:eastAsia="仿宋_GB2312"/>
                <w:sz w:val="28"/>
                <w:szCs w:val="28"/>
              </w:rPr>
              <w:t>反不正当竞争和反垄断科</w:t>
            </w:r>
            <w:r>
              <w:rPr>
                <w:rFonts w:hint="eastAsia" w:ascii="仿宋_GB2312" w:hAnsi="仿宋_GB2312" w:eastAsia="仿宋_GB2312" w:cs="仿宋_GB2312"/>
                <w:sz w:val="28"/>
                <w:szCs w:val="28"/>
              </w:rPr>
              <w:t>、</w:t>
            </w:r>
            <w:r>
              <w:rPr>
                <w:rFonts w:hint="eastAsia" w:ascii="仿宋_GB2312" w:eastAsia="仿宋_GB2312"/>
                <w:sz w:val="28"/>
                <w:szCs w:val="28"/>
              </w:rPr>
              <w:t>价格监督管理科</w:t>
            </w:r>
            <w:r>
              <w:rPr>
                <w:rFonts w:hint="eastAsia" w:ascii="仿宋_GB2312" w:hAnsi="仿宋_GB2312" w:eastAsia="仿宋_GB2312" w:cs="仿宋_GB2312"/>
                <w:sz w:val="28"/>
                <w:szCs w:val="28"/>
              </w:rPr>
              <w:t>、</w:t>
            </w:r>
            <w:r>
              <w:rPr>
                <w:rFonts w:hint="eastAsia" w:ascii="仿宋_GB2312" w:eastAsia="仿宋_GB2312"/>
                <w:sz w:val="28"/>
                <w:szCs w:val="28"/>
              </w:rPr>
              <w:t>投诉举报科</w:t>
            </w:r>
            <w:r>
              <w:rPr>
                <w:rFonts w:hint="eastAsia" w:ascii="仿宋_GB2312" w:hAnsi="仿宋_GB2312" w:eastAsia="仿宋_GB2312" w:cs="仿宋_GB2312"/>
                <w:sz w:val="28"/>
                <w:szCs w:val="28"/>
              </w:rPr>
              <w:t>、</w:t>
            </w:r>
            <w:r>
              <w:rPr>
                <w:rFonts w:hint="eastAsia" w:ascii="仿宋_GB2312" w:eastAsia="仿宋_GB2312"/>
                <w:sz w:val="28"/>
                <w:szCs w:val="28"/>
              </w:rPr>
              <w:t>质量发展科</w:t>
            </w:r>
            <w:r>
              <w:rPr>
                <w:rFonts w:hint="eastAsia" w:ascii="仿宋_GB2312" w:eastAsia="仿宋_GB2312"/>
                <w:sz w:val="28"/>
                <w:szCs w:val="28"/>
                <w:lang w:eastAsia="zh-CN"/>
              </w:rPr>
              <w:t>、</w:t>
            </w:r>
            <w:r>
              <w:rPr>
                <w:rFonts w:hint="eastAsia" w:ascii="仿宋_GB2312" w:eastAsia="仿宋_GB2312"/>
                <w:sz w:val="28"/>
                <w:szCs w:val="28"/>
              </w:rPr>
              <w:t>产品质量安全监督管理科</w:t>
            </w:r>
            <w:r>
              <w:rPr>
                <w:rFonts w:hint="eastAsia" w:ascii="仿宋_GB2312" w:hAnsi="仿宋_GB2312" w:eastAsia="仿宋_GB2312" w:cs="仿宋_GB2312"/>
                <w:sz w:val="28"/>
                <w:szCs w:val="28"/>
              </w:rPr>
              <w:t>、</w:t>
            </w:r>
            <w:r>
              <w:rPr>
                <w:rFonts w:hint="eastAsia" w:ascii="仿宋_GB2312" w:eastAsia="仿宋_GB2312"/>
                <w:sz w:val="28"/>
                <w:szCs w:val="28"/>
              </w:rPr>
              <w:t>食品安全协调科</w:t>
            </w:r>
            <w:r>
              <w:rPr>
                <w:rFonts w:hint="eastAsia" w:ascii="仿宋_GB2312" w:hAnsi="仿宋_GB2312" w:eastAsia="仿宋_GB2312" w:cs="仿宋_GB2312"/>
                <w:sz w:val="28"/>
                <w:szCs w:val="28"/>
              </w:rPr>
              <w:t>、</w:t>
            </w:r>
            <w:r>
              <w:rPr>
                <w:rFonts w:hint="eastAsia" w:ascii="仿宋_GB2312" w:eastAsia="仿宋_GB2312"/>
                <w:sz w:val="28"/>
                <w:szCs w:val="28"/>
              </w:rPr>
              <w:t>食品生产安全监督管理科</w:t>
            </w:r>
            <w:r>
              <w:rPr>
                <w:rFonts w:hint="eastAsia" w:ascii="仿宋_GB2312" w:eastAsia="仿宋_GB2312"/>
                <w:sz w:val="28"/>
                <w:szCs w:val="28"/>
                <w:lang w:eastAsia="zh-CN"/>
              </w:rPr>
              <w:t>、</w:t>
            </w:r>
            <w:r>
              <w:rPr>
                <w:rFonts w:hint="eastAsia" w:ascii="仿宋_GB2312" w:eastAsia="仿宋_GB2312"/>
                <w:sz w:val="28"/>
                <w:szCs w:val="28"/>
              </w:rPr>
              <w:t>食品经营安全监督管理科</w:t>
            </w:r>
            <w:r>
              <w:rPr>
                <w:rFonts w:hint="eastAsia" w:ascii="仿宋_GB2312" w:eastAsia="仿宋_GB2312"/>
                <w:sz w:val="28"/>
                <w:szCs w:val="28"/>
                <w:lang w:eastAsia="zh-CN"/>
              </w:rPr>
              <w:t>、</w:t>
            </w:r>
            <w:r>
              <w:rPr>
                <w:rFonts w:hint="eastAsia" w:ascii="仿宋_GB2312" w:eastAsia="仿宋_GB2312"/>
                <w:sz w:val="28"/>
                <w:szCs w:val="28"/>
              </w:rPr>
              <w:t>特殊食品和化妆品安全监督管理科</w:t>
            </w:r>
            <w:r>
              <w:rPr>
                <w:rFonts w:hint="eastAsia" w:ascii="仿宋_GB2312" w:eastAsia="仿宋_GB2312"/>
                <w:sz w:val="28"/>
                <w:szCs w:val="28"/>
                <w:lang w:eastAsia="zh-CN"/>
              </w:rPr>
              <w:t>、</w:t>
            </w:r>
            <w:r>
              <w:rPr>
                <w:rFonts w:hint="eastAsia" w:ascii="仿宋_GB2312" w:eastAsia="仿宋_GB2312"/>
                <w:sz w:val="28"/>
                <w:szCs w:val="28"/>
              </w:rPr>
              <w:t>餐饮食品安全监督管理科</w:t>
            </w:r>
            <w:r>
              <w:rPr>
                <w:rFonts w:hint="eastAsia" w:ascii="仿宋_GB2312" w:eastAsia="仿宋_GB2312"/>
                <w:sz w:val="28"/>
                <w:szCs w:val="28"/>
                <w:lang w:eastAsia="zh-CN"/>
              </w:rPr>
              <w:t>、</w:t>
            </w:r>
            <w:r>
              <w:rPr>
                <w:rFonts w:hint="eastAsia" w:ascii="仿宋_GB2312" w:eastAsia="仿宋_GB2312"/>
                <w:sz w:val="28"/>
                <w:szCs w:val="28"/>
              </w:rPr>
              <w:t>抽检监测管理科</w:t>
            </w:r>
            <w:r>
              <w:rPr>
                <w:rFonts w:hint="eastAsia" w:ascii="仿宋_GB2312" w:eastAsia="仿宋_GB2312"/>
                <w:sz w:val="28"/>
                <w:szCs w:val="28"/>
                <w:lang w:eastAsia="zh-CN"/>
              </w:rPr>
              <w:t>、</w:t>
            </w:r>
            <w:r>
              <w:rPr>
                <w:rFonts w:hint="eastAsia" w:ascii="仿宋_GB2312" w:eastAsia="仿宋_GB2312"/>
                <w:sz w:val="28"/>
                <w:szCs w:val="28"/>
              </w:rPr>
              <w:t>药品生产指导协调科</w:t>
            </w:r>
            <w:r>
              <w:rPr>
                <w:rFonts w:hint="eastAsia" w:ascii="仿宋_GB2312" w:eastAsia="仿宋_GB2312"/>
                <w:sz w:val="28"/>
                <w:szCs w:val="28"/>
                <w:lang w:eastAsia="zh-CN"/>
              </w:rPr>
              <w:t>、</w:t>
            </w:r>
            <w:r>
              <w:rPr>
                <w:rFonts w:hint="eastAsia" w:ascii="仿宋_GB2312" w:eastAsia="仿宋_GB2312"/>
                <w:sz w:val="28"/>
                <w:szCs w:val="28"/>
              </w:rPr>
              <w:t>药品流通监督管理科</w:t>
            </w:r>
            <w:r>
              <w:rPr>
                <w:rFonts w:hint="eastAsia" w:ascii="仿宋_GB2312" w:eastAsia="仿宋_GB2312"/>
                <w:sz w:val="28"/>
                <w:szCs w:val="28"/>
                <w:lang w:eastAsia="zh-CN"/>
              </w:rPr>
              <w:t>、</w:t>
            </w:r>
            <w:r>
              <w:rPr>
                <w:rFonts w:hint="eastAsia" w:ascii="仿宋_GB2312" w:eastAsia="仿宋_GB2312"/>
                <w:sz w:val="28"/>
                <w:szCs w:val="28"/>
              </w:rPr>
              <w:t>医疗器械监督管理科</w:t>
            </w:r>
            <w:r>
              <w:rPr>
                <w:rFonts w:hint="eastAsia" w:ascii="仿宋_GB2312" w:eastAsia="仿宋_GB2312"/>
                <w:sz w:val="28"/>
                <w:szCs w:val="28"/>
                <w:lang w:eastAsia="zh-CN"/>
              </w:rPr>
              <w:t>、</w:t>
            </w:r>
            <w:r>
              <w:rPr>
                <w:rFonts w:hint="eastAsia" w:ascii="仿宋_GB2312" w:eastAsia="仿宋_GB2312"/>
                <w:sz w:val="28"/>
                <w:szCs w:val="28"/>
              </w:rPr>
              <w:t>特种设备安全监察科</w:t>
            </w:r>
            <w:r>
              <w:rPr>
                <w:rFonts w:hint="eastAsia" w:ascii="仿宋_GB2312" w:eastAsia="仿宋_GB2312"/>
                <w:sz w:val="28"/>
                <w:szCs w:val="28"/>
                <w:lang w:eastAsia="zh-CN"/>
              </w:rPr>
              <w:t>、</w:t>
            </w:r>
            <w:r>
              <w:rPr>
                <w:rFonts w:hint="eastAsia" w:ascii="仿宋_GB2312" w:eastAsia="仿宋_GB2312"/>
                <w:sz w:val="28"/>
                <w:szCs w:val="28"/>
              </w:rPr>
              <w:t>计量科</w:t>
            </w:r>
            <w:r>
              <w:rPr>
                <w:rFonts w:hint="eastAsia" w:ascii="仿宋_GB2312" w:eastAsia="仿宋_GB2312"/>
                <w:sz w:val="28"/>
                <w:szCs w:val="28"/>
                <w:lang w:eastAsia="zh-CN"/>
              </w:rPr>
              <w:t>、</w:t>
            </w:r>
            <w:r>
              <w:rPr>
                <w:rFonts w:hint="eastAsia" w:ascii="仿宋_GB2312" w:eastAsia="仿宋_GB2312"/>
                <w:sz w:val="28"/>
                <w:szCs w:val="28"/>
              </w:rPr>
              <w:t>标准化科</w:t>
            </w:r>
            <w:r>
              <w:rPr>
                <w:rFonts w:hint="eastAsia" w:ascii="仿宋_GB2312" w:eastAsia="仿宋_GB2312"/>
                <w:sz w:val="28"/>
                <w:szCs w:val="28"/>
                <w:lang w:eastAsia="zh-CN"/>
              </w:rPr>
              <w:t>、</w:t>
            </w:r>
            <w:r>
              <w:rPr>
                <w:rFonts w:hint="eastAsia" w:ascii="仿宋_GB2312" w:eastAsia="仿宋_GB2312"/>
                <w:sz w:val="28"/>
                <w:szCs w:val="28"/>
              </w:rPr>
              <w:t>认证认可监督管理科</w:t>
            </w:r>
            <w:r>
              <w:rPr>
                <w:rFonts w:hint="eastAsia" w:ascii="仿宋_GB2312" w:eastAsia="仿宋_GB2312"/>
                <w:sz w:val="28"/>
                <w:szCs w:val="28"/>
                <w:lang w:eastAsia="zh-CN"/>
              </w:rPr>
              <w:t>、</w:t>
            </w:r>
            <w:r>
              <w:rPr>
                <w:rFonts w:hint="eastAsia" w:ascii="仿宋_GB2312" w:eastAsia="仿宋_GB2312"/>
                <w:sz w:val="28"/>
                <w:szCs w:val="28"/>
              </w:rPr>
              <w:t>知识产权运用促进科</w:t>
            </w:r>
            <w:r>
              <w:rPr>
                <w:rFonts w:hint="eastAsia" w:ascii="仿宋_GB2312" w:eastAsia="仿宋_GB2312"/>
                <w:sz w:val="28"/>
                <w:szCs w:val="28"/>
                <w:lang w:eastAsia="zh-CN"/>
              </w:rPr>
              <w:t>、</w:t>
            </w:r>
            <w:r>
              <w:rPr>
                <w:rFonts w:hint="eastAsia" w:ascii="仿宋_GB2312" w:eastAsia="仿宋_GB2312"/>
                <w:sz w:val="28"/>
                <w:szCs w:val="28"/>
              </w:rPr>
              <w:t>知识产权保护科</w:t>
            </w:r>
            <w:r>
              <w:rPr>
                <w:rFonts w:hint="eastAsia" w:ascii="仿宋_GB2312" w:eastAsia="仿宋_GB2312"/>
                <w:sz w:val="28"/>
                <w:szCs w:val="28"/>
                <w:lang w:eastAsia="zh-CN"/>
              </w:rPr>
              <w:t>、</w:t>
            </w:r>
            <w:r>
              <w:rPr>
                <w:rFonts w:hint="eastAsia" w:ascii="仿宋_GB2312" w:eastAsia="仿宋_GB2312"/>
                <w:sz w:val="28"/>
                <w:szCs w:val="28"/>
              </w:rPr>
              <w:t>消费者权益保护科</w:t>
            </w:r>
            <w:r>
              <w:rPr>
                <w:rFonts w:hint="eastAsia" w:ascii="仿宋_GB2312" w:eastAsia="仿宋_GB2312"/>
                <w:sz w:val="28"/>
                <w:szCs w:val="28"/>
                <w:lang w:eastAsia="zh-CN"/>
              </w:rPr>
              <w:t>、</w:t>
            </w:r>
            <w:r>
              <w:rPr>
                <w:rFonts w:hint="eastAsia" w:ascii="仿宋_GB2312" w:eastAsia="仿宋_GB2312"/>
                <w:sz w:val="28"/>
                <w:szCs w:val="28"/>
              </w:rPr>
              <w:t>财务和审计科</w:t>
            </w:r>
            <w:r>
              <w:rPr>
                <w:rFonts w:hint="eastAsia" w:ascii="仿宋_GB2312" w:eastAsia="仿宋_GB2312"/>
                <w:sz w:val="28"/>
                <w:szCs w:val="28"/>
                <w:lang w:eastAsia="zh-CN"/>
              </w:rPr>
              <w:t>、</w:t>
            </w:r>
            <w:r>
              <w:rPr>
                <w:rFonts w:hint="eastAsia" w:ascii="仿宋_GB2312" w:eastAsia="仿宋_GB2312"/>
                <w:sz w:val="28"/>
                <w:szCs w:val="28"/>
              </w:rPr>
              <w:t>人事科</w:t>
            </w:r>
            <w:r>
              <w:rPr>
                <w:rFonts w:hint="eastAsia" w:ascii="仿宋_GB2312" w:eastAsia="仿宋_GB2312"/>
                <w:sz w:val="28"/>
                <w:szCs w:val="28"/>
                <w:lang w:eastAsia="zh-CN"/>
              </w:rPr>
              <w:t>、</w:t>
            </w:r>
            <w:r>
              <w:rPr>
                <w:rFonts w:hint="eastAsia" w:ascii="仿宋_GB2312" w:eastAsia="仿宋_GB2312"/>
                <w:sz w:val="28"/>
                <w:szCs w:val="28"/>
              </w:rPr>
              <w:t>机关党委（纪委）</w:t>
            </w:r>
            <w:r>
              <w:rPr>
                <w:rFonts w:hint="eastAsia" w:ascii="仿宋_GB2312" w:eastAsia="仿宋_GB2312"/>
                <w:sz w:val="28"/>
                <w:szCs w:val="28"/>
                <w:lang w:eastAsia="zh-CN"/>
              </w:rPr>
              <w:t>、</w:t>
            </w:r>
            <w:r>
              <w:rPr>
                <w:rFonts w:hint="eastAsia" w:ascii="仿宋_GB2312" w:eastAsia="仿宋_GB2312"/>
                <w:sz w:val="28"/>
                <w:szCs w:val="28"/>
              </w:rPr>
              <w:t>离退休人员管理服务科</w:t>
            </w:r>
            <w:r>
              <w:rPr>
                <w:rFonts w:hint="eastAsia" w:ascii="仿宋_GB2312" w:eastAsia="仿宋_GB2312"/>
                <w:sz w:val="28"/>
                <w:szCs w:val="28"/>
                <w:lang w:eastAsia="zh-CN"/>
              </w:rPr>
              <w:t>。</w:t>
            </w:r>
          </w:p>
          <w:p>
            <w:pPr>
              <w:pStyle w:val="6"/>
              <w:shd w:val="clear" w:color="auto" w:fill="FFFFFF"/>
              <w:spacing w:before="0" w:beforeAutospacing="0" w:after="0" w:afterAutospacing="0"/>
              <w:ind w:firstLine="57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副处级综合行政执法支队是岳阳市市场监管综合行政执法支队。</w:t>
            </w:r>
          </w:p>
          <w:p>
            <w:pPr>
              <w:pStyle w:val="6"/>
              <w:shd w:val="clear" w:color="auto" w:fill="FFFFFF"/>
              <w:spacing w:before="0" w:beforeAutospacing="0" w:after="0" w:afterAutospacing="0"/>
              <w:ind w:firstLine="57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直属事业单位为岳阳市检验检测中心，岳阳市食品药品审评认证与不良反应监测中心，岳阳市市场监督管理局机关事务管理中心，岳阳市消费者维权服务中心。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73"/>
              <w:textAlignment w:val="auto"/>
              <w:rPr>
                <w:rFonts w:hint="eastAsia" w:ascii="Arial" w:hAnsi="Arial" w:cs="Arial"/>
                <w:sz w:val="28"/>
              </w:rPr>
            </w:pPr>
            <w:r>
              <w:rPr>
                <w:rFonts w:hint="eastAsia" w:ascii="仿宋_GB2312" w:hAnsi="仿宋_GB2312" w:eastAsia="仿宋_GB2312" w:cs="仿宋_GB2312"/>
                <w:color w:val="333333"/>
                <w:sz w:val="28"/>
                <w:szCs w:val="28"/>
              </w:rPr>
              <w:t>直属</w:t>
            </w:r>
            <w:r>
              <w:rPr>
                <w:rFonts w:hint="eastAsia" w:ascii="仿宋_GB2312" w:hAnsi="仿宋_GB2312" w:eastAsia="仿宋_GB2312" w:cs="仿宋_GB2312"/>
                <w:color w:val="333333"/>
                <w:sz w:val="28"/>
                <w:szCs w:val="28"/>
                <w:lang w:eastAsia="zh-CN"/>
              </w:rPr>
              <w:t>分局</w:t>
            </w:r>
            <w:r>
              <w:rPr>
                <w:rFonts w:hint="eastAsia" w:ascii="仿宋_GB2312" w:hAnsi="仿宋_GB2312" w:eastAsia="仿宋_GB2312" w:cs="仿宋_GB2312"/>
                <w:sz w:val="28"/>
                <w:szCs w:val="28"/>
              </w:rPr>
              <w:t>分别是岳阳市</w:t>
            </w:r>
            <w:r>
              <w:rPr>
                <w:rFonts w:hint="eastAsia" w:ascii="仿宋_GB2312" w:hAnsi="仿宋_GB2312" w:eastAsia="仿宋_GB2312" w:cs="仿宋_GB2312"/>
                <w:sz w:val="28"/>
                <w:szCs w:val="28"/>
                <w:lang w:eastAsia="zh-CN"/>
              </w:rPr>
              <w:t>市场监督</w:t>
            </w:r>
            <w:r>
              <w:rPr>
                <w:rFonts w:hint="eastAsia" w:ascii="仿宋_GB2312" w:hAnsi="仿宋_GB2312" w:eastAsia="仿宋_GB2312" w:cs="仿宋_GB2312"/>
                <w:sz w:val="28"/>
                <w:szCs w:val="28"/>
              </w:rPr>
              <w:t>管理局</w:t>
            </w:r>
            <w:r>
              <w:rPr>
                <w:rFonts w:hint="eastAsia" w:ascii="仿宋_GB2312" w:hAnsi="仿宋_GB2312" w:eastAsia="仿宋_GB2312" w:cs="仿宋_GB2312"/>
                <w:sz w:val="28"/>
                <w:szCs w:val="28"/>
                <w:lang w:eastAsia="zh-CN"/>
              </w:rPr>
              <w:t>经济技术开发区分局</w:t>
            </w:r>
            <w:r>
              <w:rPr>
                <w:rFonts w:hint="eastAsia" w:ascii="仿宋_GB2312" w:hAnsi="仿宋_GB2312" w:eastAsia="仿宋_GB2312" w:cs="仿宋_GB2312"/>
                <w:sz w:val="28"/>
                <w:szCs w:val="28"/>
              </w:rPr>
              <w:t>、岳阳市</w:t>
            </w:r>
            <w:r>
              <w:rPr>
                <w:rFonts w:hint="eastAsia" w:ascii="仿宋_GB2312" w:hAnsi="仿宋_GB2312" w:eastAsia="仿宋_GB2312" w:cs="仿宋_GB2312"/>
                <w:sz w:val="28"/>
                <w:szCs w:val="28"/>
                <w:lang w:eastAsia="zh-CN"/>
              </w:rPr>
              <w:t>市场监督</w:t>
            </w:r>
            <w:r>
              <w:rPr>
                <w:rFonts w:hint="eastAsia" w:ascii="仿宋_GB2312" w:hAnsi="仿宋_GB2312" w:eastAsia="仿宋_GB2312" w:cs="仿宋_GB2312"/>
                <w:sz w:val="28"/>
                <w:szCs w:val="28"/>
              </w:rPr>
              <w:t>管理局</w:t>
            </w:r>
            <w:r>
              <w:rPr>
                <w:rFonts w:hint="eastAsia" w:ascii="仿宋_GB2312" w:hAnsi="仿宋_GB2312" w:eastAsia="仿宋_GB2312" w:cs="仿宋_GB2312"/>
                <w:sz w:val="28"/>
                <w:szCs w:val="28"/>
                <w:lang w:eastAsia="zh-CN"/>
              </w:rPr>
              <w:t>南湖新区分局</w:t>
            </w:r>
            <w:r>
              <w:rPr>
                <w:rFonts w:hint="eastAsia" w:ascii="仿宋_GB2312" w:hAnsi="仿宋_GB2312" w:eastAsia="仿宋_GB2312" w:cs="仿宋_GB2312"/>
                <w:sz w:val="28"/>
                <w:szCs w:val="28"/>
              </w:rPr>
              <w:t>、岳阳市</w:t>
            </w:r>
            <w:r>
              <w:rPr>
                <w:rFonts w:hint="eastAsia" w:ascii="仿宋_GB2312" w:hAnsi="仿宋_GB2312" w:eastAsia="仿宋_GB2312" w:cs="仿宋_GB2312"/>
                <w:sz w:val="28"/>
                <w:szCs w:val="28"/>
                <w:lang w:eastAsia="zh-CN"/>
              </w:rPr>
              <w:t>市场监督</w:t>
            </w:r>
            <w:r>
              <w:rPr>
                <w:rFonts w:hint="eastAsia" w:ascii="仿宋_GB2312" w:hAnsi="仿宋_GB2312" w:eastAsia="仿宋_GB2312" w:cs="仿宋_GB2312"/>
                <w:sz w:val="28"/>
                <w:szCs w:val="28"/>
              </w:rPr>
              <w:t>管理局</w:t>
            </w:r>
            <w:r>
              <w:rPr>
                <w:rFonts w:hint="eastAsia" w:ascii="仿宋_GB2312" w:hAnsi="仿宋_GB2312" w:eastAsia="仿宋_GB2312" w:cs="仿宋_GB2312"/>
                <w:sz w:val="28"/>
                <w:szCs w:val="28"/>
                <w:lang w:eastAsia="zh-CN"/>
              </w:rPr>
              <w:t>城陵矶新港区分局。</w:t>
            </w:r>
          </w:p>
          <w:p>
            <w:pPr>
              <w:pStyle w:val="6"/>
              <w:shd w:val="clear" w:color="auto" w:fill="FFFFFF"/>
              <w:spacing w:before="0" w:beforeAutospacing="0" w:after="0" w:afterAutospacing="0"/>
              <w:ind w:firstLine="570"/>
              <w:rPr>
                <w:rFonts w:hint="eastAsia" w:ascii="Arial" w:hAnsi="Arial" w:cs="Arial"/>
                <w:b/>
                <w:bCs/>
                <w:sz w:val="28"/>
                <w:lang w:val="en-US" w:eastAsia="zh-CN"/>
              </w:rPr>
            </w:pPr>
            <w:r>
              <w:rPr>
                <w:rFonts w:hint="eastAsia" w:ascii="Arial" w:hAnsi="Arial" w:cs="Arial"/>
                <w:b/>
                <w:bCs/>
                <w:sz w:val="28"/>
                <w:lang w:val="en-US" w:eastAsia="zh-CN"/>
              </w:rPr>
              <w:t>2、人员情况</w:t>
            </w:r>
          </w:p>
          <w:p>
            <w:pPr>
              <w:pStyle w:val="6"/>
              <w:shd w:val="clear" w:color="auto" w:fill="FFFFFF"/>
              <w:spacing w:before="0" w:beforeAutospacing="0" w:after="0" w:afterAutospacing="0"/>
              <w:ind w:firstLine="57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2021年末编制人数539人，其中行政编制218人，综合执法编制125人，工勤编制13人，参公编制14人，全额拨款事业编制147人，差额编制22人。编制内实有在职人数551人。</w:t>
            </w:r>
          </w:p>
          <w:p>
            <w:pPr>
              <w:pStyle w:val="6"/>
              <w:shd w:val="clear" w:color="auto" w:fill="FFFFFF"/>
              <w:spacing w:before="0" w:beforeAutospacing="0" w:after="0" w:afterAutospacing="0"/>
              <w:ind w:firstLine="570"/>
              <w:rPr>
                <w:rFonts w:ascii="Arial" w:hAnsi="Arial" w:cs="Arial"/>
                <w:b/>
                <w:bCs/>
                <w:sz w:val="28"/>
              </w:rPr>
            </w:pPr>
            <w:r>
              <w:rPr>
                <w:rFonts w:hint="eastAsia" w:ascii="Arial" w:hAnsi="Arial" w:cs="Arial"/>
                <w:b/>
                <w:bCs/>
                <w:sz w:val="28"/>
                <w:lang w:val="en-US" w:eastAsia="zh-CN"/>
              </w:rPr>
              <w:t>3、</w:t>
            </w:r>
            <w:r>
              <w:rPr>
                <w:rFonts w:ascii="Arial" w:hAnsi="Arial" w:cs="Arial"/>
                <w:b/>
                <w:bCs/>
                <w:sz w:val="28"/>
              </w:rPr>
              <w:t>职能职责 </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一）负责市场综合监督管理。贯彻执行国家市场监督管理的方针、政策和法律法规规章，组织实施质量强市、食品安全、标准化和知识产权等战略，拟订并组织实施有关规划，规范和维护市场秩序，营造诚实守信、公平竞争的市场环境。</w:t>
            </w:r>
          </w:p>
          <w:p>
            <w:pPr>
              <w:pStyle w:val="19"/>
              <w:keepNext w:val="0"/>
              <w:keepLines w:val="0"/>
              <w:pageBreakBefore w:val="0"/>
              <w:widowControl w:val="0"/>
              <w:kinsoku/>
              <w:wordWrap/>
              <w:overflowPunct/>
              <w:topLinePunct w:val="0"/>
              <w:autoSpaceDE/>
              <w:autoSpaceDN/>
              <w:bidi w:val="0"/>
              <w:adjustRightInd/>
              <w:snapToGrid/>
              <w:spacing w:after="140"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负责市场主体统一登记注册工作。负责全市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pPr>
              <w:pStyle w:val="19"/>
              <w:keepNext w:val="0"/>
              <w:keepLines w:val="0"/>
              <w:pageBreakBefore w:val="0"/>
              <w:widowControl w:val="0"/>
              <w:kinsoku/>
              <w:wordWrap/>
              <w:overflowPunct/>
              <w:topLinePunct w:val="0"/>
              <w:autoSpaceDE/>
              <w:autoSpaceDN/>
              <w:bidi w:val="0"/>
              <w:adjustRightInd/>
              <w:snapToGrid/>
              <w:spacing w:after="100"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三</w:t>
            </w:r>
            <w:r>
              <w:rPr>
                <w:rFonts w:hint="eastAsia" w:ascii="仿宋_GB2312" w:eastAsia="仿宋_GB2312"/>
                <w:sz w:val="28"/>
                <w:szCs w:val="28"/>
              </w:rPr>
              <w:t>）负责组织指导市场监管综合执法工作。指导县市区市场监管综合执法队伍整合和建设，推动实行统一的市场监管。组织指导或直接查处违法案件，规范市场监管行政执法行为。</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四）依委托开展反垄断统一执法调查工作。统筹推进竞争政策实施，组织实施公平竞争审查制度。依委托协助开展垄断协议、滥用市场支配地位和滥用行政权力排除、限制竞争等反垄断执法调查工作，指导企业在国外的反垄断应诉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五）负责监督管理市场秩序。依法监督管理市场交易、网络商品交易及有关服务的行为。组织指导查处价格收费违法违规、不正当竞争、违法直销、传销、侵犯商标专利知识产权和制售假冒伪劣行为。依法监督处理合同违法行为，依法实施对拍卖行为的监督管理，管理动产抵押物登记。指导广告业的发展，监督管理广告活动。承担依法查处无照生产经营和相关无证生产经营行为。</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六）负责宏观质量管理。贯彻国家、省质量发展的有关政策，拟订推进质量发展战略的政策措施并组织实施，对全市质量管理工作进行宏观指导。组织实施质量奖励制度，积极推进质量强市战略和品牌建设，推动建立产品质量诚信制度；组织实施产品和服务质量提升、开展服务质量监测；按规定权限组织对重大产品质量事故调查，配合实施缺陷产品召回制度，监督管理产品防伪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（七）负责产品质量安全监督管理。负责产品质量安全监督抽查和风险监控工作，组织实施质量分级制度、质量安全追溯制度。负责工业产品生产许可证证后管理。负责纤维质量监督检验工作。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eastAsia="zh-CN"/>
              </w:rPr>
              <w:t>八</w:t>
            </w:r>
            <w:r>
              <w:rPr>
                <w:rFonts w:hint="eastAsia" w:ascii="仿宋_GB2312" w:hAnsi="宋体" w:eastAsia="仿宋_GB2312"/>
                <w:sz w:val="28"/>
                <w:szCs w:val="28"/>
              </w:rPr>
              <w:t>）</w:t>
            </w:r>
            <w:r>
              <w:rPr>
                <w:rFonts w:hint="eastAsia" w:ascii="仿宋_GB2312" w:eastAsia="仿宋_GB2312"/>
                <w:sz w:val="28"/>
                <w:szCs w:val="28"/>
              </w:rPr>
              <w:t>负责特种设备安全监督管理。综合管理特种设备安全监察、监督工作，监督检查高耗能特种设备节能标准和锅炉生产、进口、销售环节环境保护标准的执行情况。按规定权限组织调查处理特种设备事故并进行统计分析。</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（九）负责食品安全监督管理综合协调。负责食品安全应急体系建设，组织指导重大食品安全事件应急处置和调查处理工作。落实食品安全重要信息直报制度。承担市食品安全委员会日常工作。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等工作。组织实施特殊食品监督管理。负责食盐专营管理和食盐安全监督管理。</w:t>
            </w:r>
          </w:p>
          <w:p>
            <w:pPr>
              <w:pStyle w:val="19"/>
              <w:keepNext w:val="0"/>
              <w:keepLines w:val="0"/>
              <w:pageBreakBefore w:val="0"/>
              <w:widowControl w:val="0"/>
              <w:kinsoku/>
              <w:wordWrap/>
              <w:overflowPunct/>
              <w:topLinePunct w:val="0"/>
              <w:autoSpaceDE/>
              <w:autoSpaceDN/>
              <w:bidi w:val="0"/>
              <w:adjustRightInd/>
              <w:snapToGrid/>
              <w:spacing w:after="60"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（十一）负责统一管理计量工作。推行国家法定计量单位，执行国家计量制度,依职权管理计量器具及量值传递和比对工作。规范、监督商品量和市场计量行为。</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二）负责统一管理标准化工作。组织实施标准化法律、法规，推进本行政区域内标准化战略的实施；依法承担地方标准立项、编号和发布等工作，依法协调指导市级地方标准、团体标准制定工作。依法开展标准化试点示范工作；管理全市商品条码工作；依据法定职责，对标准的制定进行指导监督，对标准的实施进行监督检查。推行采用国际标准。</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（十三）负责统一管理检验检测工作。组织实施检验检测机构资质认定监督管理；协调推进检验检测机构改革；规范检验检测市场，完善检验检测体系，指导协调检验检测行业发展。</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（十四）负责统一管理、监督和综合协调认证认可工作。依法监督管理全市认证认可和合格评定有关活动。</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（十五）负责市场监督管理、知识产权领域科技和信息化建设、新闻宣传、对外交流与合作。按规定承担技术性贸易措施有关工作。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（十六）负责实施知识产权战略，推进知识产权强市建设。制定知识产权创造、保护、运用的管理措施并组织实施。建设知识产权公共服务体系，推动知识产权信息传播利用，建设知识产权人才队伍。</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（十七）负责保护知识产权。落实严格保护专利、商标、原产地地理标志等相关工作，建设知识产权保护体系，指导监督商标、专利及原产地地理标志执法。</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（十八）负责知识产权创造运用。开展知识产权运营体系建设，指导重大经济活动知识产权评议，规范知识产权交易和无形资产评估，促进知识产权转移转化，推动知识产权高质量发展。</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九）负责组织开展有关商品和服务领域消费维权工作，查处假冒伪劣等违法行为，指导消费者咨询、投诉、举报受理、处理和网络体系建设等工作，保护经营者、消费者合法权益。指导消费者权益保护组织开展消费维权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（二十）负责药品（含中药、民族药，下同）、医疗器械和化妆品安全监督管理。贯彻执行国家、省关于药品、医疗器械、化妆品安全监督管理的法律、法规和规章，拟订地方性政策规划并组织实施。</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（二十一）监督实施药品、医疗器械、化妆品标准和分类管理制度，配合有关部门实施国家基本药物制度。</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（二十二）负责权限范围内药品、医疗器械和化妆品质量管理。监督实施药品、医疗器械经营质量管理规范，监督实施化妆品经营、使用卫生标准和技术规范。</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三）负责权限范围内药品、医疗器械和化妆品上市后风险管理。组织开展药品不良反应、医疗器械不良事件和化妆品不良反应的监测、评价和处置工作。依法承担药品、医疗器械和化妆品安全应急管理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四）负责组织实施药品、医疗器械和化妆品监督检查。制定检查制度，依法查处药品、医疗器械和化妆品经营、使用环节违法行为，监督实施问题产品召回和处置制度，依职责组织指导查处其他环节的违法行为。</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（二十五）负责指导市县市场监督管理部门承担的药品、医疗器械、化妆品有关监督管理工作。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（二十六）按规定要求，承担对口事业服务机构业务工作的指导、协调和监督职责。</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（二十七）完成市委、市政府交办的其他任务。</w:t>
            </w:r>
          </w:p>
          <w:p>
            <w:pPr>
              <w:spacing w:line="560" w:lineRule="exact"/>
              <w:ind w:firstLine="562" w:firstLineChars="200"/>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4、部门整体支出管理状况</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2021年，</w:t>
            </w:r>
            <w:r>
              <w:rPr>
                <w:rFonts w:hint="eastAsia" w:ascii="仿宋_GB2312" w:hAnsi="仿宋_GB2312" w:eastAsia="仿宋_GB2312" w:cs="仿宋_GB2312"/>
                <w:color w:val="333333"/>
                <w:kern w:val="0"/>
                <w:sz w:val="28"/>
                <w:szCs w:val="28"/>
                <w:lang w:eastAsia="zh-CN"/>
              </w:rPr>
              <w:t>我局</w:t>
            </w:r>
            <w:r>
              <w:rPr>
                <w:rFonts w:hint="eastAsia" w:ascii="仿宋_GB2312" w:hAnsi="仿宋_GB2312" w:eastAsia="仿宋_GB2312" w:cs="仿宋_GB2312"/>
                <w:color w:val="333333"/>
                <w:kern w:val="0"/>
                <w:sz w:val="28"/>
                <w:szCs w:val="28"/>
              </w:rPr>
              <w:t>为加强部门整体支出管理，提高资金使用效益，除日常的管理工作之外，我局在部门整体支出管理方面开展了如下工作：</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1、重视预算支出</w:t>
            </w:r>
            <w:r>
              <w:rPr>
                <w:rFonts w:hint="eastAsia" w:ascii="仿宋_GB2312" w:hAnsi="仿宋_GB2312" w:eastAsia="仿宋_GB2312" w:cs="仿宋_GB2312"/>
                <w:color w:val="333333"/>
                <w:kern w:val="0"/>
                <w:sz w:val="28"/>
                <w:szCs w:val="28"/>
                <w:lang w:eastAsia="zh-CN"/>
              </w:rPr>
              <w:t>管理</w:t>
            </w:r>
            <w:r>
              <w:rPr>
                <w:rFonts w:hint="eastAsia" w:ascii="仿宋_GB2312" w:hAnsi="仿宋_GB2312" w:eastAsia="仿宋_GB2312" w:cs="仿宋_GB2312"/>
                <w:color w:val="333333"/>
                <w:kern w:val="0"/>
                <w:sz w:val="28"/>
                <w:szCs w:val="28"/>
              </w:rPr>
              <w:t>绩效评估工作，成立了以局领导和</w:t>
            </w:r>
            <w:r>
              <w:rPr>
                <w:rFonts w:hint="eastAsia" w:ascii="仿宋_GB2312" w:hAnsi="仿宋_GB2312" w:eastAsia="仿宋_GB2312" w:cs="仿宋_GB2312"/>
                <w:color w:val="333333"/>
                <w:kern w:val="0"/>
                <w:sz w:val="28"/>
                <w:szCs w:val="28"/>
                <w:lang w:eastAsia="zh-CN"/>
              </w:rPr>
              <w:t>法制科</w:t>
            </w:r>
            <w:r>
              <w:rPr>
                <w:rFonts w:hint="eastAsia" w:ascii="仿宋_GB2312" w:hAnsi="仿宋_GB2312" w:eastAsia="仿宋_GB2312" w:cs="仿宋_GB2312"/>
                <w:color w:val="333333"/>
                <w:kern w:val="0"/>
                <w:sz w:val="28"/>
                <w:szCs w:val="28"/>
              </w:rPr>
              <w:t>及相关科室负责人组成的预算支出绩效评估领导小组，强化了各科室的预算管理意识。</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2、重视财政预算资金管理方面制度的学习，不断提高各科室的</w:t>
            </w:r>
            <w:r>
              <w:rPr>
                <w:rFonts w:hint="eastAsia" w:ascii="仿宋_GB2312" w:hAnsi="仿宋_GB2312" w:eastAsia="仿宋_GB2312" w:cs="仿宋_GB2312"/>
                <w:color w:val="333333"/>
                <w:kern w:val="0"/>
                <w:sz w:val="28"/>
                <w:szCs w:val="28"/>
                <w:lang w:eastAsia="zh-CN"/>
              </w:rPr>
              <w:t>专项资金管理</w:t>
            </w:r>
            <w:r>
              <w:rPr>
                <w:rFonts w:hint="eastAsia" w:ascii="仿宋_GB2312" w:hAnsi="仿宋_GB2312" w:eastAsia="仿宋_GB2312" w:cs="仿宋_GB2312"/>
                <w:color w:val="333333"/>
                <w:kern w:val="0"/>
                <w:sz w:val="28"/>
                <w:szCs w:val="28"/>
              </w:rPr>
              <w:t>能力。</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3、建立了</w:t>
            </w:r>
            <w:r>
              <w:rPr>
                <w:rFonts w:hint="eastAsia" w:ascii="仿宋_GB2312" w:hAnsi="仿宋_GB2312" w:eastAsia="仿宋_GB2312" w:cs="仿宋_GB2312"/>
                <w:color w:val="333333"/>
                <w:kern w:val="0"/>
                <w:sz w:val="28"/>
                <w:szCs w:val="28"/>
                <w:lang w:eastAsia="zh-CN"/>
              </w:rPr>
              <w:t>财务管理制度</w:t>
            </w:r>
            <w:r>
              <w:rPr>
                <w:rFonts w:hint="eastAsia" w:ascii="仿宋_GB2312" w:hAnsi="仿宋_GB2312" w:eastAsia="仿宋_GB2312" w:cs="仿宋_GB2312"/>
                <w:color w:val="333333"/>
                <w:kern w:val="0"/>
                <w:sz w:val="28"/>
                <w:szCs w:val="28"/>
              </w:rPr>
              <w:t>，并不断进行完善和修订。</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4、严格制度的执行，特别是</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三公</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经费的</w:t>
            </w:r>
            <w:r>
              <w:rPr>
                <w:rFonts w:hint="eastAsia" w:ascii="仿宋_GB2312" w:hAnsi="仿宋_GB2312" w:eastAsia="仿宋_GB2312" w:cs="仿宋_GB2312"/>
                <w:color w:val="333333"/>
                <w:kern w:val="0"/>
                <w:sz w:val="28"/>
                <w:szCs w:val="28"/>
                <w:lang w:eastAsia="zh-CN"/>
              </w:rPr>
              <w:t>管理</w:t>
            </w:r>
            <w:r>
              <w:rPr>
                <w:rFonts w:hint="eastAsia" w:ascii="仿宋_GB2312" w:hAnsi="仿宋_GB2312" w:eastAsia="仿宋_GB2312" w:cs="仿宋_GB2312"/>
                <w:color w:val="333333"/>
                <w:kern w:val="0"/>
                <w:sz w:val="28"/>
                <w:szCs w:val="28"/>
              </w:rPr>
              <w:t>。通过加强对公务用车</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招待费</w:t>
            </w:r>
            <w:r>
              <w:rPr>
                <w:rFonts w:hint="eastAsia" w:ascii="仿宋_GB2312" w:hAnsi="仿宋_GB2312" w:eastAsia="仿宋_GB2312" w:cs="仿宋_GB2312"/>
                <w:color w:val="333333"/>
                <w:kern w:val="0"/>
                <w:sz w:val="28"/>
                <w:szCs w:val="28"/>
                <w:lang w:eastAsia="zh-CN"/>
              </w:rPr>
              <w:t>的</w:t>
            </w:r>
            <w:r>
              <w:rPr>
                <w:rFonts w:hint="eastAsia" w:ascii="仿宋_GB2312" w:hAnsi="仿宋_GB2312" w:eastAsia="仿宋_GB2312" w:cs="仿宋_GB2312"/>
                <w:color w:val="333333"/>
                <w:kern w:val="0"/>
                <w:sz w:val="28"/>
                <w:szCs w:val="28"/>
              </w:rPr>
              <w:t>严格控制，</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三公</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经费较好的控制在预算范围之内。</w:t>
            </w:r>
          </w:p>
          <w:p>
            <w:pPr>
              <w:spacing w:line="56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（二）部门（单位）整体支出规模、使用方向和主要内容、涉及范围等</w:t>
            </w:r>
          </w:p>
          <w:p>
            <w:pPr>
              <w:spacing w:line="560" w:lineRule="exact"/>
              <w:ind w:firstLine="560" w:firstLineChars="200"/>
              <w:rPr>
                <w:rFonts w:hint="eastAsia" w:ascii="黑体" w:hAnsi="黑体" w:eastAsia="黑体" w:cs="黑体"/>
                <w:b/>
                <w:bCs w:val="0"/>
                <w:sz w:val="28"/>
                <w:szCs w:val="28"/>
                <w:lang w:val="en-US" w:eastAsia="zh-CN"/>
              </w:rPr>
            </w:pPr>
            <w:r>
              <w:rPr>
                <w:rFonts w:hint="eastAsia" w:ascii="黑体" w:hAnsi="黑体" w:eastAsia="黑体" w:cs="黑体"/>
                <w:bCs/>
                <w:sz w:val="28"/>
                <w:szCs w:val="28"/>
                <w:lang w:val="en-US" w:eastAsia="zh-CN"/>
              </w:rPr>
              <w:t>1、年度部门预算收支情况及</w:t>
            </w:r>
            <w:r>
              <w:rPr>
                <w:rFonts w:hint="eastAsia" w:ascii="宋体" w:hAnsi="宋体" w:eastAsia="宋体" w:cs="宋体"/>
                <w:b/>
                <w:bCs w:val="0"/>
                <w:sz w:val="28"/>
                <w:szCs w:val="28"/>
                <w:lang w:val="en-US" w:eastAsia="zh-CN"/>
              </w:rPr>
              <w:t>使用方向和主要内容、涉及范围</w:t>
            </w:r>
          </w:p>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根据财政部门的预算批复，我局年度部门收支预算情况如下：</w:t>
            </w:r>
          </w:p>
          <w:p>
            <w:pPr>
              <w:widowControl/>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         单位：万元</w:t>
            </w:r>
          </w:p>
          <w:tbl>
            <w:tblPr>
              <w:tblStyle w:val="7"/>
              <w:tblW w:w="9441" w:type="dxa"/>
              <w:tblInd w:w="1"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4536"/>
              <w:gridCol w:w="490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ascii="黑体" w:hAnsi="宋体" w:eastAsia="黑体" w:cs="宋体"/>
                      <w:color w:val="333333"/>
                      <w:kern w:val="0"/>
                      <w:sz w:val="28"/>
                      <w:szCs w:val="28"/>
                    </w:rPr>
                  </w:pPr>
                  <w:r>
                    <w:rPr>
                      <w:rFonts w:hint="eastAsia" w:ascii="黑体" w:hAnsi="宋体" w:eastAsia="黑体" w:cs="宋体"/>
                      <w:color w:val="333333"/>
                      <w:kern w:val="0"/>
                      <w:sz w:val="28"/>
                      <w:szCs w:val="28"/>
                    </w:rPr>
                    <w:t>预算项目</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ind w:firstLine="2240" w:firstLineChars="800"/>
                    <w:rPr>
                      <w:rFonts w:ascii="黑体" w:hAnsi="宋体" w:eastAsia="黑体" w:cs="宋体"/>
                      <w:color w:val="333333"/>
                      <w:kern w:val="0"/>
                      <w:sz w:val="28"/>
                      <w:szCs w:val="28"/>
                    </w:rPr>
                  </w:pPr>
                  <w:r>
                    <w:rPr>
                      <w:rFonts w:hint="eastAsia" w:ascii="黑体" w:hAnsi="宋体" w:eastAsia="黑体" w:cs="宋体"/>
                      <w:color w:val="333333"/>
                      <w:kern w:val="0"/>
                      <w:sz w:val="28"/>
                      <w:szCs w:val="28"/>
                    </w:rPr>
                    <w:t>合计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69" w:hRule="atLeast"/>
              </w:trPr>
              <w:tc>
                <w:tcPr>
                  <w:tcW w:w="453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left"/>
                    <w:textAlignment w:val="center"/>
                    <w:rPr>
                      <w:rFonts w:hint="eastAsia" w:ascii="宋体" w:hAnsi="宋体" w:eastAsia="宋体" w:cs="宋体"/>
                      <w:color w:val="333333"/>
                      <w:kern w:val="0"/>
                      <w:sz w:val="24"/>
                      <w:szCs w:val="24"/>
                    </w:rPr>
                  </w:pPr>
                  <w:r>
                    <w:rPr>
                      <w:rFonts w:hint="eastAsia" w:ascii="宋体" w:hAnsi="宋体" w:eastAsia="宋体" w:cs="宋体"/>
                      <w:i w:val="0"/>
                      <w:color w:val="000000"/>
                      <w:kern w:val="0"/>
                      <w:sz w:val="24"/>
                      <w:szCs w:val="24"/>
                      <w:u w:val="none"/>
                      <w:lang w:val="en-US" w:eastAsia="zh-CN" w:bidi="ar"/>
                    </w:rPr>
                    <w:t>一、本年收入</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8256.92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77" w:hRule="atLeast"/>
              </w:trPr>
              <w:tc>
                <w:tcPr>
                  <w:tcW w:w="453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left"/>
                    <w:textAlignment w:val="center"/>
                    <w:rPr>
                      <w:rFonts w:hint="eastAsia" w:ascii="宋体" w:hAnsi="宋体" w:eastAsia="宋体" w:cs="宋体"/>
                      <w:color w:val="333333"/>
                      <w:kern w:val="0"/>
                      <w:sz w:val="24"/>
                      <w:szCs w:val="24"/>
                    </w:rPr>
                  </w:pPr>
                  <w:r>
                    <w:rPr>
                      <w:rFonts w:hint="eastAsia" w:ascii="宋体" w:hAnsi="宋体" w:eastAsia="宋体" w:cs="宋体"/>
                      <w:i w:val="0"/>
                      <w:color w:val="000000"/>
                      <w:kern w:val="0"/>
                      <w:sz w:val="24"/>
                      <w:szCs w:val="24"/>
                      <w:u w:val="none"/>
                      <w:lang w:val="en-US" w:eastAsia="zh-CN" w:bidi="ar"/>
                    </w:rPr>
                    <w:t>经费拨款(补助)</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7536.92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79" w:hRule="atLeast"/>
              </w:trPr>
              <w:tc>
                <w:tcPr>
                  <w:tcW w:w="453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left"/>
                    <w:textAlignment w:val="center"/>
                    <w:rPr>
                      <w:rFonts w:hint="eastAsia" w:ascii="宋体" w:hAnsi="宋体" w:eastAsia="宋体" w:cs="宋体"/>
                      <w:color w:val="333333"/>
                      <w:kern w:val="0"/>
                      <w:sz w:val="24"/>
                      <w:szCs w:val="24"/>
                    </w:rPr>
                  </w:pPr>
                  <w:r>
                    <w:rPr>
                      <w:rFonts w:hint="eastAsia" w:ascii="宋体" w:hAnsi="宋体" w:eastAsia="宋体" w:cs="宋体"/>
                      <w:i w:val="0"/>
                      <w:color w:val="000000"/>
                      <w:kern w:val="0"/>
                      <w:sz w:val="24"/>
                      <w:szCs w:val="24"/>
                      <w:u w:val="none"/>
                      <w:lang w:val="en-US" w:eastAsia="zh-CN" w:bidi="ar"/>
                    </w:rPr>
                    <w:t>纳入一般公共预算管理的非税收入拨款</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ind w:firstLine="2160" w:firstLineChars="900"/>
                    <w:jc w:val="both"/>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720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二、本年支出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8256.92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基本支出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6414.92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其中：财政拨款支出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6414.92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1842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其中：财政拨款支出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1842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支出预算合计</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8256.92</w:t>
                  </w:r>
                </w:p>
              </w:tc>
            </w:tr>
          </w:tbl>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从预算批复分析，年度预算收入8256.92万元，全部为财政拨款收入，全年预算支出8256.92万元，其中基本支出6414.92万元，占总支出的77.69%，使用内容为人员经费和日常公用经费。项目支出1842万元，占支出的28.71%。使用内容为：打击传销等市场监管执法625.20万元，非税收入征收成本504万元，办公设备购置等30万元，商事制度改革、商标广告管理等市场主体管理专项269.80万元，大型修缮98万元，重点工业产品食品监督抽查、强制检定、政府质量考核工作、政府质量考核工作、标准化、专项打假及投诉处理、纤维及制品质量监督、其他民生领域质量监督、法人库及条码管理等质量基础管理专项288万元，特种设备安全监管专项27万元。</w:t>
            </w:r>
          </w:p>
          <w:p>
            <w:pPr>
              <w:numPr>
                <w:ilvl w:val="0"/>
                <w:numId w:val="0"/>
              </w:numPr>
              <w:spacing w:line="560" w:lineRule="exact"/>
              <w:ind w:leftChars="0" w:firstLine="280" w:firstLineChars="100"/>
              <w:rPr>
                <w:rFonts w:hint="eastAsia" w:ascii="宋体" w:hAnsi="宋体" w:eastAsia="宋体" w:cs="宋体"/>
                <w:b/>
                <w:bCs w:val="0"/>
                <w:sz w:val="28"/>
                <w:szCs w:val="28"/>
                <w:lang w:val="en-US" w:eastAsia="zh-CN"/>
              </w:rPr>
            </w:pPr>
            <w:r>
              <w:rPr>
                <w:rFonts w:hint="eastAsia" w:ascii="黑体" w:hAnsi="黑体" w:eastAsia="黑体" w:cs="黑体"/>
                <w:bCs/>
                <w:sz w:val="28"/>
                <w:szCs w:val="28"/>
                <w:lang w:val="en-US" w:eastAsia="zh-CN"/>
              </w:rPr>
              <w:t>2、年度部门决算收支情况及</w:t>
            </w:r>
            <w:r>
              <w:rPr>
                <w:rFonts w:hint="eastAsia" w:ascii="宋体" w:hAnsi="宋体" w:eastAsia="宋体" w:cs="宋体"/>
                <w:b/>
                <w:bCs w:val="0"/>
                <w:sz w:val="28"/>
                <w:szCs w:val="28"/>
                <w:lang w:val="en-US" w:eastAsia="zh-CN"/>
              </w:rPr>
              <w:t>使用方向和主要内容、涉及范围</w:t>
            </w:r>
          </w:p>
          <w:p>
            <w:pPr>
              <w:spacing w:line="560" w:lineRule="exact"/>
              <w:ind w:firstLine="3360" w:firstLineChars="1400"/>
              <w:rPr>
                <w:rFonts w:hint="eastAsia" w:ascii="仿宋_GB2312" w:hAnsi="仿宋_GB2312" w:eastAsia="仿宋_GB2312" w:cs="仿宋_GB2312"/>
                <w:b w:val="0"/>
                <w:bCs/>
                <w:sz w:val="28"/>
                <w:szCs w:val="28"/>
              </w:rPr>
            </w:pPr>
            <w:r>
              <w:rPr>
                <w:rFonts w:hint="eastAsia" w:ascii="宋体" w:hAnsi="宋体" w:eastAsia="宋体" w:cs="宋体"/>
                <w:i w:val="0"/>
                <w:color w:val="auto"/>
                <w:sz w:val="24"/>
                <w:szCs w:val="24"/>
                <w:u w:val="none"/>
              </w:rPr>
              <w:t>收入</w:t>
            </w:r>
            <w:r>
              <w:rPr>
                <w:rFonts w:hint="eastAsia" w:ascii="宋体" w:hAnsi="宋体" w:eastAsia="宋体" w:cs="宋体"/>
                <w:i w:val="0"/>
                <w:color w:val="auto"/>
                <w:sz w:val="24"/>
                <w:szCs w:val="24"/>
                <w:u w:val="none"/>
                <w:lang w:eastAsia="zh-CN"/>
              </w:rPr>
              <w:t>决</w:t>
            </w:r>
            <w:r>
              <w:rPr>
                <w:rFonts w:hint="eastAsia" w:ascii="宋体" w:hAnsi="宋体" w:eastAsia="宋体" w:cs="宋体"/>
                <w:i w:val="0"/>
                <w:color w:val="auto"/>
                <w:sz w:val="24"/>
                <w:szCs w:val="24"/>
                <w:u w:val="none"/>
              </w:rPr>
              <w:t>算情况</w:t>
            </w:r>
          </w:p>
          <w:tbl>
            <w:tblPr>
              <w:tblStyle w:val="7"/>
              <w:tblW w:w="0" w:type="auto"/>
              <w:tblInd w:w="-15" w:type="dxa"/>
              <w:tblLayout w:type="fixed"/>
              <w:tblCellMar>
                <w:top w:w="0" w:type="dxa"/>
                <w:left w:w="0" w:type="dxa"/>
                <w:bottom w:w="0" w:type="dxa"/>
                <w:right w:w="0" w:type="dxa"/>
              </w:tblCellMar>
            </w:tblPr>
            <w:tblGrid>
              <w:gridCol w:w="5"/>
              <w:gridCol w:w="1515"/>
              <w:gridCol w:w="5"/>
              <w:gridCol w:w="1590"/>
              <w:gridCol w:w="1385"/>
              <w:gridCol w:w="5"/>
              <w:gridCol w:w="1455"/>
              <w:gridCol w:w="5"/>
              <w:gridCol w:w="1140"/>
              <w:gridCol w:w="1683"/>
            </w:tblGrid>
            <w:tr>
              <w:tblPrEx>
                <w:tblCellMar>
                  <w:top w:w="0" w:type="dxa"/>
                  <w:left w:w="0" w:type="dxa"/>
                  <w:bottom w:w="0" w:type="dxa"/>
                  <w:right w:w="0" w:type="dxa"/>
                </w:tblCellMar>
              </w:tblPrEx>
              <w:trPr>
                <w:trHeight w:val="285" w:hRule="atLeast"/>
              </w:trPr>
              <w:tc>
                <w:tcPr>
                  <w:tcW w:w="1520"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595"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38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460"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828"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金额单位：万元</w:t>
                  </w:r>
                </w:p>
              </w:tc>
            </w:tr>
            <w:tr>
              <w:tblPrEx>
                <w:tblCellMar>
                  <w:top w:w="0" w:type="dxa"/>
                  <w:left w:w="0" w:type="dxa"/>
                  <w:bottom w:w="0" w:type="dxa"/>
                  <w:right w:w="0" w:type="dxa"/>
                </w:tblCellMar>
              </w:tblPrEx>
              <w:trPr>
                <w:gridBefore w:val="1"/>
                <w:wBefore w:w="5" w:type="dxa"/>
                <w:trHeight w:val="465" w:hRule="atLeast"/>
              </w:trPr>
              <w:tc>
                <w:tcPr>
                  <w:tcW w:w="152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单位名称</w:t>
                  </w:r>
                </w:p>
              </w:tc>
              <w:tc>
                <w:tcPr>
                  <w:tcW w:w="159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预算收入</w:t>
                  </w:r>
                </w:p>
              </w:tc>
              <w:tc>
                <w:tcPr>
                  <w:tcW w:w="1390"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决算收入</w:t>
                  </w:r>
                </w:p>
              </w:tc>
              <w:tc>
                <w:tcPr>
                  <w:tcW w:w="1460"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年末结余</w:t>
                  </w:r>
                </w:p>
              </w:tc>
              <w:tc>
                <w:tcPr>
                  <w:tcW w:w="114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上年结余</w:t>
                  </w:r>
                </w:p>
              </w:tc>
              <w:tc>
                <w:tcPr>
                  <w:tcW w:w="168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本年结余</w:t>
                  </w:r>
                </w:p>
              </w:tc>
            </w:tr>
            <w:tr>
              <w:tblPrEx>
                <w:tblCellMar>
                  <w:top w:w="0" w:type="dxa"/>
                  <w:left w:w="0" w:type="dxa"/>
                  <w:bottom w:w="0" w:type="dxa"/>
                  <w:right w:w="0" w:type="dxa"/>
                </w:tblCellMar>
              </w:tblPrEx>
              <w:trPr>
                <w:gridBefore w:val="1"/>
                <w:wBefore w:w="5" w:type="dxa"/>
                <w:trHeight w:val="868" w:hRule="atLeast"/>
              </w:trPr>
              <w:tc>
                <w:tcPr>
                  <w:tcW w:w="1520"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市场监管局</w:t>
                  </w:r>
                </w:p>
              </w:tc>
              <w:tc>
                <w:tcPr>
                  <w:tcW w:w="1590"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8256.92</w:t>
                  </w:r>
                </w:p>
              </w:tc>
              <w:tc>
                <w:tcPr>
                  <w:tcW w:w="1390" w:type="dxa"/>
                  <w:gridSpan w:val="2"/>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15312.55</w:t>
                  </w:r>
                </w:p>
              </w:tc>
              <w:tc>
                <w:tcPr>
                  <w:tcW w:w="1460" w:type="dxa"/>
                  <w:gridSpan w:val="2"/>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1108.23</w:t>
                  </w:r>
                </w:p>
              </w:tc>
              <w:tc>
                <w:tcPr>
                  <w:tcW w:w="1140"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1631.41</w:t>
                  </w:r>
                </w:p>
              </w:tc>
              <w:tc>
                <w:tcPr>
                  <w:tcW w:w="16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-523.17</w:t>
                  </w:r>
                </w:p>
              </w:tc>
            </w:tr>
          </w:tbl>
          <w:p>
            <w:pPr>
              <w:numPr>
                <w:ilvl w:val="0"/>
                <w:numId w:val="0"/>
              </w:numPr>
              <w:spacing w:line="560" w:lineRule="exact"/>
              <w:ind w:firstLine="3360" w:firstLineChars="1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支出决算情况</w:t>
            </w:r>
          </w:p>
          <w:p>
            <w:pPr>
              <w:numPr>
                <w:ilvl w:val="0"/>
                <w:numId w:val="0"/>
              </w:numPr>
              <w:spacing w:line="560" w:lineRule="exact"/>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金额单位：万元</w:t>
            </w:r>
          </w:p>
          <w:tbl>
            <w:tblPr>
              <w:tblStyle w:val="7"/>
              <w:tblW w:w="0" w:type="auto"/>
              <w:tblInd w:w="-15" w:type="dxa"/>
              <w:tblLayout w:type="fixed"/>
              <w:tblCellMar>
                <w:top w:w="0" w:type="dxa"/>
                <w:left w:w="0" w:type="dxa"/>
                <w:bottom w:w="0" w:type="dxa"/>
                <w:right w:w="0" w:type="dxa"/>
              </w:tblCellMar>
            </w:tblPr>
            <w:tblGrid>
              <w:gridCol w:w="1400"/>
              <w:gridCol w:w="1088"/>
              <w:gridCol w:w="1425"/>
              <w:gridCol w:w="1461"/>
              <w:gridCol w:w="1445"/>
              <w:gridCol w:w="1912"/>
            </w:tblGrid>
            <w:tr>
              <w:tblPrEx>
                <w:tblCellMar>
                  <w:top w:w="0" w:type="dxa"/>
                  <w:left w:w="0" w:type="dxa"/>
                  <w:bottom w:w="0" w:type="dxa"/>
                  <w:right w:w="0" w:type="dxa"/>
                </w:tblCellMar>
              </w:tblPrEx>
              <w:trPr>
                <w:trHeight w:val="420" w:hRule="atLeast"/>
              </w:trPr>
              <w:tc>
                <w:tcPr>
                  <w:tcW w:w="1400"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2513"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预算批复</w:t>
                  </w:r>
                </w:p>
              </w:tc>
              <w:tc>
                <w:tcPr>
                  <w:tcW w:w="1461" w:type="dxa"/>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3357"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决算数据</w:t>
                  </w:r>
                </w:p>
              </w:tc>
            </w:tr>
            <w:tr>
              <w:tblPrEx>
                <w:tblCellMar>
                  <w:top w:w="0" w:type="dxa"/>
                  <w:left w:w="0" w:type="dxa"/>
                  <w:bottom w:w="0" w:type="dxa"/>
                  <w:right w:w="0" w:type="dxa"/>
                </w:tblCellMar>
              </w:tblPrEx>
              <w:trPr>
                <w:trHeight w:val="420" w:hRule="atLeast"/>
              </w:trPr>
              <w:tc>
                <w:tcPr>
                  <w:tcW w:w="140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c>
                <w:tcPr>
                  <w:tcW w:w="1088"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基本支出</w:t>
                  </w:r>
                </w:p>
              </w:tc>
              <w:tc>
                <w:tcPr>
                  <w:tcW w:w="142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c>
                <w:tcPr>
                  <w:tcW w:w="1461"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c>
                <w:tcPr>
                  <w:tcW w:w="144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基本支出</w:t>
                  </w:r>
                </w:p>
              </w:tc>
              <w:tc>
                <w:tcPr>
                  <w:tcW w:w="1912"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r>
            <w:tr>
              <w:tblPrEx>
                <w:tblCellMar>
                  <w:top w:w="0" w:type="dxa"/>
                  <w:left w:w="0" w:type="dxa"/>
                  <w:bottom w:w="0" w:type="dxa"/>
                  <w:right w:w="0" w:type="dxa"/>
                </w:tblCellMar>
              </w:tblPrEx>
              <w:trPr>
                <w:trHeight w:val="420" w:hRule="atLeast"/>
              </w:trPr>
              <w:tc>
                <w:tcPr>
                  <w:tcW w:w="140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8256.92</w:t>
                  </w:r>
                </w:p>
              </w:tc>
              <w:tc>
                <w:tcPr>
                  <w:tcW w:w="1088"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6414.92</w:t>
                  </w:r>
                </w:p>
              </w:tc>
              <w:tc>
                <w:tcPr>
                  <w:tcW w:w="142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1842</w:t>
                  </w:r>
                </w:p>
              </w:tc>
              <w:tc>
                <w:tcPr>
                  <w:tcW w:w="1461"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15835.73</w:t>
                  </w:r>
                </w:p>
              </w:tc>
              <w:tc>
                <w:tcPr>
                  <w:tcW w:w="144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10464.41</w:t>
                  </w:r>
                </w:p>
              </w:tc>
              <w:tc>
                <w:tcPr>
                  <w:tcW w:w="1912"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5371.32</w:t>
                  </w:r>
                </w:p>
              </w:tc>
            </w:tr>
          </w:tbl>
          <w:p>
            <w:pPr>
              <w:spacing w:line="56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从上述数据分析：2021年预算收入8256.92万元，决算15312.55万元，收入增加主要是省级财政追加专项资金，市级财政代编食品药品监管专项资金、知识产权管理专项资金，市级财政追加综合绩效考核资金、平安建设工作考评奖励、非税超收可用资金等。结余减少主要上年度已列收入的专项资金跨年度使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1、人员经费和公用经费</w:t>
            </w:r>
            <w:r>
              <w:rPr>
                <w:rFonts w:hint="eastAsia" w:ascii="仿宋_GB2312" w:hAnsi="仿宋_GB2312" w:eastAsia="仿宋_GB2312" w:cs="仿宋_GB2312"/>
                <w:bCs/>
                <w:sz w:val="28"/>
                <w:szCs w:val="28"/>
                <w:lang w:eastAsia="zh-CN"/>
              </w:rPr>
              <w:t>管理情况</w:t>
            </w:r>
          </w:p>
          <w:p>
            <w:pPr>
              <w:spacing w:line="560" w:lineRule="exac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我局基本支出主要包括人员经费和公用经费，具体为工资福利支出、对个人和家庭补助支出、一般商品和服务支出。</w:t>
            </w:r>
            <w:r>
              <w:rPr>
                <w:rFonts w:hint="eastAsia" w:ascii="仿宋_GB2312" w:hAnsi="仿宋_GB2312" w:eastAsia="仿宋_GB2312" w:cs="仿宋_GB2312"/>
                <w:bCs/>
                <w:sz w:val="28"/>
                <w:szCs w:val="28"/>
                <w:lang w:val="en-US" w:eastAsia="zh-CN"/>
              </w:rPr>
              <w:t>基本支出的管理和使用情况如下：</w:t>
            </w:r>
          </w:p>
          <w:p>
            <w:pPr>
              <w:spacing w:line="560" w:lineRule="exact"/>
              <w:ind w:firstLine="3080" w:firstLineChars="11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基本支出执行情况表</w:t>
            </w:r>
          </w:p>
          <w:tbl>
            <w:tblPr>
              <w:tblStyle w:val="7"/>
              <w:tblW w:w="0" w:type="auto"/>
              <w:tblInd w:w="-15" w:type="dxa"/>
              <w:tblLayout w:type="fixed"/>
              <w:tblCellMar>
                <w:top w:w="0" w:type="dxa"/>
                <w:left w:w="0" w:type="dxa"/>
                <w:bottom w:w="0" w:type="dxa"/>
                <w:right w:w="0" w:type="dxa"/>
              </w:tblCellMar>
            </w:tblPr>
            <w:tblGrid>
              <w:gridCol w:w="5"/>
              <w:gridCol w:w="3395"/>
              <w:gridCol w:w="5"/>
              <w:gridCol w:w="2626"/>
              <w:gridCol w:w="2738"/>
            </w:tblGrid>
            <w:tr>
              <w:tblPrEx>
                <w:tblCellMar>
                  <w:top w:w="0" w:type="dxa"/>
                  <w:left w:w="0" w:type="dxa"/>
                  <w:bottom w:w="0" w:type="dxa"/>
                  <w:right w:w="0" w:type="dxa"/>
                </w:tblCellMar>
              </w:tblPrEx>
              <w:trPr>
                <w:trHeight w:val="375" w:hRule="atLeast"/>
              </w:trPr>
              <w:tc>
                <w:tcPr>
                  <w:tcW w:w="3400"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631"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738"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金额单位:万元</w:t>
                  </w:r>
                </w:p>
              </w:tc>
            </w:tr>
            <w:tr>
              <w:tblPrEx>
                <w:tblCellMar>
                  <w:top w:w="0" w:type="dxa"/>
                  <w:left w:w="0" w:type="dxa"/>
                  <w:bottom w:w="0" w:type="dxa"/>
                  <w:right w:w="0" w:type="dxa"/>
                </w:tblCellMar>
              </w:tblPrEx>
              <w:trPr>
                <w:gridBefore w:val="1"/>
                <w:wBefore w:w="5" w:type="dxa"/>
                <w:trHeight w:val="435" w:hRule="atLeast"/>
              </w:trPr>
              <w:tc>
                <w:tcPr>
                  <w:tcW w:w="340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w:t>
                  </w:r>
                </w:p>
              </w:tc>
              <w:tc>
                <w:tcPr>
                  <w:tcW w:w="2626" w:type="dxa"/>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预算批复</w:t>
                  </w:r>
                </w:p>
              </w:tc>
              <w:tc>
                <w:tcPr>
                  <w:tcW w:w="273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决算数据</w:t>
                  </w:r>
                </w:p>
              </w:tc>
            </w:tr>
            <w:tr>
              <w:tblPrEx>
                <w:tblCellMar>
                  <w:top w:w="0" w:type="dxa"/>
                  <w:left w:w="0" w:type="dxa"/>
                  <w:bottom w:w="0" w:type="dxa"/>
                  <w:right w:w="0" w:type="dxa"/>
                </w:tblCellMar>
              </w:tblPrEx>
              <w:trPr>
                <w:gridBefore w:val="1"/>
                <w:wBefore w:w="5" w:type="dxa"/>
                <w:trHeight w:val="420" w:hRule="atLeast"/>
              </w:trPr>
              <w:tc>
                <w:tcPr>
                  <w:tcW w:w="3400"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工资福利支出</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5221.32</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7788.07</w:t>
                  </w:r>
                </w:p>
              </w:tc>
            </w:tr>
            <w:tr>
              <w:tblPrEx>
                <w:tblCellMar>
                  <w:top w:w="0" w:type="dxa"/>
                  <w:left w:w="0" w:type="dxa"/>
                  <w:bottom w:w="0" w:type="dxa"/>
                  <w:right w:w="0" w:type="dxa"/>
                </w:tblCellMar>
              </w:tblPrEx>
              <w:trPr>
                <w:gridBefore w:val="1"/>
                <w:wBefore w:w="5" w:type="dxa"/>
                <w:trHeight w:val="285" w:hRule="atLeast"/>
              </w:trPr>
              <w:tc>
                <w:tcPr>
                  <w:tcW w:w="3400"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商品和服务支出</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1127.02</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1477.10</w:t>
                  </w:r>
                </w:p>
              </w:tc>
            </w:tr>
            <w:tr>
              <w:tblPrEx>
                <w:tblCellMar>
                  <w:top w:w="0" w:type="dxa"/>
                  <w:left w:w="0" w:type="dxa"/>
                  <w:bottom w:w="0" w:type="dxa"/>
                  <w:right w:w="0" w:type="dxa"/>
                </w:tblCellMar>
              </w:tblPrEx>
              <w:trPr>
                <w:gridBefore w:val="1"/>
                <w:wBefore w:w="5" w:type="dxa"/>
                <w:trHeight w:val="285" w:hRule="atLeast"/>
              </w:trPr>
              <w:tc>
                <w:tcPr>
                  <w:tcW w:w="3400"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对个人和家庭补助支出</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66.58</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1199.24</w:t>
                  </w:r>
                </w:p>
              </w:tc>
            </w:tr>
            <w:tr>
              <w:tblPrEx>
                <w:tblCellMar>
                  <w:top w:w="0" w:type="dxa"/>
                  <w:left w:w="0" w:type="dxa"/>
                  <w:bottom w:w="0" w:type="dxa"/>
                  <w:right w:w="0" w:type="dxa"/>
                </w:tblCellMar>
              </w:tblPrEx>
              <w:trPr>
                <w:gridBefore w:val="1"/>
                <w:wBefore w:w="5" w:type="dxa"/>
                <w:trHeight w:val="285" w:hRule="atLeast"/>
              </w:trPr>
              <w:tc>
                <w:tcPr>
                  <w:tcW w:w="3400"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6414.92</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10464.41</w:t>
                  </w:r>
                </w:p>
              </w:tc>
            </w:tr>
          </w:tbl>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Cs/>
                <w:sz w:val="28"/>
                <w:szCs w:val="28"/>
                <w:lang w:eastAsia="zh-CN"/>
              </w:rPr>
              <w:t>从上表分析：基本支出超支</w:t>
            </w:r>
            <w:r>
              <w:rPr>
                <w:rFonts w:hint="eastAsia" w:ascii="仿宋_GB2312" w:hAnsi="仿宋_GB2312" w:eastAsia="仿宋_GB2312" w:cs="仿宋_GB2312"/>
                <w:bCs/>
                <w:sz w:val="28"/>
                <w:szCs w:val="28"/>
                <w:lang w:val="en-US" w:eastAsia="zh-CN"/>
              </w:rPr>
              <w:t>4048.49万元，主要是工资福利支出增加2566.75万元，商品和服务支出增加350.08万元，对个人和家庭补助支出增加1132.66万元。人员支出增加主要是增加了</w:t>
            </w:r>
            <w:r>
              <w:rPr>
                <w:rFonts w:hint="eastAsia" w:ascii="仿宋_GB2312" w:hAnsi="仿宋_GB2312" w:eastAsia="仿宋_GB2312" w:cs="仿宋_GB2312"/>
                <w:b w:val="0"/>
                <w:bCs/>
                <w:sz w:val="28"/>
                <w:szCs w:val="28"/>
                <w:lang w:val="en-US" w:eastAsia="zh-CN"/>
              </w:rPr>
              <w:t>综合绩效考核资金、平安建设考评奖励、第十三个月工资三项支出，公用经费支出增加主要是增加了公务车补助的50%。</w:t>
            </w:r>
          </w:p>
          <w:p>
            <w:pPr>
              <w:numPr>
                <w:ilvl w:val="0"/>
                <w:numId w:val="0"/>
              </w:numPr>
              <w:spacing w:line="560" w:lineRule="exact"/>
              <w:ind w:leftChars="0"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2、“三公经费”支出使用和管理情况</w:t>
            </w:r>
          </w:p>
          <w:p>
            <w:pPr>
              <w:numPr>
                <w:ilvl w:val="0"/>
                <w:numId w:val="0"/>
              </w:numPr>
              <w:spacing w:line="560" w:lineRule="exact"/>
              <w:ind w:leftChars="0" w:firstLine="2520" w:firstLineChars="900"/>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“三公”经费执行情况表</w:t>
            </w:r>
          </w:p>
          <w:tbl>
            <w:tblPr>
              <w:tblStyle w:val="7"/>
              <w:tblW w:w="0" w:type="auto"/>
              <w:tblInd w:w="-15" w:type="dxa"/>
              <w:tblLayout w:type="fixed"/>
              <w:tblCellMar>
                <w:top w:w="0" w:type="dxa"/>
                <w:left w:w="0" w:type="dxa"/>
                <w:bottom w:w="0" w:type="dxa"/>
                <w:right w:w="0" w:type="dxa"/>
              </w:tblCellMar>
            </w:tblPr>
            <w:tblGrid>
              <w:gridCol w:w="5"/>
              <w:gridCol w:w="2579"/>
              <w:gridCol w:w="5"/>
              <w:gridCol w:w="2806"/>
              <w:gridCol w:w="3383"/>
            </w:tblGrid>
            <w:tr>
              <w:tblPrEx>
                <w:tblCellMar>
                  <w:top w:w="0" w:type="dxa"/>
                  <w:left w:w="0" w:type="dxa"/>
                  <w:bottom w:w="0" w:type="dxa"/>
                  <w:right w:w="0" w:type="dxa"/>
                </w:tblCellMar>
              </w:tblPrEx>
              <w:trPr>
                <w:trHeight w:val="375" w:hRule="atLeast"/>
              </w:trPr>
              <w:tc>
                <w:tcPr>
                  <w:tcW w:w="2584"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811"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338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Before w:val="1"/>
                <w:wBefore w:w="5" w:type="dxa"/>
                <w:trHeight w:val="435" w:hRule="atLeast"/>
              </w:trPr>
              <w:tc>
                <w:tcPr>
                  <w:tcW w:w="258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w:t>
                  </w:r>
                </w:p>
              </w:tc>
              <w:tc>
                <w:tcPr>
                  <w:tcW w:w="2806"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本年发生额</w:t>
                  </w:r>
                </w:p>
              </w:tc>
              <w:tc>
                <w:tcPr>
                  <w:tcW w:w="3383"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keepNext w:val="0"/>
                    <w:keepLines w:val="0"/>
                    <w:widowControl/>
                    <w:suppressLineNumbers w:val="0"/>
                    <w:ind w:firstLine="960" w:firstLineChars="40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预算批复</w:t>
                  </w:r>
                </w:p>
              </w:tc>
            </w:tr>
            <w:tr>
              <w:tblPrEx>
                <w:tblCellMar>
                  <w:top w:w="0" w:type="dxa"/>
                  <w:left w:w="0" w:type="dxa"/>
                  <w:bottom w:w="0" w:type="dxa"/>
                  <w:right w:w="0" w:type="dxa"/>
                </w:tblCellMar>
              </w:tblPrEx>
              <w:trPr>
                <w:gridBefore w:val="1"/>
                <w:wBefore w:w="5" w:type="dxa"/>
                <w:trHeight w:val="420" w:hRule="atLeast"/>
              </w:trPr>
              <w:tc>
                <w:tcPr>
                  <w:tcW w:w="2584"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公务接待费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28.65</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99.22</w:t>
                  </w:r>
                </w:p>
              </w:tc>
            </w:tr>
            <w:tr>
              <w:tblPrEx>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公务车运行维护费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113.78</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133</w:t>
                  </w:r>
                </w:p>
              </w:tc>
            </w:tr>
            <w:tr>
              <w:tblPrEx>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公务用车购置费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17.44</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18</w:t>
                  </w:r>
                </w:p>
              </w:tc>
            </w:tr>
            <w:tr>
              <w:tblPrEx>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因公出国费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159.87</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250.22</w:t>
                  </w:r>
                </w:p>
              </w:tc>
            </w:tr>
          </w:tbl>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val="0"/>
                <w:bCs/>
                <w:sz w:val="28"/>
                <w:szCs w:val="28"/>
                <w:lang w:val="en-US" w:eastAsia="zh-CN"/>
              </w:rPr>
              <w:t>我局“三公”经费预算批复数据在政府门户网站进行了公示。本年度“三公”经费实际支出159.87万元，比预算减少90.35万元，下降36.11%，总额控制良好。比上年221.47万元减少39.94万元，下降18.03%，其中招待费较上年33.23万元减少4.58万元，下降13.78%，公务车运行维护费较上年107.36万元增加6.42万元，增长5.98%。公务用车购置费较上年17.44增加3.56万元，本年无出国费用，上述增加的费用均通过批准开支。公务接待费本年人均0.05万元，在用公务车43台，平均每台费用2.65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Cs/>
                <w:sz w:val="28"/>
                <w:szCs w:val="28"/>
                <w:lang w:eastAsia="zh-CN"/>
              </w:rPr>
              <w:t>本年度预算安排项目资金</w:t>
            </w:r>
            <w:r>
              <w:rPr>
                <w:rFonts w:hint="eastAsia" w:ascii="仿宋_GB2312" w:hAnsi="仿宋_GB2312" w:eastAsia="仿宋_GB2312" w:cs="仿宋_GB2312"/>
                <w:b w:val="0"/>
                <w:bCs/>
                <w:sz w:val="28"/>
                <w:szCs w:val="28"/>
                <w:lang w:val="en-US" w:eastAsia="zh-CN"/>
              </w:rPr>
              <w:t>1842万元，使用内容为：打击传销等市场监管执法625.20万元，</w:t>
            </w:r>
            <w:r>
              <w:rPr>
                <w:rFonts w:hint="eastAsia" w:ascii="仿宋_GB2312" w:hAnsi="仿宋_GB2312" w:eastAsia="仿宋_GB2312" w:cs="仿宋_GB2312"/>
                <w:bCs/>
                <w:sz w:val="28"/>
                <w:szCs w:val="28"/>
                <w:lang w:val="en-US" w:eastAsia="zh-CN"/>
              </w:rPr>
              <w:t>用于打击传销、反垄断、反不正当竞争等专项治理；</w:t>
            </w:r>
            <w:r>
              <w:rPr>
                <w:rFonts w:hint="eastAsia" w:ascii="仿宋_GB2312" w:hAnsi="仿宋_GB2312" w:eastAsia="仿宋_GB2312" w:cs="仿宋_GB2312"/>
                <w:b w:val="0"/>
                <w:bCs/>
                <w:sz w:val="28"/>
                <w:szCs w:val="28"/>
                <w:lang w:val="en-US" w:eastAsia="zh-CN"/>
              </w:rPr>
              <w:t>非税收入征收成本504万元，主要是非税收入征收过程中发生的办公、差旅等费用支出；办公设备购置等30万元，主要用于落后设备的更新；商事制度改革、商标广告管理等市场主体管理专项269.80万元，主要</w:t>
            </w:r>
            <w:r>
              <w:rPr>
                <w:rFonts w:hint="eastAsia" w:ascii="仿宋_GB2312" w:hAnsi="仿宋_GB2312" w:eastAsia="仿宋_GB2312" w:cs="仿宋_GB2312"/>
                <w:bCs/>
                <w:sz w:val="28"/>
                <w:szCs w:val="28"/>
                <w:lang w:val="en-US" w:eastAsia="zh-CN"/>
              </w:rPr>
              <w:t>用于商事制度改革、信用监管、商标广告管理、农资成品油市场管理等；</w:t>
            </w:r>
            <w:r>
              <w:rPr>
                <w:rFonts w:hint="eastAsia" w:ascii="仿宋_GB2312" w:hAnsi="仿宋_GB2312" w:eastAsia="仿宋_GB2312" w:cs="仿宋_GB2312"/>
                <w:b w:val="0"/>
                <w:bCs/>
                <w:sz w:val="28"/>
                <w:szCs w:val="28"/>
                <w:lang w:val="en-US" w:eastAsia="zh-CN"/>
              </w:rPr>
              <w:t>大型修缮98万元，主要用于会议室改造等，质量基础专项288万元，主要用于重点工业产品食品监督抽查、强制检定、政府质量考核工作、政府质量考核工作、标准化、专项打假及投诉处理、纤维及制品质量监督、其他民生领域质量监督、法人库及条码管理等质量基础管理，特种设备安全监管专项27万元，主要是负责生产、检验、重点使用单位现场检查，县（市）区督查、考核、抽查、行政许可证件的发放，宣传教育培训等。</w:t>
            </w:r>
          </w:p>
          <w:p>
            <w:pPr>
              <w:numPr>
                <w:ilvl w:val="0"/>
                <w:numId w:val="2"/>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专项资金实际使用情况分析</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本年度实际投入专项资金</w:t>
            </w:r>
            <w:r>
              <w:rPr>
                <w:rFonts w:hint="eastAsia" w:ascii="仿宋_GB2312" w:hAnsi="仿宋_GB2312" w:eastAsia="仿宋_GB2312" w:cs="仿宋_GB2312"/>
                <w:bCs/>
                <w:sz w:val="28"/>
                <w:szCs w:val="28"/>
                <w:lang w:val="en-US" w:eastAsia="zh-CN"/>
              </w:rPr>
              <w:t>5371.32万元，其中上年结转1105.23万元，本年财政拨款3157.35万元（含省财政专项资金），非本级财政资金1108.74万元。</w:t>
            </w:r>
          </w:p>
          <w:p>
            <w:pPr>
              <w:numPr>
                <w:ilvl w:val="0"/>
                <w:numId w:val="0"/>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专项资金管理情况分析</w:t>
            </w:r>
          </w:p>
          <w:p>
            <w:pPr>
              <w:keepNext w:val="0"/>
              <w:keepLines w:val="0"/>
              <w:widowControl/>
              <w:suppressLineNumbers w:val="0"/>
              <w:ind w:firstLine="560" w:firstLineChars="200"/>
              <w:jc w:val="left"/>
              <w:rPr>
                <w:rFonts w:hint="default" w:ascii="sans-serif" w:hAnsi="sans-serif" w:eastAsia="sans-serif" w:cs="sans-serif"/>
                <w:sz w:val="24"/>
                <w:szCs w:val="24"/>
              </w:rPr>
            </w:pPr>
            <w:r>
              <w:rPr>
                <w:rFonts w:hint="eastAsia" w:ascii="仿宋_GB2312" w:hAnsi="仿宋_GB2312" w:eastAsia="仿宋_GB2312" w:cs="仿宋_GB2312"/>
                <w:bCs/>
                <w:sz w:val="28"/>
                <w:szCs w:val="28"/>
                <w:lang w:eastAsia="zh-CN"/>
              </w:rPr>
              <w:t>我局专项资金来源包括年初预算安排、财政代编预算以及省级财政追加，专项资金使用遵循专款专用、统筹兼顾、突出重点、追踪问效的原则</w:t>
            </w:r>
            <w:r>
              <w:rPr>
                <w:rFonts w:hint="eastAsia" w:ascii="仿宋_GB2312" w:hAnsi="仿宋_GB2312" w:eastAsia="仿宋_GB2312" w:cs="仿宋_GB2312"/>
                <w:bCs/>
                <w:sz w:val="28"/>
                <w:szCs w:val="28"/>
                <w:lang w:val="en-US" w:eastAsia="zh-CN"/>
              </w:rPr>
              <w:t>,</w:t>
            </w:r>
            <w:r>
              <w:rPr>
                <w:rFonts w:hint="eastAsia" w:ascii="仿宋_GB2312" w:hAnsi="仿宋_GB2312" w:eastAsia="仿宋_GB2312" w:cs="仿宋_GB2312"/>
                <w:bCs/>
                <w:sz w:val="28"/>
                <w:szCs w:val="28"/>
                <w:lang w:eastAsia="zh-CN"/>
              </w:rPr>
              <w:t>首先是根据专项资金用途对各专项资金的使用作安排和责任分解，拨付时需提供经审核后的资金使用申请和计划，资金使用后跟踪监控及问效，资金使用效果是下年度资金安排的重要依据。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2021年，我局建立健全了内部控制制度，</w:t>
            </w:r>
            <w:r>
              <w:rPr>
                <w:rFonts w:hint="eastAsia" w:ascii="仿宋_GB2312" w:hAnsi="仿宋_GB2312" w:eastAsia="仿宋_GB2312" w:cs="仿宋_GB2312"/>
                <w:color w:val="333333"/>
                <w:kern w:val="0"/>
                <w:sz w:val="28"/>
                <w:szCs w:val="28"/>
              </w:rPr>
              <w:t>资金</w:t>
            </w:r>
            <w:r>
              <w:rPr>
                <w:rFonts w:hint="eastAsia" w:ascii="仿宋_GB2312" w:hAnsi="仿宋_GB2312" w:eastAsia="仿宋_GB2312" w:cs="仿宋_GB2312"/>
                <w:color w:val="333333"/>
                <w:kern w:val="0"/>
                <w:sz w:val="28"/>
                <w:szCs w:val="28"/>
                <w:lang w:eastAsia="zh-CN"/>
              </w:rPr>
              <w:t>支出</w:t>
            </w:r>
            <w:r>
              <w:rPr>
                <w:rFonts w:hint="eastAsia" w:ascii="仿宋_GB2312" w:hAnsi="仿宋_GB2312" w:eastAsia="仿宋_GB2312" w:cs="仿宋_GB2312"/>
                <w:color w:val="333333"/>
                <w:kern w:val="0"/>
                <w:sz w:val="28"/>
                <w:szCs w:val="28"/>
              </w:rPr>
              <w:t>中涉及的政府采购事项，我局严格按照</w:t>
            </w:r>
            <w:r>
              <w:rPr>
                <w:rFonts w:hint="eastAsia" w:ascii="仿宋_GB2312" w:hAnsi="仿宋_GB2312" w:eastAsia="仿宋_GB2312" w:cs="仿宋_GB2312"/>
                <w:color w:val="333333"/>
                <w:kern w:val="0"/>
                <w:sz w:val="28"/>
                <w:szCs w:val="28"/>
                <w:lang w:eastAsia="zh-CN"/>
              </w:rPr>
              <w:t>内控制度中的政府采购制度流程执行，</w:t>
            </w:r>
            <w:r>
              <w:rPr>
                <w:rFonts w:hint="eastAsia" w:ascii="仿宋_GB2312" w:hAnsi="仿宋_GB2312" w:eastAsia="仿宋_GB2312" w:cs="仿宋_GB2312"/>
                <w:color w:val="333333"/>
                <w:kern w:val="0"/>
                <w:sz w:val="28"/>
                <w:szCs w:val="28"/>
              </w:rPr>
              <w:t>同时严格合同的签订，落实采购物资和服务的验收，</w:t>
            </w:r>
            <w:r>
              <w:rPr>
                <w:rFonts w:hint="eastAsia" w:ascii="仿宋_GB2312" w:hAnsi="仿宋_GB2312" w:eastAsia="仿宋_GB2312" w:cs="仿宋_GB2312"/>
                <w:color w:val="333333"/>
                <w:kern w:val="0"/>
                <w:sz w:val="28"/>
                <w:szCs w:val="28"/>
                <w:lang w:eastAsia="zh-CN"/>
              </w:rPr>
              <w:t>严格</w:t>
            </w:r>
            <w:r>
              <w:rPr>
                <w:rFonts w:hint="eastAsia" w:ascii="仿宋_GB2312" w:hAnsi="仿宋_GB2312" w:eastAsia="仿宋_GB2312" w:cs="仿宋_GB2312"/>
                <w:color w:val="333333"/>
                <w:kern w:val="0"/>
                <w:sz w:val="28"/>
                <w:szCs w:val="28"/>
              </w:rPr>
              <w:t>做好资金支付的审批审核。</w:t>
            </w:r>
          </w:p>
          <w:p>
            <w:pPr>
              <w:numPr>
                <w:ilvl w:val="0"/>
                <w:numId w:val="3"/>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专项管理情况分析</w:t>
            </w:r>
          </w:p>
          <w:p>
            <w:pPr>
              <w:keepNext w:val="0"/>
              <w:keepLines w:val="0"/>
              <w:widowControl/>
              <w:suppressLineNumbers w:val="0"/>
              <w:ind w:firstLine="560" w:firstLineChars="20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有内部财务管理制度且得到有效执行；支出符合国家财经法规和财务管理制度规定以及有关专项资金的管理办法的规定，资金使用有完整的审批程序和手续；资金使用无截留、挤占、挪用、虚列支出等情况</w:t>
            </w:r>
          </w:p>
          <w:p>
            <w:pPr>
              <w:keepNext w:val="0"/>
              <w:keepLines w:val="0"/>
              <w:widowControl/>
              <w:suppressLineNumbers w:val="0"/>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宋体" w:hAnsi="宋体" w:eastAsia="宋体" w:cs="宋体"/>
                <w:bCs/>
                <w:sz w:val="28"/>
                <w:szCs w:val="28"/>
                <w:lang w:val="en-US" w:eastAsia="zh-CN"/>
              </w:rPr>
              <w:t>2</w:t>
            </w:r>
            <w:r>
              <w:rPr>
                <w:rFonts w:hint="eastAsia" w:ascii="仿宋_GB2312" w:hAnsi="仿宋_GB2312" w:eastAsia="仿宋_GB2312" w:cs="仿宋_GB2312"/>
                <w:bCs/>
                <w:sz w:val="28"/>
                <w:szCs w:val="28"/>
                <w:lang w:val="en-US" w:eastAsia="zh-CN"/>
              </w:rPr>
              <w:t>021年，</w:t>
            </w:r>
            <w:r>
              <w:rPr>
                <w:rFonts w:hint="eastAsia" w:ascii="仿宋_GB2312" w:hAnsi="仿宋_GB2312" w:eastAsia="仿宋_GB2312" w:cs="仿宋_GB2312"/>
                <w:sz w:val="28"/>
                <w:szCs w:val="28"/>
              </w:rPr>
              <w:t>在市委市政府和省市场监管局的坚强领导和精准指导下，</w:t>
            </w:r>
            <w:r>
              <w:rPr>
                <w:rFonts w:hint="eastAsia" w:ascii="仿宋_GB2312" w:hAnsi="仿宋_GB2312" w:eastAsia="仿宋_GB2312" w:cs="仿宋_GB2312"/>
                <w:sz w:val="28"/>
                <w:szCs w:val="28"/>
                <w:lang w:eastAsia="zh-CN"/>
              </w:rPr>
              <w:t>我局根据</w:t>
            </w:r>
            <w:r>
              <w:rPr>
                <w:rFonts w:hint="eastAsia" w:ascii="仿宋_GB2312" w:hAnsi="仿宋_GB2312" w:eastAsia="仿宋_GB2312" w:cs="仿宋_GB2312"/>
                <w:color w:val="333333"/>
                <w:kern w:val="0"/>
                <w:sz w:val="28"/>
                <w:szCs w:val="28"/>
              </w:rPr>
              <w:t>年初工作规划和重点性工作，通过加强预算收支管理，建立健全内部管理制度，梳理内部管理流程，部门整体支出管理情况得到了提升</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部门整体支出绩效情况如下：</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eastAsia="zh-CN"/>
              </w:rPr>
              <w:t>（一）</w:t>
            </w:r>
            <w:r>
              <w:rPr>
                <w:rFonts w:hint="eastAsia" w:ascii="仿宋_GB2312" w:hAnsi="仿宋_GB2312" w:eastAsia="仿宋_GB2312" w:cs="仿宋_GB2312"/>
                <w:color w:val="333333"/>
                <w:kern w:val="0"/>
                <w:sz w:val="28"/>
                <w:szCs w:val="28"/>
              </w:rPr>
              <w:t>经济性评价方面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60" w:firstLineChars="200"/>
              <w:jc w:val="both"/>
              <w:rPr>
                <w:sz w:val="28"/>
                <w:szCs w:val="28"/>
              </w:rPr>
            </w:pPr>
            <w:r>
              <w:rPr>
                <w:rFonts w:hint="eastAsia" w:ascii="仿宋_GB2312" w:hAnsi="仿宋_GB2312" w:eastAsia="仿宋_GB2312" w:cs="仿宋_GB2312"/>
                <w:color w:val="333333"/>
                <w:kern w:val="0"/>
                <w:sz w:val="28"/>
                <w:szCs w:val="28"/>
              </w:rPr>
              <w:t>1</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sz w:val="28"/>
                <w:szCs w:val="28"/>
              </w:rPr>
              <w:t>保障了机关有效运转。严格按照厉行节约的要求，精打细算，规范机关事务管理工作，提高服务质量，降低运行成本，合理配置，提高保障能力。保障了干部待遇按政策发放落实</w:t>
            </w:r>
            <w:r>
              <w:rPr>
                <w:sz w:val="28"/>
                <w:szCs w:val="28"/>
              </w:rPr>
              <w:t>。</w:t>
            </w:r>
          </w:p>
          <w:p>
            <w:pPr>
              <w:widowControl/>
              <w:spacing w:line="480" w:lineRule="auto"/>
              <w:ind w:firstLine="560" w:firstLineChars="200"/>
              <w:rPr>
                <w:rFonts w:hint="eastAsia"/>
                <w:lang w:eastAsia="zh-CN"/>
              </w:rPr>
            </w:pPr>
            <w:r>
              <w:rPr>
                <w:rFonts w:hint="eastAsia" w:ascii="仿宋_GB2312" w:hAnsi="仿宋_GB2312" w:eastAsia="仿宋_GB2312" w:cs="仿宋_GB2312"/>
                <w:color w:val="333333"/>
                <w:kern w:val="0"/>
                <w:sz w:val="28"/>
                <w:szCs w:val="28"/>
                <w:lang w:val="en-US" w:eastAsia="zh-CN"/>
              </w:rPr>
              <w:t>2、加</w:t>
            </w:r>
            <w:r>
              <w:rPr>
                <w:rFonts w:hint="eastAsia" w:ascii="仿宋_GB2312" w:hAnsi="仿宋_GB2312" w:eastAsia="仿宋_GB2312" w:cs="仿宋_GB2312"/>
                <w:sz w:val="28"/>
                <w:szCs w:val="28"/>
              </w:rPr>
              <w:t>强了干部队伍建设。我局党组认真贯彻落实从严治党各项要求，始终坚持把纪律规矩挺在最前面。不定期开展党风廉政建设专题党课活动，全面贯彻落实习近平新时代中国特色社会主义思想和党的十九大精神，深化推进党风廉政建设和反腐败工作纵深发展</w:t>
            </w:r>
            <w:r>
              <w:rPr>
                <w:rFonts w:hint="eastAsia"/>
                <w:lang w:eastAsia="zh-CN"/>
              </w:rPr>
              <w:t>。</w:t>
            </w:r>
          </w:p>
          <w:p>
            <w:pPr>
              <w:widowControl/>
              <w:spacing w:line="480" w:lineRule="auto"/>
              <w:ind w:firstLine="560" w:firstLineChars="200"/>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3、</w:t>
            </w:r>
            <w:r>
              <w:rPr>
                <w:rFonts w:hint="eastAsia" w:ascii="仿宋_GB2312" w:hAnsi="仿宋_GB2312" w:eastAsia="仿宋_GB2312" w:cs="仿宋_GB2312"/>
                <w:color w:val="333333"/>
                <w:kern w:val="0"/>
                <w:sz w:val="28"/>
                <w:szCs w:val="28"/>
              </w:rPr>
              <w:t>预算执行方面，除</w:t>
            </w:r>
            <w:r>
              <w:rPr>
                <w:rFonts w:hint="eastAsia" w:ascii="仿宋_GB2312" w:hAnsi="仿宋_GB2312" w:eastAsia="仿宋_GB2312" w:cs="仿宋_GB2312"/>
                <w:color w:val="333333"/>
                <w:kern w:val="0"/>
                <w:sz w:val="28"/>
                <w:szCs w:val="28"/>
                <w:lang w:eastAsia="zh-CN"/>
              </w:rPr>
              <w:t>非本级财政追加专项资金、本级财政追加</w:t>
            </w:r>
            <w:r>
              <w:rPr>
                <w:rFonts w:hint="eastAsia" w:ascii="仿宋_GB2312" w:hAnsi="仿宋_GB2312" w:eastAsia="仿宋_GB2312" w:cs="仿宋_GB2312"/>
                <w:color w:val="333333"/>
                <w:kern w:val="0"/>
                <w:sz w:val="28"/>
                <w:szCs w:val="28"/>
              </w:rPr>
              <w:t>政策性工资</w:t>
            </w:r>
            <w:r>
              <w:rPr>
                <w:rFonts w:hint="eastAsia" w:ascii="仿宋_GB2312" w:hAnsi="仿宋_GB2312" w:eastAsia="仿宋_GB2312" w:cs="仿宋_GB2312"/>
                <w:color w:val="333333"/>
                <w:kern w:val="0"/>
                <w:sz w:val="28"/>
                <w:szCs w:val="28"/>
                <w:lang w:eastAsia="zh-CN"/>
              </w:rPr>
              <w:t>提标、</w:t>
            </w:r>
            <w:r>
              <w:rPr>
                <w:rFonts w:hint="eastAsia" w:ascii="仿宋_GB2312" w:hAnsi="仿宋_GB2312" w:eastAsia="仿宋_GB2312" w:cs="仿宋_GB2312"/>
                <w:color w:val="333333"/>
                <w:kern w:val="0"/>
                <w:sz w:val="28"/>
                <w:szCs w:val="28"/>
              </w:rPr>
              <w:t>绩效</w:t>
            </w:r>
            <w:r>
              <w:rPr>
                <w:rFonts w:hint="eastAsia" w:ascii="仿宋_GB2312" w:hAnsi="仿宋_GB2312" w:eastAsia="仿宋_GB2312" w:cs="仿宋_GB2312"/>
                <w:color w:val="333333"/>
                <w:kern w:val="0"/>
                <w:sz w:val="28"/>
                <w:szCs w:val="28"/>
                <w:lang w:eastAsia="zh-CN"/>
              </w:rPr>
              <w:t>、综治奖励、非税超收资金外</w:t>
            </w:r>
            <w:r>
              <w:rPr>
                <w:rFonts w:hint="eastAsia" w:ascii="仿宋_GB2312" w:hAnsi="仿宋_GB2312" w:eastAsia="仿宋_GB2312" w:cs="仿宋_GB2312"/>
                <w:color w:val="333333"/>
                <w:kern w:val="0"/>
                <w:sz w:val="28"/>
                <w:szCs w:val="28"/>
              </w:rPr>
              <w:t>，支出总额控制在预算总额以内</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不存在截留或</w:t>
            </w:r>
            <w:r>
              <w:rPr>
                <w:rFonts w:hint="eastAsia" w:ascii="仿宋_GB2312" w:hAnsi="仿宋_GB2312" w:eastAsia="仿宋_GB2312" w:cs="仿宋_GB2312"/>
                <w:color w:val="333333"/>
                <w:kern w:val="0"/>
                <w:sz w:val="28"/>
                <w:szCs w:val="28"/>
                <w:lang w:eastAsia="zh-CN"/>
              </w:rPr>
              <w:t>挤占</w:t>
            </w:r>
            <w:r>
              <w:rPr>
                <w:rFonts w:hint="eastAsia" w:ascii="仿宋_GB2312" w:hAnsi="仿宋_GB2312" w:eastAsia="仿宋_GB2312" w:cs="仿宋_GB2312"/>
                <w:color w:val="333333"/>
                <w:kern w:val="0"/>
                <w:sz w:val="28"/>
                <w:szCs w:val="28"/>
              </w:rPr>
              <w:t>专项资金情况</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财政供养人员控制在预算编制以内，</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三公</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经费较上年</w:t>
            </w:r>
            <w:r>
              <w:rPr>
                <w:rFonts w:hint="eastAsia" w:ascii="仿宋_GB2312" w:hAnsi="仿宋_GB2312" w:eastAsia="仿宋_GB2312" w:cs="仿宋_GB2312"/>
                <w:color w:val="333333"/>
                <w:kern w:val="0"/>
                <w:sz w:val="28"/>
                <w:szCs w:val="28"/>
                <w:lang w:eastAsia="zh-CN"/>
              </w:rPr>
              <w:t>及预算</w:t>
            </w:r>
            <w:r>
              <w:rPr>
                <w:rFonts w:hint="eastAsia" w:ascii="仿宋_GB2312" w:hAnsi="仿宋_GB2312" w:eastAsia="仿宋_GB2312" w:cs="仿宋_GB2312"/>
                <w:color w:val="333333"/>
                <w:kern w:val="0"/>
                <w:sz w:val="28"/>
                <w:szCs w:val="28"/>
              </w:rPr>
              <w:t>减少</w:t>
            </w:r>
            <w:r>
              <w:rPr>
                <w:rFonts w:hint="eastAsia" w:ascii="仿宋_GB2312" w:hAnsi="仿宋_GB2312" w:eastAsia="仿宋_GB2312" w:cs="仿宋_GB2312"/>
                <w:color w:val="333333"/>
                <w:kern w:val="0"/>
                <w:sz w:val="28"/>
                <w:szCs w:val="28"/>
                <w:lang w:eastAsia="zh-CN"/>
              </w:rPr>
              <w:t>。</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4、</w:t>
            </w:r>
            <w:r>
              <w:rPr>
                <w:rFonts w:hint="eastAsia" w:ascii="仿宋_GB2312" w:hAnsi="仿宋_GB2312" w:eastAsia="仿宋_GB2312" w:cs="仿宋_GB2312"/>
                <w:color w:val="333333"/>
                <w:kern w:val="0"/>
                <w:sz w:val="28"/>
                <w:szCs w:val="28"/>
              </w:rPr>
              <w:t>预算管理方面，制度执行总体较为有效，仍需进一步强化；资金使用管理需进一步加强。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60" w:firstLineChars="200"/>
              <w:jc w:val="both"/>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5、</w:t>
            </w:r>
            <w:r>
              <w:rPr>
                <w:rFonts w:hint="eastAsia" w:ascii="仿宋_GB2312" w:hAnsi="仿宋_GB2312" w:eastAsia="仿宋_GB2312" w:cs="仿宋_GB2312"/>
                <w:color w:val="333333"/>
                <w:kern w:val="0"/>
                <w:sz w:val="28"/>
                <w:szCs w:val="28"/>
              </w:rPr>
              <w:t>资产管理方面建立了资产管理制度，定期进行了盘点和资产清理，总体执行较好。</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根据部门整体支出绩效评价指标体系，本局20</w:t>
            </w:r>
            <w:r>
              <w:rPr>
                <w:rFonts w:hint="eastAsia" w:ascii="仿宋_GB2312" w:hAnsi="仿宋_GB2312" w:eastAsia="仿宋_GB2312" w:cs="仿宋_GB2312"/>
                <w:color w:val="333333"/>
                <w:kern w:val="0"/>
                <w:sz w:val="28"/>
                <w:szCs w:val="28"/>
                <w:lang w:val="en-US" w:eastAsia="zh-CN"/>
              </w:rPr>
              <w:t>21</w:t>
            </w:r>
            <w:r>
              <w:rPr>
                <w:rFonts w:hint="eastAsia" w:ascii="仿宋_GB2312" w:hAnsi="仿宋_GB2312" w:eastAsia="仿宋_GB2312" w:cs="仿宋_GB2312"/>
                <w:color w:val="333333"/>
                <w:kern w:val="0"/>
                <w:sz w:val="28"/>
                <w:szCs w:val="28"/>
              </w:rPr>
              <w:t>年度评价得分9</w:t>
            </w:r>
            <w:r>
              <w:rPr>
                <w:rFonts w:hint="eastAsia" w:ascii="仿宋_GB2312" w:hAnsi="仿宋_GB2312" w:eastAsia="仿宋_GB2312" w:cs="仿宋_GB2312"/>
                <w:color w:val="333333"/>
                <w:kern w:val="0"/>
                <w:sz w:val="28"/>
                <w:szCs w:val="28"/>
                <w:lang w:val="en-US" w:eastAsia="zh-CN"/>
              </w:rPr>
              <w:t>5</w:t>
            </w:r>
            <w:r>
              <w:rPr>
                <w:rFonts w:hint="eastAsia" w:ascii="仿宋_GB2312" w:hAnsi="仿宋_GB2312" w:eastAsia="仿宋_GB2312" w:cs="仿宋_GB2312"/>
                <w:color w:val="333333"/>
                <w:kern w:val="0"/>
                <w:sz w:val="28"/>
                <w:szCs w:val="28"/>
              </w:rPr>
              <w:t>分。</w:t>
            </w:r>
          </w:p>
          <w:p>
            <w:pPr>
              <w:widowControl/>
              <w:numPr>
                <w:ilvl w:val="0"/>
                <w:numId w:val="0"/>
              </w:numPr>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eastAsia="zh-CN"/>
              </w:rPr>
              <w:t>（二）</w:t>
            </w:r>
            <w:r>
              <w:rPr>
                <w:rFonts w:hint="eastAsia" w:ascii="仿宋_GB2312" w:hAnsi="仿宋_GB2312" w:eastAsia="仿宋_GB2312" w:cs="仿宋_GB2312"/>
                <w:color w:val="333333"/>
                <w:kern w:val="0"/>
                <w:sz w:val="28"/>
                <w:szCs w:val="28"/>
              </w:rPr>
              <w:t>效率性评价和有效性评价</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Style w:val="20"/>
                <w:rFonts w:hint="eastAsia" w:ascii="仿宋_GB2312" w:hAnsi="仿宋_GB2312" w:eastAsia="仿宋_GB2312"/>
                <w:kern w:val="2"/>
                <w:sz w:val="28"/>
                <w:szCs w:val="28"/>
                <w:lang w:val="en-US" w:eastAsia="zh-CN" w:bidi="ar-SA"/>
              </w:rPr>
            </w:pPr>
            <w:r>
              <w:rPr>
                <w:rStyle w:val="20"/>
                <w:rFonts w:hint="eastAsia" w:ascii="仿宋_GB2312" w:hAnsi="仿宋_GB2312" w:eastAsia="仿宋_GB2312"/>
                <w:kern w:val="2"/>
                <w:sz w:val="28"/>
                <w:szCs w:val="28"/>
                <w:lang w:val="en-US" w:eastAsia="zh-CN" w:bidi="ar-SA"/>
              </w:rPr>
              <w:t>1、全省首创推进企业住所（经营场所）登记承诺制改革。</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Style w:val="20"/>
                <w:rFonts w:hint="eastAsia" w:ascii="仿宋_GB2312" w:hAnsi="仿宋_GB2312" w:eastAsia="仿宋_GB2312"/>
                <w:kern w:val="2"/>
                <w:sz w:val="28"/>
                <w:szCs w:val="28"/>
                <w:lang w:val="en-US" w:eastAsia="zh-CN" w:bidi="ar-SA"/>
              </w:rPr>
            </w:pPr>
            <w:r>
              <w:rPr>
                <w:rStyle w:val="20"/>
                <w:rFonts w:hint="eastAsia" w:ascii="仿宋_GB2312" w:hAnsi="仿宋_GB2312" w:eastAsia="仿宋_GB2312"/>
                <w:kern w:val="2"/>
                <w:sz w:val="28"/>
                <w:szCs w:val="28"/>
                <w:lang w:val="en-US" w:eastAsia="zh-CN" w:bidi="ar-SA"/>
              </w:rPr>
              <w:t>2、截至11月底，全市新设市场主体90145家，增速全省第一，全市实有市场主体430677户，位居全省第二。</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Style w:val="20"/>
                <w:rFonts w:hint="eastAsia" w:ascii="仿宋_GB2312" w:hAnsi="仿宋_GB2312" w:eastAsia="仿宋_GB2312"/>
                <w:kern w:val="2"/>
                <w:sz w:val="28"/>
                <w:szCs w:val="28"/>
                <w:lang w:val="en-US" w:eastAsia="zh-CN" w:bidi="ar-SA"/>
              </w:rPr>
            </w:pPr>
            <w:r>
              <w:rPr>
                <w:rStyle w:val="20"/>
                <w:rFonts w:hint="eastAsia" w:ascii="仿宋_GB2312" w:hAnsi="仿宋_GB2312" w:eastAsia="仿宋_GB2312"/>
                <w:b w:val="0"/>
                <w:bCs w:val="0"/>
                <w:kern w:val="2"/>
                <w:sz w:val="28"/>
                <w:szCs w:val="28"/>
                <w:lang w:val="en-US" w:eastAsia="zh-CN" w:bidi="ar-SA"/>
              </w:rPr>
              <w:t>3、</w:t>
            </w:r>
            <w:r>
              <w:rPr>
                <w:rStyle w:val="20"/>
                <w:rFonts w:ascii="仿宋_GB2312" w:hAnsi="仿宋_GB2312" w:eastAsia="仿宋_GB2312"/>
                <w:b w:val="0"/>
                <w:bCs w:val="0"/>
                <w:kern w:val="2"/>
                <w:sz w:val="28"/>
                <w:szCs w:val="28"/>
                <w:lang w:val="en-US" w:eastAsia="zh-CN" w:bidi="ar-SA"/>
              </w:rPr>
              <w:t>药食同源备案通关新模式</w:t>
            </w:r>
            <w:r>
              <w:rPr>
                <w:rStyle w:val="20"/>
                <w:rFonts w:hint="eastAsia" w:ascii="仿宋_GB2312" w:hAnsi="仿宋_GB2312" w:eastAsia="仿宋_GB2312"/>
                <w:kern w:val="2"/>
                <w:sz w:val="28"/>
                <w:szCs w:val="28"/>
                <w:lang w:val="en-US" w:eastAsia="zh-CN" w:bidi="ar-SA"/>
              </w:rPr>
              <w:t>，被省自贸办推荐参评全省自贸区制度创新典型案例，并</w:t>
            </w:r>
            <w:r>
              <w:rPr>
                <w:rStyle w:val="20"/>
                <w:rFonts w:ascii="仿宋_GB2312" w:hAnsi="仿宋_GB2312" w:eastAsia="仿宋_GB2312"/>
                <w:kern w:val="2"/>
                <w:sz w:val="28"/>
                <w:szCs w:val="28"/>
                <w:lang w:val="en-US" w:eastAsia="zh-CN" w:bidi="ar-SA"/>
              </w:rPr>
              <w:t>在岳阳自贸片区成立一周年巡礼上</w:t>
            </w:r>
            <w:r>
              <w:rPr>
                <w:rStyle w:val="20"/>
                <w:rFonts w:hint="eastAsia" w:ascii="仿宋_GB2312" w:hAnsi="仿宋_GB2312" w:eastAsia="仿宋_GB2312"/>
                <w:kern w:val="2"/>
                <w:sz w:val="28"/>
                <w:szCs w:val="28"/>
                <w:lang w:val="en-US" w:eastAsia="zh-CN" w:bidi="ar-SA"/>
              </w:rPr>
              <w:t>作为</w:t>
            </w:r>
            <w:r>
              <w:rPr>
                <w:rStyle w:val="20"/>
                <w:rFonts w:ascii="仿宋_GB2312" w:hAnsi="仿宋_GB2312" w:eastAsia="仿宋_GB2312"/>
                <w:kern w:val="2"/>
                <w:sz w:val="28"/>
                <w:szCs w:val="28"/>
                <w:lang w:val="en-US" w:eastAsia="zh-CN" w:bidi="ar-SA"/>
              </w:rPr>
              <w:t>15项“首创性”创新成果之一</w:t>
            </w:r>
            <w:r>
              <w:rPr>
                <w:rStyle w:val="20"/>
                <w:rFonts w:hint="eastAsia" w:ascii="仿宋_GB2312" w:hAnsi="仿宋_GB2312" w:eastAsia="仿宋_GB2312"/>
                <w:kern w:val="2"/>
                <w:sz w:val="28"/>
                <w:szCs w:val="28"/>
                <w:lang w:val="en-US" w:eastAsia="zh-CN" w:bidi="ar-SA"/>
              </w:rPr>
              <w:t>获</w:t>
            </w:r>
            <w:r>
              <w:rPr>
                <w:rStyle w:val="20"/>
                <w:rFonts w:ascii="仿宋_GB2312" w:hAnsi="仿宋_GB2312" w:eastAsia="仿宋_GB2312"/>
                <w:kern w:val="2"/>
                <w:sz w:val="28"/>
                <w:szCs w:val="28"/>
                <w:lang w:val="en-US" w:eastAsia="zh-CN" w:bidi="ar-SA"/>
              </w:rPr>
              <w:t>报道</w:t>
            </w:r>
            <w:r>
              <w:rPr>
                <w:rStyle w:val="20"/>
                <w:rFonts w:hint="eastAsia" w:ascii="仿宋_GB2312" w:hAnsi="仿宋_GB2312" w:eastAsia="仿宋_GB2312"/>
                <w:kern w:val="2"/>
                <w:sz w:val="28"/>
                <w:szCs w:val="28"/>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Style w:val="20"/>
                <w:rFonts w:hint="eastAsia" w:ascii="仿宋_GB2312" w:hAnsi="仿宋_GB2312" w:eastAsia="仿宋_GB2312"/>
                <w:kern w:val="2"/>
                <w:sz w:val="28"/>
                <w:szCs w:val="28"/>
                <w:lang w:val="en-US" w:eastAsia="zh-CN" w:bidi="ar-SA"/>
              </w:rPr>
            </w:pPr>
            <w:r>
              <w:rPr>
                <w:rStyle w:val="20"/>
                <w:rFonts w:hint="eastAsia" w:ascii="仿宋_GB2312" w:hAnsi="仿宋_GB2312" w:eastAsia="仿宋_GB2312"/>
                <w:kern w:val="2"/>
                <w:sz w:val="28"/>
                <w:szCs w:val="28"/>
                <w:lang w:val="en-US" w:eastAsia="zh-CN" w:bidi="ar-SA"/>
              </w:rPr>
              <w:t>4、颁发全省首张“食品经营（仅销售预包装食品）”备案制营业执照。</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Style w:val="20"/>
                <w:rFonts w:hint="eastAsia" w:ascii="仿宋_GB2312" w:hAnsi="仿宋_GB2312" w:eastAsia="仿宋_GB2312"/>
                <w:kern w:val="2"/>
                <w:sz w:val="28"/>
                <w:szCs w:val="28"/>
                <w:lang w:val="en-US" w:eastAsia="zh-CN" w:bidi="ar-SA"/>
              </w:rPr>
            </w:pPr>
            <w:r>
              <w:rPr>
                <w:rStyle w:val="20"/>
                <w:rFonts w:hint="eastAsia" w:ascii="仿宋_GB2312" w:hAnsi="仿宋_GB2312" w:eastAsia="仿宋_GB2312"/>
                <w:kern w:val="2"/>
                <w:sz w:val="28"/>
                <w:szCs w:val="28"/>
                <w:lang w:val="en-US" w:eastAsia="zh-CN" w:bidi="ar-SA"/>
              </w:rPr>
              <w:t>5、特种设备安全责任保险工作推进排名全省第一。</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Style w:val="20"/>
                <w:rFonts w:hint="eastAsia" w:ascii="仿宋_GB2312" w:hAnsi="仿宋_GB2312" w:eastAsia="仿宋_GB2312"/>
                <w:kern w:val="2"/>
                <w:sz w:val="28"/>
                <w:szCs w:val="28"/>
                <w:lang w:val="en-US" w:eastAsia="zh-CN" w:bidi="ar-SA"/>
              </w:rPr>
            </w:pPr>
            <w:r>
              <w:rPr>
                <w:rStyle w:val="20"/>
                <w:rFonts w:hint="eastAsia" w:ascii="仿宋_GB2312" w:hAnsi="仿宋_GB2312" w:eastAsia="仿宋_GB2312"/>
                <w:kern w:val="2"/>
                <w:sz w:val="28"/>
                <w:szCs w:val="28"/>
                <w:lang w:val="en-US" w:eastAsia="zh-CN" w:bidi="ar-SA"/>
              </w:rPr>
              <w:t>6、我市药品生产企业共取得药品注册批准文号11个，一致性评价证书8张，位居全省前列。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333333"/>
                <w:kern w:val="0"/>
                <w:sz w:val="28"/>
                <w:szCs w:val="28"/>
              </w:rPr>
            </w:pPr>
            <w:r>
              <w:rPr>
                <w:rFonts w:hint="eastAsia" w:ascii="黑体" w:hAnsi="黑体" w:eastAsia="黑体" w:cs="黑体"/>
                <w:bCs/>
                <w:sz w:val="28"/>
                <w:szCs w:val="28"/>
              </w:rPr>
              <w:t>五、存在的主要问题</w:t>
            </w:r>
          </w:p>
          <w:p>
            <w:pPr>
              <w:widowControl/>
              <w:spacing w:line="48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333333"/>
                <w:kern w:val="0"/>
                <w:sz w:val="28"/>
                <w:szCs w:val="28"/>
                <w:lang w:val="en-US" w:eastAsia="zh-CN"/>
              </w:rPr>
              <w:t>1</w:t>
            </w:r>
            <w:r>
              <w:rPr>
                <w:rFonts w:hint="eastAsia" w:ascii="仿宋_GB2312" w:hAnsi="仿宋_GB2312" w:eastAsia="仿宋_GB2312" w:cs="仿宋_GB2312"/>
                <w:color w:val="333333"/>
                <w:kern w:val="0"/>
                <w:sz w:val="28"/>
                <w:szCs w:val="28"/>
              </w:rPr>
              <w:t>、</w:t>
            </w:r>
            <w:r>
              <w:rPr>
                <w:rFonts w:hint="eastAsia" w:ascii="仿宋_GB2312" w:hAnsi="仿宋_GB2312" w:eastAsia="仿宋_GB2312" w:cs="仿宋_GB2312"/>
                <w:sz w:val="28"/>
                <w:szCs w:val="28"/>
              </w:rPr>
              <w:t>预算编制与实际支出项目存在差异，预算编制有待更严格的执行</w:t>
            </w:r>
            <w:r>
              <w:rPr>
                <w:rFonts w:hint="eastAsia" w:ascii="仿宋_GB2312" w:hAnsi="仿宋_GB2312" w:eastAsia="仿宋_GB2312" w:cs="仿宋_GB2312"/>
                <w:sz w:val="28"/>
                <w:szCs w:val="28"/>
                <w:lang w:eastAsia="zh-CN"/>
              </w:rPr>
              <w:t>。</w:t>
            </w:r>
          </w:p>
          <w:p>
            <w:pPr>
              <w:widowControl/>
              <w:spacing w:line="480" w:lineRule="auto"/>
              <w:ind w:firstLine="560" w:firstLineChars="200"/>
              <w:rPr>
                <w:rFonts w:hint="default"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2、固定资产管理不够规范，处置程序有待加强。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lang w:eastAsia="zh-CN"/>
              </w:rPr>
              <w:t>六、</w:t>
            </w:r>
            <w:r>
              <w:rPr>
                <w:rFonts w:hint="eastAsia" w:ascii="黑体" w:hAnsi="黑体" w:eastAsia="黑体" w:cs="黑体"/>
                <w:bCs/>
                <w:sz w:val="28"/>
                <w:szCs w:val="28"/>
              </w:rPr>
              <w:t>改进措施和建议</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w:t>
            </w:r>
            <w:r>
              <w:rPr>
                <w:rFonts w:hint="eastAsia" w:ascii="仿宋_GB2312" w:hAnsi="仿宋_GB2312" w:eastAsia="仿宋_GB2312" w:cs="仿宋_GB2312"/>
                <w:sz w:val="28"/>
                <w:szCs w:val="28"/>
              </w:rPr>
              <w:t>今后工作中，按照预算规定的项目和用途严格财务审计，经费支出严格按预算规定项目的财务支出内容进行财务预算，在预算金额内严控费用支出。推动建立过紧日子的长效机制。推进预算一体化系统建设，使预算管理水平更上台阶。</w:t>
            </w:r>
          </w:p>
          <w:p>
            <w:pPr>
              <w:numPr>
                <w:ilvl w:val="0"/>
                <w:numId w:val="0"/>
              </w:numPr>
              <w:ind w:leftChars="0" w:firstLine="560" w:firstLineChars="200"/>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lang w:eastAsia="zh-CN"/>
              </w:rPr>
              <w:t>加强固定资产管理，提高固定资产利用率，对调拨和处置的资产及时进行账务处理，做到账实相符。</w:t>
            </w:r>
          </w:p>
          <w:p>
            <w:pPr>
              <w:spacing w:line="560" w:lineRule="exact"/>
              <w:ind w:firstLine="5880" w:firstLineChars="2100"/>
              <w:rPr>
                <w:rFonts w:hint="eastAsia" w:ascii="黑体" w:hAnsi="黑体" w:eastAsia="黑体" w:cs="黑体"/>
                <w:bCs/>
                <w:sz w:val="28"/>
                <w:szCs w:val="28"/>
              </w:rPr>
            </w:pPr>
            <w:r>
              <w:rPr>
                <w:rFonts w:hint="eastAsia" w:ascii="仿宋_GB2312" w:hAnsi="仿宋_GB2312" w:eastAsia="仿宋_GB2312" w:cs="仿宋_GB2312"/>
                <w:color w:val="333333"/>
                <w:kern w:val="0"/>
                <w:sz w:val="28"/>
                <w:szCs w:val="28"/>
                <w:lang w:val="en-US" w:eastAsia="zh-CN"/>
              </w:rPr>
              <w:t>二0二二年五月三十日</w:t>
            </w:r>
          </w:p>
          <w:p>
            <w:pPr>
              <w:spacing w:line="560" w:lineRule="exact"/>
              <w:ind w:firstLine="560" w:firstLineChars="200"/>
              <w:rPr>
                <w:rFonts w:ascii="黑体" w:hAnsi="黑体" w:eastAsia="黑体" w:cs="黑体"/>
                <w:bCs/>
                <w:sz w:val="28"/>
                <w:szCs w:val="2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rPr>
                <w:rFonts w:eastAsia="楷体_GB2312"/>
                <w:bCs/>
                <w:sz w:val="28"/>
                <w:szCs w:val="28"/>
              </w:rPr>
            </w:pPr>
          </w:p>
        </w:tc>
      </w:tr>
    </w:tbl>
    <w:p>
      <w:pPr>
        <w:spacing w:line="348" w:lineRule="auto"/>
        <w:rPr>
          <w:rFonts w:eastAsia="楷体_GB2312"/>
          <w:bCs/>
          <w:sz w:val="28"/>
          <w:szCs w:val="28"/>
        </w:rPr>
      </w:pPr>
    </w:p>
    <w:p>
      <w:pPr>
        <w:spacing w:line="348" w:lineRule="auto"/>
        <w:rPr>
          <w:rFonts w:eastAsia="黑体" w:cs="黑体"/>
          <w:bCs/>
          <w:sz w:val="32"/>
          <w:szCs w:val="32"/>
        </w:rPr>
      </w:pPr>
      <w:r>
        <w:rPr>
          <w:rFonts w:eastAsia="楷体_GB2312"/>
          <w:bCs/>
          <w:sz w:val="28"/>
          <w:szCs w:val="28"/>
        </w:rPr>
        <w:br w:type="page"/>
      </w:r>
    </w:p>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⑤基础数据信息和汇集信息资料准确，0.5分。</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②相关资产管理制度得到有效执行，1分。</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③资产处置规范；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岳阳市人民政府关于做好岳阳市加快推进湖南发展新增长极建设2015年度综合绩效考评工作的通知》（岳发〔2015〕11号）和《中共岳阳市委岳阳市人民政府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黑体" w:hAnsi="黑体" w:eastAsia="黑体"/>
          <w:sz w:val="32"/>
          <w:szCs w:val="32"/>
        </w:rPr>
      </w:pP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
    <w:altName w:val="Droid Sans Japanese"/>
    <w:panose1 w:val="02020309000000000000"/>
    <w:charset w:val="88"/>
    <w:family w:val="moder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sans-serif">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Droid Sans Japanese">
    <w:panose1 w:val="020B0502000000000001"/>
    <w:charset w:val="00"/>
    <w:family w:val="auto"/>
    <w:pitch w:val="default"/>
    <w:sig w:usb0="80000000" w:usb1="0807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9</w:t>
    </w:r>
    <w:r>
      <w:rPr>
        <w:sz w:val="24"/>
        <w:szCs w:val="24"/>
      </w:rPr>
      <w:fldChar w:fldCharType="end"/>
    </w:r>
    <w:r>
      <w:rPr>
        <w:rStyle w:val="9"/>
        <w:rFonts w:hint="eastAsia"/>
        <w:sz w:val="24"/>
        <w:szCs w:val="24"/>
      </w:rPr>
      <w:t>—</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-15-</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77715"/>
    <w:multiLevelType w:val="singleLevel"/>
    <w:tmpl w:val="D6077715"/>
    <w:lvl w:ilvl="0" w:tentative="0">
      <w:start w:val="2"/>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2">
    <w:nsid w:val="6D2F75CB"/>
    <w:multiLevelType w:val="singleLevel"/>
    <w:tmpl w:val="6D2F75CB"/>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3"/>
  <w:drawingGridVerticalSpacing w:val="30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FE70455"/>
    <w:rsid w:val="10DC34E6"/>
    <w:rsid w:val="11A55A2B"/>
    <w:rsid w:val="14D763F0"/>
    <w:rsid w:val="1EDEE80C"/>
    <w:rsid w:val="1FAD014F"/>
    <w:rsid w:val="29A6391D"/>
    <w:rsid w:val="2C9C3E1F"/>
    <w:rsid w:val="2F8F0500"/>
    <w:rsid w:val="3B166DA3"/>
    <w:rsid w:val="563E4221"/>
    <w:rsid w:val="5680032B"/>
    <w:rsid w:val="57D318AD"/>
    <w:rsid w:val="5FA765D1"/>
    <w:rsid w:val="5FAD1FBC"/>
    <w:rsid w:val="63194D6A"/>
    <w:rsid w:val="63A32842"/>
    <w:rsid w:val="65F230D2"/>
    <w:rsid w:val="6BDB2C0A"/>
    <w:rsid w:val="6FFE3C7D"/>
    <w:rsid w:val="763653C6"/>
    <w:rsid w:val="79AE0AF8"/>
    <w:rsid w:val="7BCC1837"/>
    <w:rsid w:val="7FD5B928"/>
    <w:rsid w:val="AFEFB470"/>
    <w:rsid w:val="BFBEE98D"/>
    <w:rsid w:val="DBFDB5AA"/>
    <w:rsid w:val="EAEF7B81"/>
    <w:rsid w:val="EFDD9B0B"/>
    <w:rsid w:val="FEEDCEDA"/>
    <w:rsid w:val="FEFF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unhideWhenUsed/>
    <w:qFormat/>
    <w:uiPriority w:val="99"/>
    <w:pPr>
      <w:ind w:firstLine="588" w:firstLineChars="200"/>
    </w:pPr>
    <w:rPr>
      <w:rFonts w:ascii="仿宋_GB2312" w:hAnsi="Calibri" w:eastAsia="仿宋_GB2312"/>
      <w:sz w:val="32"/>
    </w:rPr>
  </w:style>
  <w:style w:type="paragraph" w:styleId="3">
    <w:name w:val="Balloon Text"/>
    <w:basedOn w:val="1"/>
    <w:link w:val="17"/>
    <w:semiHidden/>
    <w:qFormat/>
    <w:uiPriority w:val="0"/>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Char"/>
    <w:basedOn w:val="8"/>
    <w:link w:val="2"/>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Char"/>
    <w:basedOn w:val="8"/>
    <w:link w:val="3"/>
    <w:semiHidden/>
    <w:qFormat/>
    <w:uiPriority w:val="0"/>
    <w:rPr>
      <w:rFonts w:ascii="Times New Roman" w:hAnsi="Times New Roman" w:eastAsia="宋体" w:cs="Times New Roman"/>
      <w:sz w:val="18"/>
      <w:szCs w:val="18"/>
    </w:rPr>
  </w:style>
  <w:style w:type="paragraph" w:customStyle="1" w:styleId="18">
    <w:name w:val="Normal (Web)"/>
    <w:basedOn w:val="1"/>
    <w:qFormat/>
    <w:uiPriority w:val="0"/>
    <w:pPr>
      <w:spacing w:before="100" w:beforeAutospacing="1" w:after="100" w:afterAutospacing="1"/>
    </w:pPr>
  </w:style>
  <w:style w:type="paragraph" w:customStyle="1" w:styleId="19">
    <w:name w:val="Body text|1"/>
    <w:basedOn w:val="1"/>
    <w:qFormat/>
    <w:uiPriority w:val="0"/>
    <w:pPr>
      <w:spacing w:line="441" w:lineRule="auto"/>
      <w:ind w:firstLine="400"/>
    </w:pPr>
    <w:rPr>
      <w:rFonts w:ascii="MingLiU" w:hAnsi="MingLiU" w:eastAsia="MingLiU" w:cs="宋体"/>
      <w:sz w:val="18"/>
      <w:szCs w:val="18"/>
    </w:rPr>
  </w:style>
  <w:style w:type="character" w:customStyle="1" w:styleId="20">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10</TotalTime>
  <ScaleCrop>false</ScaleCrop>
  <LinksUpToDate>false</LinksUpToDate>
  <CharactersWithSpaces>10982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2021-06-06T09:03:00Z</dcterms:created>
  <dc:creator>User</dc:creator>
  <cp:lastModifiedBy>瑶瑶</cp:lastModifiedBy>
  <cp:lastPrinted>2022-02-27T16:44:00Z</cp:lastPrinted>
  <dcterms:modified xsi:type="dcterms:W3CDTF">2022-06-06T16:30:50Z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59DFE6DCB32445A997B143156B31B889</vt:lpwstr>
  </property>
</Properties>
</file>