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ascii="宋体" w:hAnsi="宋体" w:cs="宋体"/>
          <w:bCs/>
          <w:sz w:val="32"/>
          <w:szCs w:val="32"/>
        </w:rPr>
      </w:pPr>
    </w:p>
    <w:p>
      <w:pPr>
        <w:spacing w:line="348" w:lineRule="auto"/>
        <w:jc w:val="center"/>
        <w:rPr>
          <w:rFonts w:ascii="宋体" w:hAnsi="宋体" w:cs="宋体"/>
          <w:bCs/>
          <w:sz w:val="32"/>
          <w:szCs w:val="32"/>
        </w:rPr>
      </w:pPr>
    </w:p>
    <w:p>
      <w:pPr>
        <w:spacing w:line="348" w:lineRule="auto"/>
        <w:jc w:val="center"/>
        <w:rPr>
          <w:rFonts w:ascii="宋体" w:hAnsi="宋体" w:cs="宋体"/>
          <w:bCs/>
          <w:sz w:val="32"/>
          <w:szCs w:val="32"/>
        </w:rPr>
      </w:pPr>
    </w:p>
    <w:p>
      <w:pPr>
        <w:spacing w:line="348" w:lineRule="auto"/>
        <w:jc w:val="center"/>
        <w:rPr>
          <w:rFonts w:ascii="宋体" w:hAnsi="宋体" w:cs="宋体"/>
          <w:bCs/>
          <w:sz w:val="32"/>
          <w:szCs w:val="32"/>
        </w:rPr>
      </w:pPr>
    </w:p>
    <w:p>
      <w:pPr>
        <w:spacing w:line="800" w:lineRule="exact"/>
        <w:jc w:val="center"/>
        <w:rPr>
          <w:rFonts w:ascii="宋体" w:hAnsi="宋体" w:cs="宋体"/>
          <w:bCs/>
          <w:sz w:val="32"/>
          <w:szCs w:val="32"/>
        </w:rPr>
      </w:pPr>
    </w:p>
    <w:p>
      <w:pPr>
        <w:spacing w:line="800" w:lineRule="exact"/>
        <w:ind w:firstLine="1902" w:firstLineChars="6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岳阳市20</w:t>
      </w:r>
      <w:r>
        <w:rPr>
          <w:rFonts w:hint="eastAsia" w:ascii="宋体" w:hAnsi="宋体" w:cs="宋体"/>
          <w:bCs/>
          <w:sz w:val="32"/>
          <w:szCs w:val="32"/>
          <w:u w:val="single"/>
        </w:rPr>
        <w:t>20</w:t>
      </w:r>
      <w:r>
        <w:rPr>
          <w:rFonts w:hint="eastAsia" w:ascii="宋体" w:hAnsi="宋体" w:cs="宋体"/>
          <w:bCs/>
          <w:sz w:val="32"/>
          <w:szCs w:val="32"/>
        </w:rPr>
        <w:t>年度部门整体支出</w:t>
      </w:r>
    </w:p>
    <w:p>
      <w:pPr>
        <w:spacing w:line="800" w:lineRule="exact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绩效评价自评报告</w:t>
      </w:r>
    </w:p>
    <w:p>
      <w:pPr>
        <w:rPr>
          <w:rFonts w:ascii="宋体" w:hAnsi="宋体" w:cs="宋体"/>
          <w:b/>
          <w:sz w:val="32"/>
          <w:szCs w:val="32"/>
        </w:rPr>
      </w:pPr>
    </w:p>
    <w:p>
      <w:pPr>
        <w:spacing w:before="301" w:beforeLines="50" w:line="348" w:lineRule="auto"/>
        <w:ind w:firstLine="317" w:firstLineChars="1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部门(单位)名称：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岳阳市生态环境局屈原分局                                </w:t>
      </w:r>
    </w:p>
    <w:p>
      <w:pPr>
        <w:spacing w:before="301" w:beforeLines="50" w:line="348" w:lineRule="auto"/>
        <w:ind w:firstLine="317" w:firstLineChars="100"/>
        <w:rPr>
          <w:rFonts w:ascii="宋体" w:hAnsi="宋体" w:cs="宋体"/>
          <w:spacing w:val="20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预</w:t>
      </w:r>
      <w:r>
        <w:rPr>
          <w:rFonts w:hint="eastAsia" w:ascii="宋体" w:hAnsi="宋体" w:cs="宋体"/>
          <w:spacing w:val="30"/>
          <w:sz w:val="32"/>
          <w:szCs w:val="32"/>
        </w:rPr>
        <w:t xml:space="preserve"> 算 编 码：</w:t>
      </w:r>
      <w:r>
        <w:rPr>
          <w:rFonts w:hint="eastAsia" w:ascii="宋体" w:hAnsi="宋体" w:cs="宋体"/>
          <w:spacing w:val="20"/>
          <w:sz w:val="32"/>
          <w:szCs w:val="32"/>
          <w:u w:val="single"/>
        </w:rPr>
        <w:t xml:space="preserve">      90308                      </w:t>
      </w:r>
    </w:p>
    <w:p>
      <w:pPr>
        <w:spacing w:before="301" w:beforeLines="50" w:line="348" w:lineRule="auto"/>
        <w:ind w:firstLine="317" w:firstLineChars="1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评价方式：部门（单位）绩效自评</w:t>
      </w:r>
    </w:p>
    <w:p>
      <w:pPr>
        <w:spacing w:before="301" w:beforeLines="50" w:line="348" w:lineRule="auto"/>
        <w:ind w:firstLine="317" w:firstLineChars="1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ascii="宋体" w:hAnsi="宋体" w:cs="宋体"/>
          <w:sz w:val="32"/>
          <w:szCs w:val="32"/>
        </w:rPr>
      </w:pPr>
    </w:p>
    <w:p>
      <w:pPr>
        <w:spacing w:line="348" w:lineRule="auto"/>
        <w:ind w:firstLine="2219" w:firstLineChars="7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报告日期：2021 年  6月 8日</w:t>
      </w:r>
    </w:p>
    <w:p>
      <w:pPr>
        <w:autoSpaceDN w:val="0"/>
        <w:jc w:val="center"/>
        <w:textAlignment w:val="center"/>
        <w:rPr>
          <w:rFonts w:ascii="宋体" w:hAnsi="宋体" w:cs="宋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ascii="宋体" w:hAnsi="宋体" w:cs="宋体"/>
          <w:sz w:val="32"/>
          <w:szCs w:val="32"/>
        </w:rPr>
        <w:t>岳阳市财政局（制）</w:t>
      </w:r>
    </w:p>
    <w:tbl>
      <w:tblPr>
        <w:tblStyle w:val="5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785"/>
        <w:gridCol w:w="1502"/>
        <w:gridCol w:w="226"/>
        <w:gridCol w:w="196"/>
        <w:gridCol w:w="259"/>
        <w:gridCol w:w="1080"/>
        <w:gridCol w:w="265"/>
        <w:gridCol w:w="139"/>
        <w:gridCol w:w="456"/>
        <w:gridCol w:w="7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13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联系人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黄娟</w:t>
            </w:r>
          </w:p>
        </w:tc>
        <w:tc>
          <w:tcPr>
            <w:tcW w:w="1502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联络电话</w:t>
            </w:r>
          </w:p>
        </w:tc>
        <w:tc>
          <w:tcPr>
            <w:tcW w:w="3419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15575068909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人员编制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502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实有人数</w:t>
            </w:r>
          </w:p>
        </w:tc>
        <w:tc>
          <w:tcPr>
            <w:tcW w:w="3419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职能职责概述</w:t>
            </w:r>
          </w:p>
        </w:tc>
        <w:tc>
          <w:tcPr>
            <w:tcW w:w="8459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贯彻落实国家有关环境保护政策，执行国家环保法律法规、拟定辖区内环境保护规划、监督对生态环境有影响的自然资源开发利用活动、协调解决辖区内环境问题、进行环境宣传教育、负责环境监察和环境保护稽查、指导城乡环境综合整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工作内容</w:t>
            </w:r>
          </w:p>
        </w:tc>
        <w:tc>
          <w:tcPr>
            <w:tcW w:w="8459" w:type="dxa"/>
            <w:gridSpan w:val="1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1、全区环境总体质量持续改善.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、污染防治攻坚战及“夏季攻势”清单任务全面完成.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theme="minorBidi"/>
                <w:sz w:val="24"/>
              </w:rPr>
              <w:t>3</w:t>
            </w:r>
            <w:r>
              <w:rPr>
                <w:rFonts w:hint="eastAsia" w:ascii="宋体" w:hAnsi="宋体" w:cstheme="minorBidi"/>
                <w:sz w:val="24"/>
              </w:rPr>
              <w:t>、突出环境问题有效解决.</w:t>
            </w:r>
          </w:p>
          <w:p>
            <w:pPr>
              <w:rPr>
                <w:rFonts w:ascii="宋体" w:hAnsi="宋体" w:cstheme="minorBidi"/>
                <w:sz w:val="24"/>
              </w:rPr>
            </w:pPr>
            <w:r>
              <w:rPr>
                <w:rFonts w:ascii="宋体" w:hAnsi="宋体" w:cstheme="minorBidi"/>
                <w:sz w:val="24"/>
              </w:rPr>
              <w:t>4</w:t>
            </w:r>
            <w:r>
              <w:rPr>
                <w:rFonts w:hint="eastAsia" w:ascii="宋体" w:hAnsi="宋体" w:cstheme="minorBidi"/>
                <w:sz w:val="24"/>
              </w:rPr>
              <w:t>、环境执法监管落到实处。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theme="minorBidi"/>
                <w:sz w:val="24"/>
              </w:rPr>
              <w:t>5</w:t>
            </w:r>
            <w:r>
              <w:rPr>
                <w:rFonts w:hint="eastAsia" w:ascii="宋体" w:hAnsi="宋体" w:cstheme="minorBidi"/>
                <w:sz w:val="24"/>
              </w:rPr>
              <w:t>、主要污染物排放总量控制目标基本实现.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theme="minorBidi"/>
                <w:sz w:val="24"/>
              </w:rPr>
              <w:t>6</w:t>
            </w:r>
            <w:r>
              <w:rPr>
                <w:rFonts w:hint="eastAsia" w:ascii="宋体" w:hAnsi="宋体" w:cstheme="minorBidi"/>
                <w:sz w:val="24"/>
              </w:rPr>
              <w:t>、环境综合整治与污染防治进一步深入。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 w:cstheme="minorBidi"/>
                <w:sz w:val="24"/>
              </w:rPr>
            </w:pPr>
            <w:r>
              <w:rPr>
                <w:rFonts w:ascii="宋体" w:hAnsi="宋体" w:cstheme="minorBidi"/>
                <w:sz w:val="24"/>
              </w:rPr>
              <w:t>7</w:t>
            </w:r>
            <w:r>
              <w:rPr>
                <w:rFonts w:hint="eastAsia" w:ascii="宋体" w:hAnsi="宋体" w:cstheme="minorBidi"/>
                <w:sz w:val="24"/>
              </w:rPr>
              <w:t>、基层组织建设工作进一步强化。</w:t>
            </w:r>
          </w:p>
          <w:p>
            <w:pPr>
              <w:autoSpaceDN w:val="0"/>
              <w:spacing w:line="320" w:lineRule="exact"/>
              <w:ind w:firstLine="422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459" w:type="dxa"/>
            <w:gridSpan w:val="1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1、全区共计发放排污许可证40余家，依法征收排污权有偿使用费1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0.25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万元，对照省市下达的污染防治工作任务清单完成6灶以上改造2家，对全区的高污染燃料禁燃区划分、禁止使用高排放非道路移动机械区域划分、城市声功能区划分工作正在推进中。对我区13家疑似地块安全利用现场进行了检查核实，完成污染源排放企业清单共计24家，核定应急减排春江木业、凯润家具、鑫源新材料有限公司、天畅包装厂4家企业，按照省厅要求对我区黑臭水体采集工作进行了落实，共采集9处黑臭水体，其中营田镇1处、琴棋乡2处、河市镇6处。完成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VOCs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整治企业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家，督促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家企业完成强制性清洁生产审核工作；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今年共收到省级环保督查“回头看”转办信访件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件，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件均已办结。2020年度岳阳市“洞庭清波”专项行动涉及我区的问题经合并后共有3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项，其中我局牵头的为工业污水直排超排、清洁改造、“千吨万人”饮用水、大气污染防治“三空”“三光”、生活污水治理村等9项问题，均已整改完成销号。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今年我局共检查双随机企业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25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家，开展新冠肺炎医疗固废专项检查5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余次，持续开展“双随机”、“环湖利剑”等专项执法行动，出动信访调查、专项检查和执法监察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600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余人次。及时受理各类环境信访件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143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件，其中12345交办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119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件，12369交办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件，省市转办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件，来电来访1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9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件，信访件按时办结率达1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%，全年共立案查处违法行为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起，罚款金额10.09万元。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为全面完成“十三五”总量指标任务，“十三五”期间氨氮减排9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吨，净削减了1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%；二氧化硫减排9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吨，净削减6%；氮氧化物减排4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吨，净削减7%；化学需氧量减排7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67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吨，净削减1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%；总磷减排2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吨，净削减8%；V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OC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减排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393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吨，净削减1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%，六项污染物总量指标均达到了 “十三五”目标任务指标。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13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13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收入合计</w:t>
            </w:r>
          </w:p>
        </w:tc>
        <w:tc>
          <w:tcPr>
            <w:tcW w:w="733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上年结转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政拨款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373.14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68.9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217.3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83.94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113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其中：</w:t>
            </w:r>
          </w:p>
        </w:tc>
        <w:tc>
          <w:tcPr>
            <w:tcW w:w="165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项目支出</w:t>
            </w:r>
          </w:p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当年结余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人员支出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215.79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215.79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57.33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160.46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88.45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157.35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合计</w:t>
            </w:r>
          </w:p>
        </w:tc>
        <w:tc>
          <w:tcPr>
            <w:tcW w:w="733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公务接待费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公务用车运维费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公务用车购置费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8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8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6.33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2.85</w:t>
            </w: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3.48</w:t>
            </w: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2738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8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38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其中：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在用固定资产</w:t>
            </w:r>
          </w:p>
        </w:tc>
        <w:tc>
          <w:tcPr>
            <w:tcW w:w="36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出租固定资产</w:t>
            </w:r>
          </w:p>
        </w:tc>
        <w:tc>
          <w:tcPr>
            <w:tcW w:w="12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503.3</w:t>
            </w:r>
          </w:p>
        </w:tc>
        <w:tc>
          <w:tcPr>
            <w:tcW w:w="24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503.3</w:t>
            </w:r>
          </w:p>
        </w:tc>
        <w:tc>
          <w:tcPr>
            <w:tcW w:w="366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113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预期目标</w:t>
            </w:r>
          </w:p>
        </w:tc>
        <w:tc>
          <w:tcPr>
            <w:tcW w:w="4921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69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751" w:type="dxa"/>
            <w:gridSpan w:val="7"/>
            <w:vAlign w:val="center"/>
          </w:tcPr>
          <w:p>
            <w:pPr>
              <w:rPr>
                <w:rFonts w:ascii="宋体" w:hAnsi="宋体" w:cstheme="minorBidi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、污染防治攻坚战及“夏季攻势”清单任务全面完成</w:t>
            </w:r>
          </w:p>
          <w:p>
            <w:pPr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2、省级环保督查“回头看”问题按时办结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3、是“洞庭清波”专项行动整改任务按时完成</w:t>
            </w:r>
          </w:p>
          <w:p>
            <w:pPr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4、践行生态环保发展理念，为创建文明单位营造良好氛围</w:t>
            </w:r>
          </w:p>
          <w:p>
            <w:pPr>
              <w:rPr>
                <w:rFonts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5、重视环保队伍建设，党风廉政建设逐项落到实处</w:t>
            </w:r>
          </w:p>
          <w:p/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eastAsia="仿宋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eastAsia="仿宋" w:cs="宋体"/>
                <w:color w:val="000000"/>
                <w:sz w:val="24"/>
              </w:rPr>
            </w:pPr>
          </w:p>
        </w:tc>
        <w:tc>
          <w:tcPr>
            <w:tcW w:w="4921" w:type="dxa"/>
            <w:gridSpan w:val="9"/>
            <w:vAlign w:val="center"/>
          </w:tcPr>
          <w:p>
            <w:pPr>
              <w:ind w:firstLine="480" w:firstLineChars="20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1、今年污染防治攻坚战及“夏季攻势”任务清单中，我区的重点任务有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项，其中“千吨万人”饮用水源（位于河市镇供水一厂）通过设施建设、违规养殖整改、土地平整，已全面完成整改并进行了销号；荞麦湖村、义南村、三和村、河夹塘社区四个村村通过现场调研、实地考察，编制规划，已全面完成村级生活污水整改任务并顺利销号；我区有凤凰乡、河市镇两个乡镇污水处理厂的建设任务，截止目前乡镇污水处理厂建设已基本完工，污水管网接入、设备安装工作均已完成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今年共收到省级环保督查“回头看”转办信访件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件，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件均已办结。</w:t>
            </w:r>
          </w:p>
          <w:p>
            <w:pPr>
              <w:ind w:firstLine="480" w:firstLineChars="20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3、2020年度岳阳市“洞庭清波”专项行动涉及我区的问题经合并后共有3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项，其中我局牵头的为工业污水直排超排、清洁改造、“千吨万人”饮用水、大气污染防治“三空”“三光”、生活污水治理村等9项问题，均已整改完成销号。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4、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通过党组中心组、“支部主题党日”、党员集中学习，制定年度计划和活动方案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按期组织干部职工学习开展了以从严治党、禁毒教育、关于新冠肺炎的学习等重点为主题的各项科普培训，将党风廉政建设工作与环保业务工作同部署、同推进、同检查，按照要求，围绕意识形态、党风廉政、从严治党、中央八项规定精神、习近平关于生态文明建设等内容共组织中心组学习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12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次， 书记讲党课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次。开展了“互帮互，亲帮亲”、“微心愿”、“爱心扶贫募捐”、扶贫慰问等活动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10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余次。</w:t>
            </w:r>
          </w:p>
          <w:p>
            <w:pPr>
              <w:ind w:firstLine="301" w:firstLineChars="100"/>
              <w:rPr>
                <w:rFonts w:ascii="楷体" w:hAnsi="楷体" w:eastAsia="楷体" w:cs="楷体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绩效目标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指标1：提高环境监测、监察能力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全面加强环境执法监管，提高了监管能力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指标2：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……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指标1：完成罚没收入10.09万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已完成年初目标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指标2：征收排污权有偿使用及交易费10.25万元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全面开展排污权有偿使用及交易费征缴工作，共收10.25万元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tabs>
                <w:tab w:val="center" w:pos="1339"/>
              </w:tabs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指标1：</w:t>
            </w:r>
            <w:bookmarkStart w:id="0" w:name="_GoBack"/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今年共收到省级环保督查“回头看”转办信访件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件，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5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件均已办结</w:t>
            </w:r>
            <w:bookmarkEnd w:id="0"/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按时限要求完成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指标2：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……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指标1：</w:t>
            </w:r>
            <w:r>
              <w:rPr>
                <w:rFonts w:hint="eastAsia" w:ascii="宋体" w:hAnsi="宋体" w:cs="宋体"/>
                <w:sz w:val="24"/>
              </w:rPr>
              <w:t>支出控制在预算内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工作经费和专项治理经费按要求控制在预算内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指标2：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……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指标1：改善环境质量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ind w:firstLine="480" w:firstLineChars="200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着力解决影响科学发展和群众健康的环境突出问题，攻坚克难，锐意进取，全区生态环境短板持续改善，生态环境质量持续优化。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土壤环境安全得到保障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指标1：实现节能减排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十三五”期间氨氮减排9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吨，净削减了1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%；二氧化硫减排9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吨，净削减6%；氮氧化物减排4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7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吨，净削减7%；化学需氧量减排7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67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吨，净削减1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%；总磷减排2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吨，净削减8%；V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OC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减排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393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吨，净削减1</w:t>
            </w:r>
            <w:r>
              <w:rPr>
                <w:rFonts w:ascii="宋体" w:hAnsi="宋体" w:cs="仿宋"/>
                <w:color w:val="000000"/>
                <w:kern w:val="0"/>
                <w:sz w:val="24"/>
              </w:rPr>
              <w:t>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%，六项污染物总量指标均达到了 “十三五”目标任务指标。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指标1：</w:t>
            </w:r>
            <w:r>
              <w:rPr>
                <w:rFonts w:hint="eastAsia" w:ascii="宋体" w:hAnsi="宋体" w:cstheme="minorBidi"/>
                <w:sz w:val="24"/>
              </w:rPr>
              <w:t>环境综合整治与污染防治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……</w:t>
            </w:r>
          </w:p>
        </w:tc>
        <w:tc>
          <w:tcPr>
            <w:tcW w:w="2997" w:type="dxa"/>
            <w:gridSpan w:val="6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t>全区共计发放排污许可证40余家，依法征收排污权有偿使用费1</w:t>
            </w:r>
            <w:r>
              <w:rPr>
                <w:rFonts w:cs="仿宋" w:asciiTheme="minorEastAsia" w:hAnsiTheme="minorEastAsia" w:eastAsiaTheme="minorEastAsia"/>
                <w:color w:val="000000"/>
                <w:kern w:val="0"/>
                <w:sz w:val="24"/>
              </w:rPr>
              <w:t>0.25</w:t>
            </w: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t>万元，对照省市下达的污染防治工作任务清单完成6灶以上改造2家，对我区13家疑似地块安全利用现场进行了检查核实，完成污染源排放企业清单共计24家，核定应急减排春江木业、凯润家具、鑫源新材料有限公司、天畅包装厂4家企业。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指标1：</w:t>
            </w:r>
            <w:r>
              <w:rPr>
                <w:rFonts w:hint="eastAsia" w:ascii="宋体" w:hAnsi="宋体" w:cs="宋体"/>
                <w:sz w:val="24"/>
              </w:rPr>
              <w:t>群众对环境质量改善的满意度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97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回复率和满意率均达到了</w:t>
            </w:r>
            <w:r>
              <w:rPr>
                <w:rFonts w:ascii="宋体" w:hAnsi="宋体" w:cs="宋体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绩效自评综合得分</w:t>
            </w:r>
          </w:p>
        </w:tc>
        <w:tc>
          <w:tcPr>
            <w:tcW w:w="7123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99分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评价等次</w:t>
            </w:r>
          </w:p>
        </w:tc>
        <w:tc>
          <w:tcPr>
            <w:tcW w:w="7123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113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名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职务/职称</w:t>
            </w:r>
          </w:p>
        </w:tc>
        <w:tc>
          <w:tcPr>
            <w:tcW w:w="1502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  位</w:t>
            </w:r>
          </w:p>
        </w:tc>
        <w:tc>
          <w:tcPr>
            <w:tcW w:w="3419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邓治国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局长</w:t>
            </w:r>
          </w:p>
        </w:tc>
        <w:tc>
          <w:tcPr>
            <w:tcW w:w="1502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岳阳市生态环境局屈原分局</w:t>
            </w:r>
          </w:p>
        </w:tc>
        <w:tc>
          <w:tcPr>
            <w:tcW w:w="3419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凡昕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办公室主任</w:t>
            </w:r>
          </w:p>
        </w:tc>
        <w:tc>
          <w:tcPr>
            <w:tcW w:w="1502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办公室</w:t>
            </w:r>
          </w:p>
        </w:tc>
        <w:tc>
          <w:tcPr>
            <w:tcW w:w="3419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黄娟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会计</w:t>
            </w:r>
          </w:p>
        </w:tc>
        <w:tc>
          <w:tcPr>
            <w:tcW w:w="1502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办公室</w:t>
            </w:r>
          </w:p>
        </w:tc>
        <w:tc>
          <w:tcPr>
            <w:tcW w:w="3419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肖秀</w:t>
            </w:r>
          </w:p>
        </w:tc>
        <w:tc>
          <w:tcPr>
            <w:tcW w:w="3538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出纳</w:t>
            </w:r>
          </w:p>
        </w:tc>
        <w:tc>
          <w:tcPr>
            <w:tcW w:w="1502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办公室</w:t>
            </w:r>
          </w:p>
        </w:tc>
        <w:tc>
          <w:tcPr>
            <w:tcW w:w="3419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atLeast"/>
          <w:jc w:val="center"/>
        </w:trPr>
        <w:tc>
          <w:tcPr>
            <w:tcW w:w="10113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62" w:hRule="atLeast"/>
          <w:jc w:val="center"/>
        </w:trPr>
        <w:tc>
          <w:tcPr>
            <w:tcW w:w="10113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10113" w:type="dxa"/>
            <w:gridSpan w:val="17"/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填报人（签名）： 黄娟                         联系电话：15575068909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评价报告综述（文字部分）</w:t>
            </w: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一、部门（单位）概况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（一）部门（单位）基本情况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（二）部门（单位）整体支出规模、使用方向和主要内容、涉及范围等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二、部门（单位）整体支出管理及使用情况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（一）基本支出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（二）专项支出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1、专项资金安排落实、总投入等情况分析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2、专项资金实际使用情况分析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3、专项资金管理情况分析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三、部门（单位）专项组织实施情况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（一）专项组织情况分析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（二）专项管理情况分析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四、部门（单位）整体支出绩效情况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五、存在的主要问题</w:t>
            </w:r>
          </w:p>
          <w:p>
            <w:pPr>
              <w:spacing w:line="5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六、改进措施和有关建议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spacing w:line="348" w:lineRule="auto"/>
        <w:rPr>
          <w:rFonts w:ascii="宋体" w:hAnsi="宋体" w:cs="宋体"/>
          <w:bCs/>
          <w:sz w:val="24"/>
        </w:rPr>
      </w:pPr>
    </w:p>
    <w:p>
      <w:pPr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5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19A08"/>
    <w:multiLevelType w:val="singleLevel"/>
    <w:tmpl w:val="87E19A0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2764C1"/>
    <w:rsid w:val="00011D90"/>
    <w:rsid w:val="0001332E"/>
    <w:rsid w:val="00020D7F"/>
    <w:rsid w:val="00066642"/>
    <w:rsid w:val="000C7A55"/>
    <w:rsid w:val="000E18C0"/>
    <w:rsid w:val="00140640"/>
    <w:rsid w:val="00163EBC"/>
    <w:rsid w:val="001C6237"/>
    <w:rsid w:val="002178C1"/>
    <w:rsid w:val="002426D3"/>
    <w:rsid w:val="00282E00"/>
    <w:rsid w:val="002C501E"/>
    <w:rsid w:val="00304D5D"/>
    <w:rsid w:val="00363816"/>
    <w:rsid w:val="00383A2E"/>
    <w:rsid w:val="003C4D41"/>
    <w:rsid w:val="003D1513"/>
    <w:rsid w:val="00417273"/>
    <w:rsid w:val="0049752A"/>
    <w:rsid w:val="004F568D"/>
    <w:rsid w:val="005F4F5B"/>
    <w:rsid w:val="00617BFB"/>
    <w:rsid w:val="0065383A"/>
    <w:rsid w:val="0069561F"/>
    <w:rsid w:val="006978A9"/>
    <w:rsid w:val="006F546C"/>
    <w:rsid w:val="00737EF7"/>
    <w:rsid w:val="00763FCA"/>
    <w:rsid w:val="00765321"/>
    <w:rsid w:val="00803A06"/>
    <w:rsid w:val="00835B94"/>
    <w:rsid w:val="0086531D"/>
    <w:rsid w:val="00882451"/>
    <w:rsid w:val="008E0A6D"/>
    <w:rsid w:val="008E35AB"/>
    <w:rsid w:val="009504F4"/>
    <w:rsid w:val="00951935"/>
    <w:rsid w:val="00975688"/>
    <w:rsid w:val="009A4275"/>
    <w:rsid w:val="009B61CC"/>
    <w:rsid w:val="00A32640"/>
    <w:rsid w:val="00A84F2C"/>
    <w:rsid w:val="00B14426"/>
    <w:rsid w:val="00B17D0D"/>
    <w:rsid w:val="00B95E36"/>
    <w:rsid w:val="00BB63BD"/>
    <w:rsid w:val="00C115A1"/>
    <w:rsid w:val="00C43D0C"/>
    <w:rsid w:val="00C56C9A"/>
    <w:rsid w:val="00CF7213"/>
    <w:rsid w:val="00D73C4B"/>
    <w:rsid w:val="00D919D4"/>
    <w:rsid w:val="00E100CA"/>
    <w:rsid w:val="00E24299"/>
    <w:rsid w:val="00E43C5E"/>
    <w:rsid w:val="00E635F1"/>
    <w:rsid w:val="00E76447"/>
    <w:rsid w:val="00E83B93"/>
    <w:rsid w:val="00EC1D92"/>
    <w:rsid w:val="00EC1ED6"/>
    <w:rsid w:val="00F61083"/>
    <w:rsid w:val="00F65EB0"/>
    <w:rsid w:val="00FD2E18"/>
    <w:rsid w:val="00FD5E92"/>
    <w:rsid w:val="00FF0E87"/>
    <w:rsid w:val="03E40878"/>
    <w:rsid w:val="0AAC4EB7"/>
    <w:rsid w:val="10AC43AC"/>
    <w:rsid w:val="1EA377BF"/>
    <w:rsid w:val="2EDB265A"/>
    <w:rsid w:val="3654511C"/>
    <w:rsid w:val="3C086611"/>
    <w:rsid w:val="3C6F409F"/>
    <w:rsid w:val="3F70002D"/>
    <w:rsid w:val="404940FE"/>
    <w:rsid w:val="43F30D75"/>
    <w:rsid w:val="47AF03EA"/>
    <w:rsid w:val="484157A6"/>
    <w:rsid w:val="4E2764C1"/>
    <w:rsid w:val="52AE4B8C"/>
    <w:rsid w:val="55E527EC"/>
    <w:rsid w:val="5EC605C4"/>
    <w:rsid w:val="5F2212EA"/>
    <w:rsid w:val="60A14062"/>
    <w:rsid w:val="635B0EF9"/>
    <w:rsid w:val="67BA5B63"/>
    <w:rsid w:val="68571855"/>
    <w:rsid w:val="69CA57F4"/>
    <w:rsid w:val="6FC379FF"/>
    <w:rsid w:val="74D53D3C"/>
    <w:rsid w:val="7676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66492-06EA-45EA-BF3E-F4C1BFBF5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635</Words>
  <Characters>3624</Characters>
  <Lines>30</Lines>
  <Paragraphs>8</Paragraphs>
  <TotalTime>47</TotalTime>
  <ScaleCrop>false</ScaleCrop>
  <LinksUpToDate>false</LinksUpToDate>
  <CharactersWithSpaces>4251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2021-06-08T03:56:00Z</dcterms:created>
  <dc:creator>dn</dc:creator>
  <cp:lastModifiedBy>dn</cp:lastModifiedBy>
  <cp:lastPrinted>2020-06-02T01:34:00Z</cp:lastPrinted>
  <dcterms:modified xsi:type="dcterms:W3CDTF">2021-12-24T08:11:16Z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BC0741E455DC49BEA828B103EDB09B34</vt:lpwstr>
  </property>
</Properties>
</file>