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rFonts w:hint="eastAsia"/>
          <w:sz w:val="84"/>
          <w:szCs w:val="84"/>
        </w:rPr>
      </w:pPr>
      <w:r>
        <w:rPr>
          <w:rFonts w:hint="eastAsia"/>
          <w:sz w:val="84"/>
          <w:szCs w:val="84"/>
        </w:rPr>
        <w:t>岳阳市第十八中学部门决算</w:t>
      </w: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spacing w:line="500" w:lineRule="exact"/>
        <w:ind w:firstLine="5060" w:firstLineChars="1400"/>
        <w:jc w:val="both"/>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岳阳市第十八中学</w:t>
      </w:r>
      <w:r>
        <w:rPr>
          <w:rFonts w:hint="eastAsia"/>
          <w:b/>
          <w:sz w:val="28"/>
          <w:szCs w:val="28"/>
        </w:rPr>
        <w:t>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岳阳市第十八中学单位概况</w:t>
      </w:r>
    </w:p>
    <w:p>
      <w:pPr>
        <w:pStyle w:val="12"/>
        <w:ind w:firstLine="0" w:firstLineChars="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ind w:firstLine="800" w:firstLineChars="250"/>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实施初中义务教育，促进基础教育发展，提供相关社会服务</w:t>
      </w:r>
      <w:r>
        <w:rPr>
          <w:rFonts w:hint="eastAsia" w:asciiTheme="minorEastAsia" w:hAnsiTheme="minorEastAsia"/>
          <w:sz w:val="32"/>
          <w:szCs w:val="32"/>
          <w:lang w:eastAsia="zh-CN"/>
        </w:rPr>
        <w:t>。</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（一）内设机构设置。岳阳市第十八中学内设机构包括：政教处、教务、教研室、办公室、总务处、七年级组、八年级组、九年级组</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（二）决算单位构成。岳阳市第十八中学</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20年部门决算汇总公开单位构成包括：岳阳市第十八中学本级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岳阳市第十八中学</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2733.05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0.78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2500.93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209.75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140.72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146.13</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148.93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2879.96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3000.33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130.37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3010.33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3010.33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3900" w:type="dxa"/>
        <w:tblInd w:w="0" w:type="dxa"/>
        <w:tblLayout w:type="autofit"/>
        <w:tblCellMar>
          <w:top w:w="0" w:type="dxa"/>
          <w:left w:w="0" w:type="dxa"/>
          <w:bottom w:w="0" w:type="dxa"/>
          <w:right w:w="0" w:type="dxa"/>
        </w:tblCellMar>
      </w:tblPr>
      <w:tblGrid>
        <w:gridCol w:w="315"/>
        <w:gridCol w:w="315"/>
        <w:gridCol w:w="3035"/>
        <w:gridCol w:w="1703"/>
        <w:gridCol w:w="1683"/>
        <w:gridCol w:w="1339"/>
        <w:gridCol w:w="1456"/>
        <w:gridCol w:w="1339"/>
        <w:gridCol w:w="1339"/>
        <w:gridCol w:w="1904"/>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岳阳市第十八中学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2879.96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2733.05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0.78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146.13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教育支出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2380.56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2233.65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0.78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146.13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209.75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209.75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140.72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140.72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148.93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148.93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7"/>
        <w:tblW w:w="13021"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0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15"/>
                <w:szCs w:val="15"/>
              </w:rPr>
              <w:t>岳阳市第十八中学</w:t>
            </w: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1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3000.33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2747.08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253.25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46"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205</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Cs w:val="21"/>
              </w:rPr>
              <w:t>教育支出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2500.93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2250.27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250.66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208</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15"/>
                <w:szCs w:val="15"/>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209.75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207.16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2.59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46"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210</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15"/>
                <w:szCs w:val="15"/>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140.72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140.72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221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5"/>
                <w:szCs w:val="15"/>
              </w:rPr>
            </w:pPr>
            <w:r>
              <w:rPr>
                <w:rFonts w:hint="eastAsia" w:ascii="宋体" w:hAnsi="宋体" w:eastAsia="宋体" w:cs="宋体"/>
                <w:kern w:val="0"/>
                <w:sz w:val="15"/>
                <w:szCs w:val="15"/>
              </w:rPr>
              <w:t>住房保障支出</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148.93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148.93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46"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77"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部门：岳阳市第十八中学</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2733.05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2354.02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2354.02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209.75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209.75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140.72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140.72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148.93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148.93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2733.05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2853.42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2853.42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130.37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10.00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130.37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2863.42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2863.42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2863.42</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岳阳市第十八中学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2853.42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2600.17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253.25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1431.05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1431.05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238.66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238.66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2050999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其他教育费附加安排支出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684.31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672.31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198.57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198.57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2080899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其他优抚支出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2081199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其他残疾人事业支出</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8.59</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8.59</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2101102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91.97</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91.97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2101103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公务员医疗补助</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48.75</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48.75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148.93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148.93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fixed"/>
        <w:tblCellMar>
          <w:top w:w="0" w:type="dxa"/>
          <w:left w:w="108" w:type="dxa"/>
          <w:bottom w:w="0" w:type="dxa"/>
          <w:right w:w="108" w:type="dxa"/>
        </w:tblCellMar>
      </w:tblPr>
      <w:tblGrid>
        <w:gridCol w:w="1338"/>
        <w:gridCol w:w="2580"/>
        <w:gridCol w:w="1947"/>
        <w:gridCol w:w="1076"/>
        <w:gridCol w:w="1812"/>
        <w:gridCol w:w="1313"/>
        <w:gridCol w:w="1248"/>
        <w:gridCol w:w="3058"/>
        <w:gridCol w:w="1242"/>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岳阳市第十八中学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0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2206.22</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148.56</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307</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债务利息及费用支出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基本工资</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810.73</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30201</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办公费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0.69</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30701</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国内债务付息</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津贴补贴</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30202</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印刷费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1.21</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30702</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国外债务付息</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奖金</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191.05</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30203</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咨询费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12.01</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31001</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房屋建筑物购建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661.51</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0.11</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31002</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办公设备购置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11.98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198.57</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4.21</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31003</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专用设备购置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0.03</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3.84</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93.45</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48.75</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18.83</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148.93</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13.66</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30.56</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233.38</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离休费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30216</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培训费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退休费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30217</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公务接待费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退职（役）费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30218</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专用材料费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12.75</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抚恤金</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30224</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被装购置费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31022</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无形资产购置</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生活补助</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117.6</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30225</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专用燃料费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31099</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其他资本性支出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救济费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30226</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劳务费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399</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其他支出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医疗费补助</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30227</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委托业务费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39906</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赠与</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助学金</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30228</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工会经费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69.13</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39907</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国家赔偿费用支出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奖励金</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115.78</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30229</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福利费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46.8</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39908</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对民间非营利组织和群众性自治组织补贴</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个人农业生产补贴</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30231</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公务用车运行维护费</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39999</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其他支出</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代缴社会保险费</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30239</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其他交通费用</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其他对个人和家庭的补助</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30240</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税金及附加费用</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30299</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其他商品和服务支出</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p>
        </w:tc>
        <w:tc>
          <w:tcPr>
            <w:tcW w:w="12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0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CellMar>
            <w:top w:w="0" w:type="dxa"/>
            <w:left w:w="108" w:type="dxa"/>
            <w:bottom w:w="0" w:type="dxa"/>
            <w:right w:w="108" w:type="dxa"/>
          </w:tblCellMar>
        </w:tblPrEx>
        <w:trPr>
          <w:trHeight w:val="284" w:hRule="exact"/>
        </w:trPr>
        <w:tc>
          <w:tcPr>
            <w:tcW w:w="3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人员经费合计</w:t>
            </w:r>
          </w:p>
        </w:tc>
        <w:tc>
          <w:tcPr>
            <w:tcW w:w="19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2439.60</w:t>
            </w:r>
          </w:p>
        </w:tc>
        <w:tc>
          <w:tcPr>
            <w:tcW w:w="850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公用经费合计</w:t>
            </w:r>
          </w:p>
        </w:tc>
        <w:tc>
          <w:tcPr>
            <w:tcW w:w="12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160.57</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岳阳市第十八中学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0.20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0.20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岳阳市第十八中学</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本单位没有政府性基金收入，也没有使用政府性基金安排的支出，故本表无数据</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岳阳市第十八中学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本单位没有使用国有资本经营预算安排的支出，故本表无数据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一、收入支出决算总体情况说明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w:t>
      </w:r>
      <w:r>
        <w:rPr>
          <w:rFonts w:hint="eastAsia" w:asciiTheme="minorEastAsia" w:hAnsiTheme="minorEastAsia" w:eastAsiaTheme="minorEastAsia"/>
          <w:sz w:val="32"/>
          <w:szCs w:val="32"/>
          <w:lang w:val="en-US" w:eastAsia="zh-CN"/>
        </w:rPr>
        <w:t>收、支总计3010.33</w:t>
      </w:r>
      <w:r>
        <w:rPr>
          <w:rFonts w:hint="eastAsia" w:asciiTheme="minorEastAsia" w:hAnsiTheme="minorEastAsia" w:eastAsiaTheme="minorEastAsia"/>
          <w:sz w:val="32"/>
          <w:szCs w:val="32"/>
        </w:rPr>
        <w:t>万元，与上年相比，增加74.55万元，增加2.54%，主要原因是：往来款项在2020年列收支核算；人员减少，人员经费减少。</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二、收入决算情况说明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2879.96万元，其中：财政拨款收入2733.05万元，占94.90%；上级补助收入0.00万元，占0.00%；事业收入0.78万元，占0.03%；经营收入0.00万元，占0.00%；附属单位上缴收入0.00万元，占0.00%；其他收入146.13万元，占5.07%。</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三、支出决算情况说明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本年支出合计3000.33万元，其中：基本支出2747.08万元，占91.56%；项目支出253.25万元，占8.44%；上缴上级支出0.00万元，占X0.00%；经营支出0.00万元，占0.00%；对附属单位补助支出0.00万元，占0.00%。</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四、财政拨款收入支出决算总体情况说明</w:t>
      </w:r>
    </w:p>
    <w:p>
      <w:pPr>
        <w:pStyle w:val="11"/>
        <w:keepNext w:val="0"/>
        <w:keepLines w:val="0"/>
        <w:pageBreakBefore w:val="0"/>
        <w:kinsoku/>
        <w:wordWrap/>
        <w:overflowPunct/>
        <w:topLinePunct w:val="0"/>
        <w:bidi w:val="0"/>
        <w:snapToGrid/>
        <w:spacing w:line="560" w:lineRule="exact"/>
        <w:ind w:firstLine="64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w:t>
      </w:r>
      <w:r>
        <w:rPr>
          <w:rFonts w:hint="eastAsia" w:asciiTheme="minorEastAsia" w:hAnsiTheme="minorEastAsia" w:eastAsiaTheme="minorEastAsia"/>
          <w:sz w:val="32"/>
          <w:szCs w:val="32"/>
          <w:lang w:val="en-US" w:eastAsia="zh-CN"/>
        </w:rPr>
        <w:t>收、支</w:t>
      </w:r>
      <w:r>
        <w:rPr>
          <w:rFonts w:hint="eastAsia" w:asciiTheme="minorEastAsia" w:hAnsiTheme="minorEastAsia" w:eastAsiaTheme="minorEastAsia"/>
          <w:sz w:val="32"/>
          <w:szCs w:val="32"/>
        </w:rPr>
        <w:t>总计2863.42万元，减少45.36万元，减少1.56%，主要原因是：人员减少，费用减少。</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五、一般公共预算财政拨款支出决算情况说明</w:t>
      </w:r>
    </w:p>
    <w:p>
      <w:pPr>
        <w:pStyle w:val="11"/>
        <w:keepNext w:val="0"/>
        <w:keepLines w:val="0"/>
        <w:pageBreakBefore w:val="0"/>
        <w:kinsoku/>
        <w:wordWrap/>
        <w:overflowPunct/>
        <w:topLinePunct w:val="0"/>
        <w:bidi w:val="0"/>
        <w:snapToGrid/>
        <w:spacing w:line="560" w:lineRule="exact"/>
        <w:ind w:firstLine="643"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2020年度财政拨款支出2853.42万元，占本年支出合计的</w:t>
      </w:r>
      <w:bookmarkStart w:id="3" w:name="_GoBack"/>
      <w:bookmarkEnd w:id="3"/>
      <w:r>
        <w:rPr>
          <w:rFonts w:hint="eastAsia" w:asciiTheme="minorEastAsia" w:hAnsiTheme="minorEastAsia" w:eastAsiaTheme="minorEastAsia"/>
          <w:sz w:val="32"/>
          <w:szCs w:val="32"/>
        </w:rPr>
        <w:t>95.10%，与上年相比，财政拨款支出增加75.00万元，增长2.70%，主要是因为2019年下拨两免一补款项较晚，在2020年使用</w:t>
      </w:r>
      <w:r>
        <w:rPr>
          <w:rFonts w:hint="eastAsia" w:asciiTheme="minorEastAsia" w:hAnsiTheme="minorEastAsia" w:eastAsiaTheme="minorEastAsia"/>
          <w:sz w:val="32"/>
          <w:szCs w:val="32"/>
          <w:lang w:eastAsia="zh-CN"/>
        </w:rPr>
        <w:t>。</w:t>
      </w:r>
    </w:p>
    <w:p>
      <w:pPr>
        <w:pStyle w:val="11"/>
        <w:keepNext w:val="0"/>
        <w:keepLines w:val="0"/>
        <w:pageBreakBefore w:val="0"/>
        <w:kinsoku/>
        <w:wordWrap/>
        <w:overflowPunct/>
        <w:topLinePunct w:val="0"/>
        <w:bidi w:val="0"/>
        <w:snapToGrid/>
        <w:spacing w:line="560" w:lineRule="exact"/>
        <w:ind w:firstLine="482" w:firstLineChars="15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2853.42万元，主要用于以下方面：教育（类）支出2354.02万元，占82.50%;社会保障和就业（类）支出209.75，占7.35%；卫生健康（类）支出140.72万元，占4.93%；住房保障（类）支出148.93万元，占5.22%。</w:t>
      </w:r>
    </w:p>
    <w:p>
      <w:pPr>
        <w:pStyle w:val="11"/>
        <w:keepNext w:val="0"/>
        <w:keepLines w:val="0"/>
        <w:pageBreakBefore w:val="0"/>
        <w:kinsoku/>
        <w:wordWrap/>
        <w:overflowPunct/>
        <w:topLinePunct w:val="0"/>
        <w:bidi w:val="0"/>
        <w:snapToGrid/>
        <w:spacing w:line="560" w:lineRule="exact"/>
        <w:ind w:firstLine="803" w:firstLineChars="25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2020年度财政拨款支出年初预算数为1942.26万元，支出决算数为2853.42万元，完成年初预算的146.91%，其中：</w:t>
      </w:r>
    </w:p>
    <w:p>
      <w:pPr>
        <w:pStyle w:val="11"/>
        <w:keepNext w:val="0"/>
        <w:keepLines w:val="0"/>
        <w:pageBreakBefore w:val="0"/>
        <w:numPr>
          <w:ilvl w:val="0"/>
          <w:numId w:val="1"/>
        </w:numPr>
        <w:kinsoku/>
        <w:wordWrap/>
        <w:overflowPunct/>
        <w:topLinePunct w:val="0"/>
        <w:bidi w:val="0"/>
        <w:snapToGrid/>
        <w:spacing w:line="560" w:lineRule="exact"/>
        <w:ind w:firstLine="803" w:firstLineChars="250"/>
        <w:textAlignment w:val="auto"/>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初</w:t>
      </w:r>
      <w:r>
        <w:rPr>
          <w:rFonts w:hint="eastAsia" w:asciiTheme="minorEastAsia" w:hAnsiTheme="minorEastAsia" w:eastAsiaTheme="minorEastAsia"/>
          <w:b/>
          <w:bCs/>
          <w:color w:val="000000" w:themeColor="text1"/>
          <w:sz w:val="32"/>
          <w:szCs w:val="32"/>
        </w:rPr>
        <w:t>中教育（项）</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1433.45</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1431.05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99.83</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小</w:t>
      </w:r>
      <w:r>
        <w:rPr>
          <w:rFonts w:hint="eastAsia" w:asciiTheme="minorEastAsia" w:hAnsiTheme="minorEastAsia" w:eastAsiaTheme="minorEastAsia"/>
          <w:color w:val="000000" w:themeColor="text1"/>
          <w:sz w:val="32"/>
          <w:szCs w:val="32"/>
          <w:lang w:eastAsia="zh-CN"/>
        </w:rPr>
        <w:t>于</w:t>
      </w:r>
      <w:r>
        <w:rPr>
          <w:rFonts w:hint="eastAsia" w:asciiTheme="minorEastAsia" w:hAnsiTheme="minorEastAsia" w:eastAsiaTheme="minorEastAsia"/>
          <w:color w:val="000000" w:themeColor="text1"/>
          <w:sz w:val="32"/>
          <w:szCs w:val="32"/>
        </w:rPr>
        <w:t>年初预算数的主要原因</w:t>
      </w:r>
      <w:r>
        <w:rPr>
          <w:rFonts w:hint="eastAsia" w:asciiTheme="minorEastAsia" w:hAnsiTheme="minorEastAsia" w:eastAsiaTheme="minorEastAsia"/>
          <w:color w:val="000000" w:themeColor="text1"/>
          <w:sz w:val="32"/>
          <w:szCs w:val="32"/>
          <w:lang w:eastAsia="zh-CN"/>
        </w:rPr>
        <w:t>是</w:t>
      </w:r>
      <w:r>
        <w:rPr>
          <w:rFonts w:hint="eastAsia" w:asciiTheme="minorEastAsia" w:hAnsiTheme="minorEastAsia" w:eastAsiaTheme="minorEastAsia"/>
          <w:color w:val="000000" w:themeColor="text1"/>
          <w:sz w:val="32"/>
          <w:szCs w:val="32"/>
          <w:lang w:val="en-US" w:eastAsia="zh-CN"/>
        </w:rPr>
        <w:t>部分费用未达付款进度</w:t>
      </w:r>
      <w:r>
        <w:rPr>
          <w:rFonts w:hint="eastAsia" w:asciiTheme="minorEastAsia" w:hAnsiTheme="minorEastAsia" w:eastAsiaTheme="minorEastAsia"/>
          <w:color w:val="000000" w:themeColor="text1"/>
          <w:sz w:val="32"/>
          <w:szCs w:val="32"/>
          <w:lang w:eastAsia="zh-CN"/>
        </w:rPr>
        <w:t>。</w:t>
      </w:r>
    </w:p>
    <w:p>
      <w:pPr>
        <w:pStyle w:val="11"/>
        <w:keepNext w:val="0"/>
        <w:keepLines w:val="0"/>
        <w:pageBreakBefore w:val="0"/>
        <w:kinsoku/>
        <w:wordWrap/>
        <w:overflowPunct/>
        <w:topLinePunct w:val="0"/>
        <w:bidi w:val="0"/>
        <w:snapToGrid/>
        <w:spacing w:line="560" w:lineRule="exact"/>
        <w:ind w:firstLine="803" w:firstLineChars="250"/>
        <w:textAlignment w:val="auto"/>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1"/>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238.66</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使用上年结余支付两免一补费用</w:t>
      </w:r>
      <w:r>
        <w:rPr>
          <w:rFonts w:hint="eastAsia" w:asciiTheme="minorEastAsia" w:hAnsiTheme="minorEastAsia" w:eastAsiaTheme="minorEastAsia"/>
          <w:color w:val="000000" w:themeColor="text1"/>
          <w:sz w:val="32"/>
          <w:szCs w:val="32"/>
          <w:lang w:eastAsia="zh-CN"/>
        </w:rPr>
        <w:t>。</w:t>
      </w:r>
    </w:p>
    <w:p>
      <w:pPr>
        <w:pStyle w:val="11"/>
        <w:keepNext w:val="0"/>
        <w:keepLines w:val="0"/>
        <w:pageBreakBefore w:val="0"/>
        <w:numPr>
          <w:ilvl w:val="0"/>
          <w:numId w:val="0"/>
        </w:numPr>
        <w:kinsoku/>
        <w:wordWrap/>
        <w:overflowPunct/>
        <w:topLinePunct w:val="0"/>
        <w:bidi w:val="0"/>
        <w:snapToGrid/>
        <w:spacing w:line="560" w:lineRule="exact"/>
        <w:ind w:leftChars="250" w:firstLine="321" w:firstLineChars="100"/>
        <w:textAlignment w:val="auto"/>
        <w:rPr>
          <w:rFonts w:hint="eastAsia" w:asciiTheme="minorEastAsia" w:hAnsiTheme="minorEastAsia" w:eastAsiaTheme="minorEastAsia"/>
          <w:b/>
          <w:bCs/>
          <w:color w:val="000000" w:themeColor="text1"/>
          <w:sz w:val="32"/>
          <w:szCs w:val="32"/>
          <w:lang w:eastAsia="zh-CN"/>
        </w:rPr>
      </w:pPr>
      <w:r>
        <w:rPr>
          <w:rFonts w:hint="eastAsia" w:asciiTheme="minorEastAsia" w:hAnsiTheme="minorEastAsia" w:eastAsiaTheme="minorEastAsia"/>
          <w:b/>
          <w:bCs/>
          <w:color w:val="000000" w:themeColor="text1"/>
          <w:sz w:val="32"/>
          <w:szCs w:val="32"/>
          <w:lang w:val="en-US" w:eastAsia="zh-CN"/>
        </w:rPr>
        <w:t>3</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b/>
          <w:bCs/>
          <w:color w:val="000000" w:themeColor="text1"/>
          <w:sz w:val="32"/>
          <w:szCs w:val="32"/>
        </w:rPr>
        <w:t>教育支出（类）</w:t>
      </w:r>
      <w:r>
        <w:rPr>
          <w:rFonts w:hint="eastAsia" w:asciiTheme="minorEastAsia" w:hAnsiTheme="minorEastAsia" w:eastAsiaTheme="minorEastAsia"/>
          <w:b/>
          <w:bCs/>
          <w:color w:val="000000" w:themeColor="text1"/>
          <w:sz w:val="32"/>
          <w:szCs w:val="32"/>
          <w:lang w:eastAsia="zh-CN"/>
        </w:rPr>
        <w:t>教育费附加安排的支出</w:t>
      </w:r>
      <w:r>
        <w:rPr>
          <w:rFonts w:hint="eastAsia" w:asciiTheme="minorEastAsia" w:hAnsiTheme="minorEastAsia" w:eastAsiaTheme="minorEastAsia"/>
          <w:b/>
          <w:bCs/>
          <w:color w:val="000000" w:themeColor="text1"/>
          <w:sz w:val="32"/>
          <w:szCs w:val="32"/>
        </w:rPr>
        <w:t>（款）</w:t>
      </w:r>
      <w:r>
        <w:rPr>
          <w:rFonts w:hint="eastAsia" w:asciiTheme="minorEastAsia" w:hAnsiTheme="minorEastAsia" w:eastAsiaTheme="minorEastAsia"/>
          <w:b/>
          <w:bCs/>
          <w:color w:val="000000" w:themeColor="text1"/>
          <w:sz w:val="32"/>
          <w:szCs w:val="32"/>
          <w:lang w:eastAsia="zh-CN"/>
        </w:rPr>
        <w:t>其他教育费附加安排</w:t>
      </w:r>
    </w:p>
    <w:p>
      <w:pPr>
        <w:pStyle w:val="11"/>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b/>
          <w:bCs/>
          <w:color w:val="000000" w:themeColor="text1"/>
          <w:sz w:val="32"/>
          <w:szCs w:val="32"/>
          <w:lang w:eastAsia="zh-CN"/>
        </w:rPr>
        <w:t>的支出</w:t>
      </w:r>
      <w:r>
        <w:rPr>
          <w:rFonts w:hint="eastAsia" w:asciiTheme="minorEastAsia" w:hAnsiTheme="minorEastAsia" w:eastAsiaTheme="minorEastAsia"/>
          <w:b/>
          <w:bCs/>
          <w:color w:val="000000" w:themeColor="text1"/>
          <w:sz w:val="32"/>
          <w:szCs w:val="32"/>
        </w:rPr>
        <w:t>（项）</w:t>
      </w:r>
    </w:p>
    <w:p>
      <w:pPr>
        <w:pStyle w:val="11"/>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12</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rPr>
        <w:t>68</w:t>
      </w:r>
      <w:r>
        <w:rPr>
          <w:rFonts w:hint="eastAsia" w:asciiTheme="minorEastAsia" w:hAnsiTheme="minorEastAsia" w:eastAsiaTheme="minorEastAsia"/>
          <w:sz w:val="32"/>
          <w:szCs w:val="32"/>
          <w:lang w:val="en-US" w:eastAsia="zh-CN"/>
        </w:rPr>
        <w:t>4.31</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5702.58</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eastAsia="zh-CN"/>
        </w:rPr>
        <w:t>财政追加安排教职工绩效考评奖励。</w:t>
      </w:r>
    </w:p>
    <w:p>
      <w:pPr>
        <w:pStyle w:val="11"/>
        <w:keepNext w:val="0"/>
        <w:keepLines w:val="0"/>
        <w:pageBreakBefore w:val="0"/>
        <w:numPr>
          <w:ilvl w:val="0"/>
          <w:numId w:val="2"/>
        </w:numPr>
        <w:kinsoku/>
        <w:wordWrap/>
        <w:overflowPunct/>
        <w:topLinePunct w:val="0"/>
        <w:bidi w:val="0"/>
        <w:snapToGrid/>
        <w:spacing w:line="560" w:lineRule="exact"/>
        <w:ind w:firstLine="964" w:firstLineChars="300"/>
        <w:textAlignment w:val="auto"/>
        <w:rPr>
          <w:rFonts w:hint="eastAsia" w:ascii="宋体" w:hAnsi="宋体"/>
          <w:color w:val="000000"/>
          <w:kern w:val="0"/>
          <w:sz w:val="32"/>
          <w:highlight w:val="white"/>
          <w:lang w:val="en-US"/>
        </w:rPr>
      </w:pPr>
      <w:r>
        <w:rPr>
          <w:rFonts w:hint="eastAsia" w:asciiTheme="minorEastAsia" w:hAnsiTheme="minorEastAsia" w:eastAsiaTheme="minorEastAsia"/>
          <w:b/>
          <w:bCs/>
          <w:color w:val="000000" w:themeColor="text1"/>
          <w:sz w:val="32"/>
          <w:szCs w:val="32"/>
          <w:lang w:val="en-US" w:eastAsia="zh-CN"/>
        </w:rPr>
        <w:t>社</w:t>
      </w:r>
      <w:r>
        <w:rPr>
          <w:rFonts w:hint="eastAsia" w:asciiTheme="minorEastAsia" w:hAnsiTheme="minorEastAsia" w:eastAsiaTheme="minorEastAsia"/>
          <w:b/>
          <w:bCs/>
          <w:color w:val="000000" w:themeColor="text1"/>
          <w:sz w:val="32"/>
          <w:szCs w:val="32"/>
          <w:lang w:val="en-US"/>
        </w:rPr>
        <w:t>会保障和就业支出（类）行政事业单位养老支出（款）机关事业单位基本养老保险缴费支出（项</w:t>
      </w:r>
      <w:r>
        <w:rPr>
          <w:rFonts w:hint="eastAsia" w:ascii="宋体" w:hAnsi="宋体"/>
          <w:b/>
          <w:bCs/>
          <w:color w:val="000000"/>
          <w:kern w:val="0"/>
          <w:sz w:val="32"/>
          <w:highlight w:val="white"/>
          <w:lang w:val="en-US"/>
        </w:rPr>
        <w:t>）</w:t>
      </w:r>
    </w:p>
    <w:p>
      <w:pPr>
        <w:pStyle w:val="11"/>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olor w:val="000000" w:themeColor="text1"/>
          <w:sz w:val="32"/>
          <w:szCs w:val="32"/>
          <w:lang w:eastAsia="zh-CN"/>
        </w:rPr>
      </w:pPr>
      <w:r>
        <w:rPr>
          <w:rFonts w:hint="eastAsia" w:ascii="宋体" w:hAnsi="宋体"/>
          <w:color w:val="000000"/>
          <w:kern w:val="0"/>
          <w:sz w:val="32"/>
          <w:highlight w:val="white"/>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198.57</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98.57</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无差异。</w:t>
      </w:r>
    </w:p>
    <w:p>
      <w:pPr>
        <w:keepNext w:val="0"/>
        <w:keepLines w:val="0"/>
        <w:pageBreakBefore w:val="0"/>
        <w:numPr>
          <w:ilvl w:val="0"/>
          <w:numId w:val="0"/>
        </w:numPr>
        <w:kinsoku/>
        <w:wordWrap/>
        <w:overflowPunct/>
        <w:topLinePunct w:val="0"/>
        <w:bidi w:val="0"/>
        <w:snapToGrid/>
        <w:spacing w:line="560" w:lineRule="exact"/>
        <w:ind w:firstLine="964" w:firstLineChars="300"/>
        <w:textAlignment w:val="auto"/>
        <w:rPr>
          <w:rFonts w:hint="eastAsia" w:ascii="宋体" w:hAnsi="宋体"/>
          <w:b/>
          <w:bCs/>
          <w:color w:val="000000"/>
          <w:kern w:val="0"/>
          <w:sz w:val="32"/>
          <w:highlight w:val="white"/>
          <w:lang w:val="en-US"/>
        </w:rPr>
      </w:pPr>
      <w:r>
        <w:rPr>
          <w:rFonts w:hint="eastAsia" w:asciiTheme="minorEastAsia" w:hAnsiTheme="minorEastAsia" w:eastAsiaTheme="minorEastAsia"/>
          <w:b/>
          <w:bCs/>
          <w:color w:val="000000" w:themeColor="text1"/>
          <w:sz w:val="32"/>
          <w:szCs w:val="32"/>
          <w:lang w:val="en-US" w:eastAsia="zh-CN"/>
        </w:rPr>
        <w:t>5、</w:t>
      </w:r>
      <w:r>
        <w:rPr>
          <w:rFonts w:hint="eastAsia" w:ascii="宋体" w:hAnsi="宋体"/>
          <w:b/>
          <w:bCs/>
          <w:color w:val="000000"/>
          <w:kern w:val="0"/>
          <w:sz w:val="32"/>
          <w:highlight w:val="white"/>
          <w:lang w:val="en-US"/>
        </w:rPr>
        <w:t>社会保障和就业支出（类）抚恤（款）其他优抚支出（项）</w:t>
      </w:r>
    </w:p>
    <w:p>
      <w:pPr>
        <w:pStyle w:val="11"/>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2.59</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eastAsia="zh-CN"/>
        </w:rPr>
        <w:t>财政追加安排抚恤金。</w:t>
      </w:r>
    </w:p>
    <w:p>
      <w:pPr>
        <w:keepNext w:val="0"/>
        <w:keepLines w:val="0"/>
        <w:pageBreakBefore w:val="0"/>
        <w:numPr>
          <w:numId w:val="0"/>
        </w:numPr>
        <w:kinsoku/>
        <w:wordWrap/>
        <w:overflowPunct/>
        <w:topLinePunct w:val="0"/>
        <w:bidi w:val="0"/>
        <w:snapToGrid/>
        <w:spacing w:line="560" w:lineRule="exact"/>
        <w:ind w:firstLine="964" w:firstLineChars="300"/>
        <w:textAlignment w:val="auto"/>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6、</w:t>
      </w:r>
      <w:r>
        <w:rPr>
          <w:rFonts w:hint="eastAsia" w:ascii="宋体" w:hAnsi="宋体"/>
          <w:b/>
          <w:bCs/>
          <w:color w:val="000000"/>
          <w:kern w:val="0"/>
          <w:sz w:val="32"/>
          <w:highlight w:val="white"/>
          <w:lang w:val="en-US"/>
        </w:rPr>
        <w:t>社会保障和就业支出（类）</w:t>
      </w:r>
      <w:r>
        <w:rPr>
          <w:rFonts w:hint="eastAsia" w:ascii="宋体" w:hAnsi="宋体"/>
          <w:b/>
          <w:bCs/>
          <w:color w:val="000000"/>
          <w:kern w:val="0"/>
          <w:sz w:val="32"/>
          <w:highlight w:val="white"/>
          <w:lang w:val="en-US" w:eastAsia="zh-CN"/>
        </w:rPr>
        <w:t>残疾人事业</w:t>
      </w:r>
      <w:r>
        <w:rPr>
          <w:rFonts w:hint="eastAsia" w:ascii="宋体" w:hAnsi="宋体"/>
          <w:b/>
          <w:bCs/>
          <w:color w:val="000000"/>
          <w:kern w:val="0"/>
          <w:sz w:val="32"/>
          <w:highlight w:val="white"/>
          <w:lang w:val="en-US"/>
        </w:rPr>
        <w:t>（款）其他</w:t>
      </w:r>
      <w:r>
        <w:rPr>
          <w:rFonts w:hint="eastAsia" w:ascii="宋体" w:hAnsi="宋体"/>
          <w:b/>
          <w:bCs/>
          <w:color w:val="000000"/>
          <w:kern w:val="0"/>
          <w:sz w:val="32"/>
          <w:highlight w:val="white"/>
          <w:lang w:val="en-US" w:eastAsia="zh-CN"/>
        </w:rPr>
        <w:t>残疾人事业支出</w:t>
      </w:r>
      <w:r>
        <w:rPr>
          <w:rFonts w:hint="eastAsia" w:ascii="宋体" w:hAnsi="宋体"/>
          <w:b/>
          <w:bCs/>
          <w:color w:val="000000"/>
          <w:kern w:val="0"/>
          <w:sz w:val="32"/>
          <w:highlight w:val="white"/>
          <w:lang w:val="en-US"/>
        </w:rPr>
        <w:t>（项）</w:t>
      </w:r>
    </w:p>
    <w:p>
      <w:pPr>
        <w:pStyle w:val="11"/>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8.59</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8.59</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1"/>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olor w:val="000000" w:themeColor="text1"/>
          <w:sz w:val="32"/>
          <w:szCs w:val="32"/>
          <w:lang w:val="en-US"/>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b/>
          <w:bCs/>
          <w:color w:val="000000" w:themeColor="text1"/>
          <w:sz w:val="32"/>
          <w:szCs w:val="32"/>
          <w:lang w:val="en-US" w:eastAsia="zh-CN"/>
        </w:rPr>
        <w:t xml:space="preserve"> 7、</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1"/>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lang w:val="en-US" w:eastAsia="zh-CN"/>
        </w:rPr>
        <w:t>91.97</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91.97</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 xml:space="preserve">100 </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无差异。</w:t>
      </w:r>
    </w:p>
    <w:p>
      <w:pPr>
        <w:pStyle w:val="11"/>
        <w:keepNext w:val="0"/>
        <w:keepLines w:val="0"/>
        <w:pageBreakBefore w:val="0"/>
        <w:numPr>
          <w:numId w:val="0"/>
        </w:numPr>
        <w:kinsoku/>
        <w:wordWrap/>
        <w:overflowPunct/>
        <w:topLinePunct w:val="0"/>
        <w:bidi w:val="0"/>
        <w:snapToGrid/>
        <w:spacing w:line="560" w:lineRule="exact"/>
        <w:ind w:firstLine="964" w:firstLineChars="300"/>
        <w:textAlignment w:val="auto"/>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8、</w:t>
      </w: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11"/>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48.75</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8.75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无差异。</w:t>
      </w:r>
    </w:p>
    <w:p>
      <w:pPr>
        <w:pStyle w:val="11"/>
        <w:keepNext w:val="0"/>
        <w:keepLines w:val="0"/>
        <w:pageBreakBefore w:val="0"/>
        <w:numPr>
          <w:numId w:val="0"/>
        </w:numPr>
        <w:kinsoku/>
        <w:wordWrap/>
        <w:overflowPunct/>
        <w:topLinePunct w:val="0"/>
        <w:bidi w:val="0"/>
        <w:snapToGrid/>
        <w:spacing w:line="560" w:lineRule="exact"/>
        <w:ind w:firstLine="964" w:firstLineChars="300"/>
        <w:textAlignment w:val="auto"/>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9、</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48.93</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48.93</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无差异。</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六、一般公共预算财政拨款基本支出决算情况说明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2020年度财政拨款基本支出2600.17万元，其中：人员经费2439.60万元，占基本支出的93.82%,主要包括基本工资、津贴补贴、奖金、伙食补助</w:t>
      </w:r>
      <w:r>
        <w:rPr>
          <w:rFonts w:hint="eastAsia" w:asciiTheme="minorEastAsia" w:hAnsiTheme="minorEastAsia" w:eastAsiaTheme="minorEastAsia"/>
          <w:sz w:val="32"/>
          <w:szCs w:val="32"/>
          <w:lang w:val="en-US" w:eastAsia="zh-CN"/>
        </w:rPr>
        <w:t>费、绩效工资等</w:t>
      </w:r>
      <w:r>
        <w:rPr>
          <w:rFonts w:hint="eastAsia" w:asciiTheme="minorEastAsia" w:hAnsiTheme="minorEastAsia" w:eastAsiaTheme="minorEastAsia"/>
          <w:sz w:val="32"/>
          <w:szCs w:val="32"/>
        </w:rPr>
        <w:t>；公用经费160.57万元，占基本支出的6.18%，主要包括办公费、印刷费、咨询费、手续</w:t>
      </w:r>
      <w:r>
        <w:rPr>
          <w:rFonts w:hint="eastAsia" w:asciiTheme="minorEastAsia" w:hAnsiTheme="minorEastAsia" w:eastAsiaTheme="minorEastAsia"/>
          <w:sz w:val="32"/>
          <w:szCs w:val="32"/>
          <w:lang w:val="en-US" w:eastAsia="zh-CN"/>
        </w:rPr>
        <w:t>费、水费、电费、维修（护）费、工会经费等</w:t>
      </w:r>
      <w:r>
        <w:rPr>
          <w:rFonts w:hint="eastAsia" w:asciiTheme="minorEastAsia" w:hAnsiTheme="minorEastAsia" w:eastAsiaTheme="minorEastAsia"/>
          <w:sz w:val="32"/>
          <w:szCs w:val="32"/>
        </w:rPr>
        <w:t>。</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七、一般公共预算财政拨款三公经费支出决算情况说明</w:t>
      </w:r>
    </w:p>
    <w:p>
      <w:pPr>
        <w:pStyle w:val="11"/>
        <w:keepNext w:val="0"/>
        <w:keepLines w:val="0"/>
        <w:pageBreakBefore w:val="0"/>
        <w:kinsoku/>
        <w:wordWrap/>
        <w:overflowPunct/>
        <w:topLinePunct w:val="0"/>
        <w:bidi w:val="0"/>
        <w:snapToGrid/>
        <w:spacing w:line="560" w:lineRule="exact"/>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keepNext w:val="0"/>
        <w:keepLines w:val="0"/>
        <w:pageBreakBefore w:val="0"/>
        <w:kinsoku/>
        <w:wordWrap/>
        <w:overflowPunct/>
        <w:topLinePunct w:val="0"/>
        <w:bidi w:val="0"/>
        <w:snapToGrid/>
        <w:spacing w:line="560" w:lineRule="exact"/>
        <w:ind w:firstLine="800" w:firstLineChars="25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“三公”经费财政拨款支出预算为15.00万元，支出决算为0.20万元，完成预算的1.33%，其中：</w:t>
      </w:r>
    </w:p>
    <w:p>
      <w:pPr>
        <w:pStyle w:val="11"/>
        <w:keepNext w:val="0"/>
        <w:keepLines w:val="0"/>
        <w:pageBreakBefore w:val="0"/>
        <w:kinsoku/>
        <w:wordWrap/>
        <w:overflowPunct/>
        <w:topLinePunct w:val="0"/>
        <w:bidi w:val="0"/>
        <w:snapToGrid/>
        <w:spacing w:line="560" w:lineRule="exact"/>
        <w:ind w:firstLine="960" w:firstLineChars="300"/>
        <w:textAlignment w:val="auto"/>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1"/>
        <w:keepNext w:val="0"/>
        <w:keepLines w:val="0"/>
        <w:pageBreakBefore w:val="0"/>
        <w:kinsoku/>
        <w:wordWrap/>
        <w:overflowPunct/>
        <w:topLinePunct w:val="0"/>
        <w:bidi w:val="0"/>
        <w:snapToGrid/>
        <w:spacing w:line="560" w:lineRule="exact"/>
        <w:ind w:firstLine="800" w:firstLineChars="25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公务接待费支出预算为15.00万元，支出决算为0.20万元，完成预算的1.33%，决算数小于预算数的主要原因是单位厉行节约，与上年相比减少14.80万元，减少98.67%,减少的主要原因是单位厉行节约。</w:t>
      </w:r>
    </w:p>
    <w:p>
      <w:pPr>
        <w:keepNext w:val="0"/>
        <w:keepLines w:val="0"/>
        <w:pageBreakBefore w:val="0"/>
        <w:numPr>
          <w:ilvl w:val="0"/>
          <w:numId w:val="0"/>
        </w:numPr>
        <w:kinsoku/>
        <w:wordWrap/>
        <w:overflowPunct/>
        <w:topLinePunct w:val="0"/>
        <w:bidi w:val="0"/>
        <w:snapToGrid/>
        <w:spacing w:line="560" w:lineRule="exact"/>
        <w:ind w:leftChars="300"/>
        <w:textAlignment w:val="auto"/>
        <w:rPr>
          <w:rFonts w:hint="eastAsia" w:ascii="宋体" w:hAnsi="宋体" w:eastAsia="宋体"/>
          <w:bCs/>
          <w:sz w:val="32"/>
          <w:szCs w:val="32"/>
          <w:lang w:val="en-US" w:eastAsia="zh-CN"/>
        </w:rPr>
      </w:pPr>
      <w:r>
        <w:rPr>
          <w:rFonts w:hint="eastAsia" w:ascii="宋体" w:hAnsi="宋体" w:eastAsia="宋体"/>
          <w:bCs/>
          <w:sz w:val="32"/>
          <w:szCs w:val="32"/>
        </w:rPr>
        <w:t>公务用车购置费及运行维护费支出预算为0万元，支出决算为0万元，</w:t>
      </w:r>
      <w:r>
        <w:rPr>
          <w:rFonts w:hint="eastAsia" w:ascii="宋体" w:hAnsi="宋体" w:eastAsia="宋体"/>
          <w:bCs/>
          <w:sz w:val="32"/>
          <w:szCs w:val="32"/>
          <w:lang w:val="en-US" w:eastAsia="zh-CN"/>
        </w:rPr>
        <w:t>决</w:t>
      </w:r>
    </w:p>
    <w:p>
      <w:pPr>
        <w:keepNext w:val="0"/>
        <w:keepLines w:val="0"/>
        <w:pageBreakBefore w:val="0"/>
        <w:numPr>
          <w:ilvl w:val="0"/>
          <w:numId w:val="0"/>
        </w:numPr>
        <w:kinsoku/>
        <w:wordWrap/>
        <w:overflowPunct/>
        <w:topLinePunct w:val="0"/>
        <w:bidi w:val="0"/>
        <w:snapToGrid/>
        <w:spacing w:line="560" w:lineRule="exact"/>
        <w:textAlignment w:val="auto"/>
        <w:rPr>
          <w:rFonts w:hint="eastAsia" w:ascii="宋体" w:hAnsi="宋体" w:eastAsia="宋体"/>
          <w:bCs/>
          <w:sz w:val="32"/>
          <w:szCs w:val="32"/>
        </w:rPr>
      </w:pPr>
      <w:r>
        <w:rPr>
          <w:rFonts w:hint="eastAsia" w:ascii="宋体" w:hAnsi="宋体" w:eastAsia="宋体"/>
          <w:bCs/>
          <w:sz w:val="32"/>
          <w:szCs w:val="32"/>
          <w:lang w:val="en-US" w:eastAsia="zh-CN"/>
        </w:rPr>
        <w:t>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p>
    <w:p>
      <w:pPr>
        <w:pStyle w:val="11"/>
        <w:keepNext w:val="0"/>
        <w:keepLines w:val="0"/>
        <w:pageBreakBefore w:val="0"/>
        <w:kinsoku/>
        <w:wordWrap/>
        <w:overflowPunct/>
        <w:topLinePunct w:val="0"/>
        <w:bidi w:val="0"/>
        <w:snapToGrid/>
        <w:spacing w:line="560" w:lineRule="exact"/>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2020年度“三公”经费财政拨款支出决算中，公务接待费支出决算0.20万元，</w:t>
      </w:r>
      <w:r>
        <w:rPr>
          <w:rFonts w:hint="eastAsia" w:asciiTheme="minorEastAsia" w:hAnsiTheme="minorEastAsia" w:eastAsiaTheme="minorEastAsia"/>
          <w:sz w:val="32"/>
          <w:szCs w:val="32"/>
          <w:lang w:val="en-US" w:eastAsia="zh-CN"/>
        </w:rPr>
        <w:t>占100%，</w:t>
      </w:r>
      <w:r>
        <w:rPr>
          <w:rFonts w:hint="eastAsia" w:asciiTheme="minorEastAsia" w:hAnsiTheme="minorEastAsia" w:eastAsiaTheme="minorEastAsia"/>
          <w:sz w:val="32"/>
          <w:szCs w:val="32"/>
        </w:rPr>
        <w:t>因公出国（境）费支出决算0.00万元，占0.00%,公务用车购置费及运行维护费支出决算0.00万元，占0.00%。其中：</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2、公务接待费支出决算为0.20万元，全年共接待来访团组3个、来宾30人次，主要是岳阳市“金鹗杯”教学竞赛发生的接待支出。</w:t>
      </w:r>
    </w:p>
    <w:p>
      <w:pPr>
        <w:keepNext w:val="0"/>
        <w:keepLines w:val="0"/>
        <w:pageBreakBefore w:val="0"/>
        <w:kinsoku/>
        <w:wordWrap/>
        <w:overflowPunct/>
        <w:topLinePunct w:val="0"/>
        <w:bidi w:val="0"/>
        <w:snapToGrid/>
        <w:spacing w:line="560" w:lineRule="exact"/>
        <w:ind w:firstLine="640" w:firstLineChars="200"/>
        <w:textAlignment w:val="auto"/>
        <w:rPr>
          <w:rFonts w:cs="黑体" w:asciiTheme="minorEastAsia" w:hAnsiTheme="minorEastAsia"/>
          <w:color w:val="000000"/>
          <w:kern w:val="0"/>
          <w:sz w:val="32"/>
          <w:szCs w:val="32"/>
        </w:rPr>
      </w:pPr>
      <w:r>
        <w:rPr>
          <w:rFonts w:hint="eastAsia" w:asciiTheme="minorEastAsia" w:hAnsiTheme="minorEastAsia"/>
          <w:sz w:val="32"/>
          <w:szCs w:val="32"/>
        </w:rPr>
        <w:t>3、</w:t>
      </w:r>
      <w:r>
        <w:rPr>
          <w:rFonts w:hint="eastAsia" w:ascii="宋体" w:hAnsi="宋体"/>
          <w:sz w:val="32"/>
          <w:szCs w:val="32"/>
        </w:rPr>
        <w:t>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八、政府性基金预算收入支出决算情况</w:t>
      </w:r>
    </w:p>
    <w:p>
      <w:pPr>
        <w:pStyle w:val="11"/>
        <w:keepNext w:val="0"/>
        <w:keepLines w:val="0"/>
        <w:pageBreakBefore w:val="0"/>
        <w:kinsoku/>
        <w:wordWrap/>
        <w:overflowPunct/>
        <w:topLinePunct w:val="0"/>
        <w:bidi w:val="0"/>
        <w:snapToGrid/>
        <w:spacing w:line="560" w:lineRule="exact"/>
        <w:textAlignment w:val="auto"/>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iCs/>
          <w:color w:val="000000" w:themeColor="text1"/>
          <w:sz w:val="32"/>
          <w:szCs w:val="32"/>
        </w:rPr>
        <w:t>本单位无政府性基金收支</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九、国有资本经营预算财政拨款支出决算情况</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asciiTheme="minorEastAsia" w:hAnsiTheme="minorEastAsia" w:eastAsiaTheme="minorEastAsia"/>
          <w:sz w:val="32"/>
          <w:szCs w:val="32"/>
        </w:rPr>
        <w:t xml:space="preserve">    本单位无国有资本经营预算财政拨款支出</w:t>
      </w:r>
      <w:r>
        <w:rPr>
          <w:rFonts w:asciiTheme="minorEastAsia" w:hAnsiTheme="minorEastAsia" w:eastAsiaTheme="minorEastAsia"/>
          <w:sz w:val="32"/>
          <w:szCs w:val="32"/>
        </w:rPr>
        <w:t>。</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十、关于机关运行经费支出说明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十一、一般性支出情况</w:t>
      </w:r>
    </w:p>
    <w:p>
      <w:pPr>
        <w:pStyle w:val="11"/>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2020年本部门开支会议费0万元，召开会议0次，人数0人；</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开展培训0次，人数0人；</w:t>
      </w:r>
      <w:r>
        <w:rPr>
          <w:rFonts w:hint="eastAsia" w:asciiTheme="minorEastAsia" w:hAnsiTheme="minorEastAsia" w:eastAsiaTheme="minorEastAsia"/>
          <w:sz w:val="32"/>
          <w:szCs w:val="32"/>
        </w:rPr>
        <w:t>未举办节庆、晚会、论坛</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赛事</w:t>
      </w:r>
      <w:r>
        <w:rPr>
          <w:rFonts w:hint="eastAsia" w:asciiTheme="minorEastAsia" w:hAnsiTheme="minorEastAsia" w:eastAsiaTheme="minorEastAsia"/>
          <w:sz w:val="32"/>
          <w:szCs w:val="32"/>
        </w:rPr>
        <w:t>等活动，开支0万元。</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十二、关于政府采购支出说明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Theme="minorEastAsia" w:hAnsiTheme="minorEastAsia" w:eastAsiaTheme="minorEastAsia"/>
          <w:sz w:val="32"/>
          <w:szCs w:val="32"/>
        </w:rPr>
        <w:t>32.17</w:t>
      </w:r>
      <w:r>
        <w:rPr>
          <w:rFonts w:hint="eastAsia" w:ascii="宋体" w:hAnsi="宋体" w:eastAsia="宋体"/>
          <w:sz w:val="32"/>
          <w:szCs w:val="32"/>
        </w:rPr>
        <w:t>万元，</w:t>
      </w:r>
      <w:r>
        <w:rPr>
          <w:rFonts w:hint="eastAsia" w:asciiTheme="minorEastAsia" w:hAnsiTheme="minorEastAsia" w:eastAsiaTheme="minorEastAsia"/>
          <w:sz w:val="32"/>
          <w:szCs w:val="32"/>
        </w:rPr>
        <w:t>主要是建“沃教通”智慧校园。</w:t>
      </w:r>
      <w:r>
        <w:rPr>
          <w:rFonts w:hint="eastAsia" w:ascii="宋体" w:hAnsi="宋体" w:eastAsia="宋体"/>
          <w:sz w:val="32"/>
          <w:szCs w:val="32"/>
        </w:rPr>
        <w:t>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Theme="minorEastAsia" w:hAnsiTheme="minorEastAsia" w:eastAsiaTheme="minorEastAsia"/>
          <w:sz w:val="32"/>
          <w:szCs w:val="32"/>
        </w:rPr>
        <w:t>32.17</w:t>
      </w:r>
      <w:r>
        <w:rPr>
          <w:rFonts w:hint="eastAsia" w:ascii="宋体" w:hAnsi="宋体" w:eastAsia="宋体"/>
          <w:sz w:val="32"/>
          <w:szCs w:val="32"/>
        </w:rPr>
        <w:t>万元。授予中小企业合同金额</w:t>
      </w:r>
      <w:r>
        <w:rPr>
          <w:rFonts w:hint="eastAsia" w:asciiTheme="minorEastAsia" w:hAnsiTheme="minorEastAsia" w:eastAsiaTheme="minorEastAsia"/>
          <w:sz w:val="32"/>
          <w:szCs w:val="32"/>
        </w:rPr>
        <w:t>32.17</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100</w:t>
      </w:r>
      <w:r>
        <w:rPr>
          <w:rFonts w:hint="eastAsia" w:ascii="宋体" w:hAnsi="宋体" w:eastAsia="宋体"/>
          <w:sz w:val="32"/>
          <w:szCs w:val="32"/>
        </w:rPr>
        <w:t>%，其中：授予小微企业合同金额</w:t>
      </w:r>
      <w:r>
        <w:rPr>
          <w:rFonts w:hint="eastAsia" w:asciiTheme="minorEastAsia" w:hAnsiTheme="minorEastAsia" w:eastAsiaTheme="minorEastAsia"/>
          <w:sz w:val="32"/>
          <w:szCs w:val="32"/>
        </w:rPr>
        <w:t>32.17</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100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100</w:t>
      </w:r>
      <w:r>
        <w:rPr>
          <w:rFonts w:hint="eastAsia" w:ascii="宋体" w:hAnsi="宋体" w:eastAsia="宋体"/>
          <w:sz w:val="32"/>
          <w:szCs w:val="32"/>
        </w:rPr>
        <w:t>%。</w:t>
      </w: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十三、关于国有资产占用情况说明</w:t>
      </w:r>
    </w:p>
    <w:p>
      <w:pPr>
        <w:keepNext w:val="0"/>
        <w:keepLines w:val="0"/>
        <w:pageBreakBefore w:val="0"/>
        <w:widowControl/>
        <w:shd w:val="clear" w:color="auto" w:fill="FFFFFF"/>
        <w:kinsoku/>
        <w:wordWrap/>
        <w:overflowPunct/>
        <w:topLinePunct w:val="0"/>
        <w:bidi w:val="0"/>
        <w:snapToGrid/>
        <w:spacing w:line="560" w:lineRule="exact"/>
        <w:ind w:firstLine="640"/>
        <w:jc w:val="left"/>
        <w:textAlignment w:val="auto"/>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1"/>
        <w:keepNext w:val="0"/>
        <w:keepLines w:val="0"/>
        <w:pageBreakBefore w:val="0"/>
        <w:numPr>
          <w:ilvl w:val="0"/>
          <w:numId w:val="0"/>
        </w:numPr>
        <w:kinsoku/>
        <w:wordWrap/>
        <w:overflowPunct/>
        <w:topLinePunct w:val="0"/>
        <w:bidi w:val="0"/>
        <w:snapToGrid/>
        <w:spacing w:line="560" w:lineRule="exact"/>
        <w:ind w:leftChars="300"/>
        <w:textAlignment w:val="auto"/>
        <w:rPr>
          <w:rFonts w:hint="eastAsia" w:ascii="宋体" w:hAnsi="宋体"/>
          <w:color w:val="000000"/>
          <w:kern w:val="0"/>
          <w:sz w:val="32"/>
          <w:highlight w:val="white"/>
          <w:lang w:val="en-US" w:eastAsia="zh-CN"/>
        </w:rPr>
      </w:pPr>
    </w:p>
    <w:p>
      <w:pPr>
        <w:pStyle w:val="11"/>
        <w:keepNext w:val="0"/>
        <w:keepLines w:val="0"/>
        <w:pageBreakBefore w:val="0"/>
        <w:kinsoku/>
        <w:wordWrap/>
        <w:overflowPunct/>
        <w:topLinePunct w:val="0"/>
        <w:bidi w:val="0"/>
        <w:snapToGrid/>
        <w:spacing w:line="560" w:lineRule="exact"/>
        <w:textAlignment w:val="auto"/>
        <w:rPr>
          <w:rFonts w:hAnsi="黑体"/>
          <w:b/>
          <w:sz w:val="32"/>
          <w:szCs w:val="32"/>
        </w:rPr>
      </w:pPr>
      <w:r>
        <w:rPr>
          <w:rFonts w:hint="eastAsia" w:hAnsi="黑体"/>
          <w:b/>
          <w:sz w:val="32"/>
          <w:szCs w:val="32"/>
        </w:rPr>
        <w:t>十四、关于2020年度预算绩效情况的说明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default" w:hAnsi="黑体"/>
          <w:b/>
          <w:sz w:val="32"/>
          <w:szCs w:val="32"/>
          <w:lang w:val="en-US"/>
        </w:rPr>
      </w:pPr>
      <w:r>
        <w:rPr>
          <w:rFonts w:hint="eastAsia" w:ascii="宋体" w:hAnsi="宋体" w:eastAsia="宋体" w:cs="黑体"/>
          <w:color w:val="000000"/>
          <w:kern w:val="0"/>
          <w:sz w:val="32"/>
          <w:szCs w:val="32"/>
          <w:lang w:val="en-US" w:eastAsia="zh-CN" w:bidi="ar-SA"/>
        </w:rPr>
        <w:t>2020年，本部门紧紧围绕市教体局的中心工作，预期绩效目标全部完成。详情见第五部分附件。</w:t>
      </w:r>
    </w:p>
    <w:p>
      <w:pPr>
        <w:pStyle w:val="11"/>
        <w:keepNext w:val="0"/>
        <w:keepLines w:val="0"/>
        <w:pageBreakBefore w:val="0"/>
        <w:kinsoku/>
        <w:wordWrap/>
        <w:overflowPunct/>
        <w:topLinePunct w:val="0"/>
        <w:bidi w:val="0"/>
        <w:snapToGrid/>
        <w:spacing w:line="560" w:lineRule="exact"/>
        <w:textAlignment w:val="auto"/>
        <w:rPr>
          <w:rFonts w:asciiTheme="minorEastAsia" w:hAnsiTheme="minorEastAsia" w:eastAsiaTheme="minorEastAsia"/>
          <w:sz w:val="32"/>
          <w:szCs w:val="3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keepNext w:val="0"/>
        <w:keepLines w:val="0"/>
        <w:pageBreakBefore w:val="0"/>
        <w:kinsoku/>
        <w:wordWrap/>
        <w:overflowPunct/>
        <w:topLinePunct w:val="0"/>
        <w:bidi w:val="0"/>
        <w:snapToGrid/>
        <w:spacing w:line="560" w:lineRule="exact"/>
        <w:jc w:val="center"/>
        <w:textAlignment w:val="auto"/>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ind w:firstLine="640" w:firstLineChars="200"/>
        <w:jc w:val="left"/>
        <w:rPr>
          <w:rFonts w:ascii="仿宋_GB2312" w:hAnsi="仿宋_GB2312" w:eastAsia="仿宋_GB2312" w:cs="仿宋_GB2312"/>
          <w:color w:val="000000"/>
          <w:sz w:val="32"/>
          <w:szCs w:val="32"/>
        </w:rPr>
      </w:pPr>
      <w:r>
        <w:rPr>
          <w:rFonts w:hint="eastAsia" w:cs="黑体" w:asciiTheme="minorEastAsia" w:hAnsiTheme="minorEastAsia"/>
          <w:color w:val="000000"/>
          <w:kern w:val="0"/>
          <w:sz w:val="32"/>
          <w:szCs w:val="32"/>
        </w:rPr>
        <w:t>一、机</w:t>
      </w:r>
      <w:r>
        <w:rPr>
          <w:rFonts w:hint="eastAsia" w:ascii="仿宋_GB2312" w:hAnsi="仿宋_GB2312" w:eastAsia="仿宋_GB2312" w:cs="仿宋_GB2312"/>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三、财政拨款收入：指本级财政当年拨付的资金。</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五、国有资本经营预算：国家以所有者身份对国有资本实行存量调整和增量分配而发生的各项收支预算，是政府预算的重要组成部分。</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六、教育支出（类）：是指用于政府教育事务支出，包括保障机构正常运转、完成日常和特定的工作任务或事业发展目标的支出。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八、医疗卫生与计划生育支出（类）：是指用于医疗卫生与计划生育方面的支出，包括保障机构正常运转、完成日常和特定的工作任务或事业发展目标的支出。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九、住房保障支出（类）：是指用于住房方面的支出，包括保障机构正常运转、完成日常和特定的工作任务或事业发展目标的支出。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十、基本支出：指保障机构正常运转、完成支日常工作任务而发生的人员支出和公用支出。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十一、项目支出：指在基本支出之外为完成特定行政任务和事业发展目标所发生的支出。</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3"/>
        <w:spacing w:before="0"/>
        <w:ind w:left="740"/>
        <w:jc w:val="both"/>
        <w:rPr>
          <w:rFonts w:hint="eastAsia"/>
          <w:lang w:eastAsia="zh-CN"/>
        </w:rPr>
      </w:pPr>
    </w:p>
    <w:p>
      <w:pPr>
        <w:pStyle w:val="3"/>
        <w:spacing w:line="357" w:lineRule="auto"/>
        <w:ind w:right="197"/>
        <w:jc w:val="both"/>
        <w:rPr>
          <w:rFonts w:asciiTheme="minorEastAsia" w:hAnsiTheme="minorEastAsia" w:eastAsiaTheme="minorEastAsia"/>
        </w:rPr>
      </w:pPr>
    </w:p>
    <w:p>
      <w:pPr>
        <w:pStyle w:val="3"/>
        <w:spacing w:before="0"/>
        <w:ind w:left="740"/>
        <w:jc w:val="both"/>
        <w:rPr>
          <w:rFonts w:hint="eastAsia"/>
          <w:lang w:eastAsia="zh-CN"/>
        </w:rPr>
        <w:sectPr>
          <w:pgSz w:w="11910" w:h="16840"/>
          <w:pgMar w:top="780" w:right="460" w:bottom="280" w:left="620" w:header="720" w:footer="720" w:gutter="0"/>
          <w:cols w:space="720" w:num="1"/>
        </w:sectPr>
      </w:pPr>
    </w:p>
    <w:p>
      <w:pPr>
        <w:pStyle w:val="11"/>
        <w:rPr>
          <w:sz w:val="72"/>
          <w:szCs w:val="72"/>
        </w:rPr>
      </w:pPr>
    </w:p>
    <w:p>
      <w:pPr>
        <w:pStyle w:val="11"/>
        <w:jc w:val="center"/>
        <w:rPr>
          <w:sz w:val="72"/>
          <w:szCs w:val="72"/>
        </w:rPr>
      </w:pPr>
    </w:p>
    <w:p>
      <w:pPr>
        <w:pStyle w:val="11"/>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p>
    <w:p>
      <w:pPr>
        <w:adjustRightInd w:val="0"/>
        <w:snapToGrid w:val="0"/>
        <w:spacing w:line="62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（一）部门（单位）概况</w:t>
      </w:r>
    </w:p>
    <w:p>
      <w:pPr>
        <w:adjustRightInd w:val="0"/>
        <w:snapToGrid w:val="0"/>
        <w:spacing w:line="620" w:lineRule="exact"/>
        <w:ind w:firstLine="640" w:firstLineChars="200"/>
        <w:rPr>
          <w:rFonts w:ascii="仿宋_GB2312" w:eastAsia="仿宋_GB2312"/>
          <w:bCs/>
          <w:sz w:val="32"/>
          <w:szCs w:val="32"/>
        </w:rPr>
      </w:pPr>
      <w:r>
        <w:rPr>
          <w:rFonts w:hint="eastAsia" w:ascii="仿宋_GB2312" w:eastAsia="仿宋_GB2312"/>
          <w:bCs/>
          <w:sz w:val="32"/>
          <w:szCs w:val="32"/>
        </w:rPr>
        <w:t>我校是2017年9月由原鹰山中学、原巴陵中学、岳纺学校初中部合并组建而成，是一所由财政全额拨款义务教育初级中学。学校主管部门是岳阳市教体局。学校年末在编在职156人，退休101人，初中学生人数2015人。</w:t>
      </w:r>
    </w:p>
    <w:p>
      <w:pPr>
        <w:numPr>
          <w:ilvl w:val="0"/>
          <w:numId w:val="3"/>
        </w:numPr>
        <w:adjustRightInd w:val="0"/>
        <w:snapToGrid w:val="0"/>
        <w:spacing w:line="62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部门（单位）收入支出预算执行用情况</w:t>
      </w:r>
    </w:p>
    <w:p>
      <w:pPr>
        <w:pStyle w:val="11"/>
        <w:rPr>
          <w:rFonts w:ascii="仿宋" w:hAnsi="仿宋" w:eastAsia="仿宋" w:cs="仿宋"/>
          <w:b/>
          <w:sz w:val="32"/>
          <w:szCs w:val="32"/>
        </w:rPr>
      </w:pPr>
      <w:r>
        <w:rPr>
          <w:rFonts w:hint="eastAsia" w:ascii="仿宋" w:hAnsi="仿宋" w:eastAsia="仿宋" w:cs="仿宋"/>
          <w:b/>
          <w:sz w:val="32"/>
          <w:szCs w:val="32"/>
        </w:rPr>
        <w:t>1、收入支出决算总体情况说明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2020年度本年收入2879.96万元，上年结转130.37万元，合计3010.33万元，与上年相比，增加74.55万元，增加2.54%，主要原因是：往来款项在2020年列收支核算；人员减少，人员经费减少；年终绩效未纳入财政年初预算。</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2020年度总支出3000.33万元，增加194.91万元，增加6.95%，主要原因是：2019年两免一补费用下拨较晚，留于2020年使用；往来款项在2020年度列收支核算；年终绩效未纳入财政年初预算。</w:t>
      </w:r>
    </w:p>
    <w:p>
      <w:pPr>
        <w:pStyle w:val="11"/>
        <w:rPr>
          <w:rFonts w:ascii="仿宋" w:hAnsi="仿宋" w:eastAsia="仿宋" w:cs="仿宋"/>
          <w:b/>
          <w:sz w:val="32"/>
          <w:szCs w:val="32"/>
        </w:rPr>
      </w:pPr>
      <w:r>
        <w:rPr>
          <w:rFonts w:hint="eastAsia" w:ascii="仿宋" w:hAnsi="仿宋" w:eastAsia="仿宋" w:cs="仿宋"/>
          <w:b/>
          <w:sz w:val="32"/>
          <w:szCs w:val="32"/>
        </w:rPr>
        <w:t>2、收入决算情况说明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本年收入合计2879.96万元，其中：财政拨款收入2733.05万元，占94.90%；上级补助收入0.00万元，占0.00%；事业收入0.78万元，占0.03%；经营收入0.00万元，占0.00%；附属单位上缴收入0.00万元，占0.00%；其他收入146.13万元，占5.07%。</w:t>
      </w:r>
    </w:p>
    <w:p>
      <w:pPr>
        <w:pStyle w:val="11"/>
        <w:rPr>
          <w:rFonts w:ascii="仿宋" w:hAnsi="仿宋" w:eastAsia="仿宋" w:cs="仿宋"/>
          <w:b/>
          <w:sz w:val="32"/>
          <w:szCs w:val="32"/>
        </w:rPr>
      </w:pPr>
      <w:r>
        <w:rPr>
          <w:rFonts w:hint="eastAsia" w:ascii="仿宋" w:hAnsi="仿宋" w:eastAsia="仿宋" w:cs="仿宋"/>
          <w:b/>
          <w:sz w:val="32"/>
          <w:szCs w:val="32"/>
        </w:rPr>
        <w:t>3、支出决算情况说明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本年支出合计3000.33万元，其中：基本支出2747.08万元，占91.56%；项目支出253.25万元，占8.44%；上缴上级支出0.00万元，占X0.00%；经营支出0.00万元，占0.00%；对附属单位补助支出0.00万元，占0.00%。</w:t>
      </w:r>
    </w:p>
    <w:p>
      <w:pPr>
        <w:pStyle w:val="11"/>
        <w:rPr>
          <w:rFonts w:ascii="仿宋" w:hAnsi="仿宋" w:eastAsia="仿宋" w:cs="仿宋"/>
          <w:b/>
          <w:sz w:val="32"/>
          <w:szCs w:val="32"/>
        </w:rPr>
      </w:pPr>
      <w:r>
        <w:rPr>
          <w:rFonts w:hint="eastAsia" w:ascii="仿宋" w:hAnsi="仿宋" w:eastAsia="仿宋" w:cs="仿宋"/>
          <w:b/>
          <w:sz w:val="32"/>
          <w:szCs w:val="32"/>
        </w:rPr>
        <w:t>4、“三公”经费财政拨款支出决算总体情况说明</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“三公”经费财政拨款支出预算为32.40万元，支出决算为0.20万元，完成预算的0.62%，其中：</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因公出国（境）费支出预算为0.00万元，支出决算为0.00万元。</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公务接待费支出预算为15.00万元，支出决算为0.20万元，完成预算的1.33%，决算数小于预算数的主要原因是单位厉行节约，与上年相比减少14.80万元，减少98.67%,减少的主要原因是单位厉行节约。</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公务用车购置费及运行维护费支出预算为0.00万元，支出决算为0.00万元。</w:t>
      </w:r>
    </w:p>
    <w:p>
      <w:pPr>
        <w:adjustRightInd w:val="0"/>
        <w:snapToGrid w:val="0"/>
        <w:spacing w:line="62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（三）部门（单位）专项组织实施情况</w:t>
      </w:r>
    </w:p>
    <w:p>
      <w:pPr>
        <w:adjustRightInd w:val="0"/>
        <w:snapToGrid w:val="0"/>
        <w:spacing w:line="620" w:lineRule="exact"/>
        <w:ind w:firstLine="640" w:firstLineChars="200"/>
        <w:rPr>
          <w:rFonts w:ascii="仿宋_GB2312" w:eastAsia="仿宋_GB2312"/>
          <w:bCs/>
          <w:sz w:val="32"/>
          <w:szCs w:val="32"/>
        </w:rPr>
      </w:pPr>
      <w:r>
        <w:rPr>
          <w:rFonts w:hint="eastAsia" w:ascii="仿宋_GB2312" w:eastAsia="仿宋_GB2312"/>
          <w:bCs/>
          <w:sz w:val="32"/>
          <w:szCs w:val="32"/>
        </w:rPr>
        <w:t>1、学校成立了财务管理、资产管理、物资采购等领导小组，制定财务管理、物资采购等制度。</w:t>
      </w:r>
    </w:p>
    <w:p>
      <w:pPr>
        <w:adjustRightInd w:val="0"/>
        <w:snapToGrid w:val="0"/>
        <w:spacing w:line="620" w:lineRule="exact"/>
        <w:ind w:firstLine="640" w:firstLineChars="200"/>
        <w:rPr>
          <w:rFonts w:ascii="仿宋_GB2312" w:eastAsia="仿宋_GB2312"/>
          <w:bCs/>
          <w:sz w:val="32"/>
          <w:szCs w:val="32"/>
        </w:rPr>
      </w:pPr>
      <w:r>
        <w:rPr>
          <w:rFonts w:hint="eastAsia" w:ascii="仿宋_GB2312" w:eastAsia="仿宋_GB2312"/>
          <w:bCs/>
          <w:sz w:val="32"/>
          <w:szCs w:val="32"/>
        </w:rPr>
        <w:t>2、严格财经纪律，加大资金管理力度。</w:t>
      </w:r>
    </w:p>
    <w:p>
      <w:pPr>
        <w:adjustRightInd w:val="0"/>
        <w:snapToGrid w:val="0"/>
        <w:spacing w:line="620" w:lineRule="exact"/>
        <w:ind w:firstLine="640" w:firstLineChars="200"/>
        <w:rPr>
          <w:rFonts w:ascii="仿宋_GB2312" w:eastAsia="仿宋_GB2312"/>
          <w:bCs/>
          <w:sz w:val="32"/>
          <w:szCs w:val="32"/>
        </w:rPr>
      </w:pPr>
      <w:r>
        <w:rPr>
          <w:rFonts w:hint="eastAsia" w:ascii="仿宋_GB2312" w:eastAsia="仿宋_GB2312"/>
          <w:bCs/>
          <w:sz w:val="32"/>
          <w:szCs w:val="32"/>
        </w:rPr>
        <w:t>3、对专款进行绩效目标跟踪管理，杜绝专款挪用现象。</w:t>
      </w:r>
    </w:p>
    <w:p>
      <w:pPr>
        <w:adjustRightInd w:val="0"/>
        <w:snapToGrid w:val="0"/>
        <w:spacing w:line="62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（四）部门（单位）整体支出绩效情况</w:t>
      </w:r>
    </w:p>
    <w:p>
      <w:pPr>
        <w:adjustRightInd w:val="0"/>
        <w:snapToGrid w:val="0"/>
        <w:spacing w:line="620" w:lineRule="exact"/>
        <w:ind w:firstLine="640" w:firstLineChars="200"/>
        <w:rPr>
          <w:rFonts w:eastAsia="仿宋_GB2312"/>
          <w:bCs/>
          <w:sz w:val="32"/>
          <w:szCs w:val="32"/>
        </w:rPr>
      </w:pPr>
      <w:r>
        <w:rPr>
          <w:rFonts w:hint="eastAsia" w:eastAsia="仿宋_GB2312"/>
          <w:bCs/>
          <w:sz w:val="32"/>
          <w:szCs w:val="32"/>
        </w:rPr>
        <w:t>在我校全校师生共同努力下，，按质按量完成年初预定目标，单位总体运行情况良好。</w:t>
      </w:r>
    </w:p>
    <w:p>
      <w:pPr>
        <w:spacing w:line="620" w:lineRule="exact"/>
        <w:rPr>
          <w:rFonts w:eastAsia="仿宋_GB2312"/>
          <w:bCs/>
          <w:sz w:val="32"/>
          <w:szCs w:val="32"/>
        </w:rPr>
      </w:pPr>
    </w:p>
    <w:tbl>
      <w:tblPr>
        <w:tblStyle w:val="7"/>
        <w:tblW w:w="9705" w:type="dxa"/>
        <w:tblInd w:w="93" w:type="dxa"/>
        <w:tblLayout w:type="autofit"/>
        <w:tblCellMar>
          <w:top w:w="0" w:type="dxa"/>
          <w:left w:w="108" w:type="dxa"/>
          <w:bottom w:w="0" w:type="dxa"/>
          <w:right w:w="108" w:type="dxa"/>
        </w:tblCellMar>
      </w:tblPr>
      <w:tblGrid>
        <w:gridCol w:w="840"/>
        <w:gridCol w:w="1590"/>
        <w:gridCol w:w="1755"/>
        <w:gridCol w:w="1755"/>
        <w:gridCol w:w="1635"/>
        <w:gridCol w:w="615"/>
        <w:gridCol w:w="1515"/>
      </w:tblGrid>
      <w:tr>
        <w:tblPrEx>
          <w:tblCellMar>
            <w:top w:w="0" w:type="dxa"/>
            <w:left w:w="108" w:type="dxa"/>
            <w:bottom w:w="0" w:type="dxa"/>
            <w:right w:w="108" w:type="dxa"/>
          </w:tblCellMar>
        </w:tblPrEx>
        <w:trPr>
          <w:trHeight w:val="799"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000000"/>
                <w:kern w:val="0"/>
                <w:sz w:val="44"/>
                <w:szCs w:val="44"/>
              </w:rPr>
            </w:pPr>
          </w:p>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rPr>
              <w:t>部门（单位）整体支出预算绩效目标申报表</w:t>
            </w:r>
          </w:p>
        </w:tc>
      </w:tr>
      <w:tr>
        <w:tblPrEx>
          <w:tblCellMar>
            <w:top w:w="0" w:type="dxa"/>
            <w:left w:w="108" w:type="dxa"/>
            <w:bottom w:w="0" w:type="dxa"/>
            <w:right w:w="108" w:type="dxa"/>
          </w:tblCellMar>
        </w:tblPrEx>
        <w:trPr>
          <w:trHeight w:val="405"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仿宋_GB2312" w:hAnsi="宋体" w:eastAsia="仿宋_GB2312" w:cs="仿宋_GB2312"/>
                <w:b/>
                <w:bCs/>
                <w:color w:val="000000"/>
                <w:sz w:val="32"/>
                <w:szCs w:val="32"/>
              </w:rPr>
            </w:pPr>
            <w:r>
              <w:rPr>
                <w:rFonts w:ascii="仿宋_GB2312" w:hAnsi="宋体" w:eastAsia="仿宋_GB2312" w:cs="仿宋_GB2312"/>
                <w:b/>
                <w:bCs/>
                <w:color w:val="000000"/>
                <w:kern w:val="0"/>
                <w:sz w:val="32"/>
                <w:szCs w:val="32"/>
              </w:rPr>
              <w:t>（20</w:t>
            </w:r>
            <w:r>
              <w:rPr>
                <w:rStyle w:val="14"/>
                <w:rFonts w:hAnsi="宋体"/>
              </w:rPr>
              <w:t xml:space="preserve"> 20  </w:t>
            </w:r>
            <w:r>
              <w:rPr>
                <w:rStyle w:val="15"/>
                <w:rFonts w:hAnsi="宋体"/>
              </w:rPr>
              <w:t>年度）</w:t>
            </w:r>
          </w:p>
        </w:tc>
      </w:tr>
      <w:tr>
        <w:tblPrEx>
          <w:tblCellMar>
            <w:top w:w="0" w:type="dxa"/>
            <w:left w:w="108" w:type="dxa"/>
            <w:bottom w:w="0" w:type="dxa"/>
            <w:right w:w="108" w:type="dxa"/>
          </w:tblCellMar>
        </w:tblPrEx>
        <w:trPr>
          <w:trHeight w:val="402" w:hRule="atLeast"/>
        </w:trPr>
        <w:tc>
          <w:tcPr>
            <w:tcW w:w="5940" w:type="dxa"/>
            <w:gridSpan w:val="4"/>
            <w:tcBorders>
              <w:top w:val="nil"/>
              <w:left w:val="nil"/>
              <w:bottom w:val="single" w:color="000000" w:sz="4" w:space="0"/>
              <w:right w:val="nil"/>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填报单位（盖章）：岳阳市第十八中学</w:t>
            </w:r>
          </w:p>
        </w:tc>
        <w:tc>
          <w:tcPr>
            <w:tcW w:w="3765" w:type="dxa"/>
            <w:gridSpan w:val="3"/>
            <w:tcBorders>
              <w:top w:val="nil"/>
              <w:left w:val="nil"/>
              <w:bottom w:val="single" w:color="000000" w:sz="4" w:space="0"/>
              <w:right w:val="nil"/>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单位负责人：宋卓辉</w:t>
            </w:r>
          </w:p>
        </w:tc>
      </w:tr>
      <w:tr>
        <w:tblPrEx>
          <w:tblCellMar>
            <w:top w:w="0" w:type="dxa"/>
            <w:left w:w="108" w:type="dxa"/>
            <w:bottom w:w="0" w:type="dxa"/>
            <w:right w:w="108" w:type="dxa"/>
          </w:tblCellMar>
        </w:tblPrEx>
        <w:trPr>
          <w:trHeight w:val="499"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部门基本信息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预算单位</w:t>
            </w:r>
          </w:p>
        </w:tc>
        <w:tc>
          <w:tcPr>
            <w:tcW w:w="7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岳阳市第十八中学</w:t>
            </w:r>
          </w:p>
        </w:tc>
      </w:tr>
      <w:tr>
        <w:tblPrEx>
          <w:tblCellMar>
            <w:top w:w="0" w:type="dxa"/>
            <w:left w:w="108" w:type="dxa"/>
            <w:bottom w:w="0" w:type="dxa"/>
            <w:right w:w="108" w:type="dxa"/>
          </w:tblCellMar>
        </w:tblPrEx>
        <w:trPr>
          <w:trHeight w:val="6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绩效管理</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联络员</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刘郁芳</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联系电话</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7308536873</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人员编制数</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实有人数</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157</w:t>
            </w:r>
          </w:p>
        </w:tc>
      </w:tr>
      <w:tr>
        <w:tblPrEx>
          <w:tblCellMar>
            <w:top w:w="0" w:type="dxa"/>
            <w:left w:w="108" w:type="dxa"/>
            <w:bottom w:w="0" w:type="dxa"/>
            <w:right w:w="108" w:type="dxa"/>
          </w:tblCellMar>
        </w:tblPrEx>
        <w:trPr>
          <w:trHeight w:val="19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部门职能</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职责概述</w:t>
            </w:r>
          </w:p>
        </w:tc>
        <w:tc>
          <w:tcPr>
            <w:tcW w:w="7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实施初中义务教育，促进基础教育发展，提供相关社会服务</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8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单位年度收入预算（万元）</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收入合计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公共财政拨款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政府性基金拨款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非税收入拨款</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其他拨款</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1942.26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1930.26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eastAsia="仿宋_GB2312" w:cs="仿宋_GB2312"/>
                <w:color w:val="000000"/>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12</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8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单位年度支出预算（万元）</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支出合计</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基本支出</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项目支出</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1942.26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1920.66</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21.6</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其中</w:t>
            </w:r>
          </w:p>
        </w:tc>
        <w:tc>
          <w:tcPr>
            <w:tcW w:w="7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三公经费预算（万元）</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合计</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公务用车运行和购置费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因公出国（境）费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公务接待费</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32.4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20.4</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12</w:t>
            </w:r>
          </w:p>
        </w:tc>
      </w:tr>
      <w:tr>
        <w:tblPrEx>
          <w:tblCellMar>
            <w:top w:w="0" w:type="dxa"/>
            <w:left w:w="108" w:type="dxa"/>
            <w:bottom w:w="0" w:type="dxa"/>
            <w:right w:w="108" w:type="dxa"/>
          </w:tblCellMar>
        </w:tblPrEx>
        <w:trPr>
          <w:trHeight w:val="3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hint="eastAsia" w:ascii="黑体" w:hAnsi="宋体" w:eastAsia="黑体" w:cs="黑体"/>
                <w:color w:val="000000"/>
                <w:kern w:val="0"/>
                <w:sz w:val="24"/>
                <w:szCs w:val="24"/>
                <w:lang w:eastAsia="zh-CN"/>
              </w:rPr>
            </w:pPr>
            <w:r>
              <w:rPr>
                <w:rFonts w:hint="eastAsia" w:ascii="黑体" w:hAnsi="宋体" w:eastAsia="黑体" w:cs="黑体"/>
                <w:color w:val="000000"/>
                <w:kern w:val="0"/>
                <w:sz w:val="24"/>
                <w:szCs w:val="24"/>
              </w:rPr>
              <w:t>年度绩效目标</w:t>
            </w:r>
          </w:p>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部门整体支出</w:t>
            </w:r>
          </w:p>
        </w:tc>
        <w:tc>
          <w:tcPr>
            <w:tcW w:w="8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1、加强队伍建设，提升整体素质；2、以质量求生存，创名牌学校；3、抓好校务公开、促进党风廉政建设；4、把安全当作头等大事来抓，确保校园安全稳定；5、充分发挥群众团体监督作用，确保工作畅通。</w:t>
            </w:r>
          </w:p>
        </w:tc>
      </w:tr>
      <w:tr>
        <w:tblPrEx>
          <w:tblCellMar>
            <w:top w:w="0" w:type="dxa"/>
            <w:left w:w="108" w:type="dxa"/>
            <w:bottom w:w="0" w:type="dxa"/>
            <w:right w:w="108" w:type="dxa"/>
          </w:tblCellMar>
        </w:tblPrEx>
        <w:trPr>
          <w:trHeight w:val="499"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hint="eastAsia" w:ascii="黑体" w:hAnsi="宋体" w:eastAsia="黑体" w:cs="黑体"/>
                <w:color w:val="000000"/>
                <w:kern w:val="0"/>
                <w:sz w:val="24"/>
                <w:szCs w:val="24"/>
                <w:lang w:eastAsia="zh-CN"/>
              </w:rPr>
            </w:pPr>
            <w:r>
              <w:rPr>
                <w:rFonts w:hint="eastAsia" w:ascii="黑体" w:hAnsi="宋体" w:eastAsia="黑体" w:cs="黑体"/>
                <w:color w:val="000000"/>
                <w:kern w:val="0"/>
                <w:sz w:val="24"/>
                <w:szCs w:val="24"/>
              </w:rPr>
              <w:t>年度绩效指标</w:t>
            </w:r>
          </w:p>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部门整体支出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二级指标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三级指标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指标值</w:t>
            </w:r>
          </w:p>
        </w:tc>
      </w:tr>
      <w:tr>
        <w:tblPrEx>
          <w:tblCellMar>
            <w:top w:w="0" w:type="dxa"/>
            <w:left w:w="108" w:type="dxa"/>
            <w:bottom w:w="0" w:type="dxa"/>
            <w:right w:w="108" w:type="dxa"/>
          </w:tblCellMar>
        </w:tblPrEx>
        <w:trPr>
          <w:trHeight w:val="12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产出指标</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（预期提供的公共产品或服务，包括数量、质量、时效、成本等）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数量指标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1.年级部要落实推门听课制</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2.做到作业尽量布置全组统一</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1、每人每学期不能少于20节，听完课后及时与老师沟通了解教学现状及障碍，及时解决问题；2、每学期进行2次作业检查</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质量指标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1.初中升学率</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2.入学率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1.100%</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2.100%</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时效指标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各项重大活动按计划时间完成率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100%</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成本指标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部门整体支出</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≤1931.28万元</w:t>
            </w:r>
          </w:p>
        </w:tc>
      </w:tr>
      <w:tr>
        <w:tblPrEx>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二级指标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三级指标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rPr>
              <w:t>指标值</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效益指标</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（预期可能实现的效益，包括经济效益、社会效益、环境效益、可持续影响以及服务对象满意度等）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经济效益</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无</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无</w:t>
            </w:r>
          </w:p>
        </w:tc>
      </w:tr>
      <w:tr>
        <w:tblPrEx>
          <w:tblCellMar>
            <w:top w:w="0" w:type="dxa"/>
            <w:left w:w="108" w:type="dxa"/>
            <w:bottom w:w="0" w:type="dxa"/>
            <w:right w:w="108" w:type="dxa"/>
          </w:tblCellMar>
        </w:tblPrEx>
        <w:trPr>
          <w:trHeight w:val="340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社会效益</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1.在师生中强化安全意识，开展安全知识教育、安全技能训练，确保师生安全。</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2.认真讨论、精心组织本学期全校重大活动</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1、开展安全撤离演练10次，以备急时之需；2、开展消防演练6次，传授避灾技能。3、举办学雷锋活动、网上祭英烈活动等德育活动10次。</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环境效益</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改善学校办学条件</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校园维修改造工程按计划完成率100%</w:t>
            </w: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可持续影响</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1.创名牌学校</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r>
      <w:tr>
        <w:tblPrEx>
          <w:tblCellMar>
            <w:top w:w="0" w:type="dxa"/>
            <w:left w:w="108" w:type="dxa"/>
            <w:bottom w:w="0" w:type="dxa"/>
            <w:right w:w="108" w:type="dxa"/>
          </w:tblCellMar>
        </w:tblPrEx>
        <w:trPr>
          <w:trHeight w:val="7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黑体" w:hAnsi="宋体" w:eastAsia="黑体" w:cs="黑体"/>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服务对象满意度</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1.教职员工满意度</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2.家长、学生满意度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1.≥100%；</w:t>
            </w:r>
          </w:p>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2.≥100%。</w:t>
            </w:r>
          </w:p>
        </w:tc>
      </w:tr>
      <w:tr>
        <w:tblPrEx>
          <w:tblCellMar>
            <w:top w:w="0" w:type="dxa"/>
            <w:left w:w="108" w:type="dxa"/>
            <w:bottom w:w="0" w:type="dxa"/>
            <w:right w:w="108" w:type="dxa"/>
          </w:tblCellMar>
        </w:tblPrEx>
        <w:trPr>
          <w:trHeight w:val="30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hint="eastAsia" w:ascii="黑体" w:hAnsi="宋体" w:eastAsia="黑体" w:cs="黑体"/>
                <w:color w:val="000000"/>
                <w:kern w:val="0"/>
                <w:sz w:val="24"/>
                <w:szCs w:val="24"/>
                <w:lang w:eastAsia="zh-CN"/>
              </w:rPr>
            </w:pPr>
            <w:r>
              <w:rPr>
                <w:rFonts w:hint="eastAsia" w:ascii="黑体" w:hAnsi="宋体" w:eastAsia="黑体" w:cs="黑体"/>
                <w:color w:val="000000"/>
                <w:kern w:val="0"/>
                <w:sz w:val="24"/>
                <w:szCs w:val="24"/>
              </w:rPr>
              <w:t>问题</w:t>
            </w:r>
          </w:p>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其他说明的</w:t>
            </w:r>
          </w:p>
        </w:tc>
        <w:tc>
          <w:tcPr>
            <w:tcW w:w="8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1.</w:t>
            </w:r>
          </w:p>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2.</w:t>
            </w:r>
          </w:p>
          <w:p>
            <w:pPr>
              <w:widowControl/>
              <w:jc w:val="left"/>
              <w:textAlignment w:val="center"/>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3.</w:t>
            </w:r>
          </w:p>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w:t>
            </w:r>
          </w:p>
        </w:tc>
      </w:tr>
      <w:tr>
        <w:tblPrEx>
          <w:tblCellMar>
            <w:top w:w="0" w:type="dxa"/>
            <w:left w:w="108" w:type="dxa"/>
            <w:bottom w:w="0" w:type="dxa"/>
            <w:right w:w="108" w:type="dxa"/>
          </w:tblCellMar>
        </w:tblPrEx>
        <w:trPr>
          <w:trHeight w:val="2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hint="eastAsia" w:ascii="黑体" w:hAnsi="宋体" w:eastAsia="黑体" w:cs="黑体"/>
                <w:color w:val="000000"/>
                <w:kern w:val="0"/>
                <w:sz w:val="24"/>
                <w:szCs w:val="24"/>
                <w:lang w:eastAsia="zh-CN"/>
              </w:rPr>
            </w:pPr>
            <w:r>
              <w:rPr>
                <w:rFonts w:hint="eastAsia" w:ascii="黑体" w:hAnsi="宋体" w:eastAsia="黑体" w:cs="黑体"/>
                <w:color w:val="000000"/>
                <w:kern w:val="0"/>
                <w:sz w:val="24"/>
                <w:szCs w:val="24"/>
              </w:rPr>
              <w:t>审核意见</w:t>
            </w:r>
          </w:p>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财政部门</w:t>
            </w:r>
          </w:p>
        </w:tc>
        <w:tc>
          <w:tcPr>
            <w:tcW w:w="8865"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仿宋_GB2312" w:hAnsi="宋体" w:eastAsia="仿宋_GB2312" w:cs="仿宋_GB2312"/>
                <w:color w:val="000000"/>
                <w:kern w:val="0"/>
                <w:sz w:val="24"/>
                <w:szCs w:val="24"/>
                <w:lang w:eastAsia="zh-CN"/>
              </w:rPr>
            </w:pPr>
          </w:p>
          <w:p>
            <w:pPr>
              <w:widowControl/>
              <w:jc w:val="center"/>
              <w:textAlignment w:val="bottom"/>
              <w:rPr>
                <w:rFonts w:hint="eastAsia" w:ascii="仿宋_GB2312" w:hAnsi="宋体" w:eastAsia="仿宋_GB2312" w:cs="仿宋_GB2312"/>
                <w:color w:val="000000"/>
                <w:kern w:val="0"/>
                <w:sz w:val="24"/>
                <w:szCs w:val="24"/>
                <w:lang w:eastAsia="zh-CN"/>
              </w:rPr>
            </w:pPr>
          </w:p>
          <w:p>
            <w:pPr>
              <w:widowControl/>
              <w:jc w:val="center"/>
              <w:textAlignment w:val="bottom"/>
              <w:rPr>
                <w:rFonts w:hint="eastAsia" w:ascii="仿宋_GB2312" w:hAnsi="宋体" w:eastAsia="仿宋_GB2312" w:cs="仿宋_GB2312"/>
                <w:color w:val="000000"/>
                <w:kern w:val="0"/>
                <w:sz w:val="24"/>
                <w:szCs w:val="24"/>
                <w:lang w:eastAsia="zh-CN"/>
              </w:rPr>
            </w:pPr>
          </w:p>
          <w:p>
            <w:pPr>
              <w:widowControl/>
              <w:jc w:val="center"/>
              <w:textAlignment w:val="bottom"/>
              <w:rPr>
                <w:rFonts w:hint="eastAsia" w:ascii="仿宋_GB2312" w:hAnsi="宋体" w:eastAsia="仿宋_GB2312" w:cs="仿宋_GB2312"/>
                <w:color w:val="000000"/>
                <w:kern w:val="0"/>
                <w:sz w:val="24"/>
                <w:szCs w:val="24"/>
                <w:lang w:eastAsia="zh-CN"/>
              </w:rPr>
            </w:pPr>
            <w:r>
              <w:rPr>
                <w:rFonts w:ascii="仿宋_GB2312" w:hAnsi="宋体" w:eastAsia="仿宋_GB2312" w:cs="仿宋_GB2312"/>
                <w:color w:val="000000"/>
                <w:kern w:val="0"/>
                <w:sz w:val="24"/>
                <w:szCs w:val="24"/>
              </w:rPr>
              <w:t xml:space="preserve">                                （盖章）</w:t>
            </w:r>
          </w:p>
          <w:p>
            <w:pPr>
              <w:widowControl/>
              <w:jc w:val="center"/>
              <w:textAlignment w:val="bottom"/>
              <w:rPr>
                <w:rFonts w:hint="eastAsia" w:ascii="仿宋_GB2312" w:hAnsi="宋体" w:eastAsia="仿宋_GB2312" w:cs="仿宋_GB2312"/>
                <w:color w:val="000000"/>
                <w:kern w:val="0"/>
                <w:sz w:val="24"/>
                <w:szCs w:val="24"/>
                <w:lang w:eastAsia="zh-CN"/>
              </w:rPr>
            </w:pPr>
          </w:p>
          <w:p>
            <w:pPr>
              <w:widowControl/>
              <w:jc w:val="center"/>
              <w:textAlignment w:val="bottom"/>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年   月   日  </w:t>
            </w:r>
          </w:p>
        </w:tc>
      </w:tr>
    </w:tbl>
    <w:p>
      <w:pPr>
        <w:pStyle w:val="11"/>
        <w:rPr>
          <w:rFonts w:hAnsi="黑体"/>
          <w:b/>
          <w:sz w:val="32"/>
          <w:szCs w:val="32"/>
        </w:rPr>
      </w:pPr>
    </w:p>
    <w:p>
      <w:pPr>
        <w:spacing w:line="620" w:lineRule="exact"/>
        <w:rPr>
          <w:rFonts w:ascii="黑体" w:hAnsi="黑体" w:eastAsia="黑体" w:cs="黑体"/>
          <w:bCs/>
          <w:sz w:val="32"/>
          <w:szCs w:val="32"/>
        </w:rPr>
      </w:pPr>
    </w:p>
    <w:p>
      <w:pPr>
        <w:ind w:firstLine="640" w:firstLineChars="200"/>
        <w:jc w:val="left"/>
        <w:rPr>
          <w:rFonts w:cs="黑体" w:asciiTheme="minorEastAsia" w:hAnsiTheme="minorEastAsia"/>
          <w:color w:val="000000"/>
          <w:kern w:val="0"/>
          <w:sz w:val="32"/>
          <w:szCs w:val="32"/>
        </w:rPr>
      </w:pPr>
      <w:r>
        <w:rPr>
          <w:rFonts w:ascii="黑体" w:hAnsi="黑体" w:eastAsia="黑体" w:cs="黑体"/>
          <w:bCs/>
          <w:sz w:val="32"/>
          <w:szCs w:val="32"/>
        </w:rPr>
        <w:br w:type="page"/>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4E533"/>
    <w:multiLevelType w:val="singleLevel"/>
    <w:tmpl w:val="86C4E533"/>
    <w:lvl w:ilvl="0" w:tentative="0">
      <w:start w:val="1"/>
      <w:numFmt w:val="decimal"/>
      <w:suff w:val="nothing"/>
      <w:lvlText w:val="%1、"/>
      <w:lvlJc w:val="left"/>
    </w:lvl>
  </w:abstractNum>
  <w:abstractNum w:abstractNumId="1">
    <w:nsid w:val="3BC8F1E6"/>
    <w:multiLevelType w:val="singleLevel"/>
    <w:tmpl w:val="3BC8F1E6"/>
    <w:lvl w:ilvl="0" w:tentative="0">
      <w:start w:val="2"/>
      <w:numFmt w:val="chineseCounting"/>
      <w:suff w:val="nothing"/>
      <w:lvlText w:val="（%1）"/>
      <w:lvlJc w:val="left"/>
      <w:rPr>
        <w:rFonts w:hint="eastAsia"/>
      </w:rPr>
    </w:lvl>
  </w:abstractNum>
  <w:abstractNum w:abstractNumId="2">
    <w:nsid w:val="5583314C"/>
    <w:multiLevelType w:val="singleLevel"/>
    <w:tmpl w:val="5583314C"/>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77F51"/>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00290"/>
    <w:rsid w:val="0030268F"/>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4F4A51"/>
    <w:rsid w:val="00500E5F"/>
    <w:rsid w:val="005122EF"/>
    <w:rsid w:val="0051441A"/>
    <w:rsid w:val="00517C33"/>
    <w:rsid w:val="00523644"/>
    <w:rsid w:val="0054069E"/>
    <w:rsid w:val="00544866"/>
    <w:rsid w:val="005767CC"/>
    <w:rsid w:val="00590D9F"/>
    <w:rsid w:val="00595D26"/>
    <w:rsid w:val="005A74E6"/>
    <w:rsid w:val="005B404E"/>
    <w:rsid w:val="005B74B2"/>
    <w:rsid w:val="005C4A03"/>
    <w:rsid w:val="005D4D55"/>
    <w:rsid w:val="005E2CFB"/>
    <w:rsid w:val="005F3D1C"/>
    <w:rsid w:val="0062378F"/>
    <w:rsid w:val="00641842"/>
    <w:rsid w:val="00651EEC"/>
    <w:rsid w:val="00691E8C"/>
    <w:rsid w:val="006A22C4"/>
    <w:rsid w:val="006A351B"/>
    <w:rsid w:val="006B0422"/>
    <w:rsid w:val="006C1B53"/>
    <w:rsid w:val="006D4B11"/>
    <w:rsid w:val="006D7730"/>
    <w:rsid w:val="006E5284"/>
    <w:rsid w:val="006F3EB5"/>
    <w:rsid w:val="00702E34"/>
    <w:rsid w:val="00704395"/>
    <w:rsid w:val="00717006"/>
    <w:rsid w:val="00717621"/>
    <w:rsid w:val="00720FF1"/>
    <w:rsid w:val="00727A53"/>
    <w:rsid w:val="00770C9A"/>
    <w:rsid w:val="00787B42"/>
    <w:rsid w:val="007C4539"/>
    <w:rsid w:val="007F3657"/>
    <w:rsid w:val="008061B3"/>
    <w:rsid w:val="00812ED5"/>
    <w:rsid w:val="008277D9"/>
    <w:rsid w:val="0084478C"/>
    <w:rsid w:val="0086638C"/>
    <w:rsid w:val="008A3E8D"/>
    <w:rsid w:val="009237C4"/>
    <w:rsid w:val="00944C48"/>
    <w:rsid w:val="00950252"/>
    <w:rsid w:val="0096075C"/>
    <w:rsid w:val="00967F5D"/>
    <w:rsid w:val="009A0F95"/>
    <w:rsid w:val="009B3ADF"/>
    <w:rsid w:val="009C3B52"/>
    <w:rsid w:val="009E6817"/>
    <w:rsid w:val="009E6E9A"/>
    <w:rsid w:val="00A01D2B"/>
    <w:rsid w:val="00A42218"/>
    <w:rsid w:val="00A70249"/>
    <w:rsid w:val="00A70B02"/>
    <w:rsid w:val="00A71D9F"/>
    <w:rsid w:val="00A92E9F"/>
    <w:rsid w:val="00A97848"/>
    <w:rsid w:val="00B33BEA"/>
    <w:rsid w:val="00B57C9F"/>
    <w:rsid w:val="00B63572"/>
    <w:rsid w:val="00B845B3"/>
    <w:rsid w:val="00B85D8B"/>
    <w:rsid w:val="00BB4A40"/>
    <w:rsid w:val="00BD6C3E"/>
    <w:rsid w:val="00BE3674"/>
    <w:rsid w:val="00C10681"/>
    <w:rsid w:val="00C3049A"/>
    <w:rsid w:val="00C31B1E"/>
    <w:rsid w:val="00C34CE7"/>
    <w:rsid w:val="00C4255B"/>
    <w:rsid w:val="00C77645"/>
    <w:rsid w:val="00CE04C3"/>
    <w:rsid w:val="00CE76A0"/>
    <w:rsid w:val="00D00DE7"/>
    <w:rsid w:val="00D05F0E"/>
    <w:rsid w:val="00D148C6"/>
    <w:rsid w:val="00D17A8A"/>
    <w:rsid w:val="00D25B48"/>
    <w:rsid w:val="00D415BA"/>
    <w:rsid w:val="00D4469D"/>
    <w:rsid w:val="00D644EE"/>
    <w:rsid w:val="00D71F3C"/>
    <w:rsid w:val="00DD06FF"/>
    <w:rsid w:val="00DD5FE9"/>
    <w:rsid w:val="00E00C7A"/>
    <w:rsid w:val="00E2354A"/>
    <w:rsid w:val="00E37D6C"/>
    <w:rsid w:val="00E55B68"/>
    <w:rsid w:val="00E67BE6"/>
    <w:rsid w:val="00E8683C"/>
    <w:rsid w:val="00EA2B72"/>
    <w:rsid w:val="00F453DE"/>
    <w:rsid w:val="00F74360"/>
    <w:rsid w:val="00FB462F"/>
    <w:rsid w:val="00FE16FA"/>
    <w:rsid w:val="00FE328A"/>
    <w:rsid w:val="00FE6269"/>
    <w:rsid w:val="02DC6FD9"/>
    <w:rsid w:val="04987D78"/>
    <w:rsid w:val="050C5EA5"/>
    <w:rsid w:val="05493BEF"/>
    <w:rsid w:val="05687BED"/>
    <w:rsid w:val="06EE1190"/>
    <w:rsid w:val="07420A7B"/>
    <w:rsid w:val="089836C8"/>
    <w:rsid w:val="0B7714F2"/>
    <w:rsid w:val="0BB36233"/>
    <w:rsid w:val="0CF52392"/>
    <w:rsid w:val="0D1D5DA2"/>
    <w:rsid w:val="0E125AF5"/>
    <w:rsid w:val="0E54231D"/>
    <w:rsid w:val="0ED75C5A"/>
    <w:rsid w:val="0EDF02B7"/>
    <w:rsid w:val="0F3A221C"/>
    <w:rsid w:val="12A93141"/>
    <w:rsid w:val="13C77015"/>
    <w:rsid w:val="1435300A"/>
    <w:rsid w:val="1531030B"/>
    <w:rsid w:val="15B206BA"/>
    <w:rsid w:val="167378C0"/>
    <w:rsid w:val="17D80CE7"/>
    <w:rsid w:val="18491810"/>
    <w:rsid w:val="1873031A"/>
    <w:rsid w:val="18BD665D"/>
    <w:rsid w:val="18C80571"/>
    <w:rsid w:val="197E2C3F"/>
    <w:rsid w:val="199211C6"/>
    <w:rsid w:val="1A19710C"/>
    <w:rsid w:val="1A55540F"/>
    <w:rsid w:val="1B0D7316"/>
    <w:rsid w:val="1B27787E"/>
    <w:rsid w:val="1B292D66"/>
    <w:rsid w:val="1BA8575C"/>
    <w:rsid w:val="1C5A7739"/>
    <w:rsid w:val="1CBD7AE5"/>
    <w:rsid w:val="1D064267"/>
    <w:rsid w:val="1D9064A9"/>
    <w:rsid w:val="200E5533"/>
    <w:rsid w:val="20FE1EBE"/>
    <w:rsid w:val="234D554B"/>
    <w:rsid w:val="25531BDD"/>
    <w:rsid w:val="259D1883"/>
    <w:rsid w:val="29FA2899"/>
    <w:rsid w:val="2A3C1250"/>
    <w:rsid w:val="2BA125DC"/>
    <w:rsid w:val="2CBD01C7"/>
    <w:rsid w:val="2E0F3BD2"/>
    <w:rsid w:val="2E937240"/>
    <w:rsid w:val="2EEF1DE6"/>
    <w:rsid w:val="2F021115"/>
    <w:rsid w:val="2FDD5E52"/>
    <w:rsid w:val="315538FC"/>
    <w:rsid w:val="344B1436"/>
    <w:rsid w:val="351769CA"/>
    <w:rsid w:val="39A65713"/>
    <w:rsid w:val="3A5C168C"/>
    <w:rsid w:val="3CFF403A"/>
    <w:rsid w:val="3D1F3550"/>
    <w:rsid w:val="3DBC14DA"/>
    <w:rsid w:val="3E9E0C01"/>
    <w:rsid w:val="3EC75B88"/>
    <w:rsid w:val="3F0075B0"/>
    <w:rsid w:val="40BB5B10"/>
    <w:rsid w:val="4221263A"/>
    <w:rsid w:val="429D1C51"/>
    <w:rsid w:val="436C6CA7"/>
    <w:rsid w:val="4409587F"/>
    <w:rsid w:val="47A61F89"/>
    <w:rsid w:val="4929055E"/>
    <w:rsid w:val="4A4E4E64"/>
    <w:rsid w:val="4B157F4A"/>
    <w:rsid w:val="4BBC7225"/>
    <w:rsid w:val="4EA975E7"/>
    <w:rsid w:val="4FE63830"/>
    <w:rsid w:val="503B080F"/>
    <w:rsid w:val="50667979"/>
    <w:rsid w:val="509C599E"/>
    <w:rsid w:val="50C572C0"/>
    <w:rsid w:val="510537B0"/>
    <w:rsid w:val="526879D6"/>
    <w:rsid w:val="52DF62D2"/>
    <w:rsid w:val="537501D1"/>
    <w:rsid w:val="53A25EEF"/>
    <w:rsid w:val="56EA02D3"/>
    <w:rsid w:val="57D535B8"/>
    <w:rsid w:val="5B653052"/>
    <w:rsid w:val="5C0D5192"/>
    <w:rsid w:val="5CAD2345"/>
    <w:rsid w:val="5E972C52"/>
    <w:rsid w:val="5F44334B"/>
    <w:rsid w:val="5FFB76E8"/>
    <w:rsid w:val="602A4518"/>
    <w:rsid w:val="61A25B30"/>
    <w:rsid w:val="61D01C1A"/>
    <w:rsid w:val="61EF6B71"/>
    <w:rsid w:val="63616D17"/>
    <w:rsid w:val="647B2B03"/>
    <w:rsid w:val="652B0768"/>
    <w:rsid w:val="65871560"/>
    <w:rsid w:val="673672EA"/>
    <w:rsid w:val="685A54AE"/>
    <w:rsid w:val="68D7706D"/>
    <w:rsid w:val="68FB3B1D"/>
    <w:rsid w:val="699820BC"/>
    <w:rsid w:val="6A3F74EE"/>
    <w:rsid w:val="6B5452CE"/>
    <w:rsid w:val="6C287B41"/>
    <w:rsid w:val="6C960EF9"/>
    <w:rsid w:val="6D763ED0"/>
    <w:rsid w:val="6E7C3443"/>
    <w:rsid w:val="6EC23E62"/>
    <w:rsid w:val="6F266237"/>
    <w:rsid w:val="71F15DA2"/>
    <w:rsid w:val="72084968"/>
    <w:rsid w:val="73011390"/>
    <w:rsid w:val="76611DE4"/>
    <w:rsid w:val="783051BB"/>
    <w:rsid w:val="7AA810C3"/>
    <w:rsid w:val="7B8D1CE6"/>
    <w:rsid w:val="7CC34E09"/>
    <w:rsid w:val="7D687616"/>
    <w:rsid w:val="7E3030D1"/>
    <w:rsid w:val="7F5F4B2A"/>
    <w:rsid w:val="7FB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link w:val="16"/>
    <w:qFormat/>
    <w:uiPriority w:val="1"/>
    <w:pPr>
      <w:autoSpaceDE w:val="0"/>
      <w:autoSpaceDN w:val="0"/>
      <w:spacing w:before="205"/>
      <w:ind w:left="100"/>
      <w:jc w:val="left"/>
    </w:pPr>
    <w:rPr>
      <w:rFonts w:ascii="宋体" w:hAnsi="宋体" w:eastAsia="宋体" w:cs="宋体"/>
      <w:kern w:val="0"/>
      <w:sz w:val="32"/>
      <w:szCs w:val="32"/>
      <w:lang w:eastAsia="en-US"/>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2"/>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font121"/>
    <w:basedOn w:val="8"/>
    <w:uiPriority w:val="0"/>
    <w:rPr>
      <w:rFonts w:hint="default" w:ascii="仿宋_GB2312" w:eastAsia="仿宋_GB2312" w:cs="仿宋_GB2312"/>
      <w:b/>
      <w:bCs/>
      <w:color w:val="000000"/>
      <w:sz w:val="32"/>
      <w:szCs w:val="32"/>
      <w:u w:val="single"/>
    </w:rPr>
  </w:style>
  <w:style w:type="character" w:customStyle="1" w:styleId="15">
    <w:name w:val="font51"/>
    <w:basedOn w:val="8"/>
    <w:uiPriority w:val="0"/>
    <w:rPr>
      <w:rFonts w:hint="default" w:ascii="仿宋_GB2312" w:eastAsia="仿宋_GB2312" w:cs="仿宋_GB2312"/>
      <w:b/>
      <w:bCs/>
      <w:color w:val="000000"/>
      <w:sz w:val="32"/>
      <w:szCs w:val="32"/>
      <w:u w:val="none"/>
    </w:rPr>
  </w:style>
  <w:style w:type="character" w:customStyle="1" w:styleId="16">
    <w:name w:val="正文文本 Char"/>
    <w:basedOn w:val="8"/>
    <w:link w:val="3"/>
    <w:qFormat/>
    <w:uiPriority w:val="1"/>
    <w:rPr>
      <w:rFonts w:ascii="宋体" w:hAnsi="宋体" w:cs="宋体"/>
      <w:sz w:val="32"/>
      <w:szCs w:val="32"/>
      <w:lang w:eastAsia="en-US"/>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D622-C431-4E97-AE65-0D12128CC8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8347</Words>
  <Characters>10145</Characters>
  <Lines>93</Lines>
  <Paragraphs>26</Paragraphs>
  <TotalTime>2</TotalTime>
  <ScaleCrop>false</ScaleCrop>
  <LinksUpToDate>false</LinksUpToDate>
  <CharactersWithSpaces>11654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2021-07-28T00:12:00Z</cp:lastPrinted>
  <dcterms:modified xsi:type="dcterms:W3CDTF">2022-08-20T05:18:15Z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46C65E5E130A433AB0CD28E0A5A3B9D2</vt:lpwstr>
  </property>
</Properties>
</file>