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岳阳市2020年度部门整体支出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156" w:beforeLines="50" w:line="348" w:lineRule="auto"/>
        <w:ind w:left="2846" w:leftChars="150" w:hanging="2536" w:hangingChars="80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rPr>
        <w:t xml:space="preserve"> </w:t>
      </w:r>
      <w:bookmarkStart w:id="0" w:name="_Hlk49500201"/>
      <w:r>
        <w:rPr>
          <w:rFonts w:hint="eastAsia" w:eastAsia="仿宋_GB2312"/>
          <w:sz w:val="32"/>
          <w:szCs w:val="32"/>
          <w:u w:val="single"/>
          <w:lang w:eastAsia="zh-CN"/>
        </w:rPr>
        <w:t>岳阳市自然资源和规划局</w:t>
      </w:r>
      <w:r>
        <w:rPr>
          <w:rFonts w:hint="eastAsia" w:eastAsia="仿宋_GB2312"/>
          <w:sz w:val="32"/>
          <w:szCs w:val="32"/>
          <w:u w:val="single"/>
        </w:rPr>
        <w:t>湖南城陵矶新港区</w:t>
      </w:r>
      <w:bookmarkEnd w:id="0"/>
      <w:r>
        <w:rPr>
          <w:rFonts w:hint="eastAsia" w:eastAsia="仿宋_GB2312"/>
          <w:sz w:val="32"/>
          <w:szCs w:val="32"/>
          <w:u w:val="single"/>
          <w:lang w:eastAsia="zh-CN"/>
        </w:rPr>
        <w:t>分局</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30"/>
          <w:sz w:val="32"/>
          <w:szCs w:val="32"/>
          <w:u w:val="single"/>
        </w:rPr>
        <w:t>481001</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2021</w:t>
      </w:r>
      <w:r>
        <w:rPr>
          <w:rFonts w:hint="eastAsia" w:eastAsia="仿宋_GB2312"/>
          <w:sz w:val="32"/>
        </w:rPr>
        <w:t xml:space="preserve">  年 </w:t>
      </w:r>
      <w:r>
        <w:rPr>
          <w:rFonts w:hint="eastAsia" w:eastAsia="仿宋_GB2312"/>
          <w:sz w:val="32"/>
          <w:lang w:val="en-US" w:eastAsia="zh-CN"/>
        </w:rPr>
        <w:t>6</w:t>
      </w:r>
      <w:r>
        <w:rPr>
          <w:rFonts w:hint="eastAsia" w:eastAsia="仿宋_GB2312"/>
          <w:sz w:val="32"/>
        </w:rPr>
        <w:t xml:space="preserve">  月  </w:t>
      </w:r>
      <w:r>
        <w:rPr>
          <w:rFonts w:hint="eastAsia" w:eastAsia="仿宋_GB2312"/>
          <w:sz w:val="32"/>
          <w:lang w:val="en-US" w:eastAsia="zh-CN"/>
        </w:rPr>
        <w:t>10</w:t>
      </w:r>
      <w:r>
        <w:rPr>
          <w:rFonts w:hint="eastAsia" w:eastAsia="仿宋_GB2312"/>
          <w:sz w:val="32"/>
        </w:rPr>
        <w:t xml:space="preserve"> 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10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105"/>
        <w:gridCol w:w="1250"/>
        <w:gridCol w:w="40"/>
        <w:gridCol w:w="1285"/>
        <w:gridCol w:w="1234"/>
        <w:gridCol w:w="536"/>
        <w:gridCol w:w="145"/>
        <w:gridCol w:w="50"/>
        <w:gridCol w:w="395"/>
        <w:gridCol w:w="635"/>
        <w:gridCol w:w="50"/>
        <w:gridCol w:w="575"/>
        <w:gridCol w:w="50"/>
        <w:gridCol w:w="45"/>
        <w:gridCol w:w="50"/>
        <w:gridCol w:w="1119"/>
        <w:gridCol w:w="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2521"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李文</w:t>
            </w:r>
          </w:p>
        </w:tc>
        <w:tc>
          <w:tcPr>
            <w:tcW w:w="2519"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650" w:type="dxa"/>
            <w:gridSpan w:val="11"/>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1</w:t>
            </w:r>
            <w:r>
              <w:rPr>
                <w:rFonts w:hint="default" w:ascii="仿宋_GB2312" w:hAnsi="仿宋_GB2312" w:eastAsia="仿宋_GB2312" w:cs="仿宋_GB2312"/>
                <w:color w:val="000000"/>
                <w:sz w:val="24"/>
              </w:rPr>
              <w:t>3707302096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2521"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8</w:t>
            </w:r>
            <w:r>
              <w:rPr>
                <w:rFonts w:hint="eastAsia" w:ascii="仿宋_GB2312" w:hAnsi="仿宋_GB2312" w:eastAsia="仿宋_GB2312" w:cs="仿宋_GB2312"/>
                <w:color w:val="000000"/>
                <w:sz w:val="24"/>
              </w:rPr>
              <w:t>人</w:t>
            </w:r>
          </w:p>
        </w:tc>
        <w:tc>
          <w:tcPr>
            <w:tcW w:w="2519"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650" w:type="dxa"/>
            <w:gridSpan w:val="11"/>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1500"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690" w:type="dxa"/>
            <w:gridSpan w:val="18"/>
            <w:vAlign w:val="center"/>
          </w:tcPr>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负责湖南城陵矶新港区内的土地利用总体规划管理、建设用地报批、基准地价制定、地籍管理、土地出让和转让、国土资源违法案件查处、土地利用动态监测监管、国土资源信息管理、国土资源政策法规宣传。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2464"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690" w:type="dxa"/>
            <w:gridSpan w:val="18"/>
            <w:vAlign w:val="center"/>
          </w:tcPr>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任务1：党建工作。</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任务2：用地保障工作。</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任务3：城乡规划工作。</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w:t>
            </w:r>
            <w:r>
              <w:rPr>
                <w:rFonts w:hint="default" w:ascii="仿宋_GB2312" w:hAnsi="仿宋_GB2312" w:eastAsia="仿宋_GB2312" w:cs="仿宋_GB2312"/>
                <w:color w:val="000000"/>
                <w:sz w:val="24"/>
              </w:rPr>
              <w:t>4</w:t>
            </w:r>
            <w:r>
              <w:rPr>
                <w:rFonts w:hint="eastAsia" w:ascii="仿宋_GB2312" w:hAnsi="仿宋_GB2312" w:eastAsia="仿宋_GB2312" w:cs="仿宋_GB2312"/>
                <w:color w:val="000000"/>
                <w:sz w:val="24"/>
              </w:rPr>
              <w:t>：专项工作。</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执法监察工作。</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2260"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690" w:type="dxa"/>
            <w:gridSpan w:val="18"/>
            <w:vAlign w:val="center"/>
          </w:tcPr>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2020年，</w:t>
            </w:r>
            <w:r>
              <w:rPr>
                <w:rFonts w:hint="eastAsia" w:ascii="仿宋_GB2312" w:hAnsi="仿宋_GB2312" w:eastAsia="仿宋_GB2312" w:cs="仿宋_GB2312"/>
                <w:color w:val="000000"/>
                <w:sz w:val="24"/>
                <w:lang w:eastAsia="zh-CN"/>
              </w:rPr>
              <w:t>分</w:t>
            </w:r>
            <w:r>
              <w:rPr>
                <w:rFonts w:hint="eastAsia" w:ascii="仿宋_GB2312" w:hAnsi="仿宋_GB2312" w:eastAsia="仿宋_GB2312" w:cs="仿宋_GB2312"/>
                <w:color w:val="000000"/>
                <w:sz w:val="24"/>
              </w:rPr>
              <w:t>局在</w:t>
            </w:r>
            <w:r>
              <w:rPr>
                <w:rFonts w:hint="eastAsia" w:ascii="仿宋_GB2312" w:hAnsi="仿宋_GB2312" w:eastAsia="仿宋_GB2312" w:cs="仿宋_GB2312"/>
                <w:color w:val="000000"/>
                <w:sz w:val="24"/>
                <w:lang w:eastAsia="zh-CN"/>
              </w:rPr>
              <w:t>市局</w:t>
            </w:r>
            <w:r>
              <w:rPr>
                <w:rFonts w:hint="eastAsia" w:ascii="仿宋_GB2312" w:hAnsi="仿宋_GB2312" w:eastAsia="仿宋_GB2312" w:cs="仿宋_GB2312"/>
                <w:color w:val="000000"/>
                <w:sz w:val="24"/>
              </w:rPr>
              <w:t>和</w:t>
            </w:r>
            <w:r>
              <w:rPr>
                <w:rFonts w:hint="eastAsia" w:ascii="仿宋_GB2312" w:hAnsi="仿宋_GB2312" w:eastAsia="仿宋_GB2312" w:cs="仿宋_GB2312"/>
                <w:color w:val="000000"/>
                <w:sz w:val="24"/>
                <w:lang w:eastAsia="zh-CN"/>
              </w:rPr>
              <w:t>新港区党工委、管委会</w:t>
            </w:r>
            <w:r>
              <w:rPr>
                <w:rFonts w:hint="eastAsia" w:ascii="仿宋_GB2312" w:hAnsi="仿宋_GB2312" w:eastAsia="仿宋_GB2312" w:cs="仿宋_GB2312"/>
                <w:color w:val="000000"/>
                <w:sz w:val="24"/>
              </w:rPr>
              <w:t>的坚强领导下，以</w:t>
            </w:r>
            <w:r>
              <w:rPr>
                <w:rFonts w:hint="eastAsia" w:ascii="仿宋_GB2312" w:hAnsi="仿宋_GB2312" w:eastAsia="仿宋_GB2312" w:cs="仿宋_GB2312"/>
                <w:color w:val="000000"/>
                <w:sz w:val="24"/>
                <w:lang w:eastAsia="zh-CN"/>
              </w:rPr>
              <w:t>习近平</w:t>
            </w:r>
            <w:r>
              <w:rPr>
                <w:rFonts w:hint="eastAsia" w:ascii="仿宋_GB2312" w:hAnsi="仿宋_GB2312" w:eastAsia="仿宋_GB2312" w:cs="仿宋_GB2312"/>
                <w:color w:val="000000"/>
                <w:sz w:val="24"/>
              </w:rPr>
              <w:t>新时代中国特色社会主义思想为指导，围绕全年任务目标，积极开展工作，认真抓好自然资源各项工作落实，服务</w:t>
            </w:r>
            <w:r>
              <w:rPr>
                <w:rFonts w:hint="eastAsia" w:ascii="仿宋_GB2312" w:hAnsi="仿宋_GB2312" w:eastAsia="仿宋_GB2312" w:cs="仿宋_GB2312"/>
                <w:color w:val="000000"/>
                <w:sz w:val="24"/>
                <w:lang w:eastAsia="zh-CN"/>
              </w:rPr>
              <w:t>新港区</w:t>
            </w:r>
            <w:r>
              <w:rPr>
                <w:rFonts w:hint="eastAsia" w:ascii="仿宋_GB2312" w:hAnsi="仿宋_GB2312" w:eastAsia="仿宋_GB2312" w:cs="仿宋_GB2312"/>
                <w:color w:val="000000"/>
                <w:sz w:val="24"/>
              </w:rPr>
              <w:t>经济社会发展大局，较好地完成了各项既定目标任务，取得新的成效。主要工作完成情况如下</w:t>
            </w:r>
            <w:r>
              <w:rPr>
                <w:rFonts w:hint="eastAsia" w:ascii="仿宋_GB2312" w:hAnsi="仿宋_GB2312" w:eastAsia="仿宋_GB2312" w:cs="仿宋_GB2312"/>
                <w:color w:val="000000"/>
                <w:sz w:val="24"/>
                <w:lang w:eastAsia="zh-CN"/>
              </w:rPr>
              <w:t>：</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党建工作：</w:t>
            </w:r>
            <w:r>
              <w:rPr>
                <w:rFonts w:hint="eastAsia" w:ascii="仿宋_GB2312" w:hAnsi="仿宋_GB2312" w:eastAsia="仿宋_GB2312" w:cs="仿宋_GB2312"/>
                <w:color w:val="000000"/>
                <w:sz w:val="24"/>
                <w:lang w:eastAsia="zh-CN"/>
              </w:rPr>
              <w:t>分局支部</w:t>
            </w:r>
            <w:r>
              <w:rPr>
                <w:rFonts w:hint="eastAsia" w:ascii="仿宋_GB2312" w:hAnsi="仿宋_GB2312" w:eastAsia="仿宋_GB2312" w:cs="仿宋_GB2312"/>
                <w:color w:val="000000"/>
                <w:sz w:val="24"/>
              </w:rPr>
              <w:t>主动强化担当意识，积极落实主体责任，认真履行“一岗双责”，坚持““不忘初心、牢记使命”主题教育常态化，“三会一课”学习固定化，深化落实主题教育思想，确保主题教育沿着正确方向开展。定期召开党风廉政建设工作会议，进一步细化分解责任，加强监督执纪。</w:t>
            </w:r>
            <w:r>
              <w:rPr>
                <w:rFonts w:hint="eastAsia" w:ascii="仿宋_GB2312" w:hAnsi="仿宋_GB2312" w:eastAsia="仿宋_GB2312" w:cs="仿宋_GB2312"/>
                <w:color w:val="000000"/>
                <w:sz w:val="24"/>
                <w:lang w:eastAsia="zh-CN"/>
              </w:rPr>
              <w:t>分局</w:t>
            </w:r>
            <w:r>
              <w:rPr>
                <w:rFonts w:hint="eastAsia" w:ascii="仿宋_GB2312" w:hAnsi="仿宋_GB2312" w:eastAsia="仿宋_GB2312" w:cs="仿宋_GB2312"/>
                <w:color w:val="000000"/>
                <w:sz w:val="24"/>
              </w:rPr>
              <w:t>班子成员认真履行“一岗双责”，紧盯工作薄弱环节和工作重点，加强对分管联系股室教育、监督和管理，并开展廉政谈话。</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用地保障工作：认真做好建设项目规划选址及用地审查工作，有力保障重点项目有序推进。</w:t>
            </w:r>
            <w:r>
              <w:rPr>
                <w:rFonts w:hint="eastAsia" w:ascii="仿宋_GB2312" w:hAnsi="仿宋_GB2312" w:eastAsia="仿宋_GB2312" w:cs="仿宋_GB2312"/>
                <w:color w:val="000000"/>
                <w:sz w:val="24"/>
                <w:lang w:val="en-US" w:eastAsia="zh-CN"/>
              </w:rPr>
              <w:t>2020年度</w:t>
            </w:r>
            <w:r>
              <w:rPr>
                <w:rFonts w:hint="eastAsia" w:ascii="仿宋_GB2312" w:hAnsi="仿宋_GB2312" w:eastAsia="仿宋_GB2312" w:cs="仿宋_GB2312"/>
                <w:color w:val="000000"/>
                <w:sz w:val="24"/>
              </w:rPr>
              <w:t>共出具选址意见书14份，建设用地许可证19份，建设工程许可证26份；出具调查摸底红线图60张，出让红线图50张，收储红线图7张，征拆红线图3张，报批红线图5张，管线工程红线图31张，临时建筑红线图3张，配合出具工作红线图50余张；已出具规划设计条件12份，放线通知单7份，方案专家评审会议纪要36份；方案审批7个，组织竣工验收项目9个，现场踏勘100余次</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积极作为，主动服务，加大新增建设用地报批力度。审核建设用地报批项目21个，已拿回建设用地项目审批单9个，批准面积1106.4375亩，涉及220千伏变电站、松阳湖安置房小区、恒大商住等建设项目，一次性通过省厅用地审查项目2个。</w:t>
            </w:r>
            <w:r>
              <w:rPr>
                <w:rFonts w:hint="eastAsia" w:ascii="仿宋_GB2312" w:hAnsi="仿宋_GB2312" w:eastAsia="仿宋_GB2312" w:cs="仿宋_GB2312"/>
                <w:color w:val="000000"/>
                <w:sz w:val="24"/>
                <w:lang w:eastAsia="zh-CN"/>
              </w:rPr>
              <w:t>同时，</w:t>
            </w:r>
            <w:r>
              <w:rPr>
                <w:rFonts w:hint="eastAsia" w:ascii="仿宋_GB2312" w:hAnsi="仿宋_GB2312" w:eastAsia="仿宋_GB2312" w:cs="仿宋_GB2312"/>
                <w:color w:val="000000"/>
                <w:sz w:val="24"/>
              </w:rPr>
              <w:t>以省厅最低指导价格购买耕地占补平衡指标数量1050亩，产能160万公斤，</w:t>
            </w:r>
            <w:r>
              <w:rPr>
                <w:rFonts w:hint="eastAsia" w:ascii="仿宋_GB2312" w:hAnsi="仿宋_GB2312" w:eastAsia="仿宋_GB2312" w:cs="仿宋_GB2312"/>
                <w:color w:val="000000"/>
                <w:sz w:val="24"/>
                <w:lang w:eastAsia="zh-CN"/>
              </w:rPr>
              <w:t>投入</w:t>
            </w:r>
            <w:r>
              <w:rPr>
                <w:rFonts w:hint="eastAsia" w:ascii="仿宋_GB2312" w:hAnsi="仿宋_GB2312" w:eastAsia="仿宋_GB2312" w:cs="仿宋_GB2312"/>
                <w:color w:val="000000"/>
                <w:sz w:val="24"/>
              </w:rPr>
              <w:t>费用约1.3585亿元。</w:t>
            </w:r>
            <w:r>
              <w:rPr>
                <w:rFonts w:hint="eastAsia" w:ascii="仿宋_GB2312" w:hAnsi="仿宋_GB2312" w:eastAsia="仿宋_GB2312" w:cs="仿宋_GB2312"/>
                <w:color w:val="000000"/>
                <w:sz w:val="24"/>
                <w:lang w:eastAsia="zh-CN"/>
              </w:rPr>
              <w:t>并严格按照上级要求</w:t>
            </w:r>
            <w:r>
              <w:rPr>
                <w:rFonts w:hint="eastAsia" w:ascii="仿宋_GB2312" w:hAnsi="仿宋_GB2312" w:eastAsia="仿宋_GB2312" w:cs="仿宋_GB2312"/>
                <w:color w:val="000000"/>
                <w:sz w:val="24"/>
              </w:rPr>
              <w:t>安装监管视频监控设备27个</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加大土地供应力度，提高土地使用效率和效益。已挂牌出让土地17宗，出让总面积162.8159公顷，成交价款9.146亿元。以划拨方式供应土地3宗，面积16.1324公顷。在规定时间内完成省厅开展的批而未供工作、闲置土地清查工作及“净地”攻坚工作，共处置批而未供土地200公顷、闲置土地71.55公顷。有效完成2020年度供地率目标，近5年平均供地率85%左右；全力推进征地拆迁工作。一方面为进一步规范征地拆迁项目概算编制、资金管理和房屋、设施评估管理，经管委会批准，发布了《关于进一步规范征地拆迁项目管理工作的通知》，该通知发布后，征拆资金的高效安全运行和依法依规依程序开展工作等方面得到了进一步的规范和加强。另一方面狠抓工作落实，全年共发布公告 110个，完成土地依法征收项目7宗、土地面积815.4731亩、房屋拆迁栋数277栋、房屋征收面积113532.585平方米的调查摸底丈量工作；完成土地依法征收项目用地红线范围内土地面积1342.0433亩、房屋栋数188栋、房屋征收面积 64457.5平方米房屋征拆补偿安置工作；竭力开展生态修复工作。2019年省自然资源厅下发长江经济带废弃露天矿山生态修复图斑，涉及港区图斑1个，修复面积4.09公顷，项目建投资预算为48.01万元，经财政评审后项目投资预算为35.71万元，该项目现已完成了市级验收。</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规划编制工作</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稳步推进国土空间规划编制工作，强化国土空间规划的战略引领地位。</w:t>
            </w:r>
            <w:r>
              <w:rPr>
                <w:rFonts w:hint="eastAsia" w:ascii="仿宋_GB2312" w:hAnsi="仿宋_GB2312" w:eastAsia="仿宋_GB2312" w:cs="仿宋_GB2312"/>
                <w:color w:val="000000"/>
                <w:sz w:val="24"/>
                <w:lang w:val="en-US" w:eastAsia="zh-CN"/>
              </w:rPr>
              <w:t>2020年度</w:t>
            </w:r>
            <w:r>
              <w:rPr>
                <w:rFonts w:hint="eastAsia" w:ascii="仿宋_GB2312" w:hAnsi="仿宋_GB2312" w:eastAsia="仿宋_GB2312" w:cs="仿宋_GB2312"/>
                <w:color w:val="000000"/>
                <w:sz w:val="24"/>
                <w:lang w:eastAsia="zh-CN"/>
              </w:rPr>
              <w:t>完成了</w:t>
            </w:r>
            <w:r>
              <w:rPr>
                <w:rFonts w:hint="eastAsia" w:ascii="仿宋_GB2312" w:hAnsi="仿宋_GB2312" w:eastAsia="仿宋_GB2312" w:cs="仿宋_GB2312"/>
                <w:color w:val="000000"/>
                <w:sz w:val="24"/>
              </w:rPr>
              <w:t>《城陵矶新港区山体水体保护界线》</w:t>
            </w:r>
            <w:r>
              <w:rPr>
                <w:rFonts w:hint="eastAsia" w:ascii="仿宋_GB2312" w:hAnsi="仿宋_GB2312" w:eastAsia="仿宋_GB2312" w:cs="仿宋_GB2312"/>
                <w:color w:val="000000"/>
                <w:sz w:val="24"/>
                <w:lang w:eastAsia="zh-CN"/>
              </w:rPr>
              <w:t>划定工作；完成了</w:t>
            </w:r>
            <w:r>
              <w:rPr>
                <w:rFonts w:hint="eastAsia" w:ascii="仿宋_GB2312" w:hAnsi="仿宋_GB2312" w:eastAsia="仿宋_GB2312" w:cs="仿宋_GB2312"/>
                <w:color w:val="000000"/>
                <w:sz w:val="24"/>
              </w:rPr>
              <w:t>《凌泊湖公园修建性详细规划》《北湖湿地公园修建性详细规划》</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湖南城陵矶新港区松阳湖片区〔06-19、06-25、06-26、06-27〕地块用地性质及控规指标调整论证</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启动</w:t>
            </w:r>
            <w:r>
              <w:rPr>
                <w:rFonts w:hint="eastAsia" w:ascii="仿宋_GB2312" w:hAnsi="仿宋_GB2312" w:eastAsia="仿宋_GB2312" w:cs="仿宋_GB2312"/>
                <w:color w:val="000000"/>
                <w:sz w:val="24"/>
                <w:lang w:eastAsia="zh-CN"/>
              </w:rPr>
              <w:t>了《湖南城陵矶新港区综合交通体系规划》</w:t>
            </w:r>
            <w:r>
              <w:rPr>
                <w:rFonts w:hint="eastAsia" w:ascii="仿宋_GB2312" w:hAnsi="仿宋_GB2312" w:eastAsia="仿宋_GB2312" w:cs="仿宋_GB2312"/>
                <w:color w:val="000000"/>
                <w:sz w:val="24"/>
              </w:rPr>
              <w:t>《湖南城陵矶新港区风貌规划》前期工作</w:t>
            </w:r>
            <w:r>
              <w:rPr>
                <w:rFonts w:hint="eastAsia" w:ascii="仿宋_GB2312" w:hAnsi="仿宋_GB2312" w:eastAsia="仿宋_GB2312" w:cs="仿宋_GB2312"/>
                <w:color w:val="000000"/>
                <w:sz w:val="24"/>
                <w:lang w:eastAsia="zh-CN"/>
              </w:rPr>
              <w:t>。并就</w:t>
            </w:r>
            <w:r>
              <w:rPr>
                <w:rFonts w:hint="eastAsia" w:ascii="仿宋_GB2312" w:hAnsi="仿宋_GB2312" w:eastAsia="仿宋_GB2312" w:cs="仿宋_GB2312"/>
                <w:color w:val="000000"/>
                <w:sz w:val="24"/>
              </w:rPr>
              <w:t>新港区重大项目与上位规划不符</w:t>
            </w:r>
            <w:r>
              <w:rPr>
                <w:rFonts w:hint="eastAsia" w:ascii="仿宋_GB2312" w:hAnsi="仿宋_GB2312" w:eastAsia="仿宋_GB2312" w:cs="仿宋_GB2312"/>
                <w:color w:val="000000"/>
                <w:sz w:val="24"/>
                <w:lang w:eastAsia="zh-CN"/>
              </w:rPr>
              <w:t>问题同省市两级自然资源部门及市水务部门进行了有效对接。</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不动产登记</w:t>
            </w:r>
            <w:r>
              <w:rPr>
                <w:rFonts w:hint="eastAsia" w:ascii="仿宋_GB2312" w:hAnsi="仿宋_GB2312" w:eastAsia="仿宋_GB2312" w:cs="仿宋_GB2312"/>
                <w:color w:val="000000"/>
                <w:sz w:val="24"/>
                <w:lang w:val="en-US" w:eastAsia="zh-CN"/>
              </w:rPr>
              <w:t>及</w:t>
            </w:r>
            <w:r>
              <w:rPr>
                <w:rFonts w:hint="eastAsia" w:ascii="仿宋_GB2312" w:hAnsi="仿宋_GB2312" w:eastAsia="仿宋_GB2312" w:cs="仿宋_GB2312"/>
                <w:color w:val="000000"/>
                <w:sz w:val="24"/>
              </w:rPr>
              <w:t>土地调查</w:t>
            </w:r>
            <w:r>
              <w:rPr>
                <w:rFonts w:hint="eastAsia" w:ascii="仿宋_GB2312" w:hAnsi="仿宋_GB2312" w:eastAsia="仿宋_GB2312" w:cs="仿宋_GB2312"/>
                <w:color w:val="000000"/>
                <w:sz w:val="24"/>
                <w:lang w:val="en-US" w:eastAsia="zh-CN"/>
              </w:rPr>
              <w:t>工作：</w:t>
            </w:r>
            <w:r>
              <w:rPr>
                <w:rFonts w:hint="eastAsia" w:ascii="仿宋_GB2312" w:hAnsi="仿宋_GB2312" w:eastAsia="仿宋_GB2312" w:cs="仿宋_GB2312"/>
                <w:color w:val="000000"/>
                <w:sz w:val="24"/>
              </w:rPr>
              <w:t>优化完善不动产登记办事流程</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对不动产登记中心设备进行了全面更新，</w:t>
            </w:r>
            <w:r>
              <w:rPr>
                <w:rFonts w:hint="eastAsia" w:ascii="仿宋_GB2312" w:hAnsi="仿宋_GB2312" w:eastAsia="仿宋_GB2312" w:cs="仿宋_GB2312"/>
                <w:color w:val="000000"/>
                <w:sz w:val="24"/>
                <w:lang w:eastAsia="zh-CN"/>
              </w:rPr>
              <w:t>更加快捷的办理不动产登记</w:t>
            </w:r>
            <w:r>
              <w:rPr>
                <w:rFonts w:hint="eastAsia" w:ascii="仿宋_GB2312" w:hAnsi="仿宋_GB2312" w:eastAsia="仿宋_GB2312" w:cs="仿宋_GB2312"/>
                <w:color w:val="000000"/>
                <w:sz w:val="24"/>
                <w:lang w:val="en-US" w:eastAsia="zh-CN"/>
              </w:rPr>
              <w:t>业务；</w:t>
            </w:r>
            <w:r>
              <w:rPr>
                <w:rFonts w:hint="eastAsia" w:ascii="仿宋_GB2312" w:hAnsi="仿宋_GB2312" w:eastAsia="仿宋_GB2312" w:cs="仿宋_GB2312"/>
                <w:color w:val="000000"/>
                <w:sz w:val="24"/>
              </w:rPr>
              <w:t>办理商品房预告预抵押登记</w:t>
            </w: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rPr>
              <w:t>349件，商品房及存量房转移登记</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291件，国有建设用地首次登记95件，各类抵押登记2705件，发放不动产登记证书</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202本，不动产登记证明</w:t>
            </w:r>
            <w:r>
              <w:rPr>
                <w:rFonts w:hint="eastAsia" w:ascii="仿宋_GB2312" w:hAnsi="仿宋_GB2312" w:eastAsia="仿宋_GB2312" w:cs="仿宋_GB2312"/>
                <w:color w:val="000000"/>
                <w:sz w:val="24"/>
                <w:lang w:val="en-US" w:eastAsia="zh-CN"/>
              </w:rPr>
              <w:t>8</w:t>
            </w:r>
            <w:r>
              <w:rPr>
                <w:rFonts w:hint="eastAsia" w:ascii="仿宋_GB2312" w:hAnsi="仿宋_GB2312" w:eastAsia="仿宋_GB2312" w:cs="仿宋_GB2312"/>
                <w:color w:val="000000"/>
                <w:sz w:val="24"/>
              </w:rPr>
              <w:t>059份，接待群众业务咨询1798人次</w:t>
            </w:r>
            <w:r>
              <w:rPr>
                <w:rFonts w:hint="eastAsia" w:ascii="仿宋_GB2312" w:hAnsi="仿宋_GB2312" w:eastAsia="仿宋_GB2312" w:cs="仿宋_GB2312"/>
                <w:color w:val="000000"/>
                <w:sz w:val="24"/>
                <w:lang w:eastAsia="zh-CN"/>
              </w:rPr>
              <w:t>，收缴土地出让金</w:t>
            </w:r>
            <w:r>
              <w:rPr>
                <w:rFonts w:hint="eastAsia" w:ascii="仿宋_GB2312" w:hAnsi="仿宋_GB2312" w:eastAsia="仿宋_GB2312" w:cs="仿宋_GB2312"/>
                <w:color w:val="000000"/>
                <w:sz w:val="24"/>
                <w:lang w:val="en-US" w:eastAsia="zh-CN"/>
              </w:rPr>
              <w:t>400余万元；</w:t>
            </w:r>
            <w:r>
              <w:rPr>
                <w:rFonts w:hint="eastAsia" w:ascii="仿宋_GB2312" w:hAnsi="仿宋_GB2312" w:eastAsia="仿宋_GB2312" w:cs="仿宋_GB2312"/>
                <w:color w:val="000000"/>
                <w:sz w:val="24"/>
              </w:rPr>
              <w:t>积极推进第三次全国土地调查工作。</w:t>
            </w:r>
            <w:r>
              <w:rPr>
                <w:rFonts w:hint="eastAsia" w:ascii="仿宋_GB2312" w:hAnsi="仿宋_GB2312" w:eastAsia="仿宋_GB2312" w:cs="仿宋_GB2312"/>
                <w:color w:val="000000"/>
                <w:sz w:val="24"/>
                <w:lang w:eastAsia="zh-CN"/>
              </w:rPr>
              <w:t>分</w:t>
            </w:r>
            <w:r>
              <w:rPr>
                <w:rFonts w:hint="eastAsia" w:ascii="仿宋_GB2312" w:hAnsi="仿宋_GB2312" w:eastAsia="仿宋_GB2312" w:cs="仿宋_GB2312"/>
                <w:color w:val="000000"/>
                <w:sz w:val="24"/>
              </w:rPr>
              <w:t>局严格按照</w:t>
            </w:r>
            <w:r>
              <w:rPr>
                <w:rFonts w:hint="eastAsia" w:ascii="仿宋_GB2312" w:hAnsi="仿宋_GB2312" w:eastAsia="仿宋_GB2312" w:cs="仿宋_GB2312"/>
                <w:color w:val="000000"/>
                <w:sz w:val="24"/>
                <w:lang w:val="en-US" w:eastAsia="zh-CN"/>
              </w:rPr>
              <w:t>上级</w:t>
            </w:r>
            <w:r>
              <w:rPr>
                <w:rFonts w:hint="eastAsia" w:ascii="仿宋_GB2312" w:hAnsi="仿宋_GB2312" w:eastAsia="仿宋_GB2312" w:cs="仿宋_GB2312"/>
                <w:color w:val="000000"/>
                <w:sz w:val="24"/>
              </w:rPr>
              <w:t>文件要求</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在云溪和楼区分别建立</w:t>
            </w:r>
            <w:r>
              <w:rPr>
                <w:rFonts w:hint="eastAsia" w:ascii="仿宋_GB2312" w:hAnsi="仿宋_GB2312" w:eastAsia="仿宋_GB2312" w:cs="仿宋_GB2312"/>
                <w:color w:val="000000"/>
                <w:sz w:val="24"/>
              </w:rPr>
              <w:t>国土调查数据库，依据最新调查成果</w:t>
            </w:r>
            <w:r>
              <w:rPr>
                <w:rFonts w:hint="eastAsia" w:ascii="仿宋_GB2312" w:hAnsi="仿宋_GB2312" w:eastAsia="仿宋_GB2312" w:cs="仿宋_GB2312"/>
                <w:color w:val="000000"/>
                <w:sz w:val="24"/>
                <w:lang w:val="en-US" w:eastAsia="zh-CN"/>
              </w:rPr>
              <w:t>统计数据流量，完成数据核查，</w:t>
            </w:r>
            <w:r>
              <w:rPr>
                <w:rFonts w:hint="eastAsia" w:ascii="仿宋_GB2312" w:hAnsi="仿宋_GB2312" w:eastAsia="仿宋_GB2312" w:cs="仿宋_GB2312"/>
                <w:color w:val="000000"/>
                <w:sz w:val="24"/>
              </w:rPr>
              <w:t>已完成新港区</w:t>
            </w:r>
            <w:r>
              <w:rPr>
                <w:rFonts w:hint="eastAsia" w:ascii="仿宋_GB2312" w:hAnsi="仿宋_GB2312" w:eastAsia="仿宋_GB2312" w:cs="仿宋_GB2312"/>
                <w:color w:val="000000"/>
                <w:sz w:val="24"/>
                <w:lang w:val="en-US" w:eastAsia="zh-CN"/>
              </w:rPr>
              <w:t>三调数据的建库、验收和上报</w:t>
            </w:r>
            <w:r>
              <w:rPr>
                <w:rFonts w:hint="eastAsia" w:ascii="仿宋_GB2312" w:hAnsi="仿宋_GB2312" w:eastAsia="仿宋_GB2312" w:cs="仿宋_GB2312"/>
                <w:color w:val="000000"/>
                <w:sz w:val="24"/>
              </w:rPr>
              <w:t>工作</w:t>
            </w:r>
            <w:r>
              <w:rPr>
                <w:rFonts w:hint="eastAsia" w:ascii="仿宋_GB2312" w:hAnsi="仿宋_GB2312" w:eastAsia="仿宋_GB2312" w:cs="仿宋_GB2312"/>
                <w:color w:val="000000"/>
                <w:sz w:val="24"/>
                <w:lang w:eastAsia="zh-CN"/>
              </w:rPr>
              <w:t>。</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5、执法监察工作：</w:t>
            </w:r>
            <w:r>
              <w:rPr>
                <w:rFonts w:hint="eastAsia" w:ascii="仿宋_GB2312" w:hAnsi="仿宋_GB2312" w:eastAsia="仿宋_GB2312" w:cs="仿宋_GB2312"/>
                <w:color w:val="000000"/>
                <w:sz w:val="24"/>
              </w:rPr>
              <w:t>注重在全社会营造良好的自然资源法治环境，充分利用“世界地球日、土地日”等节日，设立咨询点，悬挂布标，摆放</w:t>
            </w:r>
            <w:r>
              <w:rPr>
                <w:rFonts w:hint="eastAsia" w:ascii="仿宋_GB2312" w:hAnsi="仿宋_GB2312" w:eastAsia="仿宋_GB2312" w:cs="仿宋_GB2312"/>
                <w:color w:val="000000"/>
                <w:sz w:val="24"/>
              </w:rPr>
              <w:fldChar w:fldCharType="begin"/>
            </w:r>
            <w:r>
              <w:rPr>
                <w:rFonts w:hint="eastAsia" w:ascii="仿宋_GB2312" w:hAnsi="仿宋_GB2312" w:eastAsia="仿宋_GB2312" w:cs="仿宋_GB2312"/>
                <w:color w:val="000000"/>
                <w:sz w:val="24"/>
              </w:rPr>
              <w:instrText xml:space="preserve"> HYPERLINK "http://www.mswk.cn/Article/List/List_87.html" \t "http://www.mswk.cn/Article/_blank" </w:instrText>
            </w:r>
            <w:r>
              <w:rPr>
                <w:rFonts w:hint="eastAsia" w:ascii="仿宋_GB2312" w:hAnsi="仿宋_GB2312" w:eastAsia="仿宋_GB2312" w:cs="仿宋_GB2312"/>
                <w:color w:val="000000"/>
                <w:sz w:val="24"/>
              </w:rPr>
              <w:fldChar w:fldCharType="separate"/>
            </w:r>
            <w:r>
              <w:rPr>
                <w:rFonts w:hint="eastAsia" w:ascii="仿宋_GB2312" w:hAnsi="仿宋_GB2312" w:eastAsia="仿宋_GB2312" w:cs="仿宋_GB2312"/>
                <w:color w:val="000000"/>
                <w:sz w:val="24"/>
              </w:rPr>
              <w:t>宣传</w:t>
            </w:r>
            <w:r>
              <w:rPr>
                <w:rFonts w:hint="eastAsia" w:ascii="仿宋_GB2312" w:hAnsi="仿宋_GB2312" w:eastAsia="仿宋_GB2312" w:cs="仿宋_GB2312"/>
                <w:color w:val="000000"/>
                <w:sz w:val="24"/>
              </w:rPr>
              <w:fldChar w:fldCharType="end"/>
            </w:r>
            <w:r>
              <w:rPr>
                <w:rFonts w:hint="eastAsia" w:ascii="仿宋_GB2312" w:hAnsi="仿宋_GB2312" w:eastAsia="仿宋_GB2312" w:cs="仿宋_GB2312"/>
                <w:color w:val="000000"/>
                <w:sz w:val="24"/>
              </w:rPr>
              <w:t>展板，发放各种知识性手册及</w:t>
            </w:r>
            <w:r>
              <w:rPr>
                <w:rFonts w:hint="eastAsia" w:ascii="仿宋_GB2312" w:hAnsi="仿宋_GB2312" w:eastAsia="仿宋_GB2312" w:cs="仿宋_GB2312"/>
                <w:color w:val="000000"/>
                <w:sz w:val="24"/>
              </w:rPr>
              <w:fldChar w:fldCharType="begin"/>
            </w:r>
            <w:r>
              <w:rPr>
                <w:rFonts w:hint="eastAsia" w:ascii="仿宋_GB2312" w:hAnsi="仿宋_GB2312" w:eastAsia="仿宋_GB2312" w:cs="仿宋_GB2312"/>
                <w:color w:val="000000"/>
                <w:sz w:val="24"/>
              </w:rPr>
              <w:instrText xml:space="preserve"> HYPERLINK "http://www.mswk.cn/Article/List/List_87.html" \t "http://www.mswk.cn/Article/_blank" </w:instrText>
            </w:r>
            <w:r>
              <w:rPr>
                <w:rFonts w:hint="eastAsia" w:ascii="仿宋_GB2312" w:hAnsi="仿宋_GB2312" w:eastAsia="仿宋_GB2312" w:cs="仿宋_GB2312"/>
                <w:color w:val="000000"/>
                <w:sz w:val="24"/>
              </w:rPr>
              <w:fldChar w:fldCharType="separate"/>
            </w:r>
            <w:r>
              <w:rPr>
                <w:rFonts w:hint="eastAsia" w:ascii="仿宋_GB2312" w:hAnsi="仿宋_GB2312" w:eastAsia="仿宋_GB2312" w:cs="仿宋_GB2312"/>
                <w:color w:val="000000"/>
                <w:sz w:val="24"/>
              </w:rPr>
              <w:t>宣传</w:t>
            </w:r>
            <w:r>
              <w:rPr>
                <w:rFonts w:hint="eastAsia" w:ascii="仿宋_GB2312" w:hAnsi="仿宋_GB2312" w:eastAsia="仿宋_GB2312" w:cs="仿宋_GB2312"/>
                <w:color w:val="000000"/>
                <w:sz w:val="24"/>
              </w:rPr>
              <w:fldChar w:fldCharType="end"/>
            </w:r>
            <w:r>
              <w:rPr>
                <w:rFonts w:hint="eastAsia" w:ascii="仿宋_GB2312" w:hAnsi="仿宋_GB2312" w:eastAsia="仿宋_GB2312" w:cs="仿宋_GB2312"/>
                <w:color w:val="000000"/>
                <w:sz w:val="24"/>
              </w:rPr>
              <w:t>折页达2万余份，有效提高了群众对自然资源管理法律法规知晓率</w:t>
            </w:r>
            <w:r>
              <w:rPr>
                <w:rFonts w:hint="eastAsia" w:ascii="仿宋_GB2312" w:hAnsi="仿宋_GB2312" w:eastAsia="仿宋_GB2312" w:cs="仿宋_GB2312"/>
                <w:color w:val="000000"/>
                <w:sz w:val="24"/>
                <w:lang w:eastAsia="zh-CN"/>
              </w:rPr>
              <w:t>；</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推进国家耕地保护督察反馈问题和国家自然资源督察武汉局例行督察挂账问题整改工作；严肃查处违法违规行为。</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700" w:type="dxa"/>
            <w:gridSpan w:val="3"/>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564" w:type="dxa"/>
            <w:gridSpan w:val="16"/>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080" w:type="dxa"/>
            <w:vMerge w:val="continue"/>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7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900"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770"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900"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770"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900"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230.16</w:t>
            </w: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136.84</w:t>
            </w: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77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lang w:val="en-US" w:eastAsia="zh-CN"/>
              </w:rPr>
              <w:t>93.07</w:t>
            </w:r>
          </w:p>
        </w:tc>
        <w:tc>
          <w:tcPr>
            <w:tcW w:w="1900"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770"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1900"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Merge w:val="restart"/>
            <w:vAlign w:val="center"/>
          </w:tcPr>
          <w:p>
            <w:pPr>
              <w:keepNext w:val="0"/>
              <w:keepLines w:val="0"/>
              <w:suppressLineNumbers w:val="0"/>
              <w:snapToGrid w:val="0"/>
              <w:spacing w:before="0" w:beforeAutospacing="0" w:after="0" w:afterAutospacing="0" w:line="320" w:lineRule="exact"/>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10"/>
            <w:tcBorders>
              <w:left w:val="single" w:color="auto" w:sz="4" w:space="0"/>
              <w:bottom w:val="single" w:color="auto" w:sz="4" w:space="0"/>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889" w:type="dxa"/>
            <w:gridSpan w:val="6"/>
            <w:tcBorders>
              <w:left w:val="single" w:color="auto" w:sz="4" w:space="0"/>
              <w:bottom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Merge w:val="continue"/>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p>
        </w:tc>
        <w:tc>
          <w:tcPr>
            <w:tcW w:w="1080" w:type="dxa"/>
            <w:vMerge w:val="continue"/>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5"/>
            <w:tcBorders>
              <w:top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gridSpan w:val="3"/>
            <w:tcBorders>
              <w:top w:val="single" w:color="auto" w:sz="4" w:space="0"/>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4"/>
            <w:tcBorders>
              <w:top w:val="single" w:color="auto" w:sz="4" w:space="0"/>
              <w:left w:val="single" w:color="auto" w:sz="4" w:space="0"/>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169" w:type="dxa"/>
            <w:gridSpan w:val="2"/>
            <w:tcBorders>
              <w:top w:val="single" w:color="auto" w:sz="4" w:space="0"/>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p>
        </w:tc>
        <w:tc>
          <w:tcPr>
            <w:tcW w:w="1080" w:type="dxa"/>
            <w:vMerge w:val="continue"/>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gridSpan w:val="3"/>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720" w:type="dxa"/>
            <w:gridSpan w:val="4"/>
            <w:tcBorders>
              <w:left w:val="single" w:color="auto" w:sz="4" w:space="0"/>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169"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080" w:type="dxa"/>
            <w:gridSpan w:val="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720" w:type="dxa"/>
            <w:gridSpan w:val="4"/>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169"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080" w:type="dxa"/>
            <w:gridSpan w:val="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720" w:type="dxa"/>
            <w:gridSpan w:val="4"/>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169"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color w:val="000000"/>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228.82</w:t>
            </w: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190.54</w:t>
            </w: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72.16</w:t>
            </w: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118.38</w:t>
            </w:r>
          </w:p>
        </w:tc>
        <w:tc>
          <w:tcPr>
            <w:tcW w:w="1080" w:type="dxa"/>
            <w:gridSpan w:val="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38.28</w:t>
            </w:r>
          </w:p>
        </w:tc>
        <w:tc>
          <w:tcPr>
            <w:tcW w:w="720" w:type="dxa"/>
            <w:gridSpan w:val="4"/>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1.34</w:t>
            </w:r>
          </w:p>
        </w:tc>
        <w:tc>
          <w:tcPr>
            <w:tcW w:w="1169"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color w:val="000000"/>
                <w:sz w:val="24"/>
              </w:rPr>
            </w:pP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080" w:type="dxa"/>
            <w:gridSpan w:val="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720" w:type="dxa"/>
            <w:gridSpan w:val="4"/>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169"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Merge w:val="restart"/>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564" w:type="dxa"/>
            <w:gridSpan w:val="16"/>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p>
        </w:tc>
        <w:tc>
          <w:tcPr>
            <w:tcW w:w="1080" w:type="dxa"/>
            <w:vMerge w:val="continue"/>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969"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2969"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2969"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969"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25"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965"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2969"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Merge w:val="restart"/>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300" w:type="dxa"/>
            <w:gridSpan w:val="12"/>
            <w:tcBorders>
              <w:left w:val="single" w:color="auto" w:sz="4" w:space="0"/>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264" w:type="dxa"/>
            <w:gridSpan w:val="4"/>
            <w:vMerge w:val="restart"/>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Merge w:val="continue"/>
            <w:vAlign w:val="center"/>
          </w:tcPr>
          <w:p>
            <w:pPr>
              <w:keepNext w:val="0"/>
              <w:keepLines w:val="0"/>
              <w:suppressLineNumbers w:val="0"/>
              <w:spacing w:before="0" w:beforeAutospacing="0" w:after="0" w:afterAutospacing="0" w:line="320" w:lineRule="exact"/>
              <w:ind w:left="0" w:right="0"/>
              <w:jc w:val="center"/>
              <w:rPr>
                <w:rFonts w:hint="default" w:ascii="仿宋_GB2312" w:hAnsi="仿宋_GB2312" w:eastAsia="仿宋_GB2312" w:cs="仿宋_GB2312"/>
                <w:sz w:val="24"/>
              </w:rPr>
            </w:pPr>
          </w:p>
        </w:tc>
        <w:tc>
          <w:tcPr>
            <w:tcW w:w="1080" w:type="dxa"/>
            <w:vMerge w:val="continue"/>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95" w:type="dxa"/>
            <w:gridSpan w:val="3"/>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4905" w:type="dxa"/>
            <w:gridSpan w:val="9"/>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264" w:type="dxa"/>
            <w:gridSpan w:val="4"/>
            <w:vMerge w:val="continue"/>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855"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95" w:type="dxa"/>
            <w:gridSpan w:val="3"/>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4905"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95" w:type="dxa"/>
            <w:gridSpan w:val="3"/>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4905"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5.05</w:t>
            </w:r>
          </w:p>
        </w:tc>
        <w:tc>
          <w:tcPr>
            <w:tcW w:w="1395" w:type="dxa"/>
            <w:gridSpan w:val="3"/>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5.05</w:t>
            </w:r>
          </w:p>
        </w:tc>
        <w:tc>
          <w:tcPr>
            <w:tcW w:w="4905"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24" w:hRule="atLeast"/>
          <w:jc w:val="center"/>
        </w:trPr>
        <w:tc>
          <w:tcPr>
            <w:tcW w:w="1700" w:type="dxa"/>
            <w:gridSpan w:val="3"/>
            <w:vAlign w:val="center"/>
          </w:tcPr>
          <w:p>
            <w:pPr>
              <w:keepNext w:val="0"/>
              <w:keepLines w:val="0"/>
              <w:suppressLineNumbers w:val="0"/>
              <w:spacing w:before="0" w:beforeAutospacing="0" w:after="0" w:afterAutospacing="0" w:line="320" w:lineRule="exact"/>
              <w:ind w:left="0" w:right="0"/>
              <w:jc w:val="left"/>
              <w:rPr>
                <w:rFonts w:hint="default" w:ascii="仿宋_GB2312" w:hAnsi="仿宋_GB2312" w:eastAsia="仿宋_GB2312" w:cs="仿宋_GB2312"/>
                <w:sz w:val="24"/>
              </w:rPr>
            </w:pPr>
          </w:p>
        </w:tc>
        <w:tc>
          <w:tcPr>
            <w:tcW w:w="1080" w:type="dxa"/>
            <w:tcBorders>
              <w:righ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395" w:type="dxa"/>
            <w:gridSpan w:val="3"/>
            <w:tcBorders>
              <w:left w:val="single" w:color="auto" w:sz="4" w:space="0"/>
            </w:tcBorders>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4905" w:type="dxa"/>
            <w:gridSpan w:val="9"/>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1264" w:type="dxa"/>
            <w:gridSpan w:val="4"/>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441" w:type="dxa"/>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2734" w:type="dxa"/>
            <w:gridSpan w:val="6"/>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6169" w:type="dxa"/>
            <w:gridSpan w:val="13"/>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1172"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2734"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z w:val="24"/>
                <w:lang w:val="en-US" w:eastAsia="zh-CN"/>
              </w:rPr>
              <w:t>党建工作首当其冲，</w:t>
            </w:r>
            <w:r>
              <w:rPr>
                <w:rFonts w:hint="eastAsia" w:ascii="仿宋_GB2312" w:hAnsi="仿宋_GB2312" w:eastAsia="仿宋_GB2312" w:cs="仿宋_GB2312"/>
                <w:color w:val="000000"/>
                <w:sz w:val="24"/>
              </w:rPr>
              <w:t>有序按实完成20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年度用地保障、城乡规划工作</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目标</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：完善不动产登记办事流程</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积极推进第三次全国土地调查工作</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加强</w:t>
            </w:r>
            <w:r>
              <w:rPr>
                <w:rFonts w:hint="eastAsia" w:ascii="仿宋_GB2312" w:hAnsi="仿宋_GB2312" w:eastAsia="仿宋_GB2312" w:cs="仿宋_GB2312"/>
                <w:color w:val="000000"/>
                <w:sz w:val="24"/>
              </w:rPr>
              <w:t>执法监察</w:t>
            </w:r>
            <w:r>
              <w:rPr>
                <w:rFonts w:hint="eastAsia" w:ascii="仿宋_GB2312" w:hAnsi="仿宋_GB2312" w:eastAsia="仿宋_GB2312" w:cs="仿宋_GB2312"/>
                <w:color w:val="000000"/>
                <w:sz w:val="24"/>
                <w:lang w:val="en-US" w:eastAsia="zh-CN"/>
              </w:rPr>
              <w:t>力度</w:t>
            </w:r>
          </w:p>
        </w:tc>
        <w:tc>
          <w:tcPr>
            <w:tcW w:w="6169" w:type="dxa"/>
            <w:gridSpan w:val="13"/>
            <w:vAlign w:val="center"/>
          </w:tcPr>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党建工作坚强有力</w:t>
            </w:r>
            <w:r>
              <w:rPr>
                <w:rFonts w:hint="eastAsia" w:ascii="仿宋_GB2312" w:hAnsi="仿宋_GB2312" w:eastAsia="仿宋_GB2312" w:cs="仿宋_GB2312"/>
                <w:color w:val="000000"/>
                <w:sz w:val="24"/>
                <w:lang w:eastAsia="zh-CN"/>
              </w:rPr>
              <w:t>，分局支部</w:t>
            </w:r>
            <w:r>
              <w:rPr>
                <w:rFonts w:hint="eastAsia" w:ascii="仿宋_GB2312" w:hAnsi="仿宋_GB2312" w:eastAsia="仿宋_GB2312" w:cs="仿宋_GB2312"/>
                <w:color w:val="000000"/>
                <w:sz w:val="24"/>
              </w:rPr>
              <w:t>主动强化担当意识，积极落实主体责任，认真履行“一岗双责”，坚持““不忘初心、牢记使命”主题教育常态化，“三会一课”学习固定化，深化落实主题教育思想，确保主题教育沿着正确方向开展。定期召开党风廉政建设工作会议，进一步细化分解责任，加强监督执纪。</w:t>
            </w:r>
            <w:r>
              <w:rPr>
                <w:rFonts w:hint="eastAsia" w:ascii="仿宋_GB2312" w:hAnsi="仿宋_GB2312" w:eastAsia="仿宋_GB2312" w:cs="仿宋_GB2312"/>
                <w:color w:val="000000"/>
                <w:sz w:val="24"/>
                <w:lang w:eastAsia="zh-CN"/>
              </w:rPr>
              <w:t>分局</w:t>
            </w:r>
            <w:r>
              <w:rPr>
                <w:rFonts w:hint="eastAsia" w:ascii="仿宋_GB2312" w:hAnsi="仿宋_GB2312" w:eastAsia="仿宋_GB2312" w:cs="仿宋_GB2312"/>
                <w:color w:val="000000"/>
                <w:sz w:val="24"/>
              </w:rPr>
              <w:t>班子成员认真履行“一岗双责”，紧盯工作薄弱环节和工作重点，加强对分管联系股室教育、监督和管理，并开展廉政谈话。</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rPr>
              <w:t>分局认真贯彻落实新港区党工委、管委会及市局党组的工作部署，20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年度用地保障、城乡规划工作逐步实施，为新港区经济社会持续健康发展提供了自然资源支撑和保障。</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优化完善不动产登记办事流程</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积极推进第三次全国土地调查工作</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已完成新港区</w:t>
            </w:r>
            <w:r>
              <w:rPr>
                <w:rFonts w:hint="eastAsia" w:ascii="仿宋_GB2312" w:hAnsi="仿宋_GB2312" w:eastAsia="仿宋_GB2312" w:cs="仿宋_GB2312"/>
                <w:color w:val="000000"/>
                <w:sz w:val="24"/>
                <w:lang w:val="en-US" w:eastAsia="zh-CN"/>
              </w:rPr>
              <w:t>三调数据的建库、验收和上报</w:t>
            </w:r>
            <w:r>
              <w:rPr>
                <w:rFonts w:hint="eastAsia" w:ascii="仿宋_GB2312" w:hAnsi="仿宋_GB2312" w:eastAsia="仿宋_GB2312" w:cs="仿宋_GB2312"/>
                <w:color w:val="000000"/>
                <w:sz w:val="24"/>
              </w:rPr>
              <w:t>工作</w:t>
            </w:r>
            <w:r>
              <w:rPr>
                <w:rFonts w:hint="eastAsia" w:ascii="仿宋_GB2312" w:hAnsi="仿宋_GB2312" w:eastAsia="仿宋_GB2312" w:cs="仿宋_GB2312"/>
                <w:color w:val="000000"/>
                <w:sz w:val="24"/>
                <w:lang w:eastAsia="zh-CN"/>
              </w:rPr>
              <w:t>。</w:t>
            </w:r>
          </w:p>
          <w:p>
            <w:pPr>
              <w:keepNext w:val="0"/>
              <w:keepLines w:val="0"/>
              <w:suppressLineNumbers w:val="0"/>
              <w:autoSpaceDN w:val="0"/>
              <w:spacing w:before="0" w:beforeAutospacing="0" w:after="0" w:afterAutospacing="0" w:line="320" w:lineRule="exact"/>
              <w:ind w:left="0" w:right="0" w:firstLine="480" w:firstLineChars="200"/>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4、注重在全社会营造良好的自然资源法治环境，有效提高群众对自然资源管理法律法规知晓率。执法监察扎实有力，严肃查处违法违规行为。</w:t>
            </w:r>
          </w:p>
          <w:p>
            <w:pPr>
              <w:keepNext w:val="0"/>
              <w:keepLines w:val="0"/>
              <w:suppressLineNumbers w:val="0"/>
              <w:autoSpaceDN w:val="0"/>
              <w:spacing w:before="0" w:beforeAutospacing="0" w:after="0" w:afterAutospacing="0" w:line="320" w:lineRule="exact"/>
              <w:ind w:left="0" w:right="0"/>
              <w:jc w:val="left"/>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441" w:type="dxa"/>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734" w:type="dxa"/>
            <w:gridSpan w:val="6"/>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290" w:type="dxa"/>
            <w:gridSpan w:val="2"/>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指标1：管理制度健全</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指标2：资金使用合规</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有效完成2020年度供地率目标，近5年平均供地率85%左右。</w:t>
            </w:r>
            <w:r>
              <w:rPr>
                <w:rFonts w:hint="eastAsia" w:ascii="仿宋_GB2312" w:hAnsi="仿宋_GB2312" w:eastAsia="仿宋_GB2312" w:cs="仿宋_GB2312"/>
                <w:color w:val="000000"/>
                <w:sz w:val="24"/>
              </w:rPr>
              <w:t>审核建设用地报批项目21个，拿回建设用地项目审批单9个，批准面积1106.4375亩土地</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挂牌出让土地</w:t>
            </w:r>
            <w:r>
              <w:rPr>
                <w:rFonts w:hint="eastAsia" w:ascii="仿宋_GB2312" w:hAnsi="仿宋_GB2312" w:eastAsia="仿宋_GB2312" w:cs="仿宋_GB2312"/>
                <w:color w:val="000000"/>
                <w:sz w:val="24"/>
                <w:lang w:val="en-US" w:eastAsia="zh-CN"/>
              </w:rPr>
              <w:t>17</w:t>
            </w:r>
            <w:r>
              <w:rPr>
                <w:rFonts w:hint="eastAsia" w:ascii="仿宋_GB2312" w:hAnsi="仿宋_GB2312" w:eastAsia="仿宋_GB2312" w:cs="仿宋_GB2312"/>
                <w:color w:val="000000"/>
                <w:sz w:val="24"/>
              </w:rPr>
              <w:t>宗，出让总面积</w:t>
            </w:r>
            <w:r>
              <w:rPr>
                <w:rFonts w:hint="eastAsia" w:ascii="仿宋_GB2312" w:hAnsi="仿宋_GB2312" w:eastAsia="仿宋_GB2312" w:cs="仿宋_GB2312"/>
                <w:color w:val="000000"/>
                <w:sz w:val="24"/>
                <w:lang w:val="en-US" w:eastAsia="zh-CN"/>
              </w:rPr>
              <w:t>162.8159</w:t>
            </w:r>
            <w:r>
              <w:rPr>
                <w:rFonts w:hint="eastAsia" w:ascii="仿宋_GB2312" w:hAnsi="仿宋_GB2312" w:eastAsia="仿宋_GB2312" w:cs="仿宋_GB2312"/>
                <w:color w:val="000000"/>
                <w:sz w:val="24"/>
              </w:rPr>
              <w:t>公顷</w:t>
            </w:r>
            <w:r>
              <w:rPr>
                <w:rFonts w:hint="eastAsia" w:ascii="仿宋_GB2312" w:hAnsi="仿宋_GB2312" w:eastAsia="仿宋_GB2312" w:cs="仿宋_GB2312"/>
                <w:color w:val="000000"/>
                <w:sz w:val="24"/>
                <w:lang w:eastAsia="zh-CN"/>
              </w:rPr>
              <w:t>。</w:t>
            </w:r>
          </w:p>
        </w:tc>
        <w:tc>
          <w:tcPr>
            <w:tcW w:w="2524" w:type="dxa"/>
            <w:gridSpan w:val="7"/>
            <w:vAlign w:val="top"/>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61"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continue"/>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sz w:val="24"/>
              </w:rPr>
            </w:pP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指标2：控制违法用地数量和面积在较低的比例</w:t>
            </w:r>
          </w:p>
        </w:tc>
        <w:tc>
          <w:tcPr>
            <w:tcW w:w="2524" w:type="dxa"/>
            <w:gridSpan w:val="7"/>
            <w:vAlign w:val="top"/>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指标1：按时完成20</w:t>
            </w:r>
            <w:r>
              <w:rPr>
                <w:rFonts w:hint="eastAsia" w:ascii="仿宋_GB2312" w:hAnsi="仿宋_GB2312" w:eastAsia="仿宋_GB2312" w:cs="仿宋_GB2312"/>
                <w:color w:val="000000"/>
                <w:sz w:val="24"/>
                <w:lang w:val="en-US" w:eastAsia="zh-CN"/>
              </w:rPr>
              <w:t>20</w:t>
            </w:r>
            <w:r>
              <w:rPr>
                <w:rFonts w:hint="eastAsia" w:ascii="仿宋_GB2312" w:hAnsi="仿宋_GB2312" w:eastAsia="仿宋_GB2312" w:cs="仿宋_GB2312"/>
                <w:color w:val="000000"/>
                <w:sz w:val="24"/>
              </w:rPr>
              <w:t>年度用地保障、城乡规划</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continue"/>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指标2：稳步推进国土空间规划编制工作</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Merge w:val="continue"/>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sz w:val="24"/>
              </w:rPr>
            </w:pP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hint="default" w:ascii="仿宋_GB2312" w:hAnsi="仿宋_GB2312" w:eastAsia="仿宋_GB2312" w:cs="仿宋_GB2312"/>
                <w:color w:val="000000"/>
                <w:sz w:val="24"/>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推进征地拆迁工作，完成土地依法征收项目</w:t>
            </w:r>
          </w:p>
        </w:tc>
        <w:tc>
          <w:tcPr>
            <w:tcW w:w="2524" w:type="dxa"/>
            <w:gridSpan w:val="7"/>
            <w:vAlign w:val="top"/>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指标1：部门整体支出≤预算数</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80"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290" w:type="dxa"/>
            <w:gridSpan w:val="2"/>
            <w:vMerge w:val="restart"/>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指标1：提供自然资源支撑和保障</w:t>
            </w:r>
          </w:p>
        </w:tc>
        <w:tc>
          <w:tcPr>
            <w:tcW w:w="2524"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95" w:hRule="atLeast"/>
          <w:jc w:val="center"/>
        </w:trPr>
        <w:tc>
          <w:tcPr>
            <w:tcW w:w="1441" w:type="dxa"/>
            <w:vMerge w:val="continue"/>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rPr>
            </w:pPr>
          </w:p>
        </w:tc>
        <w:tc>
          <w:tcPr>
            <w:tcW w:w="1290" w:type="dxa"/>
            <w:gridSpan w:val="2"/>
            <w:vMerge w:val="continue"/>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rPr>
            </w:pP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指标2：建立国土调查数据库，健全信息管理系统</w:t>
            </w:r>
          </w:p>
        </w:tc>
        <w:tc>
          <w:tcPr>
            <w:tcW w:w="2524" w:type="dxa"/>
            <w:gridSpan w:val="7"/>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指标1：推进新港区重点项目征拆工作提供高效的服务</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指标1：推进土地利用现状和土地权属的调查工作</w:t>
            </w:r>
            <w:r>
              <w:rPr>
                <w:rFonts w:hint="default" w:ascii="仿宋_GB2312" w:hAnsi="仿宋_GB2312" w:eastAsia="仿宋_GB2312" w:cs="仿宋_GB2312"/>
                <w:color w:val="000000"/>
                <w:sz w:val="24"/>
              </w:rPr>
              <w:t xml:space="preserve"> </w:t>
            </w: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454" w:hRule="atLeast"/>
          <w:jc w:val="center"/>
        </w:trPr>
        <w:tc>
          <w:tcPr>
            <w:tcW w:w="1441"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hAnsi="仿宋_GB2312" w:eastAsia="仿宋_GB2312" w:cs="仿宋_GB2312"/>
                <w:sz w:val="24"/>
              </w:rPr>
            </w:pPr>
          </w:p>
        </w:tc>
        <w:tc>
          <w:tcPr>
            <w:tcW w:w="1444" w:type="dxa"/>
            <w:gridSpan w:val="4"/>
            <w:vMerge w:val="continue"/>
            <w:vAlign w:val="center"/>
          </w:tcPr>
          <w:p>
            <w:pPr>
              <w:keepNext w:val="0"/>
              <w:keepLines w:val="0"/>
              <w:suppressLineNumbers w:val="0"/>
              <w:autoSpaceDN w:val="0"/>
              <w:spacing w:before="0" w:beforeAutospacing="0" w:after="0" w:afterAutospacing="0" w:line="320" w:lineRule="exact"/>
              <w:ind w:left="0" w:right="0"/>
              <w:rPr>
                <w:rFonts w:hint="default" w:ascii="仿宋_GB2312" w:hAnsi="仿宋_GB2312" w:eastAsia="仿宋_GB2312" w:cs="仿宋_GB2312"/>
                <w:sz w:val="24"/>
              </w:rPr>
            </w:pPr>
          </w:p>
        </w:tc>
        <w:tc>
          <w:tcPr>
            <w:tcW w:w="1290"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3645" w:type="dxa"/>
            <w:gridSpan w:val="6"/>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指标1：满意度调查</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tc>
        <w:tc>
          <w:tcPr>
            <w:tcW w:w="2524" w:type="dxa"/>
            <w:gridSpan w:val="7"/>
            <w:vAlign w:val="center"/>
          </w:tcPr>
          <w:p>
            <w:pPr>
              <w:keepNext w:val="0"/>
              <w:keepLines w:val="0"/>
              <w:widowControl w:val="0"/>
              <w:suppressLineNumbers w:val="0"/>
              <w:spacing w:before="0" w:beforeAutospacing="0" w:after="0" w:afterAutospacing="0" w:line="320" w:lineRule="exact"/>
              <w:ind w:left="0" w:leftChars="0" w:right="0" w:rightChars="0"/>
              <w:jc w:val="center"/>
              <w:textAlignment w:val="center"/>
              <w:rPr>
                <w:rFonts w:hint="default"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2885"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7459" w:type="dxa"/>
            <w:gridSpan w:val="1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2885"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7459" w:type="dxa"/>
            <w:gridSpan w:val="1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80"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567"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2521"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2519"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650" w:type="dxa"/>
            <w:gridSpan w:val="11"/>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80"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李波</w:t>
            </w:r>
          </w:p>
        </w:tc>
        <w:tc>
          <w:tcPr>
            <w:tcW w:w="2521"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副局长</w:t>
            </w:r>
          </w:p>
        </w:tc>
        <w:tc>
          <w:tcPr>
            <w:tcW w:w="2519"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自然资源和规划局新港</w:t>
            </w:r>
            <w:r>
              <w:rPr>
                <w:rFonts w:hint="eastAsia" w:ascii="仿宋_GB2312" w:hAnsi="仿宋_GB2312" w:eastAsia="仿宋_GB2312" w:cs="仿宋_GB2312"/>
                <w:color w:val="000000"/>
                <w:sz w:val="24"/>
                <w:lang w:val="en-US" w:eastAsia="zh-CN"/>
              </w:rPr>
              <w:t>区</w:t>
            </w:r>
            <w:r>
              <w:rPr>
                <w:rFonts w:hint="eastAsia" w:ascii="仿宋_GB2312" w:hAnsi="仿宋_GB2312" w:eastAsia="仿宋_GB2312" w:cs="仿宋_GB2312"/>
                <w:color w:val="000000"/>
                <w:sz w:val="24"/>
                <w:lang w:eastAsia="zh-CN"/>
              </w:rPr>
              <w:t>分局</w:t>
            </w:r>
          </w:p>
        </w:tc>
        <w:tc>
          <w:tcPr>
            <w:tcW w:w="3650" w:type="dxa"/>
            <w:gridSpan w:val="11"/>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680" w:hRule="atLeast"/>
          <w:jc w:val="center"/>
        </w:trPr>
        <w:tc>
          <w:tcPr>
            <w:tcW w:w="1654" w:type="dxa"/>
            <w:gridSpan w:val="2"/>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李文</w:t>
            </w:r>
          </w:p>
        </w:tc>
        <w:tc>
          <w:tcPr>
            <w:tcW w:w="2521" w:type="dxa"/>
            <w:gridSpan w:val="5"/>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办公室、报账</w:t>
            </w:r>
          </w:p>
        </w:tc>
        <w:tc>
          <w:tcPr>
            <w:tcW w:w="2519" w:type="dxa"/>
            <w:gridSpan w:val="2"/>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自然资源和规划局新港</w:t>
            </w:r>
            <w:r>
              <w:rPr>
                <w:rFonts w:hint="eastAsia" w:ascii="仿宋_GB2312" w:hAnsi="仿宋_GB2312" w:eastAsia="仿宋_GB2312" w:cs="仿宋_GB2312"/>
                <w:color w:val="000000"/>
                <w:sz w:val="24"/>
                <w:lang w:val="en-US" w:eastAsia="zh-CN"/>
              </w:rPr>
              <w:t>区</w:t>
            </w:r>
            <w:r>
              <w:rPr>
                <w:rFonts w:hint="eastAsia" w:ascii="仿宋_GB2312" w:hAnsi="仿宋_GB2312" w:eastAsia="仿宋_GB2312" w:cs="仿宋_GB2312"/>
                <w:color w:val="000000"/>
                <w:sz w:val="24"/>
                <w:lang w:eastAsia="zh-CN"/>
              </w:rPr>
              <w:t>分局</w:t>
            </w:r>
          </w:p>
        </w:tc>
        <w:tc>
          <w:tcPr>
            <w:tcW w:w="3650" w:type="dxa"/>
            <w:gridSpan w:val="11"/>
            <w:vAlign w:val="center"/>
          </w:tcPr>
          <w:p>
            <w:pPr>
              <w:keepNext w:val="0"/>
              <w:keepLines w:val="0"/>
              <w:suppressLineNumbers w:val="0"/>
              <w:autoSpaceDN w:val="0"/>
              <w:spacing w:before="0" w:beforeAutospacing="0" w:after="0" w:afterAutospacing="0" w:line="320" w:lineRule="exact"/>
              <w:ind w:left="0" w:right="0"/>
              <w:jc w:val="center"/>
              <w:textAlignment w:val="center"/>
              <w:rPr>
                <w:rFonts w:hint="default"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2021"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2140" w:hRule="atLeast"/>
          <w:jc w:val="center"/>
        </w:trPr>
        <w:tc>
          <w:tcPr>
            <w:tcW w:w="10344" w:type="dxa"/>
            <w:gridSpan w:val="20"/>
            <w:vAlign w:val="center"/>
          </w:tcPr>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50" w:type="dxa"/>
          <w:trHeight w:val="2794" w:hRule="atLeast"/>
          <w:jc w:val="center"/>
        </w:trPr>
        <w:tc>
          <w:tcPr>
            <w:tcW w:w="10344" w:type="dxa"/>
            <w:gridSpan w:val="20"/>
            <w:vAlign w:val="center"/>
          </w:tcPr>
          <w:p>
            <w:pPr>
              <w:keepNext w:val="0"/>
              <w:keepLines w:val="0"/>
              <w:suppressLineNumbers w:val="0"/>
              <w:spacing w:before="0" w:beforeAutospacing="0" w:after="0" w:afterAutospacing="0" w:line="320" w:lineRule="exact"/>
              <w:ind w:left="0" w:right="0"/>
              <w:rPr>
                <w:rFonts w:hint="default" w:eastAsia="仿宋_GB2312"/>
                <w:sz w:val="24"/>
              </w:rPr>
            </w:pPr>
            <w:r>
              <w:rPr>
                <w:rFonts w:hint="eastAsia" w:eastAsia="仿宋_GB2312"/>
                <w:sz w:val="24"/>
              </w:rPr>
              <w:t>财政部门归口业务科室意见：</w:t>
            </w:r>
          </w:p>
          <w:p>
            <w:pPr>
              <w:keepNext w:val="0"/>
              <w:keepLines w:val="0"/>
              <w:suppressLineNumbers w:val="0"/>
              <w:spacing w:before="0" w:beforeAutospacing="0" w:after="0" w:afterAutospacing="0" w:line="320" w:lineRule="exact"/>
              <w:ind w:left="0" w:right="0"/>
              <w:rPr>
                <w:rFonts w:hint="default" w:eastAsia="仿宋_GB2312"/>
                <w:sz w:val="24"/>
              </w:rPr>
            </w:pPr>
          </w:p>
          <w:p>
            <w:pPr>
              <w:keepNext w:val="0"/>
              <w:keepLines w:val="0"/>
              <w:suppressLineNumbers w:val="0"/>
              <w:spacing w:before="0" w:beforeAutospacing="0" w:after="0" w:afterAutospacing="0" w:line="320" w:lineRule="exact"/>
              <w:ind w:left="0" w:right="0"/>
              <w:rPr>
                <w:rFonts w:hint="default" w:eastAsia="仿宋_GB2312"/>
                <w:sz w:val="24"/>
              </w:rPr>
            </w:pPr>
          </w:p>
          <w:p>
            <w:pPr>
              <w:keepNext w:val="0"/>
              <w:keepLines w:val="0"/>
              <w:suppressLineNumbers w:val="0"/>
              <w:spacing w:before="0" w:beforeAutospacing="0" w:after="0" w:afterAutospacing="0" w:line="320" w:lineRule="exact"/>
              <w:ind w:left="0" w:right="0"/>
              <w:rPr>
                <w:rFonts w:hint="default" w:eastAsia="仿宋_GB2312"/>
                <w:sz w:val="24"/>
              </w:rPr>
            </w:pPr>
          </w:p>
          <w:p>
            <w:pPr>
              <w:keepNext w:val="0"/>
              <w:keepLines w:val="0"/>
              <w:suppressLineNumbers w:val="0"/>
              <w:spacing w:before="0" w:beforeAutospacing="0" w:after="0" w:afterAutospacing="0" w:line="320" w:lineRule="exact"/>
              <w:ind w:left="0" w:right="0"/>
              <w:rPr>
                <w:rFonts w:hint="default" w:eastAsia="仿宋_GB2312"/>
                <w:sz w:val="24"/>
              </w:rPr>
            </w:pPr>
          </w:p>
          <w:p>
            <w:pPr>
              <w:keepNext w:val="0"/>
              <w:keepLines w:val="0"/>
              <w:suppressLineNumbers w:val="0"/>
              <w:spacing w:before="0" w:beforeAutospacing="0" w:after="0" w:afterAutospacing="0" w:line="320" w:lineRule="exact"/>
              <w:ind w:left="0" w:right="0"/>
              <w:rPr>
                <w:rFonts w:hint="default" w:eastAsia="仿宋_GB2312"/>
                <w:sz w:val="24"/>
              </w:rPr>
            </w:pPr>
            <w:r>
              <w:rPr>
                <w:rFonts w:hint="eastAsia" w:eastAsia="仿宋_GB2312"/>
                <w:sz w:val="24"/>
              </w:rPr>
              <w:t xml:space="preserve">                                  财政部门归口业务科室负责人（签章）：</w:t>
            </w:r>
          </w:p>
          <w:p>
            <w:pPr>
              <w:keepNext w:val="0"/>
              <w:keepLines w:val="0"/>
              <w:suppressLineNumbers w:val="0"/>
              <w:autoSpaceDN w:val="0"/>
              <w:spacing w:before="0" w:beforeAutospacing="0" w:after="0" w:afterAutospacing="0" w:line="320" w:lineRule="exact"/>
              <w:ind w:left="0" w:right="0"/>
              <w:jc w:val="left"/>
              <w:textAlignment w:val="center"/>
              <w:rPr>
                <w:rFonts w:hint="default" w:ascii="仿宋_GB2312" w:hAnsi="仿宋_GB2312" w:eastAsia="仿宋_GB2312" w:cs="仿宋_GB2312"/>
                <w:color w:val="000000"/>
                <w:sz w:val="24"/>
              </w:rPr>
            </w:pPr>
            <w:r>
              <w:rPr>
                <w:rFonts w:hint="eastAsia" w:eastAsia="仿宋_GB2312"/>
                <w:sz w:val="24"/>
              </w:rPr>
              <w:t xml:space="preserve">                                                                 年    月   日</w:t>
            </w:r>
          </w:p>
        </w:tc>
      </w:tr>
    </w:tbl>
    <w:p>
      <w:pPr>
        <w:jc w:val="both"/>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李文</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07308422997</w:t>
      </w:r>
    </w:p>
    <w:p>
      <w:pPr>
        <w:rPr>
          <w:rFonts w:eastAsia="仿宋_GB2312" w:cs="仿宋_GB2312"/>
          <w:bCs/>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keepNext w:val="0"/>
              <w:keepLines w:val="0"/>
              <w:suppressLineNumbers w:val="0"/>
              <w:spacing w:before="0" w:beforeAutospacing="0" w:after="0" w:afterAutospacing="0"/>
              <w:ind w:left="0" w:right="0"/>
              <w:jc w:val="center"/>
              <w:rPr>
                <w:rFonts w:hint="default" w:ascii="黑体" w:hAnsi="黑体" w:eastAsia="黑体" w:cs="黑体"/>
                <w:bCs/>
                <w:sz w:val="28"/>
                <w:szCs w:val="28"/>
              </w:rPr>
            </w:pPr>
            <w:r>
              <w:rPr>
                <w:rFonts w:hint="eastAsia" w:ascii="黑体" w:hAnsi="黑体" w:eastAsia="黑体" w:cs="黑体"/>
                <w:bCs/>
                <w:sz w:val="28"/>
                <w:szCs w:val="28"/>
              </w:rPr>
              <w:t>五、评价报告综述</w:t>
            </w:r>
          </w:p>
          <w:p>
            <w:pPr>
              <w:keepNext w:val="0"/>
              <w:keepLines w:val="0"/>
              <w:suppressLineNumbers w:val="0"/>
              <w:spacing w:before="0" w:beforeAutospacing="0" w:after="0" w:afterAutospacing="0" w:line="440" w:lineRule="exact"/>
              <w:ind w:left="0" w:right="0" w:firstLine="640" w:firstLineChars="200"/>
              <w:rPr>
                <w:rFonts w:hint="default" w:eastAsia="仿宋_GB2312"/>
                <w:sz w:val="32"/>
                <w:szCs w:val="32"/>
              </w:rPr>
            </w:pPr>
          </w:p>
          <w:p>
            <w:pPr>
              <w:keepNext w:val="0"/>
              <w:keepLines w:val="0"/>
              <w:suppressLineNumbers w:val="0"/>
              <w:spacing w:before="0" w:beforeAutospacing="0" w:after="0" w:afterAutospacing="0" w:line="560" w:lineRule="exact"/>
              <w:ind w:left="0" w:right="0" w:firstLine="560" w:firstLineChars="200"/>
              <w:rPr>
                <w:rFonts w:hint="default" w:ascii="黑体" w:hAnsi="黑体" w:eastAsia="黑体" w:cs="黑体"/>
                <w:bCs/>
                <w:sz w:val="28"/>
                <w:szCs w:val="28"/>
              </w:rPr>
            </w:pPr>
            <w:r>
              <w:rPr>
                <w:rFonts w:hint="eastAsia" w:ascii="黑体" w:hAnsi="黑体" w:eastAsia="黑体" w:cs="黑体"/>
                <w:bCs/>
                <w:sz w:val="28"/>
                <w:szCs w:val="28"/>
              </w:rPr>
              <w:t>一、部门（单位）概况</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岳阳市自然资源和规划局湖南城陵矶新港区分局</w:t>
            </w:r>
            <w:r>
              <w:rPr>
                <w:rFonts w:hint="eastAsia" w:ascii="仿宋_GB2312" w:hAnsi="仿宋_GB2312" w:eastAsia="仿宋_GB2312" w:cs="仿宋_GB2312"/>
                <w:bCs/>
                <w:sz w:val="28"/>
                <w:szCs w:val="28"/>
              </w:rPr>
              <w:t>负责湖南城陵矶新港区内的土地利用总体规划管理、建设用地报批、基准地价制定、地籍管理、土地出让和转让、国土资源违法案件查处、土地利用动态监测监管、国土资源信息管理、国土资源政策法规宣传。</w:t>
            </w:r>
          </w:p>
          <w:p>
            <w:pPr>
              <w:keepNext w:val="0"/>
              <w:keepLines w:val="0"/>
              <w:numPr>
                <w:ilvl w:val="0"/>
                <w:numId w:val="2"/>
              </w:numPr>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年部门预算包括本级预算和所含预算单位在内的汇总情况。本系统20</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年没有政府性基金预算拨款和纳入专户管理的非税收入拨款收入，也没有使用政府性基金预算拨款和纳入专户管理的非税收入拨款安排的支出。收入包括经费拨款；支出包括保障单位基本运行的经费，也包括项目经费，无国有资本经营收支。</w:t>
            </w:r>
          </w:p>
          <w:p>
            <w:pPr>
              <w:keepNext w:val="0"/>
              <w:keepLines w:val="0"/>
              <w:suppressLineNumbers w:val="0"/>
              <w:spacing w:before="0" w:beforeAutospacing="0" w:after="0" w:afterAutospacing="0" w:line="560" w:lineRule="exact"/>
              <w:ind w:left="0" w:right="0" w:firstLine="560" w:firstLineChars="200"/>
              <w:rPr>
                <w:rFonts w:hint="default" w:ascii="黑体" w:hAnsi="黑体" w:eastAsia="黑体" w:cs="黑体"/>
                <w:bCs/>
                <w:sz w:val="28"/>
                <w:szCs w:val="28"/>
              </w:rPr>
            </w:pPr>
            <w:r>
              <w:rPr>
                <w:rFonts w:hint="eastAsia" w:ascii="黑体" w:hAnsi="黑体" w:eastAsia="黑体" w:cs="黑体"/>
                <w:bCs/>
                <w:sz w:val="28"/>
                <w:szCs w:val="28"/>
              </w:rPr>
              <w:t>二、部门（单位）整体支出管理及使用情况</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基本支出系保障管理处正常运转、完成日常工作任务而发生的各项支出，包括用于在职人员</w:t>
            </w:r>
            <w:r>
              <w:rPr>
                <w:rFonts w:hint="eastAsia" w:ascii="仿宋_GB2312" w:hAnsi="仿宋_GB2312" w:eastAsia="仿宋_GB2312" w:cs="仿宋_GB2312"/>
                <w:bCs/>
                <w:sz w:val="28"/>
                <w:szCs w:val="28"/>
                <w:lang w:val="en-US" w:eastAsia="zh-CN"/>
              </w:rPr>
              <w:t>工资福利</w:t>
            </w:r>
            <w:r>
              <w:rPr>
                <w:rFonts w:hint="eastAsia" w:ascii="仿宋_GB2312" w:hAnsi="仿宋_GB2312" w:eastAsia="仿宋_GB2312" w:cs="仿宋_GB2312"/>
                <w:bCs/>
                <w:sz w:val="28"/>
                <w:szCs w:val="28"/>
              </w:rPr>
              <w:t>等人员经费以及办公费、印刷费、差旅费、办公设备购置等日常公用经费,20</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年基本支出</w:t>
            </w:r>
            <w:r>
              <w:rPr>
                <w:rFonts w:hint="eastAsia" w:ascii="仿宋_GB2312" w:hAnsi="仿宋_GB2312" w:eastAsia="仿宋_GB2312" w:cs="仿宋_GB2312"/>
                <w:bCs/>
                <w:sz w:val="28"/>
                <w:szCs w:val="28"/>
                <w:lang w:val="en-US" w:eastAsia="zh-CN"/>
              </w:rPr>
              <w:t xml:space="preserve"> 190.54 </w:t>
            </w:r>
            <w:r>
              <w:rPr>
                <w:rFonts w:hint="eastAsia" w:ascii="仿宋_GB2312" w:hAnsi="仿宋_GB2312" w:eastAsia="仿宋_GB2312" w:cs="仿宋_GB2312"/>
                <w:bCs/>
                <w:sz w:val="28"/>
                <w:szCs w:val="28"/>
              </w:rPr>
              <w:t>万元（人员支出</w:t>
            </w:r>
            <w:r>
              <w:rPr>
                <w:rFonts w:hint="eastAsia" w:ascii="仿宋_GB2312" w:hAnsi="仿宋_GB2312" w:eastAsia="仿宋_GB2312" w:cs="仿宋_GB2312"/>
                <w:bCs/>
                <w:sz w:val="28"/>
                <w:szCs w:val="28"/>
                <w:lang w:val="en-US" w:eastAsia="zh-CN"/>
              </w:rPr>
              <w:t>72.16</w:t>
            </w:r>
            <w:r>
              <w:rPr>
                <w:rFonts w:hint="eastAsia" w:ascii="仿宋_GB2312" w:hAnsi="仿宋_GB2312" w:eastAsia="仿宋_GB2312" w:cs="仿宋_GB2312"/>
                <w:bCs/>
                <w:sz w:val="28"/>
                <w:szCs w:val="28"/>
              </w:rPr>
              <w:t>万元、公用支出</w:t>
            </w:r>
            <w:r>
              <w:rPr>
                <w:rFonts w:hint="eastAsia" w:ascii="仿宋_GB2312" w:hAnsi="仿宋_GB2312" w:eastAsia="仿宋_GB2312" w:cs="仿宋_GB2312"/>
                <w:bCs/>
                <w:sz w:val="28"/>
                <w:szCs w:val="28"/>
                <w:lang w:val="en-US" w:eastAsia="zh-CN"/>
              </w:rPr>
              <w:t>118.38</w:t>
            </w:r>
            <w:r>
              <w:rPr>
                <w:rFonts w:hint="eastAsia" w:ascii="仿宋_GB2312" w:hAnsi="仿宋_GB2312" w:eastAsia="仿宋_GB2312" w:cs="仿宋_GB2312"/>
                <w:bCs/>
                <w:sz w:val="28"/>
                <w:szCs w:val="28"/>
              </w:rPr>
              <w:t>万元）；</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岳财省建指文［2020］0005号第一批中央重点生态保护修复治理专项资金</w:t>
            </w:r>
            <w:r>
              <w:rPr>
                <w:rFonts w:hint="eastAsia" w:ascii="仿宋_GB2312" w:hAnsi="仿宋_GB2312" w:eastAsia="仿宋_GB2312" w:cs="仿宋_GB2312"/>
                <w:bCs/>
                <w:sz w:val="28"/>
                <w:szCs w:val="28"/>
                <w:lang w:val="en-US" w:eastAsia="zh-CN"/>
              </w:rPr>
              <w:t>已下发38.28万元</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其中：</w:t>
            </w:r>
            <w:r>
              <w:rPr>
                <w:rFonts w:hint="eastAsia" w:ascii="仿宋_GB2312" w:hAnsi="仿宋_GB2312" w:eastAsia="仿宋_GB2312" w:cs="仿宋_GB2312"/>
                <w:bCs/>
                <w:sz w:val="28"/>
                <w:szCs w:val="28"/>
                <w:lang w:eastAsia="zh-CN"/>
              </w:rPr>
              <w:t>滨湖砖厂生态修复项目工程勘查和施工设计</w:t>
            </w:r>
            <w:r>
              <w:rPr>
                <w:rFonts w:hint="eastAsia" w:ascii="仿宋_GB2312" w:hAnsi="仿宋_GB2312" w:eastAsia="仿宋_GB2312" w:cs="仿宋_GB2312"/>
                <w:bCs/>
                <w:sz w:val="28"/>
                <w:szCs w:val="28"/>
                <w:lang w:val="en-US" w:eastAsia="zh-CN"/>
              </w:rPr>
              <w:t>5万元，长江经济带湖南省岳阳市滨湖砖厂生态修复费用33.28万元。</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2、专项资金实际使用情况分析</w:t>
            </w:r>
            <w:bookmarkStart w:id="1" w:name="_GoBack"/>
            <w:bookmarkEnd w:id="1"/>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项目资金“双控”管理，项目资金由项目法人设置专户，实行专款专用、专帐核算。</w:t>
            </w:r>
          </w:p>
          <w:p>
            <w:pPr>
              <w:keepNext w:val="0"/>
              <w:keepLines w:val="0"/>
              <w:suppressLineNumbers w:val="0"/>
              <w:spacing w:before="0" w:beforeAutospacing="0" w:after="0" w:afterAutospacing="0" w:line="560" w:lineRule="exact"/>
              <w:ind w:left="0" w:right="0" w:firstLine="560" w:firstLineChars="200"/>
              <w:rPr>
                <w:rFonts w:hint="default" w:ascii="黑体" w:hAnsi="黑体" w:eastAsia="黑体" w:cs="黑体"/>
                <w:bCs/>
                <w:sz w:val="28"/>
                <w:szCs w:val="28"/>
              </w:rPr>
            </w:pPr>
            <w:r>
              <w:rPr>
                <w:rFonts w:hint="eastAsia" w:ascii="黑体" w:hAnsi="黑体" w:eastAsia="黑体" w:cs="黑体"/>
                <w:bCs/>
                <w:sz w:val="28"/>
                <w:szCs w:val="28"/>
              </w:rPr>
              <w:t>三、部门（单位）专项组织实施情况</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keepNext w:val="0"/>
              <w:keepLines w:val="0"/>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val="en-US" w:eastAsia="zh-CN"/>
              </w:rPr>
              <w:t>按照《湖南省省级财政专项资金分配审批管理办法》（湘政办发[2015]90号）文件要求执行。</w:t>
            </w:r>
          </w:p>
          <w:p>
            <w:pPr>
              <w:keepNext w:val="0"/>
              <w:keepLines w:val="0"/>
              <w:suppressLineNumbers w:val="0"/>
              <w:spacing w:before="0" w:beforeAutospacing="0" w:after="0" w:afterAutospacing="0" w:line="560" w:lineRule="exact"/>
              <w:ind w:left="0" w:right="0" w:firstLine="560" w:firstLineChars="200"/>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keepNext w:val="0"/>
              <w:keepLines w:val="0"/>
              <w:suppressLineNumbers w:val="0"/>
              <w:spacing w:before="0" w:beforeAutospacing="0" w:after="0" w:afterAutospacing="0" w:line="560" w:lineRule="exact"/>
              <w:ind w:left="0" w:right="0" w:firstLine="560" w:firstLineChars="200"/>
              <w:rPr>
                <w:rFonts w:hint="eastAsia" w:ascii="黑体" w:hAnsi="黑体" w:eastAsia="黑体" w:cs="黑体"/>
                <w:bCs/>
                <w:sz w:val="28"/>
                <w:szCs w:val="28"/>
              </w:rPr>
            </w:pPr>
            <w:r>
              <w:rPr>
                <w:rFonts w:hint="eastAsia" w:ascii="仿宋_GB2312" w:hAnsi="仿宋_GB2312" w:eastAsia="仿宋_GB2312" w:cs="仿宋_GB2312"/>
                <w:bCs/>
                <w:sz w:val="28"/>
                <w:szCs w:val="28"/>
              </w:rPr>
              <w:t>根据《湖南省财政厅关于开展2019年度省级财政资金绩效自评工作的通知》的相关规定，在基础数据分析及处理的基础上，</w:t>
            </w:r>
            <w:r>
              <w:rPr>
                <w:rFonts w:hint="eastAsia" w:ascii="仿宋_GB2312" w:hAnsi="仿宋_GB2312" w:eastAsia="仿宋_GB2312" w:cs="仿宋_GB2312"/>
                <w:bCs/>
                <w:sz w:val="28"/>
                <w:szCs w:val="28"/>
                <w:lang w:eastAsia="zh-CN"/>
              </w:rPr>
              <w:t>岳阳市自然资源和规划局湖南城陵矶新港区分局</w:t>
            </w:r>
            <w:r>
              <w:rPr>
                <w:rFonts w:hint="eastAsia" w:ascii="仿宋_GB2312" w:hAnsi="仿宋_GB2312" w:eastAsia="仿宋_GB2312" w:cs="仿宋_GB2312"/>
                <w:bCs/>
                <w:sz w:val="28"/>
                <w:szCs w:val="28"/>
              </w:rPr>
              <w:t>2019年度部门整体支出自评价综合得分为9</w:t>
            </w:r>
            <w:r>
              <w:rPr>
                <w:rFonts w:hint="default" w:ascii="仿宋_GB2312" w:hAnsi="仿宋_GB2312" w:eastAsia="仿宋_GB2312" w:cs="仿宋_GB2312"/>
                <w:bCs/>
                <w:sz w:val="28"/>
                <w:szCs w:val="28"/>
              </w:rPr>
              <w:t>6</w:t>
            </w:r>
            <w:r>
              <w:rPr>
                <w:rFonts w:hint="eastAsia" w:ascii="仿宋_GB2312" w:hAnsi="仿宋_GB2312" w:eastAsia="仿宋_GB2312" w:cs="仿宋_GB2312"/>
                <w:bCs/>
                <w:sz w:val="28"/>
                <w:szCs w:val="28"/>
              </w:rPr>
              <w:t>分，其中、产出指标类得分为5</w:t>
            </w:r>
            <w:r>
              <w:rPr>
                <w:rFonts w:hint="default" w:ascii="仿宋_GB2312" w:hAnsi="仿宋_GB2312" w:eastAsia="仿宋_GB2312" w:cs="仿宋_GB2312"/>
                <w:bCs/>
                <w:sz w:val="28"/>
                <w:szCs w:val="28"/>
              </w:rPr>
              <w:t xml:space="preserve">8 </w:t>
            </w:r>
            <w:r>
              <w:rPr>
                <w:rFonts w:hint="eastAsia" w:ascii="仿宋_GB2312" w:hAnsi="仿宋_GB2312" w:eastAsia="仿宋_GB2312" w:cs="仿宋_GB2312"/>
                <w:bCs/>
                <w:sz w:val="28"/>
                <w:szCs w:val="28"/>
              </w:rPr>
              <w:t>分、效益指标类得分为</w:t>
            </w:r>
            <w:r>
              <w:rPr>
                <w:rFonts w:hint="default" w:ascii="仿宋_GB2312" w:hAnsi="仿宋_GB2312" w:eastAsia="仿宋_GB2312" w:cs="仿宋_GB2312"/>
                <w:bCs/>
                <w:sz w:val="28"/>
                <w:szCs w:val="28"/>
              </w:rPr>
              <w:t>28</w:t>
            </w:r>
            <w:r>
              <w:rPr>
                <w:rFonts w:hint="eastAsia" w:ascii="仿宋_GB2312" w:hAnsi="仿宋_GB2312" w:eastAsia="仿宋_GB2312" w:cs="仿宋_GB2312"/>
                <w:bCs/>
                <w:sz w:val="28"/>
                <w:szCs w:val="28"/>
              </w:rPr>
              <w:t>分、满意度指标得分为10分。</w:t>
            </w:r>
          </w:p>
          <w:p>
            <w:pPr>
              <w:keepNext w:val="0"/>
              <w:keepLines w:val="0"/>
              <w:numPr>
                <w:ilvl w:val="0"/>
                <w:numId w:val="3"/>
              </w:numPr>
              <w:suppressLineNumbers w:val="0"/>
              <w:spacing w:before="0" w:beforeAutospacing="0" w:after="0" w:afterAutospacing="0" w:line="560" w:lineRule="exact"/>
              <w:ind w:left="0" w:right="0"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（一）财务管理方面</w:t>
            </w:r>
          </w:p>
          <w:p>
            <w:pPr>
              <w:keepNext w:val="0"/>
              <w:keepLines w:val="0"/>
              <w:suppressLineNumbers w:val="0"/>
              <w:spacing w:before="0" w:beforeAutospacing="0" w:after="0" w:afterAutospacing="0" w:line="560" w:lineRule="exact"/>
              <w:ind w:left="0" w:right="0" w:firstLine="560" w:firstLineChars="200"/>
              <w:rPr>
                <w:rFonts w:hint="default" w:ascii="仿宋_GB2312" w:hAnsi="仿宋_GB2312" w:eastAsia="仿宋_GB2312" w:cs="仿宋_GB2312"/>
                <w:bCs/>
                <w:sz w:val="28"/>
                <w:szCs w:val="28"/>
                <w:lang w:val="en-US"/>
              </w:rPr>
            </w:pPr>
            <w:r>
              <w:rPr>
                <w:rFonts w:hint="eastAsia" w:ascii="仿宋_GB2312" w:hAnsi="仿宋_GB2312" w:eastAsia="仿宋_GB2312" w:cs="仿宋_GB2312"/>
                <w:bCs/>
                <w:sz w:val="28"/>
                <w:szCs w:val="28"/>
                <w:lang w:eastAsia="zh-CN"/>
              </w:rPr>
              <w:t>岳阳市自然资源和规划局湖南城陵矶新港区分局</w:t>
            </w:r>
            <w:r>
              <w:rPr>
                <w:rFonts w:hint="eastAsia" w:ascii="仿宋_GB2312" w:hAnsi="仿宋_GB2312" w:eastAsia="仿宋_GB2312" w:cs="仿宋_GB2312"/>
                <w:bCs/>
                <w:sz w:val="28"/>
                <w:szCs w:val="28"/>
              </w:rPr>
              <w:t>为市自然资源和规划局、湖南城陵矶新港区双重管理单位，自2013年成立至今，根据相关文件规定，分局人员经费由市财政按年度预算拨付，专项工作经费由新港区财政预算拨付，由于经费来源渠道不同，市财政资金和新港区财政资金财务</w:t>
            </w:r>
            <w:r>
              <w:rPr>
                <w:rFonts w:hint="eastAsia" w:ascii="仿宋_GB2312" w:hAnsi="仿宋_GB2312" w:eastAsia="仿宋_GB2312" w:cs="仿宋_GB2312"/>
                <w:bCs/>
                <w:sz w:val="28"/>
                <w:szCs w:val="28"/>
                <w:lang w:val="en-US" w:eastAsia="zh-CN"/>
              </w:rPr>
              <w:t>管理工作较繁杂，账务系统单独核算，预决算、绩效及资产管理实行双向管理。</w:t>
            </w:r>
          </w:p>
          <w:p>
            <w:pPr>
              <w:keepNext w:val="0"/>
              <w:keepLines w:val="0"/>
              <w:numPr>
                <w:ilvl w:val="0"/>
                <w:numId w:val="0"/>
              </w:numPr>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二</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历史遗留问题多，由于以前规划工作管理不规范等原因，部分项目存在未批先建，部分审批环节、审批文件缺失等情况，按法定程序进行审批，难度较大。</w:t>
            </w:r>
          </w:p>
          <w:p>
            <w:pPr>
              <w:keepNext w:val="0"/>
              <w:keepLines w:val="0"/>
              <w:numPr>
                <w:ilvl w:val="0"/>
                <w:numId w:val="0"/>
              </w:numPr>
              <w:suppressLineNumbers w:val="0"/>
              <w:spacing w:before="0" w:beforeAutospacing="0" w:after="0" w:afterAutospacing="0" w:line="560" w:lineRule="exact"/>
              <w:ind w:left="0" w:right="0" w:firstLine="560" w:firstLineChars="2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三</w:t>
            </w:r>
            <w:r>
              <w:rPr>
                <w:rFonts w:hint="eastAsia" w:ascii="仿宋_GB2312" w:hAnsi="仿宋_GB2312" w:eastAsia="仿宋_GB2312" w:cs="仿宋_GB2312"/>
                <w:bCs/>
                <w:sz w:val="28"/>
                <w:szCs w:val="28"/>
                <w:lang w:eastAsia="zh-CN"/>
              </w:rPr>
              <w:t>）违法用地形势依然严峻。当前新港区正处于工业、城镇和产业发展的快车道，项目建设挤占耕地，非法占地行为时有发生，打击违法占地行</w:t>
            </w:r>
            <w:r>
              <w:rPr>
                <w:rFonts w:hint="eastAsia" w:ascii="仿宋_GB2312" w:hAnsi="仿宋_GB2312" w:eastAsia="仿宋_GB2312" w:cs="仿宋_GB2312"/>
                <w:bCs/>
                <w:sz w:val="28"/>
                <w:szCs w:val="28"/>
              </w:rPr>
              <w:t>为任务仍然艰巨。</w:t>
            </w:r>
          </w:p>
          <w:p>
            <w:pPr>
              <w:keepNext w:val="0"/>
              <w:keepLines w:val="0"/>
              <w:numPr>
                <w:ilvl w:val="0"/>
                <w:numId w:val="0"/>
              </w:numPr>
              <w:suppressLineNumbers w:val="0"/>
              <w:spacing w:before="0" w:beforeAutospacing="0" w:after="0" w:afterAutospacing="0" w:line="560" w:lineRule="exact"/>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四</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人员少、任务重的矛盾日益突出。随着</w:t>
            </w:r>
            <w:r>
              <w:rPr>
                <w:rFonts w:hint="eastAsia" w:ascii="仿宋_GB2312" w:hAnsi="仿宋_GB2312" w:eastAsia="仿宋_GB2312" w:cs="仿宋_GB2312"/>
                <w:bCs/>
                <w:sz w:val="28"/>
                <w:szCs w:val="28"/>
                <w:lang w:eastAsia="zh-CN"/>
              </w:rPr>
              <w:t>新港</w:t>
            </w:r>
            <w:r>
              <w:rPr>
                <w:rFonts w:hint="eastAsia" w:ascii="仿宋_GB2312" w:hAnsi="仿宋_GB2312" w:eastAsia="仿宋_GB2312" w:cs="仿宋_GB2312"/>
                <w:bCs/>
                <w:sz w:val="28"/>
                <w:szCs w:val="28"/>
              </w:rPr>
              <w:t>经济的发展和</w:t>
            </w:r>
            <w:r>
              <w:rPr>
                <w:rFonts w:hint="eastAsia" w:ascii="仿宋_GB2312" w:hAnsi="仿宋_GB2312" w:eastAsia="仿宋_GB2312" w:cs="仿宋_GB2312"/>
                <w:bCs/>
                <w:sz w:val="28"/>
                <w:szCs w:val="28"/>
                <w:lang w:eastAsia="zh-CN"/>
              </w:rPr>
              <w:t>自然</w:t>
            </w:r>
            <w:r>
              <w:rPr>
                <w:rFonts w:hint="eastAsia" w:ascii="仿宋_GB2312" w:hAnsi="仿宋_GB2312" w:eastAsia="仿宋_GB2312" w:cs="仿宋_GB2312"/>
                <w:bCs/>
                <w:sz w:val="28"/>
                <w:szCs w:val="28"/>
              </w:rPr>
              <w:t>资源改革政策的深化，</w:t>
            </w:r>
            <w:r>
              <w:rPr>
                <w:rFonts w:hint="eastAsia" w:ascii="仿宋_GB2312" w:hAnsi="仿宋_GB2312" w:eastAsia="仿宋_GB2312" w:cs="仿宋_GB2312"/>
                <w:bCs/>
                <w:sz w:val="28"/>
                <w:szCs w:val="28"/>
                <w:lang w:eastAsia="zh-CN"/>
              </w:rPr>
              <w:t>自然</w:t>
            </w:r>
            <w:r>
              <w:rPr>
                <w:rFonts w:hint="eastAsia" w:ascii="仿宋_GB2312" w:hAnsi="仿宋_GB2312" w:eastAsia="仿宋_GB2312" w:cs="仿宋_GB2312"/>
                <w:bCs/>
                <w:sz w:val="28"/>
                <w:szCs w:val="28"/>
              </w:rPr>
              <w:t>资源管理任务越发繁重，</w:t>
            </w:r>
            <w:r>
              <w:rPr>
                <w:rFonts w:hint="eastAsia" w:ascii="仿宋_GB2312" w:hAnsi="仿宋_GB2312" w:eastAsia="仿宋_GB2312" w:cs="仿宋_GB2312"/>
                <w:bCs/>
                <w:sz w:val="28"/>
                <w:szCs w:val="28"/>
                <w:lang w:eastAsia="zh-CN"/>
              </w:rPr>
              <w:t>分局</w:t>
            </w:r>
            <w:r>
              <w:rPr>
                <w:rFonts w:hint="eastAsia" w:ascii="仿宋_GB2312" w:hAnsi="仿宋_GB2312" w:eastAsia="仿宋_GB2312" w:cs="仿宋_GB2312"/>
                <w:bCs/>
                <w:sz w:val="28"/>
                <w:szCs w:val="28"/>
              </w:rPr>
              <w:t>目前的人员状况已经难以适应</w:t>
            </w:r>
            <w:r>
              <w:rPr>
                <w:rFonts w:hint="eastAsia" w:ascii="仿宋_GB2312" w:hAnsi="仿宋_GB2312" w:eastAsia="仿宋_GB2312" w:cs="仿宋_GB2312"/>
                <w:bCs/>
                <w:sz w:val="28"/>
                <w:szCs w:val="28"/>
                <w:lang w:eastAsia="zh-CN"/>
              </w:rPr>
              <w:t>新港区自然</w:t>
            </w:r>
            <w:r>
              <w:rPr>
                <w:rFonts w:hint="eastAsia" w:ascii="仿宋_GB2312" w:hAnsi="仿宋_GB2312" w:eastAsia="仿宋_GB2312" w:cs="仿宋_GB2312"/>
                <w:bCs/>
                <w:sz w:val="28"/>
                <w:szCs w:val="28"/>
              </w:rPr>
              <w:t>资源管理发展的需要</w:t>
            </w:r>
            <w:r>
              <w:rPr>
                <w:rFonts w:hint="eastAsia" w:ascii="仿宋_GB2312" w:hAnsi="仿宋_GB2312" w:eastAsia="仿宋_GB2312" w:cs="仿宋_GB2312"/>
                <w:bCs/>
                <w:sz w:val="28"/>
                <w:szCs w:val="28"/>
                <w:lang w:eastAsia="zh-CN"/>
              </w:rPr>
              <w:t>。</w:t>
            </w:r>
          </w:p>
          <w:p>
            <w:pPr>
              <w:keepNext w:val="0"/>
              <w:keepLines w:val="0"/>
              <w:suppressLineNumbers w:val="0"/>
              <w:spacing w:before="0" w:beforeAutospacing="0" w:after="0" w:afterAutospacing="0" w:line="560" w:lineRule="exact"/>
              <w:ind w:left="0" w:right="0" w:firstLine="562" w:firstLineChars="200"/>
              <w:rPr>
                <w:rFonts w:hint="default"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六、改进措施和有关建议</w:t>
            </w:r>
          </w:p>
          <w:p>
            <w:pPr>
              <w:keepNext w:val="0"/>
              <w:keepLines w:val="0"/>
              <w:suppressLineNumbers w:val="0"/>
              <w:spacing w:before="0" w:beforeAutospacing="0" w:after="0" w:afterAutospacing="0"/>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（一）严格执行财务管理制度</w:t>
            </w:r>
          </w:p>
          <w:p>
            <w:pPr>
              <w:keepNext w:val="0"/>
              <w:keepLines w:val="0"/>
              <w:suppressLineNumbers w:val="0"/>
              <w:spacing w:before="0" w:beforeAutospacing="0" w:after="0" w:afterAutospacing="0"/>
              <w:ind w:left="0" w:right="0"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业务经办人填制费用报销单，费用报销单应按规定填写项目名称、支出内容、支出金额等，确保要素齐全，内容真实完整，并附相应单据。经办人对经济业务、单据的真实性、合规性负责。</w:t>
            </w:r>
            <w:r>
              <w:rPr>
                <w:rFonts w:hint="eastAsia" w:ascii="仿宋_GB2312" w:hAnsi="仿宋_GB2312" w:eastAsia="仿宋_GB2312" w:cs="仿宋_GB2312"/>
                <w:bCs/>
                <w:sz w:val="28"/>
                <w:szCs w:val="28"/>
                <w:lang w:val="en-US" w:eastAsia="zh-CN"/>
              </w:rPr>
              <w:t>做好财务核算、预决算、绩效评价、资产管理和内控工作。</w:t>
            </w:r>
          </w:p>
          <w:p>
            <w:pPr>
              <w:keepNext w:val="0"/>
              <w:keepLines w:val="0"/>
              <w:suppressLineNumbers w:val="0"/>
              <w:spacing w:before="0" w:beforeAutospacing="0" w:after="0" w:afterAutospacing="0"/>
              <w:ind w:left="0" w:right="0" w:firstLine="560" w:firstLineChars="200"/>
              <w:rPr>
                <w:rFonts w:hint="default" w:ascii="仿宋_GB2312" w:hAnsi="仿宋_GB2312" w:eastAsia="仿宋_GB2312" w:cs="仿宋_GB2312"/>
                <w:bCs/>
                <w:sz w:val="28"/>
                <w:szCs w:val="28"/>
              </w:rPr>
            </w:pPr>
            <w:r>
              <w:rPr>
                <w:rFonts w:hint="eastAsia" w:ascii="仿宋_GB2312" w:hAnsi="仿宋_GB2312" w:eastAsia="仿宋_GB2312" w:cs="仿宋_GB2312"/>
                <w:bCs/>
                <w:sz w:val="28"/>
                <w:szCs w:val="28"/>
              </w:rPr>
              <w:t>（二）加大力度做好用地保障工作</w:t>
            </w:r>
          </w:p>
          <w:p>
            <w:pPr>
              <w:keepNext w:val="0"/>
              <w:keepLines w:val="0"/>
              <w:suppressLineNumbers w:val="0"/>
              <w:spacing w:before="0" w:beforeAutospacing="0" w:after="0" w:afterAutospacing="0"/>
              <w:ind w:left="0" w:right="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以保障重点项目的建设为首要任务，积极盘活存量建设用地，采取协商收回、协议置换、自行开发等多种形式推进城镇低效用地二次开发。统筹做好项目用地保障工作</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在用地报批工作上找准发力点，提前解决耕地占补平衡指标和建设用地指标两大难题，按照“好而优又快则先”的原则，确保重点产业和保障性安居工程等民生项目用地需求。规范土地出让工作</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加大批而未供土地处置力度，加快土地出让进度，依法依规、全额收缴土地出让金，提高供地率和土地出让收益。</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default" w:eastAsia="楷体_GB2312"/>
                <w:bCs/>
                <w:sz w:val="28"/>
                <w:szCs w:val="28"/>
              </w:rPr>
            </w:pP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三</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做好“多规合一”准备工作</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对现有数据、文件等资料进行整理归纳，为“多规合一”工作顺利有序</w:t>
            </w:r>
            <w:r>
              <w:rPr>
                <w:rFonts w:hint="eastAsia" w:ascii="仿宋_GB2312" w:hAnsi="仿宋_GB2312" w:eastAsia="仿宋_GB2312" w:cs="仿宋_GB2312"/>
                <w:bCs/>
                <w:sz w:val="28"/>
                <w:szCs w:val="28"/>
                <w:lang w:eastAsia="zh-CN"/>
              </w:rPr>
              <w:t>的</w:t>
            </w:r>
            <w:r>
              <w:rPr>
                <w:rFonts w:hint="eastAsia" w:ascii="仿宋_GB2312" w:hAnsi="仿宋_GB2312" w:eastAsia="仿宋_GB2312" w:cs="仿宋_GB2312"/>
                <w:bCs/>
                <w:sz w:val="28"/>
                <w:szCs w:val="28"/>
              </w:rPr>
              <w:t>开展打下良好基础。</w:t>
            </w:r>
          </w:p>
        </w:tc>
      </w:tr>
    </w:tbl>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4"/>
        <w:szCs w:val="24"/>
      </w:rPr>
    </w:pPr>
    <w:r>
      <w:rPr>
        <w:rStyle w:val="10"/>
        <w:rFonts w:hint="eastAsia"/>
        <w:sz w:val="24"/>
        <w:szCs w:val="24"/>
      </w:rPr>
      <w:t xml:space="preserve">— </w:t>
    </w: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9</w:t>
    </w:r>
    <w:r>
      <w:rPr>
        <w:sz w:val="24"/>
        <w:szCs w:val="24"/>
      </w:rPr>
      <w:fldChar w:fldCharType="end"/>
    </w:r>
    <w:r>
      <w:rPr>
        <w:rStyle w:val="10"/>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7"/>
      <w:lvlText w:val="%1."/>
      <w:lvlJc w:val="left"/>
      <w:pPr>
        <w:tabs>
          <w:tab w:val="left" w:pos="780"/>
        </w:tabs>
        <w:ind w:left="780" w:hanging="360"/>
      </w:pPr>
    </w:lvl>
  </w:abstractNum>
  <w:abstractNum w:abstractNumId="1">
    <w:nsid w:val="487B2E32"/>
    <w:multiLevelType w:val="singleLevel"/>
    <w:tmpl w:val="487B2E32"/>
    <w:lvl w:ilvl="0" w:tentative="0">
      <w:start w:val="5"/>
      <w:numFmt w:val="chineseCounting"/>
      <w:suff w:val="nothing"/>
      <w:lvlText w:val="%1、"/>
      <w:lvlJc w:val="left"/>
      <w:rPr>
        <w:rFonts w:hint="eastAsia"/>
      </w:rPr>
    </w:lvl>
  </w:abstractNum>
  <w:abstractNum w:abstractNumId="2">
    <w:nsid w:val="61E152C2"/>
    <w:multiLevelType w:val="singleLevel"/>
    <w:tmpl w:val="61E152C2"/>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6E21C4A"/>
    <w:rsid w:val="117075D0"/>
    <w:rsid w:val="19293FF8"/>
    <w:rsid w:val="195301C9"/>
    <w:rsid w:val="1AB752B7"/>
    <w:rsid w:val="1D783DF3"/>
    <w:rsid w:val="2283259A"/>
    <w:rsid w:val="30255754"/>
    <w:rsid w:val="35FD7CA3"/>
    <w:rsid w:val="3CAF0751"/>
    <w:rsid w:val="454C3CDD"/>
    <w:rsid w:val="45551DD6"/>
    <w:rsid w:val="46446976"/>
    <w:rsid w:val="4AD702C3"/>
    <w:rsid w:val="4AF62E87"/>
    <w:rsid w:val="4B530EB2"/>
    <w:rsid w:val="4C5234BD"/>
    <w:rsid w:val="51C765E2"/>
    <w:rsid w:val="51E65F7C"/>
    <w:rsid w:val="52D54E20"/>
    <w:rsid w:val="56AB2B2A"/>
    <w:rsid w:val="599F7E4E"/>
    <w:rsid w:val="5E0E53F4"/>
    <w:rsid w:val="6510197B"/>
    <w:rsid w:val="6C917EB1"/>
    <w:rsid w:val="747D3DAF"/>
    <w:rsid w:val="7B6B412B"/>
    <w:rsid w:val="7D761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Indent 2"/>
    <w:basedOn w:val="1"/>
    <w:link w:val="15"/>
    <w:unhideWhenUsed/>
    <w:qFormat/>
    <w:uiPriority w:val="99"/>
    <w:pPr>
      <w:ind w:firstLine="588" w:firstLineChars="200"/>
    </w:pPr>
    <w:rPr>
      <w:rFonts w:ascii="仿宋_GB2312" w:hAnsi="Calibri" w:eastAsia="仿宋_GB2312"/>
      <w:sz w:val="32"/>
    </w:rPr>
  </w:style>
  <w:style w:type="paragraph" w:styleId="3">
    <w:name w:val="Balloon Text"/>
    <w:basedOn w:val="1"/>
    <w:link w:val="18"/>
    <w:semiHidden/>
    <w:qFormat/>
    <w:uiPriority w:val="0"/>
    <w:rPr>
      <w:sz w:val="18"/>
      <w:szCs w:val="18"/>
    </w:rPr>
  </w:style>
  <w:style w:type="paragraph" w:styleId="4">
    <w:name w:val="footer"/>
    <w:basedOn w:val="1"/>
    <w:link w:val="12"/>
    <w:unhideWhenUsed/>
    <w:qFormat/>
    <w:uiPriority w:val="0"/>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page number"/>
    <w:qFormat/>
    <w:uiPriority w:val="0"/>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qFormat/>
    <w:uiPriority w:val="0"/>
    <w:rPr>
      <w:sz w:val="18"/>
      <w:szCs w:val="18"/>
    </w:rPr>
  </w:style>
  <w:style w:type="character" w:customStyle="1" w:styleId="13">
    <w:name w:val="标题 3 Char Char"/>
    <w:qFormat/>
    <w:uiPriority w:val="0"/>
    <w:rPr>
      <w:rFonts w:eastAsia="楷体_GB2312"/>
      <w:b/>
      <w:kern w:val="2"/>
      <w:sz w:val="32"/>
      <w:szCs w:val="24"/>
      <w:lang w:val="en-US" w:eastAsia="zh-CN" w:bidi="ar-SA"/>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character" w:customStyle="1" w:styleId="15">
    <w:name w:val="正文文本缩进 2 Char"/>
    <w:basedOn w:val="8"/>
    <w:link w:val="2"/>
    <w:qFormat/>
    <w:uiPriority w:val="99"/>
    <w:rPr>
      <w:rFonts w:ascii="仿宋_GB2312" w:hAnsi="Calibri" w:eastAsia="仿宋_GB2312" w:cs="Times New Roman"/>
      <w:sz w:val="32"/>
      <w:szCs w:val="24"/>
    </w:rPr>
  </w:style>
  <w:style w:type="paragraph" w:customStyle="1" w:styleId="16">
    <w:name w:val="Char1"/>
    <w:basedOn w:val="1"/>
    <w:qFormat/>
    <w:uiPriority w:val="0"/>
    <w:rPr>
      <w:rFonts w:ascii="仿宋_GB2312" w:eastAsia="仿宋_GB2312"/>
      <w:sz w:val="32"/>
    </w:rPr>
  </w:style>
  <w:style w:type="paragraph" w:customStyle="1" w:styleId="17">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8">
    <w:name w:val="批注框文本 Char"/>
    <w:basedOn w:val="8"/>
    <w:link w:val="3"/>
    <w:semiHidden/>
    <w:qFormat/>
    <w:uiPriority w:val="0"/>
    <w:rPr>
      <w:rFonts w:ascii="Times New Roman" w:hAnsi="Times New Roman" w:eastAsia="宋体" w:cs="Times New Roman"/>
      <w:sz w:val="18"/>
      <w:szCs w:val="18"/>
    </w:rPr>
  </w:style>
  <w:style w:type="character" w:customStyle="1" w:styleId="19">
    <w:name w:val="15"/>
    <w:basedOn w:val="8"/>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1642</Words>
  <Characters>9361</Characters>
  <Lines>1</Lines>
  <Paragraphs>1</Paragraphs>
  <TotalTime>31</TotalTime>
  <ScaleCrop>false</ScaleCrop>
  <LinksUpToDate>false</LinksUpToDate>
  <CharactersWithSpaces>10982</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YZH</cp:lastModifiedBy>
  <dcterms:modified xsi:type="dcterms:W3CDTF">2021-08-02T03:41:54Z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B5A183162EBC427EA77C8DB0D2957005</vt:lpwstr>
  </property>
</Properties>
</file>