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司法局机关2021年度部门预算公开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auto"/>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5000" w:type="pct"/>
            <w:tcBorders>
              <w:top w:val="nil"/>
              <w:left w:val="nil"/>
              <w:bottom w:val="nil"/>
              <w:right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2021年部门预算说明</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第二部分  部门预算公开表格</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cs="仿宋_GB2312"/>
                <w:i w:val="0"/>
                <w:iCs w:val="0"/>
                <w:color w:val="auto"/>
                <w:kern w:val="0"/>
                <w:sz w:val="28"/>
                <w:szCs w:val="28"/>
                <w:u w:val="none"/>
                <w:lang w:val="en-US" w:eastAsia="zh-CN" w:bidi="ar"/>
              </w:rPr>
              <w:t>二十四、一般公共预算基本支出总表</w:t>
            </w:r>
          </w:p>
          <w:p>
            <w:pPr>
              <w:keepNext w:val="0"/>
              <w:keepLines w:val="0"/>
              <w:widowControl/>
              <w:numPr>
                <w:numId w:val="0"/>
              </w:numPr>
              <w:suppressLineNumbers w:val="0"/>
              <w:jc w:val="left"/>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一、部门基本概况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ind w:firstLine="0" w:firstLineChars="0"/>
              <w:rPr>
                <w:rFonts w:hint="eastAsia" w:ascii="仿宋_GB2312" w:hAnsi="仿宋_GB2312" w:eastAsia="仿宋_GB2312" w:cs="仿宋_GB2312"/>
                <w:color w:val="auto"/>
                <w:sz w:val="28"/>
                <w:szCs w:val="28"/>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仿宋_GB2312" w:eastAsia="仿宋_GB2312" w:cs="仿宋_GB2312"/>
                <w:color w:val="auto"/>
                <w:sz w:val="28"/>
                <w:szCs w:val="28"/>
              </w:rPr>
              <w:t>市司法局贯彻落实党中央关于全面依法治国工作的方针政策和决策部署，全面落实市委关于全面依法治市工作的部署要求，在履行职责过程中坚持和加强党对全面依法治市的集中统一领导。主要职责是：</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1、承担全面依法治市重大问题的政策研究</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2、承担统筹规划立法工作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3、负责起草或者组织起草有关地方性法规、规章草案</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4、承办市政府规章的解释、立法后评估工作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5、指导全市规范性文件管理有关工作，承担市政府规范性文件送审稿的合法性审查工作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6、承担统筹推进法治政府建设工作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7、负责对政府合同订立工作进行监督和指导</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8、承担统筹规划全市法治社会建设工作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9、指导、管理社区矫正工作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10、指导、监督本系统强制隔离戒毒执行和戒毒康复工作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11、拟订公共法律服务体系建设规划并指导实施</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12、组织全市国家统一法律职业资格考试</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13、负责全市法治对外合作工作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14、负责本系统枪支、弹药、服装和警车管理工作</w:t>
            </w:r>
            <w:r>
              <w:rPr>
                <w:rFonts w:hint="eastAsia" w:ascii="仿宋_GB2312" w:hAnsi="仿宋_GB2312" w:cs="仿宋_GB2312"/>
                <w:color w:val="auto"/>
                <w:sz w:val="28"/>
                <w:szCs w:val="28"/>
                <w:lang w:eastAsia="zh-CN"/>
              </w:rPr>
              <w:t>；</w:t>
            </w:r>
          </w:p>
          <w:p>
            <w:pPr>
              <w:ind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15、规划、协调、指导法治人才队伍建设相关工作</w:t>
            </w:r>
            <w:r>
              <w:rPr>
                <w:rFonts w:hint="eastAsia" w:ascii="仿宋_GB2312" w:hAnsi="仿宋_GB2312" w:cs="仿宋_GB2312"/>
                <w:color w:val="auto"/>
                <w:sz w:val="28"/>
                <w:szCs w:val="28"/>
                <w:lang w:eastAsia="zh-CN"/>
              </w:rPr>
              <w:t>；</w:t>
            </w:r>
          </w:p>
          <w:p>
            <w:pPr>
              <w:ind w:firstLine="0" w:firstLineChars="0"/>
              <w:rPr>
                <w:rFonts w:hint="eastAsia" w:ascii="仿宋_GB2312" w:hAnsi="宋体" w:eastAsia="仿宋_GB2312" w:cs="仿宋_GB2312"/>
                <w:i w:val="0"/>
                <w:iCs w:val="0"/>
                <w:color w:val="auto"/>
                <w:sz w:val="28"/>
                <w:szCs w:val="28"/>
                <w:u w:val="none"/>
                <w:lang w:eastAsia="zh-CN"/>
              </w:rPr>
            </w:pP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16、完成市委、市政府交办的其他事项</w:t>
            </w:r>
            <w:r>
              <w:rPr>
                <w:rFonts w:hint="eastAsia" w:ascii="仿宋_GB2312" w:hAnsi="仿宋_GB2312" w:cs="仿宋_GB2312"/>
                <w:color w:val="auto"/>
                <w:sz w:val="28"/>
                <w:szCs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仿宋_GB2312" w:eastAsia="仿宋_GB2312" w:cs="仿宋_GB2312"/>
                <w:color w:val="auto"/>
                <w:sz w:val="28"/>
                <w:szCs w:val="28"/>
              </w:rPr>
              <w:t>根据编委核定，我局内设17 个科室，所属二级机构 2个，内设科室分别是：办公室、法治调研与督察科、立法科、规范性文件管理科、政府合同管理科、行政复议科、行政应诉科、行政执法协调监督科、人民参与和促进法治科、社区矫正管理科、戒毒管理科、公共法律服务管理科、律师工作科、装备财务保障科、政治部、机关党委、离退休人员管理服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二、部门预算单位构成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所属单位包括</w:t>
            </w:r>
            <w:r>
              <w:rPr>
                <w:rFonts w:hint="eastAsia" w:ascii="仿宋_GB2312" w:hAnsi="仿宋_GB2312" w:eastAsia="仿宋_GB2312" w:cs="仿宋_GB2312"/>
                <w:color w:val="auto"/>
                <w:sz w:val="28"/>
                <w:szCs w:val="28"/>
              </w:rPr>
              <w:t>岳阳市强制隔离戒毒所、岳阳市法律援助中心。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本部门所属二级预算单位均由财政独立批复预算，并已单独公开预算，因此，纳入2021年部门预算公开范围的为本部门（单位）自己。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三、部门（单位）收支总体情况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2021年部门预算包括本级预算和所含预算单位在内的汇总情况。收入包括经费拨款，也包括行政事业性收费收入和国有资源有偿使用收入；支出包括保障单位基本运行的经费，也包括项目经费。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（一）收入预算</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收入预算1,528.56万元，其中，一般公共预算拨款1,528.56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收入较去年增加60.16万元，增幅4.1%，原因是</w:t>
            </w:r>
            <w:r>
              <w:rPr>
                <w:rFonts w:hint="eastAsia" w:ascii="仿宋_GB2312" w:hAnsi="仿宋_GB2312" w:eastAsia="仿宋_GB2312" w:cs="仿宋_GB2312"/>
                <w:color w:val="auto"/>
                <w:sz w:val="28"/>
                <w:szCs w:val="28"/>
              </w:rPr>
              <w:t>部门仲裁委增加3人</w:t>
            </w:r>
            <w:r>
              <w:rPr>
                <w:rFonts w:hint="eastAsia" w:ascii="仿宋_GB2312" w:hAnsi="仿宋_GB2312" w:cs="仿宋_GB2312"/>
                <w:color w:val="auto"/>
                <w:sz w:val="28"/>
                <w:szCs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支出预算1,528.56万元，其中，公共安全支出1,253.61万元，社会保障和就业支出129.74万元，卫生健康支出70.69万元，住房保障支出74.52万元。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支出较去年增加60.16万元，其中基本支出较去年增加21.69万元，原因是</w:t>
            </w:r>
            <w:r>
              <w:rPr>
                <w:rFonts w:hint="eastAsia" w:ascii="仿宋_GB2312" w:hAnsi="仿宋_GB2312" w:eastAsia="仿宋_GB2312" w:cs="仿宋_GB2312"/>
                <w:color w:val="auto"/>
                <w:sz w:val="28"/>
                <w:szCs w:val="28"/>
              </w:rPr>
              <w:t>部门仲裁委增加3人</w:t>
            </w:r>
            <w:r>
              <w:rPr>
                <w:rFonts w:hint="eastAsia" w:ascii="仿宋_GB2312" w:hAnsi="宋体" w:eastAsia="仿宋_GB2312" w:cs="仿宋_GB2312"/>
                <w:i w:val="0"/>
                <w:iCs w:val="0"/>
                <w:color w:val="auto"/>
                <w:kern w:val="0"/>
                <w:sz w:val="28"/>
                <w:szCs w:val="28"/>
                <w:u w:val="none"/>
                <w:lang w:val="en-US" w:eastAsia="zh-CN" w:bidi="ar"/>
              </w:rPr>
              <w:t>；项目支出较去年增加38.47万元，原因是</w:t>
            </w:r>
            <w:r>
              <w:rPr>
                <w:rFonts w:hint="eastAsia" w:ascii="仿宋_GB2312" w:hAnsi="仿宋_GB2312" w:eastAsia="仿宋_GB2312" w:cs="仿宋_GB2312"/>
                <w:color w:val="auto"/>
                <w:sz w:val="28"/>
                <w:szCs w:val="28"/>
              </w:rPr>
              <w:t>公共安全支出</w:t>
            </w:r>
            <w:r>
              <w:rPr>
                <w:rFonts w:hint="eastAsia" w:ascii="仿宋_GB2312" w:hAnsi="仿宋_GB2312" w:cs="仿宋_GB2312"/>
                <w:color w:val="auto"/>
                <w:sz w:val="28"/>
                <w:szCs w:val="28"/>
                <w:lang w:val="en-US" w:eastAsia="zh-CN"/>
              </w:rPr>
              <w:t>相关项目支出增加</w:t>
            </w:r>
            <w:r>
              <w:rPr>
                <w:rFonts w:hint="eastAsia" w:ascii="仿宋_GB2312" w:hAnsi="宋体" w:eastAsia="仿宋_GB2312"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2021年一般公共预算拨款支出预算1,528.56万元，其中，公共安全支出1,253.61万元，占82.0%，社会保障和就业支出129.74万元，占8.5%，卫生健康支出70.69万元，占4.6%，住房保障支出74.52万元，占4.9%。具体安排情况如下：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1,064.54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（二）项目支出：2021年项目支出年初预算数为464.02万元，是指单位为完成特定行政工作任务或事业发展目标而发生的支出，包括有关业务工作经费、运行维护经费等。其中包括依法治市专项经费 25万元，主要用于普法、依法治理工作等方面；法律职业资格考试10万元，主要用于组织法律职业资格考试；社区矫治经费 2.5万元，主要用于社区矫治业务培训等方面；安置帮教经费2.5万元，主要用于安置帮教基地的有关费用；人民警察加班、值勤岗位津贴24.48万元，主要用于发放加班、执勤岗位津贴；中央转移支付办案费115万元，主要用于司法办案业务开支；法律顾问专项经费30万元，主要用于提供法律顾问服务等开支；法制办行政应诉办案经费9万元，主要用于行政应诉办案经费开支；立法经费10万元，主要用于立法工作开支；行政复议专项经费15.8万元，主要用于行政复议工作开支；其他司法业务经费32.74万元，主要用于司法业务的零星开支；非税收入征收成本187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2021年机关运行经费当年一般公共预算拨款156.59万元。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较去年减少1.34万元，降幅-0.8%，原因是人员调整和厉行节约。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2021年“三公”经费预算数72.00万元，其中公务接待费32.00万元，因公出国（境）费5.00万元，公务用车购置及运行费35.00万元（其中公务用车购置费0.00万元，公务用车运行费35.00万元）。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与上年持平。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2021年会议费预算1.00万元，拟召开</w:t>
            </w:r>
            <w:r>
              <w:rPr>
                <w:rFonts w:hint="eastAsia" w:ascii="仿宋_GB2312" w:hAnsi="仿宋_GB2312" w:eastAsia="仿宋_GB2312" w:cs="仿宋_GB2312"/>
                <w:color w:val="auto"/>
                <w:sz w:val="28"/>
                <w:szCs w:val="28"/>
              </w:rPr>
              <w:t>5次</w:t>
            </w:r>
            <w:r>
              <w:rPr>
                <w:rFonts w:hint="eastAsia" w:ascii="仿宋_GB2312" w:hAnsi="仿宋_GB2312" w:cs="仿宋_GB2312"/>
                <w:color w:val="auto"/>
                <w:sz w:val="28"/>
                <w:szCs w:val="28"/>
                <w:lang w:val="en-US" w:eastAsia="zh-CN"/>
              </w:rPr>
              <w:t>会议</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人数</w:t>
            </w:r>
            <w:r>
              <w:rPr>
                <w:rFonts w:hint="eastAsia" w:ascii="仿宋_GB2312" w:hAnsi="仿宋_GB2312" w:eastAsia="仿宋_GB2312" w:cs="仿宋_GB2312"/>
                <w:color w:val="auto"/>
                <w:sz w:val="28"/>
                <w:szCs w:val="28"/>
              </w:rPr>
              <w:t>486人次，内容主要为全市司法行政会议、普法工作会议</w:t>
            </w:r>
            <w:r>
              <w:rPr>
                <w:rFonts w:hint="eastAsia" w:ascii="仿宋_GB2312" w:hAnsi="宋体" w:eastAsia="仿宋_GB2312" w:cs="仿宋_GB2312"/>
                <w:i w:val="0"/>
                <w:iCs w:val="0"/>
                <w:color w:val="auto"/>
                <w:kern w:val="0"/>
                <w:sz w:val="28"/>
                <w:szCs w:val="28"/>
                <w:u w:val="none"/>
                <w:lang w:val="en-US" w:eastAsia="zh-CN" w:bidi="ar"/>
              </w:rPr>
              <w:t>；培训费预算1.02万元，拟开展2场</w:t>
            </w:r>
            <w:r>
              <w:rPr>
                <w:rFonts w:hint="eastAsia" w:ascii="仿宋_GB2312" w:hAnsi="宋体" w:cs="仿宋_GB2312"/>
                <w:i w:val="0"/>
                <w:iCs w:val="0"/>
                <w:color w:val="auto"/>
                <w:kern w:val="0"/>
                <w:sz w:val="28"/>
                <w:szCs w:val="28"/>
                <w:u w:val="none"/>
                <w:lang w:val="en-US" w:eastAsia="zh-CN" w:bidi="ar"/>
              </w:rPr>
              <w:t>培训</w:t>
            </w:r>
            <w:r>
              <w:rPr>
                <w:rFonts w:hint="eastAsia" w:ascii="仿宋_GB2312" w:hAnsi="宋体" w:eastAsia="仿宋_GB2312" w:cs="仿宋_GB2312"/>
                <w:i w:val="0"/>
                <w:iCs w:val="0"/>
                <w:color w:val="auto"/>
                <w:kern w:val="0"/>
                <w:sz w:val="28"/>
                <w:szCs w:val="28"/>
                <w:u w:val="none"/>
                <w:lang w:val="en-US" w:eastAsia="zh-CN" w:bidi="ar"/>
              </w:rPr>
              <w:t>，220人次，内容主要为人民监督员培训</w:t>
            </w:r>
            <w:r>
              <w:rPr>
                <w:rFonts w:hint="eastAsia" w:ascii="仿宋_GB2312" w:hAnsi="宋体" w:cs="仿宋_GB2312"/>
                <w:i w:val="0"/>
                <w:iCs w:val="0"/>
                <w:color w:val="auto"/>
                <w:kern w:val="0"/>
                <w:sz w:val="28"/>
                <w:szCs w:val="28"/>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本部门（单位）2021年政府采购预算总</w:t>
            </w:r>
            <w:r>
              <w:rPr>
                <w:rFonts w:hint="eastAsia" w:ascii="仿宋_GB2312" w:hAnsi="宋体" w:cs="仿宋_GB2312"/>
                <w:i w:val="0"/>
                <w:iCs w:val="0"/>
                <w:color w:val="auto"/>
                <w:kern w:val="0"/>
                <w:sz w:val="28"/>
                <w:szCs w:val="28"/>
                <w:u w:val="none"/>
                <w:lang w:val="en-US" w:eastAsia="zh-CN" w:bidi="ar"/>
              </w:rPr>
              <w:t>80</w:t>
            </w:r>
            <w:r>
              <w:rPr>
                <w:rFonts w:hint="eastAsia" w:ascii="仿宋_GB2312" w:hAnsi="宋体" w:eastAsia="仿宋_GB2312" w:cs="仿宋_GB2312"/>
                <w:i w:val="0"/>
                <w:iCs w:val="0"/>
                <w:color w:val="auto"/>
                <w:kern w:val="0"/>
                <w:sz w:val="28"/>
                <w:szCs w:val="28"/>
                <w:u w:val="none"/>
                <w:lang w:val="en-US" w:eastAsia="zh-CN" w:bidi="ar"/>
              </w:rPr>
              <w:t>万元，其中工程类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万元，货物类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万元，服务类</w:t>
            </w:r>
            <w:r>
              <w:rPr>
                <w:rFonts w:hint="eastAsia" w:ascii="仿宋_GB2312" w:hAnsi="宋体" w:cs="仿宋_GB2312"/>
                <w:i w:val="0"/>
                <w:iCs w:val="0"/>
                <w:color w:val="auto"/>
                <w:kern w:val="0"/>
                <w:sz w:val="28"/>
                <w:szCs w:val="28"/>
                <w:u w:val="none"/>
                <w:lang w:val="en-US" w:eastAsia="zh-CN" w:bidi="ar"/>
              </w:rPr>
              <w:t>80</w:t>
            </w:r>
            <w:r>
              <w:rPr>
                <w:rFonts w:hint="eastAsia" w:ascii="仿宋_GB2312" w:hAnsi="宋体" w:eastAsia="仿宋_GB2312" w:cs="仿宋_GB2312"/>
                <w:i w:val="0"/>
                <w:iCs w:val="0"/>
                <w:color w:val="auto"/>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截至上一年12月底，本部门（单位）共有车辆</w:t>
            </w:r>
            <w:r>
              <w:rPr>
                <w:rFonts w:hint="eastAsia" w:ascii="仿宋_GB2312" w:hAnsi="宋体" w:cs="仿宋_GB2312"/>
                <w:i w:val="0"/>
                <w:iCs w:val="0"/>
                <w:color w:val="auto"/>
                <w:kern w:val="0"/>
                <w:sz w:val="28"/>
                <w:szCs w:val="28"/>
                <w:u w:val="none"/>
                <w:lang w:val="en-US" w:eastAsia="zh-CN" w:bidi="ar"/>
              </w:rPr>
              <w:t>6</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1</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5</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所有支出实行绩效目标管理。纳入2021年单位整体支出绩效目标的金额为1,528.56万元，其中，基本支出1,064.54万元，项目支出464.02万元，绩效目标详见文尾附表中预算公开表格的表22-23。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Next w:val="0"/>
              <w:keepLines w:val="0"/>
              <w:widowControl/>
              <w:numPr>
                <w:ilvl w:val="0"/>
                <w:numId w:val="2"/>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numPr>
                <w:numId w:val="0"/>
              </w:numPr>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二十四、一般公共预算基本支出总表</w:t>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2712A"/>
    <w:multiLevelType w:val="singleLevel"/>
    <w:tmpl w:val="B822712A"/>
    <w:lvl w:ilvl="0" w:tentative="0">
      <w:start w:val="1"/>
      <w:numFmt w:val="chineseCounting"/>
      <w:suff w:val="nothing"/>
      <w:lvlText w:val="%1、"/>
      <w:lvlJc w:val="left"/>
      <w:rPr>
        <w:rFonts w:hint="eastAsia"/>
      </w:rPr>
    </w:lvl>
  </w:abstractNum>
  <w:abstractNum w:abstractNumId="1">
    <w:nsid w:val="4C5D37C1"/>
    <w:multiLevelType w:val="singleLevel"/>
    <w:tmpl w:val="4C5D37C1"/>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mE1ZTNlNzA4YjgyNDIxMDIwOGIzMWI3NDY0OTkifQ=="/>
  </w:docVars>
  <w:rsids>
    <w:rsidRoot w:val="48885009"/>
    <w:rsid w:val="060F4036"/>
    <w:rsid w:val="065E55AA"/>
    <w:rsid w:val="0CA829AF"/>
    <w:rsid w:val="16375D98"/>
    <w:rsid w:val="312E36D8"/>
    <w:rsid w:val="3B51265F"/>
    <w:rsid w:val="446F5618"/>
    <w:rsid w:val="48885009"/>
    <w:rsid w:val="4E542F0D"/>
    <w:rsid w:val="576D2B71"/>
    <w:rsid w:val="67E728E0"/>
    <w:rsid w:val="707F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3821</Words>
  <Characters>4148</Characters>
  <Lines>0</Lines>
  <Paragraphs>0</Paragraphs>
  <TotalTime>0</TotalTime>
  <ScaleCrop>false</ScaleCrop>
  <LinksUpToDate>false</LinksUpToDate>
  <CharactersWithSpaces>4366</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K</cp:lastModifiedBy>
  <dcterms:modified xsi:type="dcterms:W3CDTF">2022-09-05T03:17:36Z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A3FCAFEB415E4B2B81C7D89A720D2D66</vt:lpwstr>
  </property>
</Properties>
</file>