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962"/>
      </w:tblGrid>
      <w:tr w:rsidR="00EF6438" w:rsidRPr="008242C6">
        <w:trPr>
          <w:trHeight w:val="480"/>
        </w:trPr>
        <w:tc>
          <w:tcPr>
            <w:tcW w:w="5000" w:type="pct"/>
            <w:tcBorders>
              <w:top w:val="nil"/>
              <w:left w:val="nil"/>
              <w:bottom w:val="nil"/>
              <w:right w:val="nil"/>
            </w:tcBorders>
            <w:shd w:val="clear" w:color="auto" w:fill="auto"/>
            <w:vAlign w:val="center"/>
          </w:tcPr>
          <w:p w:rsidR="00EF6438" w:rsidRPr="008242C6" w:rsidRDefault="009700F2">
            <w:pPr>
              <w:jc w:val="center"/>
              <w:textAlignment w:val="center"/>
              <w:rPr>
                <w:rFonts w:ascii="方正小标宋简体" w:eastAsia="方正小标宋简体" w:hAnsi="方正小标宋简体" w:cs="方正小标宋简体"/>
                <w:sz w:val="44"/>
                <w:szCs w:val="44"/>
              </w:rPr>
            </w:pPr>
            <w:r w:rsidRPr="008242C6">
              <w:rPr>
                <w:rFonts w:ascii="方正小标宋简体" w:eastAsia="方正小标宋简体" w:hAnsi="方正小标宋简体" w:cs="方正小标宋简体" w:hint="eastAsia"/>
                <w:kern w:val="0"/>
                <w:sz w:val="44"/>
                <w:szCs w:val="44"/>
              </w:rPr>
              <w:t>法律援助中心2021年度单位预算公开</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EF6438">
            <w:pPr>
              <w:rPr>
                <w:rFonts w:ascii="仿宋_GB2312" w:hAnsi="宋体" w:cs="仿宋_GB2312"/>
                <w:szCs w:val="28"/>
              </w:rPr>
            </w:pPr>
          </w:p>
        </w:tc>
      </w:tr>
      <w:tr w:rsidR="00EF6438" w:rsidRPr="008242C6">
        <w:trPr>
          <w:trHeight w:val="444"/>
        </w:trPr>
        <w:tc>
          <w:tcPr>
            <w:tcW w:w="5000" w:type="pct"/>
            <w:tcBorders>
              <w:top w:val="nil"/>
              <w:left w:val="nil"/>
              <w:bottom w:val="nil"/>
              <w:right w:val="nil"/>
            </w:tcBorders>
            <w:shd w:val="clear" w:color="auto" w:fill="auto"/>
            <w:vAlign w:val="center"/>
          </w:tcPr>
          <w:p w:rsidR="00EF6438" w:rsidRPr="008242C6" w:rsidRDefault="009700F2">
            <w:pPr>
              <w:jc w:val="center"/>
              <w:textAlignment w:val="center"/>
              <w:rPr>
                <w:rFonts w:ascii="黑体" w:eastAsia="黑体" w:hAnsi="宋体" w:cs="黑体"/>
                <w:sz w:val="36"/>
                <w:szCs w:val="36"/>
              </w:rPr>
            </w:pPr>
            <w:r w:rsidRPr="008242C6">
              <w:rPr>
                <w:rFonts w:ascii="黑体" w:eastAsia="黑体" w:hAnsi="宋体" w:cs="黑体" w:hint="eastAsia"/>
                <w:kern w:val="0"/>
                <w:sz w:val="36"/>
                <w:szCs w:val="36"/>
              </w:rPr>
              <w:t>目录</w:t>
            </w:r>
          </w:p>
        </w:tc>
      </w:tr>
      <w:tr w:rsidR="00EF6438" w:rsidRPr="008242C6">
        <w:trPr>
          <w:trHeight w:val="8190"/>
        </w:trPr>
        <w:tc>
          <w:tcPr>
            <w:tcW w:w="5000" w:type="pct"/>
            <w:tcBorders>
              <w:top w:val="nil"/>
              <w:left w:val="nil"/>
              <w:bottom w:val="nil"/>
              <w:right w:val="nil"/>
            </w:tcBorders>
            <w:shd w:val="clear" w:color="auto" w:fill="auto"/>
            <w:vAlign w:val="center"/>
          </w:tcPr>
          <w:p w:rsidR="004D7D07" w:rsidRDefault="009700F2">
            <w:pPr>
              <w:jc w:val="left"/>
              <w:textAlignment w:val="center"/>
              <w:rPr>
                <w:rFonts w:ascii="仿宋" w:eastAsia="仿宋" w:hAnsi="仿宋" w:cs="仿宋_GB2312"/>
                <w:kern w:val="0"/>
                <w:sz w:val="32"/>
                <w:szCs w:val="32"/>
              </w:rPr>
            </w:pPr>
            <w:r w:rsidRPr="008242C6">
              <w:rPr>
                <w:rFonts w:ascii="仿宋" w:eastAsia="仿宋" w:hAnsi="仿宋" w:cs="仿宋_GB2312" w:hint="eastAsia"/>
                <w:kern w:val="0"/>
                <w:sz w:val="32"/>
                <w:szCs w:val="32"/>
              </w:rPr>
              <w:t>第一部分  2021年单位预算说明</w:t>
            </w:r>
            <w:r w:rsidRPr="008242C6">
              <w:rPr>
                <w:rFonts w:ascii="仿宋" w:eastAsia="仿宋" w:hAnsi="仿宋" w:cs="仿宋_GB2312" w:hint="eastAsia"/>
                <w:kern w:val="0"/>
                <w:sz w:val="32"/>
                <w:szCs w:val="32"/>
              </w:rPr>
              <w:br/>
              <w:t>第二部分  单位预算公开表格</w:t>
            </w:r>
            <w:r w:rsidRPr="008242C6">
              <w:rPr>
                <w:rFonts w:ascii="仿宋" w:eastAsia="仿宋" w:hAnsi="仿宋" w:cs="仿宋_GB2312" w:hint="eastAsia"/>
                <w:kern w:val="0"/>
                <w:sz w:val="32"/>
                <w:szCs w:val="32"/>
              </w:rPr>
              <w:br/>
              <w:t>一、收支总表</w:t>
            </w:r>
            <w:r w:rsidRPr="008242C6">
              <w:rPr>
                <w:rFonts w:ascii="仿宋" w:eastAsia="仿宋" w:hAnsi="仿宋" w:cs="仿宋_GB2312" w:hint="eastAsia"/>
                <w:kern w:val="0"/>
                <w:sz w:val="32"/>
                <w:szCs w:val="32"/>
              </w:rPr>
              <w:br/>
              <w:t>二、收入总表</w:t>
            </w:r>
            <w:r w:rsidRPr="008242C6">
              <w:rPr>
                <w:rFonts w:ascii="仿宋" w:eastAsia="仿宋" w:hAnsi="仿宋" w:cs="仿宋_GB2312" w:hint="eastAsia"/>
                <w:kern w:val="0"/>
                <w:sz w:val="32"/>
                <w:szCs w:val="32"/>
              </w:rPr>
              <w:br/>
              <w:t>三、支出总表</w:t>
            </w:r>
            <w:r w:rsidRPr="008242C6">
              <w:rPr>
                <w:rFonts w:ascii="仿宋" w:eastAsia="仿宋" w:hAnsi="仿宋" w:cs="仿宋_GB2312" w:hint="eastAsia"/>
                <w:kern w:val="0"/>
                <w:sz w:val="32"/>
                <w:szCs w:val="32"/>
              </w:rPr>
              <w:br/>
              <w:t>四、支出预算分类汇总表（按政府预算经济分类）</w:t>
            </w:r>
            <w:r w:rsidRPr="008242C6">
              <w:rPr>
                <w:rFonts w:ascii="仿宋" w:eastAsia="仿宋" w:hAnsi="仿宋" w:cs="仿宋_GB2312" w:hint="eastAsia"/>
                <w:kern w:val="0"/>
                <w:sz w:val="32"/>
                <w:szCs w:val="32"/>
              </w:rPr>
              <w:br/>
              <w:t>五、支出预算分类汇总表（按部门预算经济分类）</w:t>
            </w:r>
            <w:r w:rsidRPr="008242C6">
              <w:rPr>
                <w:rFonts w:ascii="仿宋" w:eastAsia="仿宋" w:hAnsi="仿宋" w:cs="仿宋_GB2312" w:hint="eastAsia"/>
                <w:kern w:val="0"/>
                <w:sz w:val="32"/>
                <w:szCs w:val="32"/>
              </w:rPr>
              <w:br/>
              <w:t>六、财政拨款收支总表</w:t>
            </w:r>
            <w:r w:rsidRPr="008242C6">
              <w:rPr>
                <w:rFonts w:ascii="仿宋" w:eastAsia="仿宋" w:hAnsi="仿宋" w:cs="仿宋_GB2312" w:hint="eastAsia"/>
                <w:kern w:val="0"/>
                <w:sz w:val="32"/>
                <w:szCs w:val="32"/>
              </w:rPr>
              <w:br/>
              <w:t>七、一般公共预算支出表</w:t>
            </w:r>
            <w:r w:rsidRPr="008242C6">
              <w:rPr>
                <w:rFonts w:ascii="仿宋" w:eastAsia="仿宋" w:hAnsi="仿宋" w:cs="仿宋_GB2312" w:hint="eastAsia"/>
                <w:kern w:val="0"/>
                <w:sz w:val="32"/>
                <w:szCs w:val="32"/>
              </w:rPr>
              <w:br/>
              <w:t>八、一般公共预算基本支出表--人员经费(工资福利支出)(按政府预算经济分类)</w:t>
            </w:r>
            <w:r w:rsidRPr="008242C6">
              <w:rPr>
                <w:rFonts w:ascii="仿宋" w:eastAsia="仿宋" w:hAnsi="仿宋" w:cs="仿宋_GB2312" w:hint="eastAsia"/>
                <w:kern w:val="0"/>
                <w:sz w:val="32"/>
                <w:szCs w:val="32"/>
              </w:rPr>
              <w:br/>
              <w:t>九、一般公共预算基本支出表--人员经费(工资福利支出)(按部门预算经济分类)</w:t>
            </w:r>
            <w:r w:rsidRPr="008242C6">
              <w:rPr>
                <w:rFonts w:ascii="仿宋" w:eastAsia="仿宋" w:hAnsi="仿宋" w:cs="仿宋_GB2312" w:hint="eastAsia"/>
                <w:kern w:val="0"/>
                <w:sz w:val="32"/>
                <w:szCs w:val="32"/>
              </w:rPr>
              <w:br/>
              <w:t>十、一般公共预算基本支出表--人员经费(对个人和家庭的补助)(按政府预算经济分类)</w:t>
            </w:r>
            <w:r w:rsidRPr="008242C6">
              <w:rPr>
                <w:rFonts w:ascii="仿宋" w:eastAsia="仿宋" w:hAnsi="仿宋" w:cs="仿宋_GB2312" w:hint="eastAsia"/>
                <w:kern w:val="0"/>
                <w:sz w:val="32"/>
                <w:szCs w:val="32"/>
              </w:rPr>
              <w:br/>
              <w:t>十一、一般公共预算基本支出表--人员经费(对个人和家庭的补助)（按部门预算经济分类）</w:t>
            </w:r>
            <w:r w:rsidRPr="008242C6">
              <w:rPr>
                <w:rFonts w:ascii="仿宋" w:eastAsia="仿宋" w:hAnsi="仿宋" w:cs="仿宋_GB2312" w:hint="eastAsia"/>
                <w:kern w:val="0"/>
                <w:sz w:val="32"/>
                <w:szCs w:val="32"/>
              </w:rPr>
              <w:br/>
              <w:t>十二、一般公共预算基本支出表--公用经费(商品和服务支出)（按政府预算经济分类）</w:t>
            </w:r>
            <w:r w:rsidRPr="008242C6">
              <w:rPr>
                <w:rFonts w:ascii="仿宋" w:eastAsia="仿宋" w:hAnsi="仿宋" w:cs="仿宋_GB2312" w:hint="eastAsia"/>
                <w:kern w:val="0"/>
                <w:sz w:val="32"/>
                <w:szCs w:val="32"/>
              </w:rPr>
              <w:br/>
              <w:t>十三、一般公共预算基本支出表--公用经费(商品和服务支出)(按部门预算经济分类)</w:t>
            </w:r>
            <w:r w:rsidRPr="008242C6">
              <w:rPr>
                <w:rFonts w:ascii="仿宋" w:eastAsia="仿宋" w:hAnsi="仿宋" w:cs="仿宋_GB2312" w:hint="eastAsia"/>
                <w:kern w:val="0"/>
                <w:sz w:val="32"/>
                <w:szCs w:val="32"/>
              </w:rPr>
              <w:br/>
            </w:r>
            <w:r w:rsidRPr="008242C6">
              <w:rPr>
                <w:rFonts w:ascii="仿宋" w:eastAsia="仿宋" w:hAnsi="仿宋" w:cs="仿宋_GB2312" w:hint="eastAsia"/>
                <w:kern w:val="0"/>
                <w:sz w:val="32"/>
                <w:szCs w:val="32"/>
              </w:rPr>
              <w:lastRenderedPageBreak/>
              <w:t>十四、一般公共预算“三公”经费支出表</w:t>
            </w:r>
            <w:r w:rsidRPr="008242C6">
              <w:rPr>
                <w:rFonts w:ascii="仿宋" w:eastAsia="仿宋" w:hAnsi="仿宋" w:cs="仿宋_GB2312" w:hint="eastAsia"/>
                <w:kern w:val="0"/>
                <w:sz w:val="32"/>
                <w:szCs w:val="32"/>
              </w:rPr>
              <w:br/>
              <w:t>十五、政府性基金预算支出表</w:t>
            </w:r>
            <w:r w:rsidRPr="008242C6">
              <w:rPr>
                <w:rFonts w:ascii="仿宋" w:eastAsia="仿宋" w:hAnsi="仿宋" w:cs="仿宋_GB2312" w:hint="eastAsia"/>
                <w:kern w:val="0"/>
                <w:sz w:val="32"/>
                <w:szCs w:val="32"/>
              </w:rPr>
              <w:br/>
              <w:t>十六、政府性基金预算支出分类汇总表（按政府预算经济分类）</w:t>
            </w:r>
            <w:r w:rsidRPr="008242C6">
              <w:rPr>
                <w:rFonts w:ascii="仿宋" w:eastAsia="仿宋" w:hAnsi="仿宋" w:cs="仿宋_GB2312" w:hint="eastAsia"/>
                <w:kern w:val="0"/>
                <w:sz w:val="32"/>
                <w:szCs w:val="32"/>
              </w:rPr>
              <w:br/>
              <w:t>十七、政府性基金预算支出分类汇总表（按部门预算经济分类）</w:t>
            </w:r>
            <w:r w:rsidRPr="008242C6">
              <w:rPr>
                <w:rFonts w:ascii="仿宋" w:eastAsia="仿宋" w:hAnsi="仿宋" w:cs="仿宋_GB2312" w:hint="eastAsia"/>
                <w:kern w:val="0"/>
                <w:sz w:val="32"/>
                <w:szCs w:val="32"/>
              </w:rPr>
              <w:br/>
              <w:t>十八、国有资产经营预算支出表</w:t>
            </w:r>
            <w:r w:rsidRPr="008242C6">
              <w:rPr>
                <w:rFonts w:ascii="仿宋" w:eastAsia="仿宋" w:hAnsi="仿宋" w:cs="仿宋_GB2312" w:hint="eastAsia"/>
                <w:kern w:val="0"/>
                <w:sz w:val="32"/>
                <w:szCs w:val="32"/>
              </w:rPr>
              <w:br/>
              <w:t>十九、纳入专户管理的非税收入拨款支出预算表(按政府预算经济分类)</w:t>
            </w:r>
            <w:r w:rsidRPr="008242C6">
              <w:rPr>
                <w:rFonts w:ascii="仿宋" w:eastAsia="仿宋" w:hAnsi="仿宋" w:cs="仿宋_GB2312" w:hint="eastAsia"/>
                <w:kern w:val="0"/>
                <w:sz w:val="32"/>
                <w:szCs w:val="32"/>
              </w:rPr>
              <w:br/>
              <w:t>二十、纳入专户管理的非税收入拨款支出预算表</w:t>
            </w:r>
            <w:r w:rsidRPr="008242C6">
              <w:rPr>
                <w:rFonts w:ascii="仿宋" w:eastAsia="仿宋" w:hAnsi="仿宋" w:cs="仿宋_GB2312" w:hint="eastAsia"/>
                <w:kern w:val="0"/>
                <w:sz w:val="32"/>
                <w:szCs w:val="32"/>
              </w:rPr>
              <w:br/>
              <w:t>二十一、支出预算项目明细表</w:t>
            </w:r>
            <w:r w:rsidRPr="008242C6">
              <w:rPr>
                <w:rFonts w:ascii="仿宋" w:eastAsia="仿宋" w:hAnsi="仿宋" w:cs="仿宋_GB2312" w:hint="eastAsia"/>
                <w:kern w:val="0"/>
                <w:sz w:val="32"/>
                <w:szCs w:val="32"/>
              </w:rPr>
              <w:br/>
              <w:t>二十二、财政支出项目预算绩效目标申报表</w:t>
            </w:r>
            <w:r w:rsidRPr="008242C6">
              <w:rPr>
                <w:rFonts w:ascii="仿宋" w:eastAsia="仿宋" w:hAnsi="仿宋" w:cs="仿宋_GB2312" w:hint="eastAsia"/>
                <w:kern w:val="0"/>
                <w:sz w:val="32"/>
                <w:szCs w:val="32"/>
              </w:rPr>
              <w:br/>
              <w:t>二十三、部门(单位)整体支出预算绩效目标申报表</w:t>
            </w:r>
          </w:p>
          <w:p w:rsidR="00EF6438" w:rsidRPr="008242C6" w:rsidRDefault="004D7D07">
            <w:pPr>
              <w:jc w:val="left"/>
              <w:textAlignment w:val="center"/>
              <w:rPr>
                <w:rFonts w:ascii="仿宋" w:eastAsia="仿宋" w:hAnsi="仿宋" w:cs="仿宋_GB2312"/>
                <w:sz w:val="32"/>
                <w:szCs w:val="32"/>
              </w:rPr>
            </w:pPr>
            <w:r>
              <w:rPr>
                <w:rFonts w:ascii="仿宋" w:eastAsia="仿宋" w:hAnsi="仿宋" w:cs="仿宋_GB2312" w:hint="eastAsia"/>
                <w:kern w:val="0"/>
                <w:sz w:val="32"/>
                <w:szCs w:val="32"/>
              </w:rPr>
              <w:t>二十四、一般公共预算基本支出总表</w:t>
            </w:r>
            <w:r w:rsidR="009700F2" w:rsidRPr="008242C6">
              <w:rPr>
                <w:rFonts w:ascii="仿宋" w:eastAsia="仿宋" w:hAnsi="仿宋" w:cs="仿宋_GB2312" w:hint="eastAsia"/>
                <w:kern w:val="0"/>
                <w:sz w:val="32"/>
                <w:szCs w:val="32"/>
              </w:rPr>
              <w:br/>
              <w:t>注：以上单位预算公开报表中，空表表示本单位无相关收支情况。</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EF6438">
            <w:pPr>
              <w:rPr>
                <w:rFonts w:ascii="仿宋" w:eastAsia="仿宋" w:hAnsi="仿宋" w:cs="仿宋_GB2312"/>
                <w:sz w:val="32"/>
                <w:szCs w:val="32"/>
              </w:rPr>
            </w:pP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EF6438">
            <w:pPr>
              <w:rPr>
                <w:rFonts w:ascii="仿宋" w:eastAsia="仿宋" w:hAnsi="仿宋" w:cs="仿宋_GB2312"/>
                <w:sz w:val="32"/>
                <w:szCs w:val="32"/>
              </w:rPr>
            </w:pPr>
          </w:p>
        </w:tc>
      </w:tr>
      <w:tr w:rsidR="00EF6438" w:rsidRPr="008242C6">
        <w:trPr>
          <w:trHeight w:val="444"/>
        </w:trPr>
        <w:tc>
          <w:tcPr>
            <w:tcW w:w="5000" w:type="pct"/>
            <w:tcBorders>
              <w:top w:val="nil"/>
              <w:left w:val="nil"/>
              <w:bottom w:val="nil"/>
              <w:right w:val="nil"/>
            </w:tcBorders>
            <w:shd w:val="clear" w:color="auto" w:fill="auto"/>
            <w:vAlign w:val="center"/>
          </w:tcPr>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8242C6" w:rsidRDefault="008242C6">
            <w:pPr>
              <w:jc w:val="center"/>
              <w:textAlignment w:val="center"/>
              <w:rPr>
                <w:rFonts w:ascii="仿宋" w:eastAsia="仿宋" w:hAnsi="仿宋" w:cs="黑体"/>
                <w:kern w:val="0"/>
                <w:sz w:val="32"/>
                <w:szCs w:val="32"/>
              </w:rPr>
            </w:pPr>
          </w:p>
          <w:p w:rsidR="00EF6438" w:rsidRPr="008242C6" w:rsidRDefault="009700F2">
            <w:pPr>
              <w:jc w:val="center"/>
              <w:textAlignment w:val="center"/>
              <w:rPr>
                <w:rFonts w:ascii="仿宋" w:eastAsia="仿宋" w:hAnsi="仿宋" w:cs="黑体"/>
                <w:sz w:val="32"/>
                <w:szCs w:val="32"/>
              </w:rPr>
            </w:pPr>
            <w:r w:rsidRPr="008242C6">
              <w:rPr>
                <w:rFonts w:ascii="仿宋" w:eastAsia="仿宋" w:hAnsi="仿宋" w:cs="黑体" w:hint="eastAsia"/>
                <w:kern w:val="0"/>
                <w:sz w:val="32"/>
                <w:szCs w:val="32"/>
              </w:rPr>
              <w:lastRenderedPageBreak/>
              <w:t>第一部分    2021年单位预算说明</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黑体"/>
                <w:sz w:val="32"/>
                <w:szCs w:val="32"/>
              </w:rPr>
            </w:pPr>
            <w:r w:rsidRPr="008242C6">
              <w:rPr>
                <w:rFonts w:ascii="仿宋" w:eastAsia="仿宋" w:hAnsi="仿宋" w:cs="黑体" w:hint="eastAsia"/>
                <w:kern w:val="0"/>
                <w:sz w:val="32"/>
                <w:szCs w:val="32"/>
              </w:rPr>
              <w:lastRenderedPageBreak/>
              <w:t xml:space="preserve">    一、单位基本概况</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（一）职能职责</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制定全市法律援助工作规划和年度计划；贯彻落实法律援助法律法规和政策；对县市区法律援助机构的工作进行指导、协调、监督；承办公民申请和法院、检察院、公安机关指派的法律援助案件；负责全市法律援助工作人员的业务培训工作。</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（二）机构设置</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内设三个股（室）：办公室、业务股、财务股。中心共有11个行政编制，在编在职10人。</w:t>
            </w:r>
          </w:p>
        </w:tc>
      </w:tr>
      <w:tr w:rsidR="00EF6438" w:rsidRPr="008242C6">
        <w:trPr>
          <w:trHeight w:val="348"/>
        </w:trPr>
        <w:tc>
          <w:tcPr>
            <w:tcW w:w="5000" w:type="pct"/>
            <w:tcBorders>
              <w:top w:val="nil"/>
              <w:left w:val="nil"/>
              <w:bottom w:val="nil"/>
              <w:right w:val="nil"/>
            </w:tcBorders>
            <w:shd w:val="clear" w:color="auto" w:fill="auto"/>
            <w:vAlign w:val="center"/>
          </w:tcPr>
          <w:p w:rsidR="00EF6438" w:rsidRDefault="009700F2" w:rsidP="00816A4C">
            <w:pPr>
              <w:ind w:firstLine="630"/>
              <w:jc w:val="left"/>
              <w:textAlignment w:val="center"/>
              <w:rPr>
                <w:rFonts w:ascii="仿宋" w:eastAsia="仿宋" w:hAnsi="仿宋" w:cs="黑体"/>
                <w:kern w:val="0"/>
                <w:sz w:val="32"/>
                <w:szCs w:val="32"/>
              </w:rPr>
            </w:pPr>
            <w:r w:rsidRPr="008242C6">
              <w:rPr>
                <w:rFonts w:ascii="仿宋" w:eastAsia="仿宋" w:hAnsi="仿宋" w:cs="黑体" w:hint="eastAsia"/>
                <w:kern w:val="0"/>
                <w:sz w:val="32"/>
                <w:szCs w:val="32"/>
              </w:rPr>
              <w:t>二、单位收支总体情况</w:t>
            </w:r>
          </w:p>
          <w:p w:rsidR="00816A4C" w:rsidRPr="008242C6" w:rsidRDefault="00816A4C" w:rsidP="00816A4C">
            <w:pPr>
              <w:ind w:firstLine="630"/>
              <w:jc w:val="left"/>
              <w:textAlignment w:val="center"/>
              <w:rPr>
                <w:rFonts w:ascii="仿宋" w:eastAsia="仿宋" w:hAnsi="仿宋" w:cs="黑体"/>
                <w:sz w:val="32"/>
                <w:szCs w:val="32"/>
              </w:rPr>
            </w:pPr>
            <w:r>
              <w:rPr>
                <w:rFonts w:ascii="仿宋" w:eastAsia="仿宋" w:hAnsi="仿宋" w:cs="黑体" w:hint="eastAsia"/>
                <w:kern w:val="0"/>
                <w:sz w:val="32"/>
                <w:szCs w:val="32"/>
              </w:rPr>
              <w:t>本单位为二级预算单位，没有预算独立、财务独立核算的下属预算单位，因此纳入2021年部门预算公开范围的为本单位本级预算。</w:t>
            </w:r>
          </w:p>
        </w:tc>
      </w:tr>
      <w:tr w:rsidR="00EF6438" w:rsidRPr="008242C6">
        <w:trPr>
          <w:trHeight w:val="1044"/>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（一）收入预算</w:t>
            </w:r>
            <w:r w:rsidRPr="008242C6">
              <w:rPr>
                <w:rFonts w:ascii="仿宋" w:eastAsia="仿宋" w:hAnsi="仿宋" w:cs="仿宋_GB2312" w:hint="eastAsia"/>
                <w:kern w:val="0"/>
                <w:sz w:val="32"/>
                <w:szCs w:val="32"/>
              </w:rPr>
              <w:br/>
              <w:t xml:space="preserve">    包括一般公共预算、政府性基金、国有资本经营预算等财政拨款收入，以及经营收入、事业收入等单位资金。</w:t>
            </w:r>
          </w:p>
        </w:tc>
      </w:tr>
      <w:tr w:rsidR="00EF6438" w:rsidRPr="008242C6">
        <w:trPr>
          <w:trHeight w:val="1392"/>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本单位收入预算131.84万元，其中，一般公共预算拨款131.84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上年结转0.00万元。</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收入较去年减少10.32万元，降幅-7.3%，原因是</w:t>
            </w:r>
            <w:r w:rsidRPr="008242C6">
              <w:rPr>
                <w:rFonts w:ascii="仿宋" w:eastAsia="仿宋" w:hAnsi="仿宋" w:hint="eastAsia"/>
                <w:sz w:val="32"/>
                <w:szCs w:val="32"/>
              </w:rPr>
              <w:t>今年中央政法转移支付不再由财政作二次分配列入我中心专项预算。</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lastRenderedPageBreak/>
              <w:t xml:space="preserve">    （二）支出预算</w:t>
            </w:r>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2021年本单位支出预算131.84万元，其中，公共安全支出101.42万元，社会保障和就业支出12.94万元，卫生健康支出8.51万元，住房保障支出8.97万元。</w:t>
            </w:r>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支出较去年减少10.32万元，其中基本支出较去年增加2.32万元，原因是</w:t>
            </w:r>
            <w:r w:rsidRPr="008242C6">
              <w:rPr>
                <w:rFonts w:ascii="仿宋" w:eastAsia="仿宋" w:hAnsi="仿宋" w:hint="eastAsia"/>
                <w:sz w:val="32"/>
                <w:szCs w:val="32"/>
              </w:rPr>
              <w:t>今年人员工资较去年有所增加</w:t>
            </w:r>
            <w:r w:rsidRPr="008242C6">
              <w:rPr>
                <w:rFonts w:ascii="仿宋" w:eastAsia="仿宋" w:hAnsi="仿宋" w:cs="仿宋_GB2312" w:hint="eastAsia"/>
                <w:kern w:val="0"/>
                <w:sz w:val="32"/>
                <w:szCs w:val="32"/>
              </w:rPr>
              <w:t>；项目支出较去年减少12.64万元，原因是</w:t>
            </w:r>
            <w:r w:rsidRPr="008242C6">
              <w:rPr>
                <w:rFonts w:ascii="仿宋" w:eastAsia="仿宋" w:hAnsi="仿宋" w:hint="eastAsia"/>
                <w:sz w:val="32"/>
                <w:szCs w:val="32"/>
              </w:rPr>
              <w:t>今年中央政法转移支付不再由财政作二次分配列入我中心项目支出预算</w:t>
            </w:r>
            <w:r w:rsidRPr="008242C6">
              <w:rPr>
                <w:rFonts w:ascii="仿宋" w:eastAsia="仿宋" w:hAnsi="仿宋" w:cs="仿宋_GB2312" w:hint="eastAsia"/>
                <w:kern w:val="0"/>
                <w:sz w:val="32"/>
                <w:szCs w:val="32"/>
              </w:rPr>
              <w:t>。</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黑体"/>
                <w:sz w:val="32"/>
                <w:szCs w:val="32"/>
              </w:rPr>
            </w:pPr>
            <w:r w:rsidRPr="008242C6">
              <w:rPr>
                <w:rFonts w:ascii="仿宋" w:eastAsia="仿宋" w:hAnsi="仿宋" w:cs="黑体" w:hint="eastAsia"/>
                <w:kern w:val="0"/>
                <w:sz w:val="32"/>
                <w:szCs w:val="32"/>
              </w:rPr>
              <w:t xml:space="preserve">    三、一般公共预算拨款支出预算</w:t>
            </w:r>
          </w:p>
        </w:tc>
      </w:tr>
      <w:tr w:rsidR="00EF6438" w:rsidRPr="008242C6">
        <w:trPr>
          <w:trHeight w:val="684"/>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2021年一般公共预算拨款支出预算131.84万元，其中，公共安全支出101.42万元，占76.9%，社会保障和就业支出12.94万元，占9.8%，卫生健康支出8.51万元，占6.5%，住房保障支出8.97万元，占6.8%。具体安排情况如下：</w:t>
            </w:r>
          </w:p>
        </w:tc>
      </w:tr>
      <w:tr w:rsidR="00EF6438" w:rsidRPr="008242C6">
        <w:trPr>
          <w:trHeight w:val="1044"/>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一）基本支出：2021年基本支出年初预算数为122.36万元，是指为保障单位机构正常运转、完成日常工作任务而发生的各项支出，包括用于基本工资、津贴补贴等人员经费以及办公费、印刷费、水电费、差旅费等日常公用经费。</w:t>
            </w:r>
          </w:p>
        </w:tc>
      </w:tr>
      <w:tr w:rsidR="00EF6438" w:rsidRPr="008242C6">
        <w:trPr>
          <w:trHeight w:val="1044"/>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（二）项目支出：2021年项目支出年初预算数为9.48万元，是指单位为完成特定行政工作任务或事业发展目标而发生的支出，包括有关业务工作经费、运行维护经费等。其中包括法律援助专项服务9.48万元。</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黑体"/>
                <w:sz w:val="32"/>
                <w:szCs w:val="32"/>
              </w:rPr>
            </w:pPr>
            <w:r w:rsidRPr="008242C6">
              <w:rPr>
                <w:rFonts w:ascii="仿宋" w:eastAsia="仿宋" w:hAnsi="仿宋" w:cs="黑体" w:hint="eastAsia"/>
                <w:kern w:val="0"/>
                <w:sz w:val="32"/>
                <w:szCs w:val="32"/>
              </w:rPr>
              <w:t xml:space="preserve">    四、政府性基金预算支出</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2021年度本单位无政府性基金安排的支出，所以公开的附件15-17为空。</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黑体"/>
                <w:sz w:val="32"/>
                <w:szCs w:val="32"/>
              </w:rPr>
            </w:pPr>
            <w:r w:rsidRPr="008242C6">
              <w:rPr>
                <w:rFonts w:ascii="仿宋" w:eastAsia="仿宋" w:hAnsi="仿宋" w:cs="黑体" w:hint="eastAsia"/>
                <w:kern w:val="0"/>
                <w:sz w:val="32"/>
                <w:szCs w:val="32"/>
              </w:rPr>
              <w:lastRenderedPageBreak/>
              <w:t xml:space="preserve">    五、其他重要事项的情况说明</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（一）机关运行经费</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本单位2021年机关运行经费当年一般公共预算拨款17.15万元。</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与去年持平。</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（二）“三公”经费预算</w:t>
            </w:r>
          </w:p>
        </w:tc>
      </w:tr>
      <w:tr w:rsidR="00EF6438" w:rsidRPr="008242C6">
        <w:trPr>
          <w:trHeight w:val="1044"/>
        </w:trPr>
        <w:tc>
          <w:tcPr>
            <w:tcW w:w="5000" w:type="pct"/>
            <w:tcBorders>
              <w:top w:val="nil"/>
              <w:left w:val="nil"/>
              <w:bottom w:val="nil"/>
              <w:right w:val="nil"/>
            </w:tcBorders>
            <w:shd w:val="clear" w:color="auto" w:fill="auto"/>
            <w:vAlign w:val="center"/>
          </w:tcPr>
          <w:p w:rsidR="00EF6438" w:rsidRPr="008242C6" w:rsidRDefault="009700F2" w:rsidP="00FF6CCD">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本单位2021年“三公”经费预算数16.20万元，其中公务接待费10.80万元，因公出国（境）费0.00万元，公务用车购置及运行费5.40万元（其中公务用车购置费0.00万元，公务用车运行费5.40万元）。</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与去年持平。</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（三）一般性支出情况</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2021年度本单位未计划召开会议；2021年度本单位未计划组织培训。</w:t>
            </w:r>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2021年度本单位未计划举办节庆、晚会、论坛、赛事活动。</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（四）政府采购情况</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本单位2021年政府采购预算总额7.7万元，其中工程类0万元，货物类7.7万元，服务类0万元。</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（五）国有资产占有使用及新增资产配置情况</w:t>
            </w:r>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截至上一年12月底，本单位共有车辆0辆</w:t>
            </w:r>
            <w:r w:rsidR="008242C6" w:rsidRPr="008242C6">
              <w:rPr>
                <w:rFonts w:ascii="仿宋" w:eastAsia="仿宋" w:hAnsi="仿宋" w:cs="仿宋_GB2312" w:hint="eastAsia"/>
                <w:kern w:val="0"/>
                <w:sz w:val="32"/>
                <w:szCs w:val="32"/>
              </w:rPr>
              <w:t>（我中心为科</w:t>
            </w:r>
            <w:r w:rsidR="006474A6">
              <w:rPr>
                <w:rFonts w:ascii="仿宋" w:eastAsia="仿宋" w:hAnsi="仿宋" w:cs="仿宋_GB2312" w:hint="eastAsia"/>
                <w:kern w:val="0"/>
                <w:sz w:val="32"/>
                <w:szCs w:val="32"/>
              </w:rPr>
              <w:t>级单位，故不可配置车辆，但由于我中心上级主管部门即市司法局考虑到中心实际工作</w:t>
            </w:r>
            <w:r w:rsidR="008242C6" w:rsidRPr="008242C6">
              <w:rPr>
                <w:rFonts w:ascii="仿宋" w:eastAsia="仿宋" w:hAnsi="仿宋" w:cs="仿宋_GB2312" w:hint="eastAsia"/>
                <w:kern w:val="0"/>
                <w:sz w:val="32"/>
                <w:szCs w:val="32"/>
              </w:rPr>
              <w:t>需要，将登记在其资产账的一台公车给我中心使用，故在“三公”经费预算中存在公车用车运行费）</w:t>
            </w:r>
            <w:r w:rsidRPr="008242C6">
              <w:rPr>
                <w:rFonts w:ascii="仿宋" w:eastAsia="仿宋" w:hAnsi="仿宋" w:cs="仿宋_GB2312" w:hint="eastAsia"/>
                <w:kern w:val="0"/>
                <w:sz w:val="32"/>
                <w:szCs w:val="32"/>
              </w:rPr>
              <w:t>，其中领导干部用车0辆，一般公务用车0辆，其他用车0辆。单位价值50万元以上通用设备0台，单位价值100万元以上专用设备0台。</w:t>
            </w:r>
            <w:bookmarkStart w:id="0" w:name="_GoBack"/>
            <w:bookmarkEnd w:id="0"/>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lastRenderedPageBreak/>
              <w:t xml:space="preserve">    2021年度本单位未计划处置或新增车辆、设备等。</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楷体_GB2312"/>
                <w:b/>
                <w:bCs/>
                <w:sz w:val="32"/>
                <w:szCs w:val="32"/>
              </w:rPr>
            </w:pPr>
            <w:r w:rsidRPr="008242C6">
              <w:rPr>
                <w:rFonts w:ascii="仿宋" w:eastAsia="仿宋" w:hAnsi="仿宋" w:cs="楷体_GB2312" w:hint="eastAsia"/>
                <w:b/>
                <w:bCs/>
                <w:kern w:val="0"/>
                <w:sz w:val="32"/>
                <w:szCs w:val="32"/>
              </w:rPr>
              <w:t xml:space="preserve">    （六）预算绩效目标说明</w:t>
            </w:r>
          </w:p>
        </w:tc>
      </w:tr>
      <w:tr w:rsidR="00EF6438" w:rsidRPr="008242C6">
        <w:trPr>
          <w:trHeight w:val="69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本单位所有支出实行绩效目标管理。纳入2021年单位整体支出绩效目标的金额为131.84万元，其中，基本支出122.36万元，项目支出9.48万元，绩效目标详见文尾附表中预算公开表格的表22-23。</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黑体"/>
                <w:sz w:val="32"/>
                <w:szCs w:val="32"/>
              </w:rPr>
            </w:pPr>
            <w:r w:rsidRPr="008242C6">
              <w:rPr>
                <w:rFonts w:ascii="仿宋" w:eastAsia="仿宋" w:hAnsi="仿宋" w:cs="黑体" w:hint="eastAsia"/>
                <w:kern w:val="0"/>
                <w:sz w:val="32"/>
                <w:szCs w:val="32"/>
              </w:rPr>
              <w:t xml:space="preserve">    六、名词解释</w:t>
            </w:r>
          </w:p>
        </w:tc>
      </w:tr>
      <w:tr w:rsidR="00EF6438" w:rsidRPr="008242C6">
        <w:trPr>
          <w:trHeight w:val="2436"/>
        </w:trPr>
        <w:tc>
          <w:tcPr>
            <w:tcW w:w="5000" w:type="pct"/>
            <w:tcBorders>
              <w:top w:val="nil"/>
              <w:left w:val="nil"/>
              <w:bottom w:val="nil"/>
              <w:right w:val="nil"/>
            </w:tcBorders>
            <w:shd w:val="clear" w:color="auto" w:fill="auto"/>
            <w:vAlign w:val="center"/>
          </w:tcPr>
          <w:p w:rsidR="00EF6438" w:rsidRPr="008242C6" w:rsidRDefault="009700F2">
            <w:pPr>
              <w:jc w:val="left"/>
              <w:textAlignment w:val="center"/>
              <w:rPr>
                <w:rFonts w:ascii="仿宋" w:eastAsia="仿宋" w:hAnsi="仿宋" w:cs="仿宋_GB2312"/>
                <w:sz w:val="32"/>
                <w:szCs w:val="32"/>
              </w:rPr>
            </w:pPr>
            <w:r w:rsidRPr="008242C6">
              <w:rPr>
                <w:rFonts w:ascii="仿宋" w:eastAsia="仿宋" w:hAnsi="仿宋" w:cs="仿宋_GB2312" w:hint="eastAsia"/>
                <w:kern w:val="0"/>
                <w:sz w:val="32"/>
                <w:szCs w:val="32"/>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r w:rsidRPr="008242C6">
              <w:rPr>
                <w:rFonts w:ascii="仿宋" w:eastAsia="仿宋" w:hAnsi="仿宋" w:cs="仿宋_GB2312" w:hint="eastAsia"/>
                <w:kern w:val="0"/>
                <w:sz w:val="32"/>
                <w:szCs w:val="32"/>
              </w:rPr>
              <w:br/>
              <w:t xml:space="preserve">    2</w:t>
            </w:r>
            <w:r w:rsidR="004D7D07">
              <w:rPr>
                <w:rFonts w:ascii="仿宋" w:eastAsia="仿宋" w:hAnsi="仿宋" w:cs="仿宋_GB2312" w:hint="eastAsia"/>
                <w:kern w:val="0"/>
                <w:sz w:val="32"/>
                <w:szCs w:val="32"/>
              </w:rPr>
              <w:t>、“三公”经费：纳入财政预算管理的“三公”</w:t>
            </w:r>
            <w:r w:rsidRPr="008242C6">
              <w:rPr>
                <w:rFonts w:ascii="仿宋" w:eastAsia="仿宋" w:hAnsi="仿宋" w:cs="仿宋_GB2312" w:hint="eastAsia"/>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EF6438">
            <w:pPr>
              <w:rPr>
                <w:rFonts w:ascii="仿宋" w:eastAsia="仿宋" w:hAnsi="仿宋" w:cs="仿宋_GB2312"/>
                <w:sz w:val="32"/>
                <w:szCs w:val="32"/>
              </w:rPr>
            </w:pPr>
          </w:p>
        </w:tc>
      </w:tr>
      <w:tr w:rsidR="00EF6438" w:rsidRPr="008242C6">
        <w:trPr>
          <w:trHeight w:val="348"/>
        </w:trPr>
        <w:tc>
          <w:tcPr>
            <w:tcW w:w="5000" w:type="pct"/>
            <w:tcBorders>
              <w:top w:val="nil"/>
              <w:left w:val="nil"/>
              <w:bottom w:val="nil"/>
              <w:right w:val="nil"/>
            </w:tcBorders>
            <w:shd w:val="clear" w:color="auto" w:fill="auto"/>
            <w:vAlign w:val="center"/>
          </w:tcPr>
          <w:p w:rsidR="00EF6438" w:rsidRPr="008242C6" w:rsidRDefault="00EF6438">
            <w:pPr>
              <w:rPr>
                <w:rFonts w:ascii="仿宋" w:eastAsia="仿宋" w:hAnsi="仿宋" w:cs="仿宋_GB2312"/>
                <w:sz w:val="32"/>
                <w:szCs w:val="32"/>
              </w:rPr>
            </w:pPr>
          </w:p>
        </w:tc>
      </w:tr>
      <w:tr w:rsidR="00EF6438" w:rsidRPr="008242C6">
        <w:trPr>
          <w:trHeight w:val="444"/>
        </w:trPr>
        <w:tc>
          <w:tcPr>
            <w:tcW w:w="5000" w:type="pct"/>
            <w:tcBorders>
              <w:top w:val="nil"/>
              <w:left w:val="nil"/>
              <w:bottom w:val="nil"/>
              <w:right w:val="nil"/>
            </w:tcBorders>
            <w:shd w:val="clear" w:color="auto" w:fill="auto"/>
            <w:vAlign w:val="center"/>
          </w:tcPr>
          <w:p w:rsidR="00B538DA" w:rsidRDefault="00B538DA">
            <w:pPr>
              <w:jc w:val="center"/>
              <w:textAlignment w:val="center"/>
              <w:rPr>
                <w:rFonts w:ascii="仿宋" w:eastAsia="仿宋" w:hAnsi="仿宋" w:cs="黑体"/>
                <w:kern w:val="0"/>
                <w:sz w:val="32"/>
                <w:szCs w:val="32"/>
              </w:rPr>
            </w:pPr>
          </w:p>
          <w:p w:rsidR="00B538DA" w:rsidRDefault="00B538DA">
            <w:pPr>
              <w:jc w:val="center"/>
              <w:textAlignment w:val="center"/>
              <w:rPr>
                <w:rFonts w:ascii="仿宋" w:eastAsia="仿宋" w:hAnsi="仿宋" w:cs="黑体"/>
                <w:kern w:val="0"/>
                <w:sz w:val="32"/>
                <w:szCs w:val="32"/>
              </w:rPr>
            </w:pPr>
          </w:p>
          <w:p w:rsidR="00B538DA" w:rsidRDefault="00B538DA">
            <w:pPr>
              <w:jc w:val="center"/>
              <w:textAlignment w:val="center"/>
              <w:rPr>
                <w:rFonts w:ascii="仿宋" w:eastAsia="仿宋" w:hAnsi="仿宋" w:cs="黑体"/>
                <w:kern w:val="0"/>
                <w:sz w:val="32"/>
                <w:szCs w:val="32"/>
              </w:rPr>
            </w:pPr>
          </w:p>
          <w:p w:rsidR="00B538DA" w:rsidRDefault="00B538DA">
            <w:pPr>
              <w:jc w:val="center"/>
              <w:textAlignment w:val="center"/>
              <w:rPr>
                <w:rFonts w:ascii="仿宋" w:eastAsia="仿宋" w:hAnsi="仿宋" w:cs="黑体"/>
                <w:kern w:val="0"/>
                <w:sz w:val="32"/>
                <w:szCs w:val="32"/>
              </w:rPr>
            </w:pPr>
          </w:p>
          <w:p w:rsidR="00EF6438" w:rsidRPr="008242C6" w:rsidRDefault="009700F2">
            <w:pPr>
              <w:jc w:val="center"/>
              <w:textAlignment w:val="center"/>
              <w:rPr>
                <w:rFonts w:ascii="仿宋" w:eastAsia="仿宋" w:hAnsi="仿宋" w:cs="黑体"/>
                <w:sz w:val="32"/>
                <w:szCs w:val="32"/>
              </w:rPr>
            </w:pPr>
            <w:r w:rsidRPr="008242C6">
              <w:rPr>
                <w:rFonts w:ascii="仿宋" w:eastAsia="仿宋" w:hAnsi="仿宋" w:cs="黑体" w:hint="eastAsia"/>
                <w:kern w:val="0"/>
                <w:sz w:val="32"/>
                <w:szCs w:val="32"/>
              </w:rPr>
              <w:lastRenderedPageBreak/>
              <w:t>第二部分  单位预算公开表格</w:t>
            </w:r>
          </w:p>
        </w:tc>
      </w:tr>
      <w:tr w:rsidR="00EF6438" w:rsidRPr="008242C6">
        <w:trPr>
          <w:trHeight w:val="8180"/>
        </w:trPr>
        <w:tc>
          <w:tcPr>
            <w:tcW w:w="5000" w:type="pct"/>
            <w:tcBorders>
              <w:top w:val="nil"/>
              <w:left w:val="nil"/>
              <w:bottom w:val="nil"/>
              <w:right w:val="nil"/>
            </w:tcBorders>
            <w:shd w:val="clear" w:color="auto" w:fill="auto"/>
            <w:vAlign w:val="center"/>
          </w:tcPr>
          <w:p w:rsidR="00FF6CCD" w:rsidRDefault="009700F2">
            <w:pPr>
              <w:jc w:val="left"/>
              <w:textAlignment w:val="center"/>
              <w:rPr>
                <w:rFonts w:ascii="仿宋" w:eastAsia="仿宋" w:hAnsi="仿宋" w:cs="仿宋_GB2312" w:hint="eastAsia"/>
                <w:kern w:val="0"/>
                <w:sz w:val="32"/>
                <w:szCs w:val="32"/>
              </w:rPr>
            </w:pPr>
            <w:r w:rsidRPr="008242C6">
              <w:rPr>
                <w:rFonts w:ascii="仿宋" w:eastAsia="仿宋" w:hAnsi="仿宋" w:cs="仿宋_GB2312" w:hint="eastAsia"/>
                <w:kern w:val="0"/>
                <w:sz w:val="32"/>
                <w:szCs w:val="32"/>
              </w:rPr>
              <w:lastRenderedPageBreak/>
              <w:t>一、收支总表</w:t>
            </w:r>
            <w:r w:rsidRPr="008242C6">
              <w:rPr>
                <w:rFonts w:ascii="仿宋" w:eastAsia="仿宋" w:hAnsi="仿宋" w:cs="仿宋_GB2312" w:hint="eastAsia"/>
                <w:kern w:val="0"/>
                <w:sz w:val="32"/>
                <w:szCs w:val="32"/>
              </w:rPr>
              <w:br/>
              <w:t>二、收入总表</w:t>
            </w:r>
            <w:r w:rsidRPr="008242C6">
              <w:rPr>
                <w:rFonts w:ascii="仿宋" w:eastAsia="仿宋" w:hAnsi="仿宋" w:cs="仿宋_GB2312" w:hint="eastAsia"/>
                <w:kern w:val="0"/>
                <w:sz w:val="32"/>
                <w:szCs w:val="32"/>
              </w:rPr>
              <w:br/>
              <w:t>三、支出总表</w:t>
            </w:r>
            <w:r w:rsidRPr="008242C6">
              <w:rPr>
                <w:rFonts w:ascii="仿宋" w:eastAsia="仿宋" w:hAnsi="仿宋" w:cs="仿宋_GB2312" w:hint="eastAsia"/>
                <w:kern w:val="0"/>
                <w:sz w:val="32"/>
                <w:szCs w:val="32"/>
              </w:rPr>
              <w:br/>
              <w:t>四、支出预算分类汇总表（按政府预算经济分类）</w:t>
            </w:r>
            <w:r w:rsidRPr="008242C6">
              <w:rPr>
                <w:rFonts w:ascii="仿宋" w:eastAsia="仿宋" w:hAnsi="仿宋" w:cs="仿宋_GB2312" w:hint="eastAsia"/>
                <w:kern w:val="0"/>
                <w:sz w:val="32"/>
                <w:szCs w:val="32"/>
              </w:rPr>
              <w:br/>
              <w:t>五、支出预算分类汇总表（按部门预算经济分类）</w:t>
            </w:r>
            <w:r w:rsidRPr="008242C6">
              <w:rPr>
                <w:rFonts w:ascii="仿宋" w:eastAsia="仿宋" w:hAnsi="仿宋" w:cs="仿宋_GB2312" w:hint="eastAsia"/>
                <w:kern w:val="0"/>
                <w:sz w:val="32"/>
                <w:szCs w:val="32"/>
              </w:rPr>
              <w:br/>
              <w:t>六、财政拨款收支总表</w:t>
            </w:r>
            <w:r w:rsidRPr="008242C6">
              <w:rPr>
                <w:rFonts w:ascii="仿宋" w:eastAsia="仿宋" w:hAnsi="仿宋" w:cs="仿宋_GB2312" w:hint="eastAsia"/>
                <w:kern w:val="0"/>
                <w:sz w:val="32"/>
                <w:szCs w:val="32"/>
              </w:rPr>
              <w:br/>
              <w:t>七、一般公共预算支出表</w:t>
            </w:r>
            <w:r w:rsidRPr="008242C6">
              <w:rPr>
                <w:rFonts w:ascii="仿宋" w:eastAsia="仿宋" w:hAnsi="仿宋" w:cs="仿宋_GB2312" w:hint="eastAsia"/>
                <w:kern w:val="0"/>
                <w:sz w:val="32"/>
                <w:szCs w:val="32"/>
              </w:rPr>
              <w:br/>
              <w:t>八、一般公共预算基本支出表--人员经费(工资福利支出)(按政府预算经济分类)</w:t>
            </w:r>
            <w:r w:rsidRPr="008242C6">
              <w:rPr>
                <w:rFonts w:ascii="仿宋" w:eastAsia="仿宋" w:hAnsi="仿宋" w:cs="仿宋_GB2312" w:hint="eastAsia"/>
                <w:kern w:val="0"/>
                <w:sz w:val="32"/>
                <w:szCs w:val="32"/>
              </w:rPr>
              <w:br/>
              <w:t>九、一般公共预算基本支出表--人员经费(工资福利支出)(按部门预算经济分类)</w:t>
            </w:r>
            <w:r w:rsidRPr="008242C6">
              <w:rPr>
                <w:rFonts w:ascii="仿宋" w:eastAsia="仿宋" w:hAnsi="仿宋" w:cs="仿宋_GB2312" w:hint="eastAsia"/>
                <w:kern w:val="0"/>
                <w:sz w:val="32"/>
                <w:szCs w:val="32"/>
              </w:rPr>
              <w:br/>
              <w:t>十、一般公共预算基本支出表--人员经费(对个人和家庭的补助)(按政府预算经济分类)</w:t>
            </w:r>
            <w:r w:rsidRPr="008242C6">
              <w:rPr>
                <w:rFonts w:ascii="仿宋" w:eastAsia="仿宋" w:hAnsi="仿宋" w:cs="仿宋_GB2312" w:hint="eastAsia"/>
                <w:kern w:val="0"/>
                <w:sz w:val="32"/>
                <w:szCs w:val="32"/>
              </w:rPr>
              <w:br/>
              <w:t>十一、一般公共预算基本支出表--人员经费(对个人和家庭的补助)（按部门预算经济分类）</w:t>
            </w:r>
            <w:r w:rsidRPr="008242C6">
              <w:rPr>
                <w:rFonts w:ascii="仿宋" w:eastAsia="仿宋" w:hAnsi="仿宋" w:cs="仿宋_GB2312" w:hint="eastAsia"/>
                <w:kern w:val="0"/>
                <w:sz w:val="32"/>
                <w:szCs w:val="32"/>
              </w:rPr>
              <w:br/>
              <w:t>十二、一般公共预算基本支出表--公用经费(商品和服务支出)（按政府预算经济分类）</w:t>
            </w:r>
            <w:r w:rsidRPr="008242C6">
              <w:rPr>
                <w:rFonts w:ascii="仿宋" w:eastAsia="仿宋" w:hAnsi="仿宋" w:cs="仿宋_GB2312" w:hint="eastAsia"/>
                <w:kern w:val="0"/>
                <w:sz w:val="32"/>
                <w:szCs w:val="32"/>
              </w:rPr>
              <w:br/>
              <w:t>十三、一般公共预算基本支出表--公用经费(商品和服务支出)(按部门预算经济分类)</w:t>
            </w:r>
            <w:r w:rsidRPr="008242C6">
              <w:rPr>
                <w:rFonts w:ascii="仿宋" w:eastAsia="仿宋" w:hAnsi="仿宋" w:cs="仿宋_GB2312" w:hint="eastAsia"/>
                <w:kern w:val="0"/>
                <w:sz w:val="32"/>
                <w:szCs w:val="32"/>
              </w:rPr>
              <w:br/>
              <w:t>十四、一般公共预算“三公”经费支出表</w:t>
            </w:r>
            <w:r w:rsidRPr="008242C6">
              <w:rPr>
                <w:rFonts w:ascii="仿宋" w:eastAsia="仿宋" w:hAnsi="仿宋" w:cs="仿宋_GB2312" w:hint="eastAsia"/>
                <w:kern w:val="0"/>
                <w:sz w:val="32"/>
                <w:szCs w:val="32"/>
              </w:rPr>
              <w:br/>
              <w:t>十五、政府性基金预算支出表</w:t>
            </w:r>
            <w:r w:rsidRPr="008242C6">
              <w:rPr>
                <w:rFonts w:ascii="仿宋" w:eastAsia="仿宋" w:hAnsi="仿宋" w:cs="仿宋_GB2312" w:hint="eastAsia"/>
                <w:kern w:val="0"/>
                <w:sz w:val="32"/>
                <w:szCs w:val="32"/>
              </w:rPr>
              <w:br/>
              <w:t>十六、政府性基金预算支出分类汇总表（按政府预算经济分类）</w:t>
            </w:r>
            <w:r w:rsidRPr="008242C6">
              <w:rPr>
                <w:rFonts w:ascii="仿宋" w:eastAsia="仿宋" w:hAnsi="仿宋" w:cs="仿宋_GB2312" w:hint="eastAsia"/>
                <w:kern w:val="0"/>
                <w:sz w:val="32"/>
                <w:szCs w:val="32"/>
              </w:rPr>
              <w:br/>
              <w:t>十七、政府性基金预算支出分类汇总表（按部门预算经济分类）</w:t>
            </w:r>
            <w:r w:rsidRPr="008242C6">
              <w:rPr>
                <w:rFonts w:ascii="仿宋" w:eastAsia="仿宋" w:hAnsi="仿宋" w:cs="仿宋_GB2312" w:hint="eastAsia"/>
                <w:kern w:val="0"/>
                <w:sz w:val="32"/>
                <w:szCs w:val="32"/>
              </w:rPr>
              <w:br/>
            </w:r>
            <w:r w:rsidRPr="008242C6">
              <w:rPr>
                <w:rFonts w:ascii="仿宋" w:eastAsia="仿宋" w:hAnsi="仿宋" w:cs="仿宋_GB2312" w:hint="eastAsia"/>
                <w:kern w:val="0"/>
                <w:sz w:val="32"/>
                <w:szCs w:val="32"/>
              </w:rPr>
              <w:lastRenderedPageBreak/>
              <w:t>十八、国有资产经营预算支出表</w:t>
            </w:r>
            <w:r w:rsidRPr="008242C6">
              <w:rPr>
                <w:rFonts w:ascii="仿宋" w:eastAsia="仿宋" w:hAnsi="仿宋" w:cs="仿宋_GB2312" w:hint="eastAsia"/>
                <w:kern w:val="0"/>
                <w:sz w:val="32"/>
                <w:szCs w:val="32"/>
              </w:rPr>
              <w:br/>
              <w:t>十九、纳入专户管理的非税收入拨款支出预算表(按政府预算经济分类)</w:t>
            </w:r>
            <w:r w:rsidRPr="008242C6">
              <w:rPr>
                <w:rFonts w:ascii="仿宋" w:eastAsia="仿宋" w:hAnsi="仿宋" w:cs="仿宋_GB2312" w:hint="eastAsia"/>
                <w:kern w:val="0"/>
                <w:sz w:val="32"/>
                <w:szCs w:val="32"/>
              </w:rPr>
              <w:br/>
              <w:t>二十、纳入专户管理的非税收入拨款支出预算表</w:t>
            </w:r>
            <w:r w:rsidRPr="008242C6">
              <w:rPr>
                <w:rFonts w:ascii="仿宋" w:eastAsia="仿宋" w:hAnsi="仿宋" w:cs="仿宋_GB2312" w:hint="eastAsia"/>
                <w:kern w:val="0"/>
                <w:sz w:val="32"/>
                <w:szCs w:val="32"/>
              </w:rPr>
              <w:br/>
              <w:t>二十一、支出预算项目明细表</w:t>
            </w:r>
            <w:r w:rsidRPr="008242C6">
              <w:rPr>
                <w:rFonts w:ascii="仿宋" w:eastAsia="仿宋" w:hAnsi="仿宋" w:cs="仿宋_GB2312" w:hint="eastAsia"/>
                <w:kern w:val="0"/>
                <w:sz w:val="32"/>
                <w:szCs w:val="32"/>
              </w:rPr>
              <w:br/>
              <w:t>二十二、财政支出项目预算绩效目标申报表</w:t>
            </w:r>
            <w:r w:rsidRPr="008242C6">
              <w:rPr>
                <w:rFonts w:ascii="仿宋" w:eastAsia="仿宋" w:hAnsi="仿宋" w:cs="仿宋_GB2312" w:hint="eastAsia"/>
                <w:kern w:val="0"/>
                <w:sz w:val="32"/>
                <w:szCs w:val="32"/>
              </w:rPr>
              <w:br/>
              <w:t>二十三、部门(单位)整体支出预算绩效目标申报表</w:t>
            </w:r>
          </w:p>
          <w:p w:rsidR="00EF6438" w:rsidRPr="008242C6" w:rsidRDefault="00FF6CCD">
            <w:pPr>
              <w:jc w:val="left"/>
              <w:textAlignment w:val="center"/>
              <w:rPr>
                <w:rFonts w:ascii="仿宋" w:eastAsia="仿宋" w:hAnsi="仿宋" w:cs="仿宋_GB2312"/>
                <w:sz w:val="32"/>
                <w:szCs w:val="32"/>
              </w:rPr>
            </w:pPr>
            <w:r>
              <w:rPr>
                <w:rFonts w:ascii="仿宋" w:eastAsia="仿宋" w:hAnsi="仿宋" w:cs="仿宋_GB2312" w:hint="eastAsia"/>
                <w:kern w:val="0"/>
                <w:sz w:val="32"/>
                <w:szCs w:val="32"/>
              </w:rPr>
              <w:t>二十四、</w:t>
            </w:r>
            <w:r w:rsidR="00AF50BA">
              <w:rPr>
                <w:rFonts w:ascii="仿宋" w:eastAsia="仿宋" w:hAnsi="仿宋" w:cs="仿宋_GB2312" w:hint="eastAsia"/>
                <w:kern w:val="0"/>
                <w:sz w:val="32"/>
                <w:szCs w:val="32"/>
              </w:rPr>
              <w:t>一般公共预算基本支出总表</w:t>
            </w:r>
            <w:r w:rsidR="009700F2" w:rsidRPr="008242C6">
              <w:rPr>
                <w:rFonts w:ascii="仿宋" w:eastAsia="仿宋" w:hAnsi="仿宋" w:cs="仿宋_GB2312" w:hint="eastAsia"/>
                <w:kern w:val="0"/>
                <w:sz w:val="32"/>
                <w:szCs w:val="32"/>
              </w:rPr>
              <w:br/>
              <w:t>注：以上单位预算公开报表中，空表表示本单位无相关收支情况。</w:t>
            </w:r>
          </w:p>
        </w:tc>
      </w:tr>
    </w:tbl>
    <w:p w:rsidR="00EF6438" w:rsidRPr="008242C6" w:rsidRDefault="00EF6438"/>
    <w:sectPr w:rsidR="00EF6438" w:rsidRPr="008242C6" w:rsidSect="00EF643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8F6" w:rsidRDefault="00D848F6">
      <w:pPr>
        <w:spacing w:line="240" w:lineRule="auto"/>
      </w:pPr>
      <w:r>
        <w:separator/>
      </w:r>
    </w:p>
  </w:endnote>
  <w:endnote w:type="continuationSeparator" w:id="1">
    <w:p w:rsidR="00D848F6" w:rsidRDefault="00D848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8F6" w:rsidRDefault="00D848F6">
      <w:pPr>
        <w:spacing w:line="240" w:lineRule="auto"/>
      </w:pPr>
      <w:r>
        <w:separator/>
      </w:r>
    </w:p>
  </w:footnote>
  <w:footnote w:type="continuationSeparator" w:id="1">
    <w:p w:rsidR="00D848F6" w:rsidRDefault="00D848F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gyMmE1ZTNlNzA4YjgyNDIxMDIwOGIzMWI3NDY0OTkifQ=="/>
  </w:docVars>
  <w:rsids>
    <w:rsidRoot w:val="48885009"/>
    <w:rsid w:val="00121AB5"/>
    <w:rsid w:val="002867A1"/>
    <w:rsid w:val="00300A03"/>
    <w:rsid w:val="004B1DAF"/>
    <w:rsid w:val="004D7D07"/>
    <w:rsid w:val="006474A6"/>
    <w:rsid w:val="0067781D"/>
    <w:rsid w:val="00816A4C"/>
    <w:rsid w:val="008242C6"/>
    <w:rsid w:val="009700F2"/>
    <w:rsid w:val="00AF50BA"/>
    <w:rsid w:val="00B176CB"/>
    <w:rsid w:val="00B538DA"/>
    <w:rsid w:val="00D848F6"/>
    <w:rsid w:val="00EF6438"/>
    <w:rsid w:val="00FF6CCD"/>
    <w:rsid w:val="00FF7FEC"/>
    <w:rsid w:val="060F4036"/>
    <w:rsid w:val="065E55AA"/>
    <w:rsid w:val="14AF1479"/>
    <w:rsid w:val="312E36D8"/>
    <w:rsid w:val="3B51265F"/>
    <w:rsid w:val="45D20C54"/>
    <w:rsid w:val="48885009"/>
    <w:rsid w:val="4E542F0D"/>
    <w:rsid w:val="67E728E0"/>
    <w:rsid w:val="707F6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438"/>
    <w:pPr>
      <w:spacing w:line="580" w:lineRule="exact"/>
      <w:jc w:val="both"/>
    </w:pPr>
    <w:rPr>
      <w:rFonts w:eastAsia="仿宋_GB2312" w:cstheme="minorBidi"/>
      <w:kern w:val="2"/>
      <w:sz w:val="28"/>
    </w:rPr>
  </w:style>
  <w:style w:type="paragraph" w:styleId="2">
    <w:name w:val="heading 2"/>
    <w:basedOn w:val="a"/>
    <w:next w:val="a"/>
    <w:semiHidden/>
    <w:unhideWhenUsed/>
    <w:qFormat/>
    <w:rsid w:val="00EF6438"/>
    <w:pPr>
      <w:keepNext/>
      <w:keepLines/>
      <w:spacing w:line="413" w:lineRule="auto"/>
      <w:ind w:firstLineChars="200" w:firstLine="643"/>
      <w:outlineLvl w:val="1"/>
    </w:pPr>
    <w:rPr>
      <w:rFonts w:ascii="Arial" w:eastAsia="黑体" w:hAnsi="Arial" w:cs="Times New Roman"/>
      <w:b/>
      <w:sz w:val="32"/>
    </w:rPr>
  </w:style>
  <w:style w:type="paragraph" w:styleId="3">
    <w:name w:val="heading 3"/>
    <w:basedOn w:val="a"/>
    <w:next w:val="a"/>
    <w:link w:val="3Char"/>
    <w:semiHidden/>
    <w:unhideWhenUsed/>
    <w:qFormat/>
    <w:rsid w:val="00EF6438"/>
    <w:pPr>
      <w:keepNext/>
      <w:keepLines/>
      <w:spacing w:line="413" w:lineRule="auto"/>
      <w:outlineLvl w:val="2"/>
    </w:pPr>
    <w:rPr>
      <w:rFonts w:ascii="Calibri" w:eastAsia="楷体_GB2312" w:hAnsi="Calibri" w:cs="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EF6438"/>
    <w:rPr>
      <w:rFonts w:ascii="Calibri" w:eastAsia="楷体_GB2312" w:hAnsi="Calibri" w:cs="Arial"/>
      <w:b/>
      <w:sz w:val="32"/>
      <w:szCs w:val="22"/>
    </w:rPr>
  </w:style>
  <w:style w:type="paragraph" w:styleId="a3">
    <w:name w:val="header"/>
    <w:basedOn w:val="a"/>
    <w:link w:val="Char"/>
    <w:rsid w:val="00B176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B176CB"/>
    <w:rPr>
      <w:rFonts w:eastAsia="仿宋_GB2312" w:cstheme="minorBidi"/>
      <w:kern w:val="2"/>
      <w:sz w:val="18"/>
      <w:szCs w:val="18"/>
    </w:rPr>
  </w:style>
  <w:style w:type="paragraph" w:styleId="a4">
    <w:name w:val="footer"/>
    <w:basedOn w:val="a"/>
    <w:link w:val="Char0"/>
    <w:rsid w:val="00B176C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B176CB"/>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Phillip</dc:creator>
  <cp:lastModifiedBy>PC</cp:lastModifiedBy>
  <cp:revision>9</cp:revision>
  <dcterms:created xsi:type="dcterms:W3CDTF">2022-08-19T02:46:00Z</dcterms:created>
  <dcterms:modified xsi:type="dcterms:W3CDTF">2022-09-05T03:25:00Z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9A1D7E60F1E34F5B9E3A47CBDEA8B671</vt:lpwstr>
  </property>
</Properties>
</file>