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bookmarkStart w:id="0" w:name="_GoBack"/>
            <w:r>
              <w:rPr>
                <w:rFonts w:hint="eastAsia" w:ascii="方正小标宋简体" w:hAnsi="方正小标宋简体" w:eastAsia="方正小标宋简体" w:cs="方正小标宋简体"/>
                <w:i w:val="0"/>
                <w:iCs w:val="0"/>
                <w:color w:val="auto"/>
                <w:kern w:val="0"/>
                <w:sz w:val="36"/>
                <w:szCs w:val="36"/>
                <w:u w:val="none"/>
                <w:lang w:val="en-US" w:eastAsia="zh-CN" w:bidi="ar"/>
              </w:rPr>
              <w:t>岳阳城陵矶综合保税区管理委员会2021年度单位预算公开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auto"/>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2021年单位预算说明</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第二部分  单位预算公开表格</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numPr>
                <w:ilvl w:val="0"/>
                <w:numId w:val="0"/>
              </w:numPr>
              <w:suppressLineNumbers w:val="0"/>
              <w:jc w:val="left"/>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w:t>
            </w:r>
            <w:r>
              <w:rPr>
                <w:rFonts w:hint="eastAsia" w:ascii="仿宋_GB2312" w:hAnsi="宋体" w:cs="仿宋_GB2312"/>
                <w:i w:val="0"/>
                <w:iCs w:val="0"/>
                <w:color w:val="auto"/>
                <w:kern w:val="0"/>
                <w:sz w:val="28"/>
                <w:szCs w:val="28"/>
                <w:u w:val="none"/>
                <w:lang w:val="en-US" w:eastAsia="zh-CN" w:bidi="ar"/>
              </w:rPr>
              <w:t>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一、部门基本概况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(2)组织参与编制岳阳城陵矶综合保税区中长期发展规划，拟定鼓励重点产业发展的财政扶持政策。</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(3)负责综合保税区招商引资有关工作；协助有关部门审核和批准管理范围内的外资和内资项目，指导和协调招商引资、对外经济技术合作与交流；协助有关部门处理区内有关涉外事务。</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(4)根据市人民政府授权或接受有关部门委托，负责协调区内企业与民航、海关、检验检疫、口岸、工商、税务、金融、知识产权等有关部门和公安等其他驻区单位的工作，为企业提供指导和服务。</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(5)负责区内基础设施的建设和维护管理工作。</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(6)负责区内的综合、信息、统计及国有资产管理等工作。</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(7)完成市委、市人民政府交办的其他事项。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根据《中共岳阳城陵矶综合保税区工作委员会岳阳城陵矶综合保税区管理委员会主要职责内设机构和人员编制规定》（岳办发【2015】6号）和《关于调整岳阳城陵矶综合保税区机构编制事项的通知》（岳编办通【2019】250号，我单位核定全额事业编制为25人，内设局室分别是办公室、经济发展局、企业服务局、口岸贸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二、部门预算单位构成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w:t>
            </w:r>
            <w:r>
              <w:rPr>
                <w:rFonts w:hint="eastAsia" w:ascii="仿宋_GB2312" w:hAnsi="宋体" w:cs="仿宋_GB2312"/>
                <w:i w:val="0"/>
                <w:iCs w:val="0"/>
                <w:color w:val="auto"/>
                <w:kern w:val="0"/>
                <w:sz w:val="28"/>
                <w:szCs w:val="28"/>
                <w:u w:val="none"/>
                <w:lang w:val="en-US" w:eastAsia="zh-CN" w:bidi="ar"/>
              </w:rPr>
              <w:t>单位</w:t>
            </w:r>
            <w:r>
              <w:rPr>
                <w:rFonts w:hint="eastAsia" w:ascii="仿宋_GB2312" w:hAnsi="宋体" w:eastAsia="仿宋_GB2312" w:cs="仿宋_GB2312"/>
                <w:i w:val="0"/>
                <w:iCs w:val="0"/>
                <w:color w:val="auto"/>
                <w:kern w:val="0"/>
                <w:sz w:val="28"/>
                <w:szCs w:val="28"/>
                <w:u w:val="none"/>
                <w:lang w:val="en-US" w:eastAsia="zh-CN" w:bidi="ar"/>
              </w:rPr>
              <w:t>无二级预算单位，因此，纳入2021年部门预算编制范围的为本</w:t>
            </w:r>
            <w:r>
              <w:rPr>
                <w:rFonts w:hint="eastAsia" w:ascii="仿宋_GB2312" w:hAnsi="宋体" w:cs="仿宋_GB2312"/>
                <w:i w:val="0"/>
                <w:iCs w:val="0"/>
                <w:color w:val="auto"/>
                <w:kern w:val="0"/>
                <w:sz w:val="28"/>
                <w:szCs w:val="28"/>
                <w:u w:val="none"/>
                <w:lang w:val="en-US" w:eastAsia="zh-CN" w:bidi="ar"/>
              </w:rPr>
              <w:t>单位</w:t>
            </w:r>
            <w:r>
              <w:rPr>
                <w:rFonts w:hint="eastAsia" w:ascii="仿宋_GB2312" w:hAnsi="宋体" w:eastAsia="仿宋_GB2312" w:cs="仿宋_GB2312"/>
                <w:i w:val="0"/>
                <w:iCs w:val="0"/>
                <w:color w:val="auto"/>
                <w:kern w:val="0"/>
                <w:sz w:val="28"/>
                <w:szCs w:val="28"/>
                <w:u w:val="none"/>
                <w:lang w:val="en-US" w:eastAsia="zh-CN" w:bidi="ar"/>
              </w:rPr>
              <w:t>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三、部门（单位）收支总体情况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单位</w:t>
            </w:r>
            <w:r>
              <w:rPr>
                <w:rFonts w:hint="eastAsia" w:ascii="仿宋_GB2312" w:hAnsi="宋体" w:eastAsia="仿宋_GB2312" w:cs="仿宋_GB2312"/>
                <w:i w:val="0"/>
                <w:iCs w:val="0"/>
                <w:color w:val="auto"/>
                <w:kern w:val="0"/>
                <w:sz w:val="28"/>
                <w:szCs w:val="28"/>
                <w:u w:val="none"/>
                <w:lang w:val="en-US" w:eastAsia="zh-CN" w:bidi="ar"/>
              </w:rPr>
              <w:t>预算包括本级预算和所含预算单位在内的汇总情况。收入包括经费拨款，也包括行政事业性收费收入和国有资源有偿使用收入；支出包括保障单位基本运行的经费，也包括项目经费。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（一）收入预算</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收入预算207.66万元，其中，一般公共预算拨款207.66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收入较去年增加30.52万元，增幅17.2%，原因是新增工作人员及新增公用经费</w:t>
            </w:r>
            <w:r>
              <w:rPr>
                <w:rFonts w:hint="eastAsia" w:ascii="仿宋_GB2312" w:hAnsi="宋体"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2021年本单位支出预算207.66万元，其中，一般公共服务支出161.33万元，社会保障和就业支出21.51万元，卫生健康支出10.07万元，住房保障支出14.75万元。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支出较去年增加30.52万元，其中基本支出较去年增加30.52万元，原因是新增工作人员及新增公用经费；项目支出与去年持平。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207.66万元，其中，一般公共服务支出161.33万元，占77.7%，社会保障和就业支出21.51万元，占10.4%，卫生健康支出10.07万元，占4.8%，住房保障支出14.75万元，占7.1%。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207.66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（二）项目支出：2021年项目支出年初预算数为0.00万元，是指单位为完成特定行政工作任务或事业发展目标而发生的支出，包括有关业务工作经费、运行维护经费等。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本单位2021年机关运行经费当年一般公共预算拨款38.43万元。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较去年增加4.11万元，增幅12.0%，原因是新增工作人员</w:t>
            </w:r>
            <w:r>
              <w:rPr>
                <w:rFonts w:hint="eastAsia" w:ascii="仿宋_GB2312" w:hAnsi="宋体" w:cs="仿宋_GB2312"/>
                <w:i w:val="0"/>
                <w:iCs w:val="0"/>
                <w:color w:val="auto"/>
                <w:kern w:val="0"/>
                <w:sz w:val="28"/>
                <w:szCs w:val="28"/>
                <w:u w:val="none"/>
                <w:lang w:val="en-US" w:eastAsia="zh-CN" w:bidi="ar"/>
              </w:rPr>
              <w:t>的</w:t>
            </w:r>
            <w:r>
              <w:rPr>
                <w:rFonts w:hint="eastAsia" w:ascii="仿宋_GB2312" w:hAnsi="宋体" w:eastAsia="仿宋_GB2312" w:cs="仿宋_GB2312"/>
                <w:i w:val="0"/>
                <w:iCs w:val="0"/>
                <w:color w:val="auto"/>
                <w:kern w:val="0"/>
                <w:sz w:val="28"/>
                <w:szCs w:val="28"/>
                <w:u w:val="none"/>
                <w:lang w:val="en-US" w:eastAsia="zh-CN" w:bidi="ar"/>
              </w:rPr>
              <w:t>公用经费</w:t>
            </w:r>
            <w:r>
              <w:rPr>
                <w:rFonts w:hint="eastAsia" w:ascii="仿宋_GB2312" w:hAnsi="宋体"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本单位2021年“三公”经费预算数16.00万元，其中公务接待费3.00万元，因公出国（境）费4.00万元，公务用车购置及运行费9.00万元（其中公务用车购置费0.00万元，公务用车运行费9.00万元）。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与上年持平。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2021年度本单位未计划召开会议；2021年度本单位未计划组织培训。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 xml:space="preserve"> </w:t>
            </w:r>
            <w:r>
              <w:rPr>
                <w:rFonts w:hint="eastAsia" w:ascii="仿宋_GB2312" w:hAnsi="宋体" w:eastAsia="仿宋_GB2312" w:cs="仿宋_GB2312"/>
                <w:i w:val="0"/>
                <w:iCs w:val="0"/>
                <w:color w:val="auto"/>
                <w:kern w:val="0"/>
                <w:sz w:val="28"/>
                <w:szCs w:val="28"/>
                <w:u w:val="none"/>
                <w:lang w:val="en-US" w:eastAsia="zh-CN" w:bidi="ar"/>
              </w:rPr>
              <w:t>2021年度本单位未计划举办节庆、晚会、论坛、赛事活动。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560" w:firstLineChars="20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截至上一年12月底，本单位共有车辆</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本单位所有支出实行绩效目标管理。纳入2021年单位整体支出绩效目标的金额为207.66万元，其中，基本支出207.66万元，项目支出0.00万元，绩效目标详见文尾附表中预算公开表格的表22-23。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二、收入总表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三、支出总表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六、财政拨款收支总表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七、一般公共预算支出表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十五、政府性基金预算支出表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十八、国有资产经营预算支出表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二十一、支出预算项目明细表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二十</w:t>
            </w:r>
            <w:r>
              <w:rPr>
                <w:rFonts w:hint="eastAsia" w:ascii="仿宋_GB2312" w:hAnsi="宋体" w:cs="仿宋_GB2312"/>
                <w:i w:val="0"/>
                <w:iCs w:val="0"/>
                <w:color w:val="auto"/>
                <w:kern w:val="0"/>
                <w:sz w:val="28"/>
                <w:szCs w:val="28"/>
                <w:u w:val="none"/>
                <w:lang w:val="en-US" w:eastAsia="zh-CN" w:bidi="ar"/>
              </w:rPr>
              <w:t>四、一般公共预算基本支出总表</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bookmarkEnd w:id="0"/>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F2D20"/>
    <w:multiLevelType w:val="singleLevel"/>
    <w:tmpl w:val="637F2D2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mE1ZTNlNzA4YjgyNDIxMDIwOGIzMWI3NDY0OTkifQ=="/>
  </w:docVars>
  <w:rsids>
    <w:rsidRoot w:val="48885009"/>
    <w:rsid w:val="022618D2"/>
    <w:rsid w:val="04A8607A"/>
    <w:rsid w:val="060F4036"/>
    <w:rsid w:val="0B334A27"/>
    <w:rsid w:val="0C857FD9"/>
    <w:rsid w:val="134230AE"/>
    <w:rsid w:val="1A2A484C"/>
    <w:rsid w:val="1A324A34"/>
    <w:rsid w:val="20975A05"/>
    <w:rsid w:val="2792628F"/>
    <w:rsid w:val="2B53744F"/>
    <w:rsid w:val="30FE54BB"/>
    <w:rsid w:val="312E36D8"/>
    <w:rsid w:val="3B51265F"/>
    <w:rsid w:val="48885009"/>
    <w:rsid w:val="4E542F0D"/>
    <w:rsid w:val="50227FD7"/>
    <w:rsid w:val="61C6630B"/>
    <w:rsid w:val="697B0FA9"/>
    <w:rsid w:val="6FF64DB0"/>
    <w:rsid w:val="707F6E1E"/>
    <w:rsid w:val="77AA4DD8"/>
    <w:rsid w:val="7ABB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3319</Words>
  <Characters>3596</Characters>
  <Lines>0</Lines>
  <Paragraphs>0</Paragraphs>
  <TotalTime>2</TotalTime>
  <ScaleCrop>false</ScaleCrop>
  <LinksUpToDate>false</LinksUpToDate>
  <CharactersWithSpaces>3780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German Phillip</cp:lastModifiedBy>
  <dcterms:modified xsi:type="dcterms:W3CDTF">2022-09-05T05:28:58Z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F82A11FBB0AF4A38BB4FF98A16F59959</vt:lpwstr>
  </property>
</Properties>
</file>