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auto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政法委2021年度部门预算公开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sz w:val="36"/>
                <w:szCs w:val="3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目录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2021年部门预算说明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第二部分  部门预算公开表格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一、收支总表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二、收入总表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三、支出总表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四、支出预算分类汇总表（按政府预算经济分类）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五、支出预算分类汇总表（按部门预算经济分类）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六、财政拨款收支总表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七、一般公共预算支出表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八、一般公共预算基本支出表--人员经费(工资福利支出)(按政府预算经济分类)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九、一般公共预算基本支出表--人员经费(工资福利支出)(按部门预算经济分类)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十、一般公共预算基本支出表--人员经费(对个人和家庭的补助)(按政府预算经济分类)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十一、一般公共预算基本支出表--人员经费(对个人和家庭的补助)（按部门预算经济分类）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十二、一般公共预算基本支出表--公用经费(商品和服务支出)（按政府预算经济分类）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十三、一般公共预算基本支出表--公用经费(商品和服务支出)(按部门预算经济分类)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十四、一般公共预算“三公”经费支出表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十五、政府性基金预算支出表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十六、政府性基金预算支出分类汇总表（按政府预算经济分类）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十七、政府性基金预算支出分类汇总表（按部门预算经济分类）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十八、国有资产经营预算支出表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十九、纳入专户管理的非税收入拨款支出预算表(按政府预算经济分类)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二十、纳入专户管理的非税收入拨款支出预算表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二十一、支出预算项目明细表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二十二、财政支出项目预算绩效目标申报表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二十三、部门(单位)整体支出预算绩效目标申报表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二十四、一般公共预算基本支出总表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注：以上部门预算公开报表中，空表表示本部门（单位）无相关收支情况。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36"/>
                <w:szCs w:val="3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第一部分    2021年部门预算说明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一、部门基本概况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（一）职能职责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ind w:firstLine="0" w:firstLineChars="0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/>
                <w:color w:val="auto"/>
                <w:lang w:eastAsia="zh-CN"/>
              </w:rPr>
              <w:t>我委三定方案职能具体如下：市委政法委是市委主管政法工作的职能部门。主要职责：1、深入贯彻习近平新时代中国特色社会主义思想，深入贯彻党的路线方针政策和决策部署；2、深入贯彻党中央决定和省委、市委决策，对全市政法工作研究提出全局性部署，推进平安岳阳、法治岳阳建设，加强过硬队伍建设，深化智能化建设，坚决维护国家政治安全、确保社会大局稳定、促进社会公平正义、保障人民安居乐业；3、了解掌握和分析研判政法工作情况动态；4、加强对政法工作的督查，统筹协调社会治安综合治理；5、组织开展政法领域的调查研究，研究拟订政法工作的重要措施；6、掌握分析政法舆情动态；7、监督和支持政法各部门依法行使职权；8、指导推动政法系统党的建设和政法队伍建设，代管市法学会；9、完成市委交办的其他事项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（二）机构设置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内设科室：办公室、政治部、政策研究室、政治安全室、维稳指导室、综治督导室、基层社会治理室、反邪教协调室、执法监督室、法治室、宣传教育室。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　　机关党委（纪委）、机关工会按章程设置。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　　正科级群团机构：法学会办公室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二、部门预算单位构成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本部门无独立核算的二级预算单位，因此，纳入2021年部门预算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公开范围的为本单位本级预算。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三、部门（单位）收支总体情况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2021年部门预算包括本级预算和所含预算单位在内的汇总情况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，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本部门无独立核算的二级预算单位，因此，纳入2021年部门预算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公开范围的为本单位本级预算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。收入包括经费拨款，也包括行政事业性收费收入和国有资源有偿使用收入；支出包括保障单位基本运行的经费，也包括项目经费。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（一）收入预算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包括一般公共预算、政府性基金、国有资本经营预算等财政拨款收入，以及经营收入、事业收入等单位资金。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2021年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本部门（单位）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收入预算860.52万元，其中，一般公共预算拨款860.52万元，政府性基金预算拨款0.00万元（所以公开的附件15-17为空表），国有资本经营预算拨款0.00万元（所以公开的附件18为空表），财政专户管理资金0.00万元（所以公开的附件19-20为空表），上级补助收入0.00万元，事业单位经营收入0.00万元，其他收入0.00万元，上年结转0.00万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收入较去年减少10.91万元，降幅-1.3%，原因是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人员变动。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（二）支出预算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2021年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本部门（单位）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支出预算860.52万元，其中，一般公共服务支出723.32万元，社会保障和就业支出57.93万元，卫生健康支出38.60万元，住房保障支出40.67万元。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支出较去年减少10.91万元，其中基本支出较去年减少10.91万元，原因是人员调整和厉行节约；项目支出与去年持平。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四、一般公共预算拨款支出预算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2021年一般公共预算拨款支出预算860.52万元，其中，一般公共服务支出723.32万元，占84.1%，社会保障和就业支出57.93万元，占6.7%，卫生健康支出38.60万元，占4.5%，住房保障支出40.67万元，占4.7%。具体安排情况如下：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（一）基本支出：2021年基本支出年初预算数为569.32万元，是指为保障单位机构正常运转、完成日常工作任务而发生的各项支出，包括用于基本工资、津贴补贴等人员经费以及办公费、印刷费、水电费、差旅费等日常公用经费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（二）项目支出：2021年项目支出年初预算数为291.20万元，是指单位为完成特定行政工作任务或事业发展目标而发生的支出，包括有关业务工作经费、运行维护经费等。其中包括扫黑除恶专项斗争工作经费100.00万元、教育基地建设租金45.00万元、法制培训教育专项40.50万元、反邪教工作经费30.60万元、执法监督经费22.40万元、综治维稳工作项目13.00万元、高速公路及铁路治安联防护路、护线工作经费10.70万元、法学会工作经费10.00万元、见义勇为专项工作经费10.00万元、岳阳市网格化服务管理工作9.00万元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，具体用于执法监督及涉法涉诉，法学研究交流活动及法学刊物等方面，用于全市矛盾纠纷排查、涉稳事件处置，见义勇为、铁路治安联防护路、护线，岳阳市网格化服务管理工作，法制培训教育、扫黑除恶专项斗争工作等方面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五、政府性基金预算支出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2021年度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本部门（单位）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无政府性基金安排的支出，所以公开的附件15-17为空。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六、其他重要事项的情况说明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楷体_GB2312" w:hAnsi="宋体" w:eastAsia="楷体_GB2312" w:cs="楷体_GB2312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（一）机关运行经费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本部门（单位）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2021年机关运行经费当年一般公共预算拨款87.17万元。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较去年减少2.63万元，降幅-2.9%，原因是</w:t>
            </w:r>
            <w:r>
              <w:rPr>
                <w:rFonts w:hint="eastAsia"/>
                <w:color w:val="auto"/>
                <w:lang w:eastAsia="zh-CN"/>
              </w:rPr>
              <w:t>厉行节约，压缩经费开支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（二）“三公”经费预算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本部门（单位）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2021年“三公”经费预算数98.18万元，其中公务接待费55.08万元，因公出国（境）费0.00万元，公务用车购置及运行费43.10万元（其中公务用车购置费0.00万元，公务用车运行费43.10万元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比上一年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减少</w:t>
            </w:r>
            <w:r>
              <w:rPr>
                <w:rFonts w:hint="eastAsia"/>
                <w:color w:val="auto"/>
                <w:lang w:eastAsia="zh-CN"/>
              </w:rPr>
              <w:t>10.9万元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，降低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%，主要原因是</w:t>
            </w:r>
            <w:r>
              <w:rPr>
                <w:rFonts w:hint="eastAsia"/>
                <w:color w:val="auto"/>
                <w:lang w:eastAsia="zh-CN"/>
              </w:rPr>
              <w:t>继续过紧日子，厉行节约，压缩经费开支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，压减了公务接待费和</w:t>
            </w:r>
            <w:r>
              <w:rPr>
                <w:rFonts w:hint="eastAsia"/>
                <w:color w:val="auto"/>
                <w:lang w:eastAsia="zh-CN"/>
              </w:rPr>
              <w:t>公务用车维护运行费。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（三）一般性支出情况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ind w:firstLine="0" w:firstLineChars="0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本部门（单位）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2021年会议费预算4.50万元，拟召开</w:t>
            </w:r>
            <w:r>
              <w:rPr>
                <w:rFonts w:hint="eastAsia"/>
                <w:color w:val="auto"/>
                <w:lang w:eastAsia="zh-CN"/>
              </w:rPr>
              <w:t>5次会议，人数600人，内容为全市政法工作会议及建党100周年维护稳定中心工作会议等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；培训费预算3.06万元，拟开展</w:t>
            </w:r>
            <w:r>
              <w:rPr>
                <w:rFonts w:hint="eastAsia"/>
                <w:color w:val="auto"/>
                <w:lang w:eastAsia="zh-CN"/>
              </w:rPr>
              <w:t>1次培训，人数200人，内容为全市政法系统领导干部学习提高培训。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2021年度本部门（单位）未计划举办节庆、晚会、论坛、赛事活动。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（四）政府采购情况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021年度本部门（单位）未安排政府采购预算。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（五）国有资产占有使用及新增资产配置情况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截至上一年12月底，本部门（单位）共有车辆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辆，其中领导干部用车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辆，一般公务用车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辆，其他用车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辆。单位价值50万元以上通用设备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台，单位价值100万元以上专用设备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台。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021年度本部门（单位）未计划处置或新增车辆、设备等。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（六）预算绩效目标说明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本部门（单位）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所有支出实行绩效目标管理。纳入2021年单位整体支出绩效目标的金额为860.52万元，其中，基本支出569.32万元，项目支出291.20万元，绩效目标详见文尾附表中预算公开表格的表22-23。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七、名词解释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1、机关运行经费：是指各单位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2、“三公”经费：纳入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食宿费等支出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36"/>
                <w:szCs w:val="3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第二部分  部门预算公开表格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收支总表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二、收入总表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三、支出总表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四、支出预算分类汇总表（按政府预算经济分类）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五、支出预算分类汇总表（按部门预算经济分类）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六、财政拨款收支总表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七、一般公共预算支出表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八、一般公共预算基本支出表--人员经费(工资福利支出)(按政府预算经济分类)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九、一般公共预算基本支出表--人员经费(工资福利支出)(按部门预算经济分类)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十、一般公共预算基本支出表--人员经费(对个人和家庭的补助)(按政府预算经济分类)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十一、一般公共预算基本支出表--人员经费(对个人和家庭的补助)（按部门预算经济分类）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十二、一般公共预算基本支出表--公用经费(商品和服务支出)（按政府预算经济分类）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十三、一般公共预算基本支出表--公用经费(商品和服务支出)(按部门预算经济分类)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十四、一般公共预算“三公”经费支出表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十五、政府性基金预算支出表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十六、政府性基金预算支出分类汇总表（按政府预算经济分类）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十七、政府性基金预算支出分类汇总表（按部门预算经济分类）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十八、国有资产经营预算支出表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十九、纳入专户管理的非税收入拨款支出预算表(按政府预算经济分类)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二十、纳入专户管理的非税收入拨款支出预算表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二十一、支出预算项目明细表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二十二、财政支出项目预算绩效目标申报表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二十三、部门(单位)整体支出预算绩效目标申报表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二十四、一般公共预算基本支出总表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注：以上部门预算公开报表中，空表表示本部门（单位）无相关收支情况。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696949"/>
    <w:multiLevelType w:val="singleLevel"/>
    <w:tmpl w:val="05696949"/>
    <w:lvl w:ilvl="0" w:tentative="0">
      <w:start w:val="1"/>
      <w:numFmt w:val="chineseCounting"/>
      <w:suff w:val="space"/>
      <w:lvlText w:val="第%1部分"/>
      <w:lvlJc w:val="left"/>
      <w:rPr>
        <w:rFonts w:hint="eastAsia"/>
      </w:rPr>
    </w:lvl>
  </w:abstractNum>
  <w:abstractNum w:abstractNumId="1">
    <w:nsid w:val="490DEF5F"/>
    <w:multiLevelType w:val="singleLevel"/>
    <w:tmpl w:val="490DEF5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yMmE1ZTNlNzA4YjgyNDIxMDIwOGIzMWI3NDY0OTkifQ=="/>
  </w:docVars>
  <w:rsids>
    <w:rsidRoot w:val="48885009"/>
    <w:rsid w:val="00300A03"/>
    <w:rsid w:val="039F1B46"/>
    <w:rsid w:val="060F4036"/>
    <w:rsid w:val="065E55AA"/>
    <w:rsid w:val="0A2170A6"/>
    <w:rsid w:val="0A3A07BE"/>
    <w:rsid w:val="0B9F01C5"/>
    <w:rsid w:val="14AF1479"/>
    <w:rsid w:val="1E4D585F"/>
    <w:rsid w:val="2055250B"/>
    <w:rsid w:val="20A774A8"/>
    <w:rsid w:val="20F21DF6"/>
    <w:rsid w:val="246D6C5B"/>
    <w:rsid w:val="258B383C"/>
    <w:rsid w:val="2AB00538"/>
    <w:rsid w:val="2B4D2B51"/>
    <w:rsid w:val="30A6239C"/>
    <w:rsid w:val="30FA6C7D"/>
    <w:rsid w:val="312E36D8"/>
    <w:rsid w:val="3AEC0481"/>
    <w:rsid w:val="3B51265F"/>
    <w:rsid w:val="406279CB"/>
    <w:rsid w:val="45CC5A6C"/>
    <w:rsid w:val="45D20C54"/>
    <w:rsid w:val="48885009"/>
    <w:rsid w:val="4E542F0D"/>
    <w:rsid w:val="501174D1"/>
    <w:rsid w:val="563034C0"/>
    <w:rsid w:val="578467E3"/>
    <w:rsid w:val="59670936"/>
    <w:rsid w:val="5D7C523D"/>
    <w:rsid w:val="5DDF5E8A"/>
    <w:rsid w:val="5FEF1CF6"/>
    <w:rsid w:val="61563A1F"/>
    <w:rsid w:val="67E728E0"/>
    <w:rsid w:val="68B91843"/>
    <w:rsid w:val="6B851761"/>
    <w:rsid w:val="707F6E1E"/>
    <w:rsid w:val="74D6506C"/>
    <w:rsid w:val="78D241A1"/>
    <w:rsid w:val="79E26C4A"/>
    <w:rsid w:val="7B576265"/>
    <w:rsid w:val="7F676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80" w:lineRule="exact"/>
      <w:ind w:firstLine="0" w:firstLineChars="0"/>
      <w:jc w:val="both"/>
    </w:pPr>
    <w:rPr>
      <w:rFonts w:ascii="Times New Roman" w:hAnsi="Times New Roman" w:eastAsia="仿宋_GB2312" w:cstheme="minorBidi"/>
      <w:kern w:val="2"/>
      <w:sz w:val="28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643" w:firstLineChars="200"/>
      <w:outlineLvl w:val="1"/>
    </w:pPr>
    <w:rPr>
      <w:rFonts w:ascii="Arial" w:hAnsi="Arial" w:eastAsia="黑体" w:cs="Times New Roman"/>
      <w:b/>
      <w:sz w:val="32"/>
    </w:rPr>
  </w:style>
  <w:style w:type="paragraph" w:styleId="3">
    <w:name w:val="heading 3"/>
    <w:basedOn w:val="1"/>
    <w:next w:val="1"/>
    <w:link w:val="6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ascii="Calibri" w:hAnsi="Calibri" w:eastAsia="楷体_GB2312" w:cs="Arial"/>
      <w:b/>
      <w:sz w:val="32"/>
      <w:szCs w:val="2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3 Char"/>
    <w:link w:val="3"/>
    <w:qFormat/>
    <w:uiPriority w:val="0"/>
    <w:rPr>
      <w:rFonts w:ascii="Calibri" w:hAnsi="Calibri" w:eastAsia="楷体_GB2312" w:cs="Arial"/>
      <w:b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3667</Words>
  <Characters>3984</Characters>
  <Lines>0</Lines>
  <Paragraphs>0</Paragraphs>
  <TotalTime>5</TotalTime>
  <ScaleCrop>false</ScaleCrop>
  <LinksUpToDate>false</LinksUpToDate>
  <CharactersWithSpaces>4167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2022-06-06T11:01:00Z</dcterms:created>
  <dc:creator>German Phillip</dc:creator>
  <cp:lastModifiedBy>German Phillip</cp:lastModifiedBy>
  <dcterms:modified xsi:type="dcterms:W3CDTF">2022-09-05T05:36:32Z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8007D3BC73AA48FFBDBF0C725C873928</vt:lpwstr>
  </property>
</Properties>
</file>